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adjustRightInd w:val="0"/>
        <w:snapToGrid w:val="0"/>
        <w:jc w:val="center"/>
        <w:rPr>
          <w:rFonts w:hint="eastAsia" w:ascii="方正小标宋简体" w:hAnsi="方正小标宋简体" w:eastAsia="方正小标宋简体"/>
          <w:sz w:val="44"/>
          <w:szCs w:val="30"/>
          <w:lang w:eastAsia="zh-CN"/>
        </w:rPr>
      </w:pPr>
      <w:r>
        <w:rPr>
          <w:rFonts w:hint="eastAsia" w:ascii="方正小标宋简体" w:hAnsi="方正小标宋简体" w:eastAsia="方正小标宋简体"/>
          <w:sz w:val="44"/>
          <w:szCs w:val="30"/>
        </w:rPr>
        <w:t>长江海事局</w:t>
      </w:r>
      <w:r>
        <w:rPr>
          <w:rFonts w:hint="eastAsia" w:ascii="方正小标宋简体" w:hAnsi="方正小标宋简体" w:eastAsia="方正小标宋简体"/>
          <w:sz w:val="44"/>
          <w:szCs w:val="30"/>
          <w:lang w:eastAsia="zh-CN"/>
        </w:rPr>
        <w:t>废止的规范性文件目录</w:t>
      </w:r>
    </w:p>
    <w:tbl>
      <w:tblPr>
        <w:tblStyle w:val="5"/>
        <w:tblpPr w:leftFromText="180" w:rightFromText="180" w:vertAnchor="page" w:horzAnchor="page" w:tblpX="1124" w:tblpY="3963"/>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5"/>
        <w:gridCol w:w="3807"/>
        <w:gridCol w:w="2691"/>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735" w:type="dxa"/>
            <w:shd w:val="clear" w:color="auto" w:fill="auto"/>
            <w:vAlign w:val="center"/>
          </w:tcPr>
          <w:p>
            <w:pPr>
              <w:autoSpaceDN w:val="0"/>
              <w:adjustRightInd w:val="0"/>
              <w:snapToGrid w:val="0"/>
              <w:jc w:val="center"/>
              <w:textAlignment w:val="center"/>
              <w:rPr>
                <w:rFonts w:ascii="黑体" w:hAnsi="黑体" w:eastAsia="黑体"/>
                <w:color w:val="000000" w:themeColor="text1"/>
                <w:sz w:val="24"/>
                <w:szCs w:val="24"/>
                <w:highlight w:val="none"/>
                <w14:textFill>
                  <w14:solidFill>
                    <w14:schemeClr w14:val="tx1"/>
                  </w14:solidFill>
                </w14:textFill>
              </w:rPr>
            </w:pPr>
            <w:bookmarkStart w:id="0" w:name="_GoBack"/>
            <w:bookmarkEnd w:id="0"/>
            <w:r>
              <w:rPr>
                <w:rFonts w:hint="eastAsia" w:ascii="黑体" w:hAnsi="黑体" w:eastAsia="黑体"/>
                <w:color w:val="000000" w:themeColor="text1"/>
                <w:sz w:val="24"/>
                <w:szCs w:val="24"/>
                <w:highlight w:val="none"/>
                <w14:textFill>
                  <w14:solidFill>
                    <w14:schemeClr w14:val="tx1"/>
                  </w14:solidFill>
                </w14:textFill>
              </w:rPr>
              <w:t>序号</w:t>
            </w:r>
          </w:p>
        </w:tc>
        <w:tc>
          <w:tcPr>
            <w:tcW w:w="3807" w:type="dxa"/>
            <w:shd w:val="clear" w:color="auto" w:fill="auto"/>
            <w:vAlign w:val="center"/>
          </w:tcPr>
          <w:p>
            <w:pPr>
              <w:autoSpaceDN w:val="0"/>
              <w:adjustRightInd w:val="0"/>
              <w:snapToGrid w:val="0"/>
              <w:jc w:val="center"/>
              <w:textAlignment w:val="bottom"/>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文件名称</w:t>
            </w:r>
          </w:p>
        </w:tc>
        <w:tc>
          <w:tcPr>
            <w:tcW w:w="2691" w:type="dxa"/>
            <w:shd w:val="clear" w:color="auto" w:fill="auto"/>
            <w:vAlign w:val="center"/>
          </w:tcPr>
          <w:p>
            <w:pPr>
              <w:autoSpaceDN w:val="0"/>
              <w:adjustRightInd w:val="0"/>
              <w:snapToGrid w:val="0"/>
              <w:jc w:val="center"/>
              <w:textAlignment w:val="center"/>
              <w:rPr>
                <w:rFonts w:ascii="黑体" w:hAnsi="黑体" w:eastAsia="黑体"/>
                <w:color w:val="000000" w:themeColor="text1"/>
                <w:sz w:val="24"/>
                <w:szCs w:val="24"/>
                <w:highlight w:val="none"/>
                <w14:textFill>
                  <w14:solidFill>
                    <w14:schemeClr w14:val="tx1"/>
                  </w14:solidFill>
                </w14:textFill>
              </w:rPr>
            </w:pPr>
            <w:r>
              <w:rPr>
                <w:rFonts w:hint="eastAsia" w:ascii="黑体" w:hAnsi="黑体" w:eastAsia="黑体"/>
                <w:color w:val="000000" w:themeColor="text1"/>
                <w:sz w:val="24"/>
                <w:szCs w:val="24"/>
                <w:highlight w:val="none"/>
                <w14:textFill>
                  <w14:solidFill>
                    <w14:schemeClr w14:val="tx1"/>
                  </w14:solidFill>
                </w14:textFill>
              </w:rPr>
              <w:t>文号</w:t>
            </w:r>
          </w:p>
        </w:tc>
        <w:tc>
          <w:tcPr>
            <w:tcW w:w="2397" w:type="dxa"/>
            <w:shd w:val="solid" w:color="FFFFFF" w:fill="auto"/>
            <w:vAlign w:val="center"/>
          </w:tcPr>
          <w:p>
            <w:pPr>
              <w:widowControl/>
              <w:adjustRightInd w:val="0"/>
              <w:snapToGrid w:val="0"/>
              <w:jc w:val="center"/>
              <w:rPr>
                <w:rFonts w:ascii="黑体" w:hAnsi="黑体" w:eastAsia="黑体"/>
                <w:color w:val="000000" w:themeColor="text1"/>
                <w:kern w:val="0"/>
                <w:sz w:val="24"/>
                <w:szCs w:val="24"/>
                <w:highlight w:val="none"/>
                <w14:textFill>
                  <w14:solidFill>
                    <w14:schemeClr w14:val="tx1"/>
                  </w14:solidFill>
                </w14:textFill>
              </w:rPr>
            </w:pPr>
            <w:r>
              <w:rPr>
                <w:rFonts w:hint="eastAsia" w:ascii="黑体" w:hAnsi="黑体" w:eastAsia="黑体"/>
                <w:color w:val="000000" w:themeColor="text1"/>
                <w:kern w:val="0"/>
                <w:sz w:val="24"/>
                <w:szCs w:val="24"/>
                <w:highlight w:val="none"/>
                <w14:textFill>
                  <w14:solidFill>
                    <w14:schemeClr w14:val="tx1"/>
                  </w14:solidFill>
                </w14:textFill>
              </w:rPr>
              <w:t>发文时间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35" w:type="dxa"/>
            <w:shd w:val="clear" w:color="auto" w:fill="auto"/>
            <w:vAlign w:val="center"/>
          </w:tcPr>
          <w:p>
            <w:pPr>
              <w:autoSpaceDN w:val="0"/>
              <w:adjustRightInd w:val="0"/>
              <w:snapToGrid w:val="0"/>
              <w:jc w:val="center"/>
              <w:textAlignment w:val="center"/>
              <w:rPr>
                <w:rFonts w:hint="eastAsia" w:ascii="仿宋_GB2312" w:hAnsi="Times New Roman" w:eastAsia="仿宋_GB2312" w:cs="Times New Roman"/>
                <w:color w:val="000000" w:themeColor="text1"/>
                <w:kern w:val="2"/>
                <w:sz w:val="21"/>
                <w:szCs w:val="20"/>
                <w:highlight w:val="none"/>
                <w:lang w:val="en-US" w:eastAsia="zh-CN" w:bidi="ar-SA"/>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1</w:t>
            </w:r>
          </w:p>
        </w:tc>
        <w:tc>
          <w:tcPr>
            <w:tcW w:w="3807" w:type="dxa"/>
            <w:shd w:val="clear" w:color="auto" w:fill="auto"/>
            <w:vAlign w:val="center"/>
          </w:tcPr>
          <w:p>
            <w:pPr>
              <w:autoSpaceDN w:val="0"/>
              <w:adjustRightInd w:val="0"/>
              <w:snapToGrid w:val="0"/>
              <w:textAlignment w:val="center"/>
              <w:rPr>
                <w:rFonts w:hint="eastAsia" w:ascii="仿宋_GB2312" w:hAnsi="Times New Roman" w:eastAsia="仿宋_GB2312" w:cs="Times New Roman"/>
                <w:color w:val="000000" w:themeColor="text1"/>
                <w:kern w:val="2"/>
                <w:sz w:val="21"/>
                <w:szCs w:val="20"/>
                <w:highlight w:val="none"/>
                <w:lang w:val="en-US" w:eastAsia="zh-CN" w:bidi="ar-SA"/>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fldChar w:fldCharType="begin"/>
            </w:r>
            <w:r>
              <w:rPr>
                <w:rFonts w:hint="eastAsia" w:ascii="仿宋_GB2312" w:eastAsia="仿宋_GB2312"/>
                <w:color w:val="000000" w:themeColor="text1"/>
                <w:highlight w:val="none"/>
                <w:lang w:val="en-US" w:eastAsia="zh-CN"/>
                <w14:textFill>
                  <w14:solidFill>
                    <w14:schemeClr w14:val="tx1"/>
                  </w14:solidFill>
                </w14:textFill>
              </w:rPr>
              <w:instrText xml:space="preserve"> HYPERLINK "/home/administrator/Documents\\x/../../../../日常工作/01 规范性文件管理/废止及有效规范性文件/长江局/)V'&amp;@D&gt;4,n%WGC V)" \o "G:\\日常工作\\01 规范性文件管理\\废止及有效规范性文件\\长江局\\)V'&amp;@D&gt;4,n%WGC V)" </w:instrText>
            </w:r>
            <w:r>
              <w:rPr>
                <w:rFonts w:hint="eastAsia" w:ascii="仿宋_GB2312" w:eastAsia="仿宋_GB2312"/>
                <w:color w:val="000000" w:themeColor="text1"/>
                <w:highlight w:val="none"/>
                <w:lang w:val="en-US" w:eastAsia="zh-CN"/>
                <w14:textFill>
                  <w14:solidFill>
                    <w14:schemeClr w14:val="tx1"/>
                  </w14:solidFill>
                </w14:textFill>
              </w:rPr>
              <w:fldChar w:fldCharType="separate"/>
            </w:r>
            <w:r>
              <w:rPr>
                <w:rFonts w:hint="eastAsia" w:ascii="仿宋_GB2312" w:eastAsia="仿宋_GB2312"/>
                <w:color w:val="000000" w:themeColor="text1"/>
                <w:highlight w:val="none"/>
                <w14:textFill>
                  <w14:solidFill>
                    <w14:schemeClr w14:val="tx1"/>
                  </w14:solidFill>
                </w14:textFill>
              </w:rPr>
              <w:t>关于《长江下游分道航行规则》部分航路变更的公告</w:t>
            </w:r>
            <w:r>
              <w:rPr>
                <w:rFonts w:hint="eastAsia" w:ascii="仿宋_GB2312" w:eastAsia="仿宋_GB2312"/>
                <w:color w:val="000000" w:themeColor="text1"/>
                <w:highlight w:val="none"/>
                <w:lang w:val="en-US" w:eastAsia="zh-CN"/>
                <w14:textFill>
                  <w14:solidFill>
                    <w14:schemeClr w14:val="tx1"/>
                  </w14:solidFill>
                </w14:textFill>
              </w:rPr>
              <w:fldChar w:fldCharType="end"/>
            </w:r>
          </w:p>
        </w:tc>
        <w:tc>
          <w:tcPr>
            <w:tcW w:w="2691" w:type="dxa"/>
            <w:shd w:val="clear" w:color="auto" w:fill="auto"/>
            <w:vAlign w:val="center"/>
          </w:tcPr>
          <w:p>
            <w:pPr>
              <w:autoSpaceDN w:val="0"/>
              <w:adjustRightInd w:val="0"/>
              <w:snapToGrid w:val="0"/>
              <w:jc w:val="center"/>
              <w:textAlignment w:val="center"/>
              <w:rPr>
                <w:rFonts w:hint="eastAsia" w:ascii="仿宋_GB2312" w:hAnsi="Times New Roman" w:eastAsia="仿宋_GB2312" w:cs="Times New Roman"/>
                <w:color w:val="000000" w:themeColor="text1"/>
                <w:kern w:val="2"/>
                <w:sz w:val="21"/>
                <w:szCs w:val="20"/>
                <w:highlight w:val="none"/>
                <w:lang w:val="en-US" w:eastAsia="zh-CN" w:bidi="ar-SA"/>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长督通〔1998〕255号</w:t>
            </w:r>
          </w:p>
        </w:tc>
        <w:tc>
          <w:tcPr>
            <w:tcW w:w="2397" w:type="dxa"/>
            <w:shd w:val="solid" w:color="FFFFFF" w:fill="auto"/>
            <w:vAlign w:val="center"/>
          </w:tcPr>
          <w:p>
            <w:pPr>
              <w:autoSpaceDN w:val="0"/>
              <w:adjustRightInd w:val="0"/>
              <w:snapToGrid w:val="0"/>
              <w:jc w:val="center"/>
              <w:textAlignment w:val="center"/>
              <w:rPr>
                <w:rFonts w:hint="eastAsia" w:ascii="仿宋_GB2312" w:hAnsi="Times New Roman" w:eastAsia="仿宋_GB2312" w:cs="Times New Roman"/>
                <w:color w:val="000000" w:themeColor="text1"/>
                <w:kern w:val="2"/>
                <w:sz w:val="21"/>
                <w:szCs w:val="20"/>
                <w:highlight w:val="none"/>
                <w:lang w:val="en-US" w:eastAsia="zh-CN" w:bidi="ar-SA"/>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1998年6月3日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2</w:t>
            </w:r>
          </w:p>
        </w:tc>
        <w:tc>
          <w:tcPr>
            <w:tcW w:w="3807" w:type="dxa"/>
            <w:shd w:val="clear" w:color="auto" w:fill="auto"/>
            <w:vAlign w:val="center"/>
          </w:tcPr>
          <w:p>
            <w:pPr>
              <w:autoSpaceDN w:val="0"/>
              <w:adjustRightInd w:val="0"/>
              <w:snapToGrid w:val="0"/>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fldChar w:fldCharType="begin"/>
            </w:r>
            <w:r>
              <w:rPr>
                <w:rFonts w:hint="eastAsia" w:ascii="仿宋_GB2312" w:eastAsia="仿宋_GB2312"/>
                <w:color w:val="auto"/>
                <w:highlight w:val="none"/>
                <w:lang w:val="en-US" w:eastAsia="zh-CN"/>
              </w:rPr>
              <w:instrText xml:space="preserve"> HYPERLINK "/home/administrator/Documents\\x/../../../../日常工作/01 规范性文件管理/废止及有效规范性文件/长江局/)V'&amp;@D&gt;4,n%WGC V)" \o "G:\\日常工作\\01 规范性文件管理\\废止及有效规范性文件\\长江局\\)V'&amp;@D&gt;4,n%WGC V)" </w:instrText>
            </w:r>
            <w:r>
              <w:rPr>
                <w:rFonts w:hint="eastAsia" w:ascii="仿宋_GB2312" w:eastAsia="仿宋_GB2312"/>
                <w:color w:val="auto"/>
                <w:highlight w:val="none"/>
                <w:lang w:val="en-US" w:eastAsia="zh-CN"/>
              </w:rPr>
              <w:fldChar w:fldCharType="separate"/>
            </w:r>
            <w:r>
              <w:rPr>
                <w:rFonts w:hint="eastAsia" w:ascii="仿宋_GB2312" w:eastAsia="仿宋_GB2312"/>
                <w:color w:val="auto"/>
                <w:highlight w:val="none"/>
              </w:rPr>
              <w:t>关于《长江下游分道航行规则》航路变更的通告</w:t>
            </w:r>
            <w:r>
              <w:rPr>
                <w:rFonts w:hint="eastAsia" w:ascii="仿宋_GB2312" w:eastAsia="仿宋_GB2312"/>
                <w:color w:val="auto"/>
                <w:highlight w:val="none"/>
                <w:lang w:val="en-US" w:eastAsia="zh-CN"/>
              </w:rPr>
              <w:fldChar w:fldCharType="end"/>
            </w:r>
          </w:p>
        </w:tc>
        <w:tc>
          <w:tcPr>
            <w:tcW w:w="2691" w:type="dxa"/>
            <w:shd w:val="clear" w:color="auto"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长海通航〔2004〕296号</w:t>
            </w:r>
          </w:p>
        </w:tc>
        <w:tc>
          <w:tcPr>
            <w:tcW w:w="2397" w:type="dxa"/>
            <w:shd w:val="solid" w:color="FFFFFF"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2004年9月10日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3</w:t>
            </w:r>
          </w:p>
        </w:tc>
        <w:tc>
          <w:tcPr>
            <w:tcW w:w="3807" w:type="dxa"/>
            <w:shd w:val="clear" w:color="auto" w:fill="auto"/>
            <w:vAlign w:val="center"/>
          </w:tcPr>
          <w:p>
            <w:pPr>
              <w:autoSpaceDN w:val="0"/>
              <w:adjustRightInd w:val="0"/>
              <w:snapToGrid w:val="0"/>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关于《长江下游分道航行规则》部分航路变更的通告</w:t>
            </w:r>
          </w:p>
        </w:tc>
        <w:tc>
          <w:tcPr>
            <w:tcW w:w="2691" w:type="dxa"/>
            <w:shd w:val="clear" w:color="auto"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长海通航〔2006〕170号</w:t>
            </w:r>
          </w:p>
        </w:tc>
        <w:tc>
          <w:tcPr>
            <w:tcW w:w="2397" w:type="dxa"/>
            <w:shd w:val="solid" w:color="FFFFFF"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2006年5月26日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4</w:t>
            </w:r>
          </w:p>
        </w:tc>
        <w:tc>
          <w:tcPr>
            <w:tcW w:w="3807" w:type="dxa"/>
            <w:shd w:val="clear" w:color="auto" w:fill="auto"/>
            <w:vAlign w:val="center"/>
          </w:tcPr>
          <w:p>
            <w:pPr>
              <w:autoSpaceDN w:val="0"/>
              <w:adjustRightInd w:val="0"/>
              <w:snapToGrid w:val="0"/>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fldChar w:fldCharType="begin"/>
            </w:r>
            <w:r>
              <w:rPr>
                <w:rFonts w:hint="eastAsia" w:ascii="仿宋_GB2312" w:eastAsia="仿宋_GB2312"/>
                <w:color w:val="auto"/>
                <w:highlight w:val="none"/>
                <w:lang w:val="en-US" w:eastAsia="zh-CN"/>
              </w:rPr>
              <w:instrText xml:space="preserve"> HYPERLINK "/home/administrator/Documents\\x/../../../../日常工作/01 规范性文件管理/废止及有效规范性文件/长江局/)V'&amp;@D&gt;4,n%WGC V)" \o "G:\\日常工作\\01 规范性文件管理\\废止及有效规范性文件\\长江局\\)V'&amp;@D&gt;4,n%WGC V)" </w:instrText>
            </w:r>
            <w:r>
              <w:rPr>
                <w:rFonts w:hint="eastAsia" w:ascii="仿宋_GB2312" w:eastAsia="仿宋_GB2312"/>
                <w:color w:val="auto"/>
                <w:highlight w:val="none"/>
                <w:lang w:val="en-US" w:eastAsia="zh-CN"/>
              </w:rPr>
              <w:fldChar w:fldCharType="separate"/>
            </w:r>
            <w:r>
              <w:rPr>
                <w:rFonts w:hint="eastAsia" w:ascii="仿宋_GB2312" w:eastAsia="仿宋_GB2312"/>
                <w:color w:val="auto"/>
                <w:highlight w:val="none"/>
              </w:rPr>
              <w:t>关于实施《长江三峡大坝－葛洲坝水域船舶分道航行规则》的通告</w:t>
            </w:r>
            <w:r>
              <w:rPr>
                <w:rFonts w:hint="eastAsia" w:ascii="仿宋_GB2312" w:eastAsia="仿宋_GB2312"/>
                <w:color w:val="auto"/>
                <w:highlight w:val="none"/>
                <w:lang w:val="en-US" w:eastAsia="zh-CN"/>
              </w:rPr>
              <w:fldChar w:fldCharType="end"/>
            </w:r>
          </w:p>
        </w:tc>
        <w:tc>
          <w:tcPr>
            <w:tcW w:w="2691" w:type="dxa"/>
            <w:shd w:val="clear" w:color="auto"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长海通航〔2008〕338号</w:t>
            </w:r>
          </w:p>
        </w:tc>
        <w:tc>
          <w:tcPr>
            <w:tcW w:w="2397" w:type="dxa"/>
            <w:shd w:val="solid" w:color="FFFFFF"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2008年10月10日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5</w:t>
            </w:r>
          </w:p>
        </w:tc>
        <w:tc>
          <w:tcPr>
            <w:tcW w:w="3807" w:type="dxa"/>
            <w:shd w:val="clear" w:color="auto" w:fill="auto"/>
            <w:vAlign w:val="center"/>
          </w:tcPr>
          <w:p>
            <w:pPr>
              <w:autoSpaceDN w:val="0"/>
              <w:adjustRightInd w:val="0"/>
              <w:snapToGrid w:val="0"/>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fldChar w:fldCharType="begin"/>
            </w:r>
            <w:r>
              <w:rPr>
                <w:rFonts w:hint="eastAsia" w:ascii="仿宋_GB2312" w:eastAsia="仿宋_GB2312"/>
                <w:color w:val="auto"/>
                <w:highlight w:val="none"/>
                <w:lang w:val="en-US" w:eastAsia="zh-CN"/>
              </w:rPr>
              <w:instrText xml:space="preserve"> HYPERLINK "/home/administrator/Documents\\x/../../../../日常工作/01 规范性文件管理/废止及有效规范性文件/长江局/)V'&amp;@D&gt;4,n%WGC V)" \o "G:\\日常工作\\01 规范性文件管理\\废止及有效规范性文件\\长江局\\)V'&amp;@D&gt;4,n%WGC V)" </w:instrText>
            </w:r>
            <w:r>
              <w:rPr>
                <w:rFonts w:hint="eastAsia" w:ascii="仿宋_GB2312" w:eastAsia="仿宋_GB2312"/>
                <w:color w:val="auto"/>
                <w:highlight w:val="none"/>
                <w:lang w:val="en-US" w:eastAsia="zh-CN"/>
              </w:rPr>
              <w:fldChar w:fldCharType="separate"/>
            </w:r>
            <w:r>
              <w:rPr>
                <w:rFonts w:hint="eastAsia" w:ascii="仿宋_GB2312" w:eastAsia="仿宋_GB2312"/>
                <w:color w:val="auto"/>
                <w:highlight w:val="none"/>
              </w:rPr>
              <w:t>关于印发《长江海事局五星级船长、轮机长评选办法》的通知</w:t>
            </w:r>
            <w:r>
              <w:rPr>
                <w:rFonts w:hint="eastAsia" w:ascii="仿宋_GB2312" w:eastAsia="仿宋_GB2312"/>
                <w:color w:val="auto"/>
                <w:highlight w:val="none"/>
                <w:lang w:val="en-US" w:eastAsia="zh-CN"/>
              </w:rPr>
              <w:fldChar w:fldCharType="end"/>
            </w:r>
          </w:p>
        </w:tc>
        <w:tc>
          <w:tcPr>
            <w:tcW w:w="2691" w:type="dxa"/>
            <w:shd w:val="clear" w:color="auto"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长海船员〔2012〕277号</w:t>
            </w:r>
          </w:p>
        </w:tc>
        <w:tc>
          <w:tcPr>
            <w:tcW w:w="2397" w:type="dxa"/>
            <w:shd w:val="solid" w:color="FFFFFF"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2012年8月7日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6</w:t>
            </w:r>
          </w:p>
        </w:tc>
        <w:tc>
          <w:tcPr>
            <w:tcW w:w="3807" w:type="dxa"/>
            <w:shd w:val="clear" w:color="auto" w:fill="auto"/>
            <w:vAlign w:val="center"/>
          </w:tcPr>
          <w:p>
            <w:pPr>
              <w:autoSpaceDN w:val="0"/>
              <w:adjustRightInd w:val="0"/>
              <w:snapToGrid w:val="0"/>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fldChar w:fldCharType="begin"/>
            </w:r>
            <w:r>
              <w:rPr>
                <w:rFonts w:hint="eastAsia" w:ascii="仿宋_GB2312" w:eastAsia="仿宋_GB2312"/>
                <w:color w:val="auto"/>
                <w:highlight w:val="none"/>
                <w:lang w:val="en-US" w:eastAsia="zh-CN"/>
              </w:rPr>
              <w:instrText xml:space="preserve"> HYPERLINK "/home/administrator/Documents\\x/../../../../日常工作/01 规范性文件管理/废止及有效规范性文件/长江局/)V'&amp;@D&gt;4,n%WGC V)" \o "G:\\日常工作\\01 规范性文件管理\\废止及有效规范性文件\\长江局\\)V'&amp;@D&gt;4,n%WGC V)" </w:instrText>
            </w:r>
            <w:r>
              <w:rPr>
                <w:rFonts w:hint="eastAsia" w:ascii="仿宋_GB2312" w:eastAsia="仿宋_GB2312"/>
                <w:color w:val="auto"/>
                <w:highlight w:val="none"/>
                <w:lang w:val="en-US" w:eastAsia="zh-CN"/>
              </w:rPr>
              <w:fldChar w:fldCharType="separate"/>
            </w:r>
            <w:r>
              <w:rPr>
                <w:rFonts w:hint="eastAsia" w:ascii="仿宋_GB2312" w:eastAsia="仿宋_GB2312"/>
                <w:color w:val="auto"/>
                <w:highlight w:val="none"/>
              </w:rPr>
              <w:t>关于鄂黄长江公路大桥桥区水域通航安全管理的通告</w:t>
            </w:r>
            <w:r>
              <w:rPr>
                <w:rFonts w:hint="eastAsia" w:ascii="仿宋_GB2312" w:eastAsia="仿宋_GB2312"/>
                <w:color w:val="auto"/>
                <w:highlight w:val="none"/>
                <w:lang w:val="en-US" w:eastAsia="zh-CN"/>
              </w:rPr>
              <w:fldChar w:fldCharType="end"/>
            </w:r>
          </w:p>
        </w:tc>
        <w:tc>
          <w:tcPr>
            <w:tcW w:w="2691" w:type="dxa"/>
            <w:shd w:val="clear" w:color="auto"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〔2014〕1号</w:t>
            </w:r>
          </w:p>
        </w:tc>
        <w:tc>
          <w:tcPr>
            <w:tcW w:w="2397" w:type="dxa"/>
            <w:shd w:val="solid" w:color="FFFFFF"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2014年5月5日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7</w:t>
            </w:r>
          </w:p>
        </w:tc>
        <w:tc>
          <w:tcPr>
            <w:tcW w:w="3807" w:type="dxa"/>
            <w:shd w:val="clear" w:color="auto" w:fill="auto"/>
            <w:vAlign w:val="center"/>
          </w:tcPr>
          <w:p>
            <w:pPr>
              <w:autoSpaceDN w:val="0"/>
              <w:adjustRightInd w:val="0"/>
              <w:snapToGrid w:val="0"/>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fldChar w:fldCharType="begin"/>
            </w:r>
            <w:r>
              <w:rPr>
                <w:rFonts w:hint="eastAsia" w:ascii="仿宋_GB2312" w:eastAsia="仿宋_GB2312"/>
                <w:color w:val="auto"/>
                <w:highlight w:val="none"/>
                <w:lang w:val="en-US" w:eastAsia="zh-CN"/>
              </w:rPr>
              <w:instrText xml:space="preserve"> HYPERLINK "/home/administrator/Documents\\x/../../../../日常工作/01 规范性文件管理/废止及有效规范性文件/长江局/)V'&amp;@D&gt;4,n%WGC V)" \o "G:\\日常工作\\01 规范性文件管理\\废止及有效规范性文件\\长江局\\)V'&amp;@D&gt;4,n%WGC V)" </w:instrText>
            </w:r>
            <w:r>
              <w:rPr>
                <w:rFonts w:hint="eastAsia" w:ascii="仿宋_GB2312" w:eastAsia="仿宋_GB2312"/>
                <w:color w:val="auto"/>
                <w:highlight w:val="none"/>
                <w:lang w:val="en-US" w:eastAsia="zh-CN"/>
              </w:rPr>
              <w:fldChar w:fldCharType="separate"/>
            </w:r>
            <w:r>
              <w:rPr>
                <w:rFonts w:hint="eastAsia" w:ascii="仿宋_GB2312" w:eastAsia="仿宋_GB2312"/>
                <w:color w:val="auto"/>
                <w:highlight w:val="none"/>
              </w:rPr>
              <w:t>关于鄂东长江公路大桥和黄石长江公路大桥桥区水域通航安全管理的通告</w:t>
            </w:r>
            <w:r>
              <w:rPr>
                <w:rFonts w:hint="eastAsia" w:ascii="仿宋_GB2312" w:eastAsia="仿宋_GB2312"/>
                <w:color w:val="auto"/>
                <w:highlight w:val="none"/>
                <w:lang w:val="en-US" w:eastAsia="zh-CN"/>
              </w:rPr>
              <w:fldChar w:fldCharType="end"/>
            </w:r>
          </w:p>
        </w:tc>
        <w:tc>
          <w:tcPr>
            <w:tcW w:w="2691" w:type="dxa"/>
            <w:shd w:val="clear" w:color="auto"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〔2014〕2号</w:t>
            </w:r>
          </w:p>
        </w:tc>
        <w:tc>
          <w:tcPr>
            <w:tcW w:w="2397" w:type="dxa"/>
            <w:shd w:val="solid" w:color="FFFFFF"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2014年5月5日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8</w:t>
            </w:r>
          </w:p>
        </w:tc>
        <w:tc>
          <w:tcPr>
            <w:tcW w:w="3807" w:type="dxa"/>
            <w:shd w:val="clear" w:color="auto" w:fill="auto"/>
            <w:vAlign w:val="center"/>
          </w:tcPr>
          <w:p>
            <w:pPr>
              <w:autoSpaceDN w:val="0"/>
              <w:adjustRightInd w:val="0"/>
              <w:snapToGrid w:val="0"/>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fldChar w:fldCharType="begin"/>
            </w:r>
            <w:r>
              <w:rPr>
                <w:rFonts w:hint="eastAsia" w:ascii="仿宋_GB2312" w:eastAsia="仿宋_GB2312"/>
                <w:color w:val="auto"/>
                <w:highlight w:val="none"/>
                <w:lang w:val="en-US" w:eastAsia="zh-CN"/>
              </w:rPr>
              <w:instrText xml:space="preserve"> HYPERLINK "/home/administrator/Documents\\x/../../../../日常工作/01 规范性文件管理/废止及有效规范性文件/长江局/)V'&amp;@D&gt;4,n%WGC V)" \o "G:\\日常工作\\01 规范性文件管理\\废止及有效规范性文件\\长江局\\)V'&amp;@D&gt;4,n%WGC V)" </w:instrText>
            </w:r>
            <w:r>
              <w:rPr>
                <w:rFonts w:hint="eastAsia" w:ascii="仿宋_GB2312" w:eastAsia="仿宋_GB2312"/>
                <w:color w:val="auto"/>
                <w:highlight w:val="none"/>
                <w:lang w:val="en-US" w:eastAsia="zh-CN"/>
              </w:rPr>
              <w:fldChar w:fldCharType="separate"/>
            </w:r>
            <w:r>
              <w:rPr>
                <w:rFonts w:hint="eastAsia" w:ascii="仿宋_GB2312" w:eastAsia="仿宋_GB2312"/>
                <w:color w:val="auto"/>
                <w:highlight w:val="none"/>
              </w:rPr>
              <w:t>关于辖区航路调整的通告</w:t>
            </w:r>
            <w:r>
              <w:rPr>
                <w:rFonts w:hint="eastAsia" w:ascii="仿宋_GB2312" w:eastAsia="仿宋_GB2312"/>
                <w:color w:val="auto"/>
                <w:highlight w:val="none"/>
                <w:lang w:val="en-US" w:eastAsia="zh-CN"/>
              </w:rPr>
              <w:fldChar w:fldCharType="end"/>
            </w:r>
          </w:p>
        </w:tc>
        <w:tc>
          <w:tcPr>
            <w:tcW w:w="2691" w:type="dxa"/>
            <w:shd w:val="clear" w:color="auto"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长海通航〔2014〕252号</w:t>
            </w:r>
          </w:p>
        </w:tc>
        <w:tc>
          <w:tcPr>
            <w:tcW w:w="2397" w:type="dxa"/>
            <w:shd w:val="solid" w:color="FFFFFF"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2014年9月28日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9</w:t>
            </w:r>
          </w:p>
        </w:tc>
        <w:tc>
          <w:tcPr>
            <w:tcW w:w="3807" w:type="dxa"/>
            <w:shd w:val="clear" w:color="auto" w:fill="auto"/>
            <w:vAlign w:val="center"/>
          </w:tcPr>
          <w:p>
            <w:pPr>
              <w:autoSpaceDN w:val="0"/>
              <w:adjustRightInd w:val="0"/>
              <w:snapToGrid w:val="0"/>
              <w:textAlignment w:val="center"/>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关于设置姚坝危险品船舶临时停泊区的通告</w:t>
            </w:r>
          </w:p>
        </w:tc>
        <w:tc>
          <w:tcPr>
            <w:tcW w:w="2691" w:type="dxa"/>
            <w:shd w:val="clear" w:color="auto" w:fill="auto"/>
            <w:vAlign w:val="center"/>
          </w:tcPr>
          <w:p>
            <w:pPr>
              <w:autoSpaceDN w:val="0"/>
              <w:adjustRightInd w:val="0"/>
              <w:snapToGrid w:val="0"/>
              <w:jc w:val="center"/>
              <w:textAlignment w:val="center"/>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长海通航〔2016〕41号</w:t>
            </w:r>
          </w:p>
        </w:tc>
        <w:tc>
          <w:tcPr>
            <w:tcW w:w="2397" w:type="dxa"/>
            <w:shd w:val="solid" w:color="FFFFFF" w:fill="auto"/>
            <w:vAlign w:val="center"/>
          </w:tcPr>
          <w:p>
            <w:pPr>
              <w:autoSpaceDN w:val="0"/>
              <w:adjustRightInd w:val="0"/>
              <w:snapToGrid w:val="0"/>
              <w:jc w:val="center"/>
              <w:textAlignment w:val="center"/>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2016年1月26日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10</w:t>
            </w:r>
          </w:p>
        </w:tc>
        <w:tc>
          <w:tcPr>
            <w:tcW w:w="3807" w:type="dxa"/>
            <w:shd w:val="clear" w:color="auto" w:fill="auto"/>
            <w:vAlign w:val="center"/>
          </w:tcPr>
          <w:p>
            <w:pPr>
              <w:autoSpaceDN w:val="0"/>
              <w:adjustRightInd w:val="0"/>
              <w:snapToGrid w:val="0"/>
              <w:textAlignment w:val="center"/>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关于设置长江安徽段航行锚地（三江口锚地）的通告</w:t>
            </w:r>
          </w:p>
        </w:tc>
        <w:tc>
          <w:tcPr>
            <w:tcW w:w="2691" w:type="dxa"/>
            <w:shd w:val="clear" w:color="auto" w:fill="auto"/>
            <w:vAlign w:val="center"/>
          </w:tcPr>
          <w:p>
            <w:pPr>
              <w:autoSpaceDN w:val="0"/>
              <w:adjustRightInd w:val="0"/>
              <w:snapToGrid w:val="0"/>
              <w:jc w:val="center"/>
              <w:textAlignment w:val="center"/>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长海通航〔2016〕148号</w:t>
            </w:r>
          </w:p>
        </w:tc>
        <w:tc>
          <w:tcPr>
            <w:tcW w:w="2397" w:type="dxa"/>
            <w:shd w:val="solid" w:color="FFFFFF" w:fill="auto"/>
            <w:vAlign w:val="center"/>
          </w:tcPr>
          <w:p>
            <w:pPr>
              <w:autoSpaceDN w:val="0"/>
              <w:adjustRightInd w:val="0"/>
              <w:snapToGrid w:val="0"/>
              <w:jc w:val="center"/>
              <w:textAlignment w:val="center"/>
              <w:rPr>
                <w:rFonts w:hint="eastAsia" w:ascii="仿宋_GB2312" w:eastAsia="仿宋_GB2312"/>
                <w:color w:val="000000" w:themeColor="text1"/>
                <w:highlight w:val="none"/>
                <w:lang w:val="en-US" w:eastAsia="zh-CN"/>
                <w14:textFill>
                  <w14:solidFill>
                    <w14:schemeClr w14:val="tx1"/>
                  </w14:solidFill>
                </w14:textFill>
              </w:rPr>
            </w:pPr>
            <w:r>
              <w:rPr>
                <w:rFonts w:hint="eastAsia" w:ascii="仿宋_GB2312" w:eastAsia="仿宋_GB2312"/>
                <w:color w:val="000000" w:themeColor="text1"/>
                <w:highlight w:val="none"/>
                <w:lang w:val="en-US" w:eastAsia="zh-CN"/>
                <w14:textFill>
                  <w14:solidFill>
                    <w14:schemeClr w14:val="tx1"/>
                  </w14:solidFill>
                </w14:textFill>
              </w:rPr>
              <w:t>2016年5月6日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11</w:t>
            </w:r>
          </w:p>
        </w:tc>
        <w:tc>
          <w:tcPr>
            <w:tcW w:w="3807" w:type="dxa"/>
            <w:shd w:val="clear" w:color="auto" w:fill="auto"/>
            <w:vAlign w:val="center"/>
          </w:tcPr>
          <w:p>
            <w:pPr>
              <w:autoSpaceDN w:val="0"/>
              <w:adjustRightInd w:val="0"/>
              <w:snapToGrid w:val="0"/>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长江海事局关于印发航运公司安全管理体系重大事项报告制度的通知</w:t>
            </w:r>
          </w:p>
        </w:tc>
        <w:tc>
          <w:tcPr>
            <w:tcW w:w="2691" w:type="dxa"/>
            <w:shd w:val="clear" w:color="auto"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长海安全〔2018〕347号</w:t>
            </w:r>
          </w:p>
        </w:tc>
        <w:tc>
          <w:tcPr>
            <w:tcW w:w="2397" w:type="dxa"/>
            <w:shd w:val="solid" w:color="FFFFFF"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2018年10月16日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12</w:t>
            </w:r>
          </w:p>
        </w:tc>
        <w:tc>
          <w:tcPr>
            <w:tcW w:w="3807" w:type="dxa"/>
            <w:shd w:val="clear" w:color="auto" w:fill="auto"/>
            <w:vAlign w:val="center"/>
          </w:tcPr>
          <w:p>
            <w:pPr>
              <w:autoSpaceDN w:val="0"/>
              <w:adjustRightInd w:val="0"/>
              <w:snapToGrid w:val="0"/>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关于严控长江干线船舶污染物排放的通告</w:t>
            </w:r>
          </w:p>
        </w:tc>
        <w:tc>
          <w:tcPr>
            <w:tcW w:w="2691" w:type="dxa"/>
            <w:shd w:val="clear" w:color="auto"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长海危防〔2019〕14号</w:t>
            </w:r>
          </w:p>
        </w:tc>
        <w:tc>
          <w:tcPr>
            <w:tcW w:w="2397" w:type="dxa"/>
            <w:shd w:val="solid" w:color="FFFFFF"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2019年1月18日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13</w:t>
            </w:r>
          </w:p>
        </w:tc>
        <w:tc>
          <w:tcPr>
            <w:tcW w:w="3807" w:type="dxa"/>
            <w:shd w:val="clear" w:color="auto" w:fill="auto"/>
            <w:vAlign w:val="center"/>
          </w:tcPr>
          <w:p>
            <w:pPr>
              <w:autoSpaceDN w:val="0"/>
              <w:adjustRightInd w:val="0"/>
              <w:snapToGrid w:val="0"/>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长江海事局关于发布《长江上游佛面滩至成贵高铁宜宾金沙江大桥航段船舶通航安全管理规定》的通告</w:t>
            </w:r>
          </w:p>
        </w:tc>
        <w:tc>
          <w:tcPr>
            <w:tcW w:w="2691" w:type="dxa"/>
            <w:shd w:val="clear" w:color="auto"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长江海事局通告2020年12号</w:t>
            </w:r>
          </w:p>
        </w:tc>
        <w:tc>
          <w:tcPr>
            <w:tcW w:w="2397" w:type="dxa"/>
            <w:shd w:val="solid" w:color="FFFFFF"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2020年11月10日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14</w:t>
            </w:r>
          </w:p>
        </w:tc>
        <w:tc>
          <w:tcPr>
            <w:tcW w:w="3807" w:type="dxa"/>
            <w:shd w:val="clear" w:color="auto" w:fill="auto"/>
            <w:vAlign w:val="center"/>
          </w:tcPr>
          <w:p>
            <w:pPr>
              <w:autoSpaceDN w:val="0"/>
              <w:adjustRightInd w:val="0"/>
              <w:snapToGrid w:val="0"/>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长江海事局关于发布《船舶进出太平溪港航行安全管理办法》《长江太平府水道通航安全管理规定》《长江裕溪口水道通航安全管理规定》的通告</w:t>
            </w:r>
          </w:p>
        </w:tc>
        <w:tc>
          <w:tcPr>
            <w:tcW w:w="2691" w:type="dxa"/>
            <w:shd w:val="clear" w:color="auto"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长江海事局通告2021年11号</w:t>
            </w:r>
          </w:p>
        </w:tc>
        <w:tc>
          <w:tcPr>
            <w:tcW w:w="2397" w:type="dxa"/>
            <w:shd w:val="solid" w:color="FFFFFF" w:fill="auto"/>
            <w:vAlign w:val="center"/>
          </w:tcPr>
          <w:p>
            <w:pPr>
              <w:autoSpaceDN w:val="0"/>
              <w:adjustRightInd w:val="0"/>
              <w:snapToGrid w:val="0"/>
              <w:jc w:val="center"/>
              <w:textAlignment w:val="center"/>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2021年12月4日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5" w:type="dxa"/>
            <w:shd w:val="clear" w:color="auto" w:fill="auto"/>
            <w:vAlign w:val="center"/>
          </w:tcPr>
          <w:p>
            <w:pPr>
              <w:autoSpaceDN w:val="0"/>
              <w:adjustRightInd w:val="0"/>
              <w:snapToGrid w:val="0"/>
              <w:jc w:val="center"/>
              <w:textAlignment w:val="center"/>
              <w:rPr>
                <w:rFonts w:hint="default" w:ascii="仿宋_GB2312" w:eastAsia="仿宋_GB2312"/>
                <w:color w:val="auto"/>
                <w:highlight w:val="none"/>
                <w:lang w:val="en-US" w:eastAsia="zh-CN"/>
              </w:rPr>
            </w:pPr>
            <w:r>
              <w:rPr>
                <w:rFonts w:hint="eastAsia" w:ascii="仿宋_GB2312" w:eastAsia="仿宋_GB2312"/>
                <w:color w:val="auto"/>
                <w:highlight w:val="none"/>
                <w:lang w:val="en-US" w:eastAsia="zh-CN"/>
              </w:rPr>
              <w:t>15</w:t>
            </w:r>
          </w:p>
        </w:tc>
        <w:tc>
          <w:tcPr>
            <w:tcW w:w="3807" w:type="dxa"/>
            <w:shd w:val="clear" w:color="auto" w:fill="auto"/>
            <w:vAlign w:val="center"/>
          </w:tcPr>
          <w:p>
            <w:pPr>
              <w:autoSpaceDN w:val="0"/>
              <w:adjustRightInd w:val="0"/>
              <w:snapToGrid w:val="0"/>
              <w:textAlignment w:val="center"/>
              <w:rPr>
                <w:rFonts w:hint="eastAsia" w:ascii="仿宋_GB2312" w:hAnsi="Times New Roman" w:eastAsia="仿宋_GB2312" w:cs="Times New Roman"/>
                <w:color w:val="auto"/>
                <w:kern w:val="2"/>
                <w:sz w:val="21"/>
                <w:szCs w:val="20"/>
                <w:highlight w:val="none"/>
                <w:lang w:val="en-US" w:eastAsia="zh-CN" w:bidi="ar-SA"/>
              </w:rPr>
            </w:pPr>
            <w:r>
              <w:rPr>
                <w:rFonts w:hint="eastAsia" w:ascii="仿宋_GB2312" w:eastAsia="仿宋_GB2312"/>
                <w:color w:val="auto"/>
                <w:highlight w:val="none"/>
                <w:lang w:val="en-US" w:eastAsia="zh-CN"/>
              </w:rPr>
              <w:t>长江海事局关于取消长江下游搁排矶水道掀棚咀单向通航制设置警戒区的通告</w:t>
            </w:r>
          </w:p>
        </w:tc>
        <w:tc>
          <w:tcPr>
            <w:tcW w:w="2691" w:type="dxa"/>
            <w:shd w:val="clear" w:color="auto" w:fill="auto"/>
            <w:vAlign w:val="center"/>
          </w:tcPr>
          <w:p>
            <w:pPr>
              <w:autoSpaceDN w:val="0"/>
              <w:adjustRightInd w:val="0"/>
              <w:snapToGrid w:val="0"/>
              <w:jc w:val="center"/>
              <w:textAlignment w:val="center"/>
              <w:rPr>
                <w:rFonts w:hint="eastAsia" w:ascii="仿宋_GB2312" w:hAnsi="Times New Roman" w:eastAsia="仿宋_GB2312" w:cs="Times New Roman"/>
                <w:color w:val="auto"/>
                <w:kern w:val="2"/>
                <w:sz w:val="21"/>
                <w:szCs w:val="20"/>
                <w:highlight w:val="none"/>
                <w:lang w:val="en-US" w:eastAsia="zh-CN" w:bidi="ar-SA"/>
              </w:rPr>
            </w:pPr>
            <w:r>
              <w:rPr>
                <w:rFonts w:hint="eastAsia" w:ascii="仿宋_GB2312" w:eastAsia="仿宋_GB2312"/>
                <w:color w:val="auto"/>
                <w:highlight w:val="none"/>
                <w:lang w:val="en-US" w:eastAsia="zh-CN"/>
              </w:rPr>
              <w:t>长江海事局通告2022年17号</w:t>
            </w:r>
          </w:p>
        </w:tc>
        <w:tc>
          <w:tcPr>
            <w:tcW w:w="2397" w:type="dxa"/>
            <w:shd w:val="solid" w:color="FFFFFF" w:fill="auto"/>
            <w:vAlign w:val="center"/>
          </w:tcPr>
          <w:p>
            <w:pPr>
              <w:autoSpaceDN w:val="0"/>
              <w:adjustRightInd w:val="0"/>
              <w:snapToGrid w:val="0"/>
              <w:jc w:val="center"/>
              <w:textAlignment w:val="center"/>
              <w:rPr>
                <w:rFonts w:hint="eastAsia" w:ascii="仿宋_GB2312" w:hAnsi="Times New Roman" w:eastAsia="仿宋_GB2312" w:cs="Times New Roman"/>
                <w:color w:val="auto"/>
                <w:kern w:val="2"/>
                <w:sz w:val="21"/>
                <w:szCs w:val="20"/>
                <w:highlight w:val="none"/>
                <w:lang w:val="en-US" w:eastAsia="zh-CN" w:bidi="ar-SA"/>
              </w:rPr>
            </w:pPr>
            <w:r>
              <w:rPr>
                <w:rFonts w:hint="eastAsia" w:ascii="仿宋_GB2312" w:eastAsia="仿宋_GB2312"/>
                <w:color w:val="auto"/>
                <w:highlight w:val="none"/>
                <w:lang w:val="en-US" w:eastAsia="zh-CN"/>
              </w:rPr>
              <w:t>2022年11月18日</w:t>
            </w:r>
          </w:p>
        </w:tc>
      </w:tr>
    </w:tbl>
    <w:p>
      <w:pPr>
        <w:adjustRightInd w:val="0"/>
        <w:snapToGrid w:val="0"/>
        <w:jc w:val="center"/>
        <w:rPr>
          <w:rFonts w:hint="eastAsia" w:ascii="方正小标宋简体" w:hAnsi="方正小标宋简体" w:eastAsia="方正小标宋简体"/>
          <w:sz w:val="44"/>
          <w:szCs w:val="30"/>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w:t>
      </w:r>
    </w:p>
    <w:p>
      <w:pPr>
        <w:autoSpaceDN w:val="0"/>
        <w:adjustRightInd w:val="0"/>
        <w:snapToGrid w:val="0"/>
        <w:textAlignment w:val="center"/>
        <w:rPr>
          <w:rFonts w:hint="eastAsia" w:ascii="仿宋_GB2312" w:eastAsia="仿宋_GB2312"/>
          <w:color w:val="auto"/>
        </w:rPr>
      </w:pPr>
    </w:p>
    <w:sectPr>
      <w:pgSz w:w="11906" w:h="16838"/>
      <w:pgMar w:top="2098" w:right="1134" w:bottom="1985"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18C"/>
    <w:rsid w:val="00017160"/>
    <w:rsid w:val="00027E9A"/>
    <w:rsid w:val="00032D9E"/>
    <w:rsid w:val="00036085"/>
    <w:rsid w:val="00043CB2"/>
    <w:rsid w:val="00044190"/>
    <w:rsid w:val="0004420D"/>
    <w:rsid w:val="0004520B"/>
    <w:rsid w:val="000516DD"/>
    <w:rsid w:val="0005427D"/>
    <w:rsid w:val="00075713"/>
    <w:rsid w:val="000817CC"/>
    <w:rsid w:val="00083416"/>
    <w:rsid w:val="000B13B7"/>
    <w:rsid w:val="000B1553"/>
    <w:rsid w:val="000B179F"/>
    <w:rsid w:val="000B4179"/>
    <w:rsid w:val="000B4AC7"/>
    <w:rsid w:val="000B7DC8"/>
    <w:rsid w:val="000E1A3A"/>
    <w:rsid w:val="000E6A24"/>
    <w:rsid w:val="000F63A2"/>
    <w:rsid w:val="000F64CC"/>
    <w:rsid w:val="00105050"/>
    <w:rsid w:val="001304E8"/>
    <w:rsid w:val="001412FE"/>
    <w:rsid w:val="0014715B"/>
    <w:rsid w:val="00157C00"/>
    <w:rsid w:val="001929FC"/>
    <w:rsid w:val="00192B7F"/>
    <w:rsid w:val="00194F85"/>
    <w:rsid w:val="0019508D"/>
    <w:rsid w:val="001959EB"/>
    <w:rsid w:val="001966CE"/>
    <w:rsid w:val="001A57FF"/>
    <w:rsid w:val="001A60FE"/>
    <w:rsid w:val="001B7997"/>
    <w:rsid w:val="001D2DC7"/>
    <w:rsid w:val="001D2E84"/>
    <w:rsid w:val="001D321F"/>
    <w:rsid w:val="001D613B"/>
    <w:rsid w:val="001E2DD6"/>
    <w:rsid w:val="001E7463"/>
    <w:rsid w:val="001F4F39"/>
    <w:rsid w:val="002038A4"/>
    <w:rsid w:val="00217041"/>
    <w:rsid w:val="00235704"/>
    <w:rsid w:val="00242CF2"/>
    <w:rsid w:val="002473C3"/>
    <w:rsid w:val="00250443"/>
    <w:rsid w:val="0025470D"/>
    <w:rsid w:val="00255045"/>
    <w:rsid w:val="00256956"/>
    <w:rsid w:val="00281F63"/>
    <w:rsid w:val="0028767A"/>
    <w:rsid w:val="00294D1F"/>
    <w:rsid w:val="002A5737"/>
    <w:rsid w:val="002A7AFA"/>
    <w:rsid w:val="002B1ED6"/>
    <w:rsid w:val="002B581F"/>
    <w:rsid w:val="002D0CAF"/>
    <w:rsid w:val="002D610E"/>
    <w:rsid w:val="002E2CAD"/>
    <w:rsid w:val="002E49ED"/>
    <w:rsid w:val="002E658E"/>
    <w:rsid w:val="00301718"/>
    <w:rsid w:val="003079E6"/>
    <w:rsid w:val="00307CD4"/>
    <w:rsid w:val="00314284"/>
    <w:rsid w:val="00314B07"/>
    <w:rsid w:val="003216D3"/>
    <w:rsid w:val="0033437C"/>
    <w:rsid w:val="003379BF"/>
    <w:rsid w:val="00345BEC"/>
    <w:rsid w:val="00346164"/>
    <w:rsid w:val="00352D8A"/>
    <w:rsid w:val="00353BBD"/>
    <w:rsid w:val="003661BD"/>
    <w:rsid w:val="0036717B"/>
    <w:rsid w:val="003724E6"/>
    <w:rsid w:val="00376A0A"/>
    <w:rsid w:val="003A0612"/>
    <w:rsid w:val="003A47A0"/>
    <w:rsid w:val="003A58BA"/>
    <w:rsid w:val="003B12F9"/>
    <w:rsid w:val="003B27D5"/>
    <w:rsid w:val="003B6B40"/>
    <w:rsid w:val="003B7E0F"/>
    <w:rsid w:val="003E3324"/>
    <w:rsid w:val="003F36C4"/>
    <w:rsid w:val="003F5CC9"/>
    <w:rsid w:val="00404937"/>
    <w:rsid w:val="00404B85"/>
    <w:rsid w:val="00406EDD"/>
    <w:rsid w:val="0041656A"/>
    <w:rsid w:val="00421AA4"/>
    <w:rsid w:val="00426026"/>
    <w:rsid w:val="004337C7"/>
    <w:rsid w:val="0043463B"/>
    <w:rsid w:val="00456A80"/>
    <w:rsid w:val="00463084"/>
    <w:rsid w:val="004724D2"/>
    <w:rsid w:val="00473365"/>
    <w:rsid w:val="00476751"/>
    <w:rsid w:val="004801CC"/>
    <w:rsid w:val="004802B4"/>
    <w:rsid w:val="004972B3"/>
    <w:rsid w:val="004A61FA"/>
    <w:rsid w:val="004B5B26"/>
    <w:rsid w:val="004C685C"/>
    <w:rsid w:val="004C7ABE"/>
    <w:rsid w:val="004D3CEC"/>
    <w:rsid w:val="004D5A0D"/>
    <w:rsid w:val="004E3FC1"/>
    <w:rsid w:val="004E6763"/>
    <w:rsid w:val="004E6A22"/>
    <w:rsid w:val="004F3E35"/>
    <w:rsid w:val="00510681"/>
    <w:rsid w:val="005252DC"/>
    <w:rsid w:val="005425CA"/>
    <w:rsid w:val="00553E83"/>
    <w:rsid w:val="0056086D"/>
    <w:rsid w:val="005619A5"/>
    <w:rsid w:val="005754B0"/>
    <w:rsid w:val="005827AE"/>
    <w:rsid w:val="005B6933"/>
    <w:rsid w:val="005D31C6"/>
    <w:rsid w:val="005E22D4"/>
    <w:rsid w:val="0060315F"/>
    <w:rsid w:val="006077AA"/>
    <w:rsid w:val="00617991"/>
    <w:rsid w:val="00622CE9"/>
    <w:rsid w:val="0062513D"/>
    <w:rsid w:val="006312B2"/>
    <w:rsid w:val="006327B0"/>
    <w:rsid w:val="00632FC8"/>
    <w:rsid w:val="0063557F"/>
    <w:rsid w:val="006367E6"/>
    <w:rsid w:val="006532A0"/>
    <w:rsid w:val="00662339"/>
    <w:rsid w:val="00662D06"/>
    <w:rsid w:val="00666B32"/>
    <w:rsid w:val="00696CE7"/>
    <w:rsid w:val="00696E33"/>
    <w:rsid w:val="006A3210"/>
    <w:rsid w:val="006A5844"/>
    <w:rsid w:val="006C5890"/>
    <w:rsid w:val="006D00B5"/>
    <w:rsid w:val="006F06F9"/>
    <w:rsid w:val="006F7A07"/>
    <w:rsid w:val="00704906"/>
    <w:rsid w:val="0070499B"/>
    <w:rsid w:val="00710000"/>
    <w:rsid w:val="007126B6"/>
    <w:rsid w:val="00717FDE"/>
    <w:rsid w:val="00721994"/>
    <w:rsid w:val="00722915"/>
    <w:rsid w:val="00722C4F"/>
    <w:rsid w:val="00723538"/>
    <w:rsid w:val="00734654"/>
    <w:rsid w:val="0074310E"/>
    <w:rsid w:val="00754A3B"/>
    <w:rsid w:val="0075599F"/>
    <w:rsid w:val="00756A8D"/>
    <w:rsid w:val="007616A1"/>
    <w:rsid w:val="007629C3"/>
    <w:rsid w:val="00767475"/>
    <w:rsid w:val="00773808"/>
    <w:rsid w:val="00780367"/>
    <w:rsid w:val="007860A1"/>
    <w:rsid w:val="007901BC"/>
    <w:rsid w:val="007A43E8"/>
    <w:rsid w:val="007A769A"/>
    <w:rsid w:val="007B5B0C"/>
    <w:rsid w:val="007B7994"/>
    <w:rsid w:val="007C4142"/>
    <w:rsid w:val="007C62E2"/>
    <w:rsid w:val="007D5B65"/>
    <w:rsid w:val="007E586D"/>
    <w:rsid w:val="00800735"/>
    <w:rsid w:val="00813270"/>
    <w:rsid w:val="0081343E"/>
    <w:rsid w:val="00832A81"/>
    <w:rsid w:val="00844535"/>
    <w:rsid w:val="00856E69"/>
    <w:rsid w:val="008649EF"/>
    <w:rsid w:val="00874B0B"/>
    <w:rsid w:val="00876824"/>
    <w:rsid w:val="00881CA7"/>
    <w:rsid w:val="00890556"/>
    <w:rsid w:val="00892A27"/>
    <w:rsid w:val="008A5BF9"/>
    <w:rsid w:val="008A63C7"/>
    <w:rsid w:val="008B2B2F"/>
    <w:rsid w:val="008C5658"/>
    <w:rsid w:val="008C7ED7"/>
    <w:rsid w:val="008D3F25"/>
    <w:rsid w:val="008D6B94"/>
    <w:rsid w:val="008E3B06"/>
    <w:rsid w:val="008E7B8A"/>
    <w:rsid w:val="0090339D"/>
    <w:rsid w:val="00906F80"/>
    <w:rsid w:val="009115D1"/>
    <w:rsid w:val="009163D3"/>
    <w:rsid w:val="00920175"/>
    <w:rsid w:val="00933C9C"/>
    <w:rsid w:val="0093762F"/>
    <w:rsid w:val="009409C6"/>
    <w:rsid w:val="00941127"/>
    <w:rsid w:val="00963745"/>
    <w:rsid w:val="00983506"/>
    <w:rsid w:val="0099464B"/>
    <w:rsid w:val="009958C2"/>
    <w:rsid w:val="0099734E"/>
    <w:rsid w:val="009A61E1"/>
    <w:rsid w:val="009B46E0"/>
    <w:rsid w:val="009C7970"/>
    <w:rsid w:val="009E1A4C"/>
    <w:rsid w:val="009E55AC"/>
    <w:rsid w:val="009E73F4"/>
    <w:rsid w:val="009F22FC"/>
    <w:rsid w:val="009F7C16"/>
    <w:rsid w:val="00A04E89"/>
    <w:rsid w:val="00A05EED"/>
    <w:rsid w:val="00A076CA"/>
    <w:rsid w:val="00A12B4F"/>
    <w:rsid w:val="00A15E3F"/>
    <w:rsid w:val="00A235EE"/>
    <w:rsid w:val="00A25498"/>
    <w:rsid w:val="00A25832"/>
    <w:rsid w:val="00A32778"/>
    <w:rsid w:val="00A3316B"/>
    <w:rsid w:val="00A338B7"/>
    <w:rsid w:val="00A60944"/>
    <w:rsid w:val="00A62033"/>
    <w:rsid w:val="00A657DB"/>
    <w:rsid w:val="00A7722C"/>
    <w:rsid w:val="00A84C16"/>
    <w:rsid w:val="00A862B1"/>
    <w:rsid w:val="00A86C28"/>
    <w:rsid w:val="00A9461B"/>
    <w:rsid w:val="00AA7D4C"/>
    <w:rsid w:val="00AB60D6"/>
    <w:rsid w:val="00AC1369"/>
    <w:rsid w:val="00AC4748"/>
    <w:rsid w:val="00AD5FB7"/>
    <w:rsid w:val="00AE7235"/>
    <w:rsid w:val="00B050C9"/>
    <w:rsid w:val="00B266C9"/>
    <w:rsid w:val="00B3449E"/>
    <w:rsid w:val="00B359D2"/>
    <w:rsid w:val="00B43EB4"/>
    <w:rsid w:val="00B57B6D"/>
    <w:rsid w:val="00B71E47"/>
    <w:rsid w:val="00B80387"/>
    <w:rsid w:val="00B870C7"/>
    <w:rsid w:val="00B90960"/>
    <w:rsid w:val="00BA351B"/>
    <w:rsid w:val="00BA6C87"/>
    <w:rsid w:val="00BA7505"/>
    <w:rsid w:val="00BD3D29"/>
    <w:rsid w:val="00BE0C43"/>
    <w:rsid w:val="00BE4B55"/>
    <w:rsid w:val="00BF7DDB"/>
    <w:rsid w:val="00C073FA"/>
    <w:rsid w:val="00C1472B"/>
    <w:rsid w:val="00C177DD"/>
    <w:rsid w:val="00C3481C"/>
    <w:rsid w:val="00C37402"/>
    <w:rsid w:val="00C431B7"/>
    <w:rsid w:val="00C56F75"/>
    <w:rsid w:val="00C60441"/>
    <w:rsid w:val="00C7678F"/>
    <w:rsid w:val="00C95711"/>
    <w:rsid w:val="00CB3D48"/>
    <w:rsid w:val="00CD26E4"/>
    <w:rsid w:val="00CD3D70"/>
    <w:rsid w:val="00CD725E"/>
    <w:rsid w:val="00CD78F9"/>
    <w:rsid w:val="00CE6ABE"/>
    <w:rsid w:val="00CF22EF"/>
    <w:rsid w:val="00CF4788"/>
    <w:rsid w:val="00D04B99"/>
    <w:rsid w:val="00D24C26"/>
    <w:rsid w:val="00D24C96"/>
    <w:rsid w:val="00D2675E"/>
    <w:rsid w:val="00D32136"/>
    <w:rsid w:val="00D45E04"/>
    <w:rsid w:val="00D46325"/>
    <w:rsid w:val="00D5360B"/>
    <w:rsid w:val="00D575B2"/>
    <w:rsid w:val="00D63035"/>
    <w:rsid w:val="00D668AA"/>
    <w:rsid w:val="00D66D9D"/>
    <w:rsid w:val="00D7400C"/>
    <w:rsid w:val="00D82767"/>
    <w:rsid w:val="00DB0034"/>
    <w:rsid w:val="00DB3033"/>
    <w:rsid w:val="00DB453C"/>
    <w:rsid w:val="00DC7533"/>
    <w:rsid w:val="00DD38AE"/>
    <w:rsid w:val="00DD4DEA"/>
    <w:rsid w:val="00DD6365"/>
    <w:rsid w:val="00DE14F9"/>
    <w:rsid w:val="00DE23B7"/>
    <w:rsid w:val="00DE24C0"/>
    <w:rsid w:val="00DF224C"/>
    <w:rsid w:val="00E03257"/>
    <w:rsid w:val="00E06E07"/>
    <w:rsid w:val="00E20FF2"/>
    <w:rsid w:val="00E27096"/>
    <w:rsid w:val="00E31C56"/>
    <w:rsid w:val="00E40768"/>
    <w:rsid w:val="00E4212D"/>
    <w:rsid w:val="00E42F3E"/>
    <w:rsid w:val="00E514AF"/>
    <w:rsid w:val="00E5167D"/>
    <w:rsid w:val="00E57449"/>
    <w:rsid w:val="00E575F6"/>
    <w:rsid w:val="00E75B1C"/>
    <w:rsid w:val="00E76427"/>
    <w:rsid w:val="00E80E77"/>
    <w:rsid w:val="00E87AF7"/>
    <w:rsid w:val="00E93DB0"/>
    <w:rsid w:val="00EA514A"/>
    <w:rsid w:val="00EC0374"/>
    <w:rsid w:val="00EC27BF"/>
    <w:rsid w:val="00EC460C"/>
    <w:rsid w:val="00EC5BA1"/>
    <w:rsid w:val="00ED184E"/>
    <w:rsid w:val="00ED1863"/>
    <w:rsid w:val="00ED71A8"/>
    <w:rsid w:val="00EF2B61"/>
    <w:rsid w:val="00EF500B"/>
    <w:rsid w:val="00F02E6E"/>
    <w:rsid w:val="00F11F28"/>
    <w:rsid w:val="00F22132"/>
    <w:rsid w:val="00F2329D"/>
    <w:rsid w:val="00F234E8"/>
    <w:rsid w:val="00F264CE"/>
    <w:rsid w:val="00F2791D"/>
    <w:rsid w:val="00F40992"/>
    <w:rsid w:val="00F41C0B"/>
    <w:rsid w:val="00F44B45"/>
    <w:rsid w:val="00F50CC0"/>
    <w:rsid w:val="00F52C94"/>
    <w:rsid w:val="00F53592"/>
    <w:rsid w:val="00F61569"/>
    <w:rsid w:val="00F65FF9"/>
    <w:rsid w:val="00F7686B"/>
    <w:rsid w:val="00F77514"/>
    <w:rsid w:val="00F77C4B"/>
    <w:rsid w:val="00F847FC"/>
    <w:rsid w:val="00F85509"/>
    <w:rsid w:val="00F9089C"/>
    <w:rsid w:val="00F96DAD"/>
    <w:rsid w:val="00FA25EF"/>
    <w:rsid w:val="00FA418C"/>
    <w:rsid w:val="00FD7700"/>
    <w:rsid w:val="00FE4D2C"/>
    <w:rsid w:val="00FE66AC"/>
    <w:rsid w:val="00FF0B6F"/>
    <w:rsid w:val="00FF0E91"/>
    <w:rsid w:val="00FF27D9"/>
    <w:rsid w:val="1D360967"/>
    <w:rsid w:val="1DFFEFF1"/>
    <w:rsid w:val="207374D6"/>
    <w:rsid w:val="27F97720"/>
    <w:rsid w:val="2E3F7FFD"/>
    <w:rsid w:val="36FF0523"/>
    <w:rsid w:val="3BF91602"/>
    <w:rsid w:val="3EF7BAB5"/>
    <w:rsid w:val="3F9BCEB1"/>
    <w:rsid w:val="3FFB6F91"/>
    <w:rsid w:val="3FFF4B30"/>
    <w:rsid w:val="4EBED93B"/>
    <w:rsid w:val="4EFFDD52"/>
    <w:rsid w:val="4F9F635C"/>
    <w:rsid w:val="4FFFEAA4"/>
    <w:rsid w:val="57D3B3EF"/>
    <w:rsid w:val="57E73512"/>
    <w:rsid w:val="57FDBC7F"/>
    <w:rsid w:val="5F7F5332"/>
    <w:rsid w:val="5FDBF0E4"/>
    <w:rsid w:val="5FFEC227"/>
    <w:rsid w:val="66FD7FC8"/>
    <w:rsid w:val="67FF2DC6"/>
    <w:rsid w:val="69A8B88A"/>
    <w:rsid w:val="6F36F792"/>
    <w:rsid w:val="6FFB2B52"/>
    <w:rsid w:val="71F93164"/>
    <w:rsid w:val="74DC0EEF"/>
    <w:rsid w:val="74FFAAC6"/>
    <w:rsid w:val="75DB13B6"/>
    <w:rsid w:val="76F39163"/>
    <w:rsid w:val="77BFBEED"/>
    <w:rsid w:val="7AEE2F94"/>
    <w:rsid w:val="7BBB3102"/>
    <w:rsid w:val="7BF12292"/>
    <w:rsid w:val="7BF3BF41"/>
    <w:rsid w:val="7CF52E8F"/>
    <w:rsid w:val="7DB7C5B7"/>
    <w:rsid w:val="7DBDDEB1"/>
    <w:rsid w:val="7EDFC26A"/>
    <w:rsid w:val="7F5EB4AF"/>
    <w:rsid w:val="7FDFC2F8"/>
    <w:rsid w:val="8FFD85CB"/>
    <w:rsid w:val="9A57E942"/>
    <w:rsid w:val="ABB79F9D"/>
    <w:rsid w:val="AEFE66DE"/>
    <w:rsid w:val="B7AFB525"/>
    <w:rsid w:val="B7FE2155"/>
    <w:rsid w:val="BB51EA1C"/>
    <w:rsid w:val="BFFD7FC5"/>
    <w:rsid w:val="C4E5D2E8"/>
    <w:rsid w:val="CFBE0190"/>
    <w:rsid w:val="CFFDA0E5"/>
    <w:rsid w:val="E6FFBAD2"/>
    <w:rsid w:val="E7FFF761"/>
    <w:rsid w:val="F055B4F7"/>
    <w:rsid w:val="F3DE112A"/>
    <w:rsid w:val="F3EE54D3"/>
    <w:rsid w:val="F5EDBD02"/>
    <w:rsid w:val="F6AF6C33"/>
    <w:rsid w:val="F7EFA995"/>
    <w:rsid w:val="F7FCD247"/>
    <w:rsid w:val="FBBFFCA4"/>
    <w:rsid w:val="FBF5D5F1"/>
    <w:rsid w:val="FBF7783E"/>
    <w:rsid w:val="FDA2A023"/>
    <w:rsid w:val="FDC62785"/>
    <w:rsid w:val="FF4FBEC7"/>
    <w:rsid w:val="FF7A487E"/>
    <w:rsid w:val="FF7D205D"/>
    <w:rsid w:val="FFBF2D4C"/>
    <w:rsid w:val="FFE76327"/>
    <w:rsid w:val="FFF62F3F"/>
    <w:rsid w:val="FFFA0401"/>
    <w:rsid w:val="FFFF7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00"/>
      <w:u w:val="none"/>
    </w:rPr>
  </w:style>
  <w:style w:type="paragraph" w:customStyle="1" w:styleId="8">
    <w:name w:val="Char"/>
    <w:basedOn w:val="1"/>
    <w:qFormat/>
    <w:uiPriority w:val="0"/>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semiHidden/>
    <w:qFormat/>
    <w:uiPriority w:val="99"/>
    <w:rPr>
      <w:rFonts w:ascii="Times New Roman" w:hAnsi="Times New Roman" w:eastAsia="宋体" w:cs="Times New Roman"/>
      <w:sz w:val="18"/>
      <w:szCs w:val="18"/>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 w:type="character" w:styleId="12">
    <w:name w:val="Placeholder Text"/>
    <w:basedOn w:val="6"/>
    <w:semiHidden/>
    <w:qFormat/>
    <w:uiPriority w:val="99"/>
    <w:rPr>
      <w:color w:val="808080"/>
    </w:rPr>
  </w:style>
  <w:style w:type="character" w:customStyle="1" w:styleId="13">
    <w:name w:val="font01"/>
    <w:basedOn w:val="6"/>
    <w:qFormat/>
    <w:uiPriority w:val="0"/>
    <w:rPr>
      <w:rFonts w:hint="eastAsia" w:ascii="方正仿宋_GBK" w:hAnsi="方正仿宋_GBK" w:eastAsia="方正仿宋_GBK" w:cs="方正仿宋_GBK"/>
      <w:color w:val="FF0000"/>
      <w:sz w:val="24"/>
      <w:szCs w:val="24"/>
      <w:u w:val="none"/>
    </w:rPr>
  </w:style>
  <w:style w:type="character" w:customStyle="1" w:styleId="14">
    <w:name w:val="font21"/>
    <w:basedOn w:val="6"/>
    <w:qFormat/>
    <w:uiPriority w:val="0"/>
    <w:rPr>
      <w:rFonts w:hint="eastAsia" w:ascii="方正仿宋_GBK" w:hAnsi="方正仿宋_GBK" w:eastAsia="方正仿宋_GBK" w:cs="方正仿宋_GBK"/>
      <w:color w:val="000000"/>
      <w:sz w:val="24"/>
      <w:szCs w:val="24"/>
      <w:u w:val="none"/>
    </w:rPr>
  </w:style>
  <w:style w:type="character" w:customStyle="1" w:styleId="15">
    <w:name w:val="font11"/>
    <w:basedOn w:val="6"/>
    <w:qFormat/>
    <w:uiPriority w:val="0"/>
    <w:rPr>
      <w:rFonts w:hint="eastAsia" w:ascii="方正仿宋_GBK" w:hAnsi="方正仿宋_GBK" w:eastAsia="方正仿宋_GBK" w:cs="方正仿宋_GBK"/>
      <w:color w:val="FF0000"/>
      <w:sz w:val="24"/>
      <w:szCs w:val="24"/>
      <w:u w:val="none"/>
    </w:rPr>
  </w:style>
  <w:style w:type="character" w:customStyle="1" w:styleId="16">
    <w:name w:val="font31"/>
    <w:basedOn w:val="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1095</Words>
  <Characters>6242</Characters>
  <Lines>52</Lines>
  <Paragraphs>14</Paragraphs>
  <TotalTime>0</TotalTime>
  <ScaleCrop>false</ScaleCrop>
  <LinksUpToDate>false</LinksUpToDate>
  <CharactersWithSpaces>7323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2020-07-28T23:13:00Z</dcterms:created>
  <dc:creator>丰潇</dc:creator>
  <cp:lastModifiedBy> </cp:lastModifiedBy>
  <cp:lastPrinted>2025-03-13T14:46:00Z</cp:lastPrinted>
  <dcterms:modified xsi:type="dcterms:W3CDTF">2025-05-12T14:05:19Z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