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D4DBEA">
      <w:pPr>
        <w:spacing w:line="640" w:lineRule="exact"/>
        <w:jc w:val="center"/>
        <w:rPr>
          <w:rFonts w:ascii="黑体" w:hAnsi="黑体" w:eastAsia="黑体" w:cs="黑体"/>
          <w:snapToGrid w:val="0"/>
          <w:color w:val="000000"/>
          <w:kern w:val="0"/>
          <w:sz w:val="32"/>
          <w:szCs w:val="32"/>
        </w:rPr>
      </w:pPr>
      <w:r>
        <w:rPr>
          <w:rFonts w:hint="eastAsia" w:ascii="黑体" w:hAnsi="黑体" w:eastAsia="黑体" w:cs="黑体"/>
          <w:snapToGrid w:val="0"/>
          <w:color w:val="000000"/>
          <w:kern w:val="0"/>
          <w:sz w:val="32"/>
          <w:szCs w:val="32"/>
        </w:rPr>
        <w:t>中华人民共和国海事局关于印发《常见海事违法行为行政处罚裁量基准》的通知</w:t>
      </w:r>
    </w:p>
    <w:p w14:paraId="1D108EF8">
      <w:pPr>
        <w:spacing w:line="500" w:lineRule="exact"/>
        <w:jc w:val="center"/>
        <w:rPr>
          <w:rFonts w:ascii="楷体" w:hAnsi="楷体" w:eastAsia="楷体"/>
          <w:kern w:val="0"/>
          <w:sz w:val="28"/>
          <w:szCs w:val="28"/>
        </w:rPr>
      </w:pPr>
      <w:r>
        <w:rPr>
          <w:rFonts w:hint="eastAsia" w:ascii="楷体" w:hAnsi="楷体" w:eastAsia="楷体"/>
          <w:kern w:val="0"/>
          <w:sz w:val="28"/>
          <w:szCs w:val="28"/>
        </w:rPr>
        <w:t>海政法﹝2021﹞266号  2021年12月24日</w:t>
      </w:r>
    </w:p>
    <w:p w14:paraId="40E1AB79">
      <w:pPr>
        <w:spacing w:line="500" w:lineRule="exact"/>
        <w:jc w:val="left"/>
        <w:rPr>
          <w:rFonts w:ascii="楷体" w:hAnsi="楷体" w:eastAsia="楷体"/>
          <w:kern w:val="0"/>
          <w:sz w:val="28"/>
          <w:szCs w:val="28"/>
        </w:rPr>
      </w:pPr>
      <w:r>
        <w:rPr>
          <w:rFonts w:hint="eastAsia" w:ascii="楷体" w:hAnsi="楷体" w:eastAsia="楷体"/>
          <w:kern w:val="0"/>
          <w:sz w:val="28"/>
          <w:szCs w:val="28"/>
        </w:rPr>
        <w:t>各直属海事局：</w:t>
      </w:r>
    </w:p>
    <w:p w14:paraId="0F92B810">
      <w:pPr>
        <w:spacing w:line="500" w:lineRule="exact"/>
        <w:ind w:firstLine="560" w:firstLineChars="200"/>
        <w:jc w:val="left"/>
        <w:rPr>
          <w:rFonts w:ascii="楷体" w:hAnsi="楷体" w:eastAsia="楷体"/>
          <w:kern w:val="0"/>
          <w:sz w:val="28"/>
          <w:szCs w:val="28"/>
        </w:rPr>
        <w:sectPr>
          <w:type w:val="continuous"/>
          <w:pgSz w:w="11907" w:h="16840"/>
          <w:pgMar w:top="1440" w:right="1797" w:bottom="1440" w:left="1797" w:header="851" w:footer="992" w:gutter="0"/>
          <w:cols w:space="720" w:num="1"/>
          <w:docGrid w:type="linesAndChars" w:linePitch="312" w:charSpace="0"/>
        </w:sectPr>
      </w:pPr>
      <w:r>
        <w:rPr>
          <w:rFonts w:hint="eastAsia" w:ascii="楷体" w:hAnsi="楷体" w:eastAsia="楷体"/>
          <w:kern w:val="0"/>
          <w:sz w:val="28"/>
          <w:szCs w:val="28"/>
        </w:rPr>
        <w:t>现将《常见海事违法行为行政处罚裁量基准》印发给你们，请遵照执行。本通知自2022年1月1日起施行，《交通运输部海事局关于印发&lt;海事违法行为行政处罚裁量基准&gt;的通知》（海政法﹝2017﹞691号）同时废止。</w:t>
      </w:r>
    </w:p>
    <w:p w14:paraId="414CF60D">
      <w:pPr>
        <w:jc w:val="center"/>
        <w:rPr>
          <w:rFonts w:ascii="宋体"/>
          <w:b/>
          <w:bCs/>
          <w:spacing w:val="-6"/>
          <w:sz w:val="44"/>
          <w:szCs w:val="44"/>
        </w:rPr>
      </w:pPr>
      <w:r>
        <w:rPr>
          <w:rFonts w:hint="eastAsia" w:ascii="宋体"/>
          <w:b/>
          <w:bCs/>
          <w:spacing w:val="-6"/>
          <w:sz w:val="44"/>
          <w:szCs w:val="44"/>
        </w:rPr>
        <w:t>常见海上海事违法行为行政处罚裁量基准</w:t>
      </w:r>
    </w:p>
    <w:p w14:paraId="61B384E5">
      <w:pPr>
        <w:jc w:val="center"/>
        <w:rPr>
          <w:rFonts w:ascii="宋体"/>
          <w:b/>
          <w:bCs/>
          <w:spacing w:val="-6"/>
          <w:sz w:val="44"/>
          <w:szCs w:val="44"/>
        </w:rPr>
      </w:pPr>
      <w:r>
        <w:rPr>
          <w:rFonts w:hint="eastAsia" w:ascii="宋体"/>
          <w:b/>
          <w:bCs/>
          <w:spacing w:val="-6"/>
          <w:sz w:val="44"/>
          <w:szCs w:val="44"/>
        </w:rPr>
        <w:t>（一）常见海上海事违法行为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556"/>
        <w:gridCol w:w="15451"/>
      </w:tblGrid>
      <w:tr w14:paraId="1231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center"/>
          </w:tcPr>
          <w:p w14:paraId="5687FCC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序号</w:t>
            </w:r>
          </w:p>
        </w:tc>
        <w:tc>
          <w:tcPr>
            <w:tcW w:w="2556" w:type="dxa"/>
            <w:vAlign w:val="center"/>
          </w:tcPr>
          <w:p w14:paraId="56DADA0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管理分类</w:t>
            </w:r>
          </w:p>
        </w:tc>
        <w:tc>
          <w:tcPr>
            <w:tcW w:w="15451" w:type="dxa"/>
            <w:vAlign w:val="center"/>
          </w:tcPr>
          <w:p w14:paraId="189BA6C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违法行为名称（案由）</w:t>
            </w:r>
          </w:p>
        </w:tc>
      </w:tr>
      <w:tr w14:paraId="0746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A0B5C9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w:t>
            </w:r>
          </w:p>
        </w:tc>
        <w:tc>
          <w:tcPr>
            <w:tcW w:w="2556" w:type="dxa"/>
            <w:vAlign w:val="center"/>
          </w:tcPr>
          <w:p w14:paraId="2BBCBCE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226C79A">
            <w:pPr>
              <w:adjustRightInd w:val="0"/>
              <w:snapToGrid w:val="0"/>
              <w:spacing w:line="360" w:lineRule="exact"/>
              <w:jc w:val="left"/>
              <w:rPr>
                <w:rFonts w:ascii="仿宋" w:hAnsi="仿宋" w:eastAsia="仿宋"/>
                <w:spacing w:val="-6"/>
                <w:sz w:val="28"/>
                <w:szCs w:val="28"/>
              </w:rPr>
            </w:pPr>
            <w:r>
              <w:rPr>
                <w:rFonts w:hint="eastAsia" w:ascii="仿宋" w:hAnsi="仿宋" w:eastAsia="仿宋"/>
                <w:kern w:val="0"/>
                <w:sz w:val="28"/>
                <w:szCs w:val="28"/>
              </w:rPr>
              <w:t>建设海洋工程、海岸工程未按规定配备相应的防止船舶碰撞的设施、设备</w:t>
            </w:r>
          </w:p>
        </w:tc>
      </w:tr>
      <w:tr w14:paraId="10D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4FCF19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w:t>
            </w:r>
          </w:p>
        </w:tc>
        <w:tc>
          <w:tcPr>
            <w:tcW w:w="2556" w:type="dxa"/>
            <w:vAlign w:val="center"/>
          </w:tcPr>
          <w:p w14:paraId="298154A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44E8E81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在安全作业区、港外锚地范围内从事养殖、种植、捕捞以及其他影响海上交通安全的作业或者活动</w:t>
            </w:r>
          </w:p>
        </w:tc>
      </w:tr>
      <w:tr w14:paraId="307B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70BDA75">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w:t>
            </w:r>
          </w:p>
        </w:tc>
        <w:tc>
          <w:tcPr>
            <w:tcW w:w="2556" w:type="dxa"/>
            <w:vAlign w:val="center"/>
          </w:tcPr>
          <w:p w14:paraId="1FD10625">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5BDE095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承担无线电通信任务的船员和岸基无线电台（站）的工作人员未保持海上交通安全通信频道的值守和畅通，或者使用海上交通安全通信频率交流与海上交通安全无关的内容</w:t>
            </w:r>
          </w:p>
        </w:tc>
      </w:tr>
      <w:tr w14:paraId="1DC2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48017F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w:t>
            </w:r>
          </w:p>
        </w:tc>
        <w:tc>
          <w:tcPr>
            <w:tcW w:w="2556" w:type="dxa"/>
            <w:vAlign w:val="center"/>
          </w:tcPr>
          <w:p w14:paraId="4430A76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6D41BAD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违反国家有关规定使用无线电台识别码影响海上搜救的身份识别</w:t>
            </w:r>
          </w:p>
        </w:tc>
      </w:tr>
      <w:tr w14:paraId="065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87525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w:t>
            </w:r>
          </w:p>
        </w:tc>
        <w:tc>
          <w:tcPr>
            <w:tcW w:w="2556" w:type="dxa"/>
            <w:vAlign w:val="center"/>
          </w:tcPr>
          <w:p w14:paraId="72EC5D20">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060EB8C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其他违反海上无线电通信规则的行为</w:t>
            </w:r>
          </w:p>
        </w:tc>
      </w:tr>
      <w:tr w14:paraId="56BA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2AA5B3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w:t>
            </w:r>
          </w:p>
        </w:tc>
        <w:tc>
          <w:tcPr>
            <w:tcW w:w="2556" w:type="dxa"/>
            <w:vAlign w:val="center"/>
          </w:tcPr>
          <w:p w14:paraId="6E8A1537">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783FE76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未按照规定申请引航</w:t>
            </w:r>
          </w:p>
        </w:tc>
      </w:tr>
      <w:tr w14:paraId="4386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A2C4DF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w:t>
            </w:r>
          </w:p>
        </w:tc>
        <w:tc>
          <w:tcPr>
            <w:tcW w:w="2556" w:type="dxa"/>
            <w:vAlign w:val="center"/>
          </w:tcPr>
          <w:p w14:paraId="0E7ECF4B">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14:paraId="05E3083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引航机构派遣引航员存在过失，造成船舶损失</w:t>
            </w:r>
          </w:p>
        </w:tc>
      </w:tr>
      <w:tr w14:paraId="5C10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94F7403">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w:t>
            </w:r>
          </w:p>
        </w:tc>
        <w:tc>
          <w:tcPr>
            <w:tcW w:w="2556" w:type="dxa"/>
            <w:vAlign w:val="center"/>
          </w:tcPr>
          <w:p w14:paraId="49E9C771">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14:paraId="0F11B59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未经引航机构指派擅自提供引航服务</w:t>
            </w:r>
          </w:p>
        </w:tc>
      </w:tr>
      <w:tr w14:paraId="4BB2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A933FB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w:t>
            </w:r>
          </w:p>
        </w:tc>
        <w:tc>
          <w:tcPr>
            <w:tcW w:w="2556" w:type="dxa"/>
            <w:vAlign w:val="center"/>
          </w:tcPr>
          <w:p w14:paraId="5A5DB453">
            <w:pPr>
              <w:adjustRightInd w:val="0"/>
              <w:snapToGrid w:val="0"/>
              <w:spacing w:line="360" w:lineRule="exact"/>
              <w:jc w:val="center"/>
              <w:textAlignment w:val="center"/>
              <w:rPr>
                <w:rFonts w:ascii="仿宋" w:hAnsi="仿宋" w:eastAsia="仿宋"/>
                <w:sz w:val="28"/>
                <w:szCs w:val="28"/>
              </w:rPr>
            </w:pPr>
            <w:r>
              <w:rPr>
                <w:rFonts w:hint="eastAsia" w:ascii="仿宋" w:hAnsi="仿宋" w:eastAsia="仿宋"/>
                <w:spacing w:val="-6"/>
                <w:sz w:val="28"/>
                <w:szCs w:val="28"/>
              </w:rPr>
              <w:t>通航管理</w:t>
            </w:r>
          </w:p>
        </w:tc>
        <w:tc>
          <w:tcPr>
            <w:tcW w:w="15451" w:type="dxa"/>
            <w:vAlign w:val="center"/>
          </w:tcPr>
          <w:p w14:paraId="1DB16C57">
            <w:pPr>
              <w:adjustRightInd w:val="0"/>
              <w:snapToGrid w:val="0"/>
              <w:spacing w:line="360" w:lineRule="exact"/>
              <w:jc w:val="left"/>
              <w:rPr>
                <w:rFonts w:ascii="仿宋" w:hAnsi="仿宋" w:eastAsia="仿宋"/>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船舶进出港口、锚地或者通过桥区水域、海峡、狭水道、重要渔业水域、通航船舶密集的区域、船舶定线区、交通管制区时未加强瞭望</w:t>
            </w:r>
          </w:p>
        </w:tc>
      </w:tr>
      <w:tr w14:paraId="68C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877444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w:t>
            </w:r>
          </w:p>
        </w:tc>
        <w:tc>
          <w:tcPr>
            <w:tcW w:w="2556" w:type="dxa"/>
            <w:vAlign w:val="center"/>
          </w:tcPr>
          <w:p w14:paraId="3642A3CE">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485EE53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船舶进出港口、锚地或者通过桥区水域、海峡、狭水道、重要渔业水域、通航船舶密集的区域、船舶定线区、交通管制区时未保持安全航速</w:t>
            </w:r>
          </w:p>
        </w:tc>
      </w:tr>
      <w:tr w14:paraId="7766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8E5BAA0">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w:t>
            </w:r>
          </w:p>
        </w:tc>
        <w:tc>
          <w:tcPr>
            <w:tcW w:w="2556" w:type="dxa"/>
            <w:vAlign w:val="center"/>
          </w:tcPr>
          <w:p w14:paraId="30C2F06E">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1C2306C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船舶进出港口、锚地或者通过桥区水域、海峡、狭水道、重要渔业水域、通航船舶密集的区域、船舶定线区、交通管制区时未遵守前述区域的特殊航行规则</w:t>
            </w:r>
          </w:p>
        </w:tc>
      </w:tr>
      <w:tr w14:paraId="010B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47D8EB5">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12</w:t>
            </w:r>
          </w:p>
        </w:tc>
        <w:tc>
          <w:tcPr>
            <w:tcW w:w="2556" w:type="dxa"/>
            <w:vAlign w:val="center"/>
          </w:tcPr>
          <w:p w14:paraId="45D6FF1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983463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未按照有关规定显示信号、悬挂标志</w:t>
            </w:r>
          </w:p>
        </w:tc>
      </w:tr>
      <w:tr w14:paraId="739C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234BC3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13</w:t>
            </w:r>
          </w:p>
        </w:tc>
        <w:tc>
          <w:tcPr>
            <w:tcW w:w="2556" w:type="dxa"/>
            <w:vAlign w:val="center"/>
          </w:tcPr>
          <w:p w14:paraId="389A461B">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2B4DEF8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未按照有关规定保持足够的富余水深</w:t>
            </w:r>
          </w:p>
        </w:tc>
      </w:tr>
      <w:tr w14:paraId="48E1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A2C8E1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14</w:t>
            </w:r>
          </w:p>
        </w:tc>
        <w:tc>
          <w:tcPr>
            <w:tcW w:w="2556" w:type="dxa"/>
            <w:vAlign w:val="center"/>
          </w:tcPr>
          <w:p w14:paraId="09660E6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7A92E7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不符合安全开航条件冒险开航</w:t>
            </w:r>
          </w:p>
        </w:tc>
      </w:tr>
      <w:tr w14:paraId="6E0B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4E91797">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15</w:t>
            </w:r>
          </w:p>
        </w:tc>
        <w:tc>
          <w:tcPr>
            <w:tcW w:w="2556" w:type="dxa"/>
            <w:vAlign w:val="center"/>
          </w:tcPr>
          <w:p w14:paraId="1324E6A0">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153E3D3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未按照船舶检验证书载明的航区航行、停泊、作业</w:t>
            </w:r>
          </w:p>
        </w:tc>
      </w:tr>
      <w:tr w14:paraId="52CA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3834B7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16</w:t>
            </w:r>
          </w:p>
        </w:tc>
        <w:tc>
          <w:tcPr>
            <w:tcW w:w="2556" w:type="dxa"/>
            <w:vAlign w:val="center"/>
          </w:tcPr>
          <w:p w14:paraId="2D2EF03D">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034062A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未按照有关规定开启船舶自动识别、船舶航行数据记录、船舶远程识别与跟踪、通信等与航行安全、保安、船舶防污染相关的装置，并持续进行显示和记录</w:t>
            </w:r>
          </w:p>
        </w:tc>
      </w:tr>
      <w:tr w14:paraId="4B35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A84107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17</w:t>
            </w:r>
          </w:p>
        </w:tc>
        <w:tc>
          <w:tcPr>
            <w:tcW w:w="2556" w:type="dxa"/>
            <w:vAlign w:val="center"/>
          </w:tcPr>
          <w:p w14:paraId="1012670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78F8F28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船舶穿越航道妨碍航道内船舶的正常航行</w:t>
            </w:r>
          </w:p>
        </w:tc>
      </w:tr>
      <w:tr w14:paraId="0E4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84FF077">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18</w:t>
            </w:r>
          </w:p>
        </w:tc>
        <w:tc>
          <w:tcPr>
            <w:tcW w:w="2556" w:type="dxa"/>
            <w:vAlign w:val="center"/>
          </w:tcPr>
          <w:p w14:paraId="39AAD38E">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5AE394B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船舶抢越他船船艏</w:t>
            </w:r>
          </w:p>
        </w:tc>
      </w:tr>
      <w:tr w14:paraId="5812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656457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19</w:t>
            </w:r>
          </w:p>
        </w:tc>
        <w:tc>
          <w:tcPr>
            <w:tcW w:w="2556" w:type="dxa"/>
            <w:vAlign w:val="center"/>
          </w:tcPr>
          <w:p w14:paraId="05CC464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6E4FE08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船舶超过桥梁通航尺度进入桥区水域</w:t>
            </w:r>
          </w:p>
        </w:tc>
      </w:tr>
      <w:tr w14:paraId="6592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CDBC19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20</w:t>
            </w:r>
          </w:p>
        </w:tc>
        <w:tc>
          <w:tcPr>
            <w:tcW w:w="2556" w:type="dxa"/>
            <w:vAlign w:val="center"/>
          </w:tcPr>
          <w:p w14:paraId="3FD6C64B">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254B9B9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船舶违反规定进入或者穿越禁航区</w:t>
            </w:r>
          </w:p>
        </w:tc>
      </w:tr>
      <w:tr w14:paraId="53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FD419C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21</w:t>
            </w:r>
          </w:p>
        </w:tc>
        <w:tc>
          <w:tcPr>
            <w:tcW w:w="2556" w:type="dxa"/>
            <w:vAlign w:val="center"/>
          </w:tcPr>
          <w:p w14:paraId="1C9480D5">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4D41759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船舶载运或者拖带超长、超高、超宽、半潜的船舶、海上设施或者其他物体航行，未采取特殊的安全保障措施</w:t>
            </w:r>
          </w:p>
        </w:tc>
      </w:tr>
      <w:tr w14:paraId="42E7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2CCF0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22</w:t>
            </w:r>
          </w:p>
        </w:tc>
        <w:tc>
          <w:tcPr>
            <w:tcW w:w="2556" w:type="dxa"/>
            <w:vAlign w:val="center"/>
          </w:tcPr>
          <w:p w14:paraId="019D614F">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通航管理</w:t>
            </w:r>
          </w:p>
        </w:tc>
        <w:tc>
          <w:tcPr>
            <w:tcW w:w="15451" w:type="dxa"/>
            <w:vAlign w:val="center"/>
          </w:tcPr>
          <w:p w14:paraId="02107C8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船舶载运或者拖带超长、超高、超宽、半潜的船舶、海上设施或者其他物体航行，未在开航前向海事管理机构报告航行计划</w:t>
            </w:r>
          </w:p>
        </w:tc>
      </w:tr>
      <w:tr w14:paraId="7408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4C9F54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23</w:t>
            </w:r>
          </w:p>
        </w:tc>
        <w:tc>
          <w:tcPr>
            <w:tcW w:w="2556" w:type="dxa"/>
            <w:vAlign w:val="center"/>
          </w:tcPr>
          <w:p w14:paraId="3BDA2D89">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2F81F89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拖带移动式平台、浮船坞等大型海上设施未依法交验船舶检验机构出具的拖航检验证书</w:t>
            </w:r>
          </w:p>
        </w:tc>
      </w:tr>
      <w:tr w14:paraId="2DC8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2132C2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24</w:t>
            </w:r>
          </w:p>
        </w:tc>
        <w:tc>
          <w:tcPr>
            <w:tcW w:w="2556" w:type="dxa"/>
            <w:vAlign w:val="center"/>
          </w:tcPr>
          <w:p w14:paraId="10C95CF9">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2C83474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船舶在不符合安全条件的码头、泊位、装卸站、锚地、安全作业区停泊</w:t>
            </w:r>
          </w:p>
        </w:tc>
      </w:tr>
      <w:tr w14:paraId="302F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4A33D43">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25</w:t>
            </w:r>
          </w:p>
        </w:tc>
        <w:tc>
          <w:tcPr>
            <w:tcW w:w="2556" w:type="dxa"/>
            <w:vAlign w:val="center"/>
          </w:tcPr>
          <w:p w14:paraId="0078E253">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B6E8D9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船舶停泊危及其他船舶、海上设施的安全</w:t>
            </w:r>
          </w:p>
        </w:tc>
      </w:tr>
      <w:tr w14:paraId="6158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E80C427">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26</w:t>
            </w:r>
          </w:p>
        </w:tc>
        <w:tc>
          <w:tcPr>
            <w:tcW w:w="2556" w:type="dxa"/>
            <w:vAlign w:val="center"/>
          </w:tcPr>
          <w:p w14:paraId="0F2577DC">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05963EF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违反海上航行、停泊、作业规则</w:t>
            </w:r>
          </w:p>
        </w:tc>
      </w:tr>
      <w:tr w14:paraId="56D4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CD39DC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27</w:t>
            </w:r>
          </w:p>
        </w:tc>
        <w:tc>
          <w:tcPr>
            <w:tcW w:w="2556" w:type="dxa"/>
            <w:vAlign w:val="center"/>
          </w:tcPr>
          <w:p w14:paraId="6ECF7104">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4B8D9A7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船舶、海上设施未经许可从事海上施工作业</w:t>
            </w:r>
          </w:p>
        </w:tc>
      </w:tr>
      <w:tr w14:paraId="06EB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B9E62E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28</w:t>
            </w:r>
          </w:p>
        </w:tc>
        <w:tc>
          <w:tcPr>
            <w:tcW w:w="2556" w:type="dxa"/>
            <w:vAlign w:val="center"/>
          </w:tcPr>
          <w:p w14:paraId="5974F562">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0110312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船舶、海上设施未按照许可要求、超出核定的安全作业区进行海上施工作业</w:t>
            </w:r>
          </w:p>
        </w:tc>
      </w:tr>
      <w:tr w14:paraId="1104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1576003">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29</w:t>
            </w:r>
          </w:p>
        </w:tc>
        <w:tc>
          <w:tcPr>
            <w:tcW w:w="2556" w:type="dxa"/>
            <w:vAlign w:val="center"/>
          </w:tcPr>
          <w:p w14:paraId="0713BAAF">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17E1BD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从事可能影响海上交通安全的水上水下活动，未按规定提前报告海事管理机构</w:t>
            </w:r>
          </w:p>
        </w:tc>
      </w:tr>
      <w:tr w14:paraId="6940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5A5B3B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30</w:t>
            </w:r>
          </w:p>
        </w:tc>
        <w:tc>
          <w:tcPr>
            <w:tcW w:w="2556" w:type="dxa"/>
            <w:vAlign w:val="center"/>
          </w:tcPr>
          <w:p w14:paraId="14C8125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478803C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未按照有关强制性标准和技术规范的要求及时设置警示标志</w:t>
            </w:r>
          </w:p>
        </w:tc>
      </w:tr>
      <w:tr w14:paraId="189A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44C0E3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31</w:t>
            </w:r>
          </w:p>
        </w:tc>
        <w:tc>
          <w:tcPr>
            <w:tcW w:w="2556" w:type="dxa"/>
            <w:vAlign w:val="center"/>
          </w:tcPr>
          <w:p w14:paraId="339ED1AF">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E51137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未向海事管理机构报告碍航物的名称、形状、尺寸、位置和深度</w:t>
            </w:r>
          </w:p>
        </w:tc>
      </w:tr>
      <w:tr w14:paraId="3266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8C6261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32</w:t>
            </w:r>
          </w:p>
        </w:tc>
        <w:tc>
          <w:tcPr>
            <w:tcW w:w="2556" w:type="dxa"/>
            <w:vAlign w:val="center"/>
          </w:tcPr>
          <w:p w14:paraId="5B642837">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18388BB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未在海事管理机构限定的期限内打捞清除碍航物</w:t>
            </w:r>
          </w:p>
        </w:tc>
      </w:tr>
      <w:tr w14:paraId="07BF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DDD03A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33</w:t>
            </w:r>
          </w:p>
        </w:tc>
        <w:tc>
          <w:tcPr>
            <w:tcW w:w="2556" w:type="dxa"/>
            <w:vAlign w:val="center"/>
          </w:tcPr>
          <w:p w14:paraId="4C3CAEB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350D5ED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未按规定重新申请发布海上航行警告、航行通告</w:t>
            </w:r>
          </w:p>
        </w:tc>
      </w:tr>
      <w:tr w14:paraId="1401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E88FA97">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34</w:t>
            </w:r>
          </w:p>
        </w:tc>
        <w:tc>
          <w:tcPr>
            <w:tcW w:w="2556" w:type="dxa"/>
            <w:vAlign w:val="center"/>
          </w:tcPr>
          <w:p w14:paraId="318AB93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5451" w:type="dxa"/>
            <w:vAlign w:val="center"/>
          </w:tcPr>
          <w:p w14:paraId="6EE42C0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违反《海上航行警告和航行通告管理规定》，造成海上交通事故</w:t>
            </w:r>
          </w:p>
        </w:tc>
      </w:tr>
      <w:tr w14:paraId="54A3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021C27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35</w:t>
            </w:r>
          </w:p>
        </w:tc>
        <w:tc>
          <w:tcPr>
            <w:tcW w:w="2556" w:type="dxa"/>
            <w:vAlign w:val="center"/>
          </w:tcPr>
          <w:p w14:paraId="6450699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14:paraId="07E06E8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船舶、海上设施遇险或者发生海上交通事故后未履行报告义务，或者存在瞒报、谎报情形</w:t>
            </w:r>
          </w:p>
        </w:tc>
      </w:tr>
      <w:tr w14:paraId="3637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9F3DB9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36</w:t>
            </w:r>
          </w:p>
        </w:tc>
        <w:tc>
          <w:tcPr>
            <w:tcW w:w="2556" w:type="dxa"/>
            <w:vAlign w:val="center"/>
          </w:tcPr>
          <w:p w14:paraId="23D5531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14:paraId="1284FA6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船舶发生海上交通事故后逃逸的</w:t>
            </w:r>
          </w:p>
        </w:tc>
      </w:tr>
      <w:tr w14:paraId="65C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67912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37</w:t>
            </w:r>
          </w:p>
        </w:tc>
        <w:tc>
          <w:tcPr>
            <w:tcW w:w="2556" w:type="dxa"/>
            <w:vAlign w:val="center"/>
          </w:tcPr>
          <w:p w14:paraId="388B7A1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海上搜救</w:t>
            </w:r>
          </w:p>
        </w:tc>
        <w:tc>
          <w:tcPr>
            <w:tcW w:w="15451" w:type="dxa"/>
            <w:vAlign w:val="center"/>
          </w:tcPr>
          <w:p w14:paraId="2BA7FB4B">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船舶、海上设施不依法履行海上救助义务，不服从海上搜救中心指挥</w:t>
            </w:r>
          </w:p>
        </w:tc>
      </w:tr>
      <w:tr w14:paraId="3434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AC399B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38</w:t>
            </w:r>
          </w:p>
        </w:tc>
        <w:tc>
          <w:tcPr>
            <w:tcW w:w="2556" w:type="dxa"/>
            <w:vAlign w:val="center"/>
          </w:tcPr>
          <w:p w14:paraId="332D27B0">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115A35E2">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船舶、海上设施未持有有效的证书文书</w:t>
            </w:r>
          </w:p>
        </w:tc>
      </w:tr>
      <w:tr w14:paraId="0E8F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CFDDC2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39</w:t>
            </w:r>
          </w:p>
        </w:tc>
        <w:tc>
          <w:tcPr>
            <w:tcW w:w="2556" w:type="dxa"/>
            <w:vAlign w:val="center"/>
          </w:tcPr>
          <w:p w14:paraId="4577906B">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27EB9EA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船舶、海上设施的实际状况与持有的证书、文书不符</w:t>
            </w:r>
          </w:p>
        </w:tc>
      </w:tr>
      <w:tr w14:paraId="143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5D05EC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40</w:t>
            </w:r>
          </w:p>
        </w:tc>
        <w:tc>
          <w:tcPr>
            <w:tcW w:w="2556" w:type="dxa"/>
            <w:vAlign w:val="center"/>
          </w:tcPr>
          <w:p w14:paraId="20137D2E">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4999ACD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以欺骗、贿赂等不正当手段为中国籍船舶取得相关证书、文书</w:t>
            </w:r>
          </w:p>
        </w:tc>
      </w:tr>
      <w:tr w14:paraId="5B3B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AEBAAD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41</w:t>
            </w:r>
          </w:p>
        </w:tc>
        <w:tc>
          <w:tcPr>
            <w:tcW w:w="2556" w:type="dxa"/>
            <w:vAlign w:val="center"/>
          </w:tcPr>
          <w:p w14:paraId="39CC500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14:paraId="0133F78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船舶未按照规定随船携带或者保存《船舶现场监督报告》《船旗国监督检查报告》《港口国监督检查报告》</w:t>
            </w:r>
          </w:p>
        </w:tc>
      </w:tr>
      <w:tr w14:paraId="7E8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11BB97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42</w:t>
            </w:r>
          </w:p>
        </w:tc>
        <w:tc>
          <w:tcPr>
            <w:tcW w:w="2556" w:type="dxa"/>
            <w:vAlign w:val="center"/>
          </w:tcPr>
          <w:p w14:paraId="6C2F5E5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14:paraId="449B8860">
            <w:pPr>
              <w:adjustRightInd w:val="0"/>
              <w:snapToGrid w:val="0"/>
              <w:spacing w:line="360" w:lineRule="exact"/>
              <w:jc w:val="left"/>
              <w:rPr>
                <w:rFonts w:ascii="仿宋" w:hAnsi="仿宋" w:eastAsia="仿宋"/>
                <w:sz w:val="28"/>
                <w:szCs w:val="28"/>
              </w:rPr>
            </w:pPr>
            <w:r>
              <w:rPr>
                <w:rFonts w:hint="eastAsia" w:ascii="仿宋" w:hAnsi="仿宋" w:eastAsia="仿宋"/>
                <w:sz w:val="28"/>
                <w:szCs w:val="28"/>
              </w:rPr>
              <w:t>未如实填写或者记载有关船舶、船员法定文书</w:t>
            </w:r>
          </w:p>
        </w:tc>
      </w:tr>
      <w:tr w14:paraId="588C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41278B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43</w:t>
            </w:r>
          </w:p>
        </w:tc>
        <w:tc>
          <w:tcPr>
            <w:tcW w:w="2556" w:type="dxa"/>
            <w:vAlign w:val="center"/>
          </w:tcPr>
          <w:p w14:paraId="733733BD">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0F0F9AA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船舶未依法悬挂国旗或者违法悬挂其他国家、地区或者组织的旗帜</w:t>
            </w:r>
          </w:p>
        </w:tc>
      </w:tr>
      <w:tr w14:paraId="5DB2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B78D60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44</w:t>
            </w:r>
          </w:p>
        </w:tc>
        <w:tc>
          <w:tcPr>
            <w:tcW w:w="2556" w:type="dxa"/>
            <w:vAlign w:val="center"/>
          </w:tcPr>
          <w:p w14:paraId="23F3DB7A">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59D207E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船舶未按规定标明船名、船舶识别号、船籍港、载重线标志</w:t>
            </w:r>
          </w:p>
        </w:tc>
      </w:tr>
      <w:tr w14:paraId="09C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C6B5CC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45</w:t>
            </w:r>
          </w:p>
        </w:tc>
        <w:tc>
          <w:tcPr>
            <w:tcW w:w="2556" w:type="dxa"/>
            <w:vAlign w:val="center"/>
          </w:tcPr>
          <w:p w14:paraId="2624545D">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53CEBC4D">
            <w:pPr>
              <w:adjustRightInd w:val="0"/>
              <w:snapToGrid w:val="0"/>
              <w:spacing w:line="360" w:lineRule="exact"/>
              <w:jc w:val="left"/>
              <w:rPr>
                <w:rFonts w:ascii="仿宋" w:hAnsi="仿宋" w:eastAsia="仿宋" w:cs="仿宋"/>
                <w:spacing w:val="-6"/>
                <w:sz w:val="28"/>
                <w:szCs w:val="28"/>
              </w:rPr>
            </w:pPr>
            <w:r>
              <w:rPr>
                <w:rFonts w:hint="eastAsia" w:ascii="仿宋" w:hAnsi="仿宋" w:eastAsia="仿宋" w:cs="仿宋"/>
                <w:spacing w:val="-6"/>
                <w:sz w:val="28"/>
                <w:szCs w:val="28"/>
              </w:rPr>
              <w:t>船舶、海上设施的配员不符合最低安全配员要求</w:t>
            </w:r>
          </w:p>
        </w:tc>
      </w:tr>
      <w:tr w14:paraId="4D70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78A695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46</w:t>
            </w:r>
          </w:p>
        </w:tc>
        <w:tc>
          <w:tcPr>
            <w:tcW w:w="2556" w:type="dxa"/>
            <w:vAlign w:val="center"/>
          </w:tcPr>
          <w:p w14:paraId="64B02B6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23654C7F">
            <w:pPr>
              <w:adjustRightInd w:val="0"/>
              <w:snapToGrid w:val="0"/>
              <w:spacing w:line="360" w:lineRule="exact"/>
              <w:jc w:val="left"/>
              <w:rPr>
                <w:rFonts w:ascii="仿宋" w:hAnsi="仿宋" w:eastAsia="仿宋"/>
                <w:b/>
                <w:spacing w:val="-6"/>
                <w:sz w:val="28"/>
                <w:szCs w:val="28"/>
              </w:rPr>
            </w:pPr>
            <w:r>
              <w:rPr>
                <w:rFonts w:hint="eastAsia" w:ascii="仿宋" w:hAnsi="仿宋" w:eastAsia="仿宋"/>
                <w:spacing w:val="-6"/>
                <w:sz w:val="28"/>
                <w:szCs w:val="28"/>
              </w:rPr>
              <w:t>违章冒险操作、作业</w:t>
            </w:r>
          </w:p>
        </w:tc>
      </w:tr>
      <w:tr w14:paraId="1101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2B210B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47</w:t>
            </w:r>
          </w:p>
        </w:tc>
        <w:tc>
          <w:tcPr>
            <w:tcW w:w="2556" w:type="dxa"/>
            <w:vAlign w:val="center"/>
          </w:tcPr>
          <w:p w14:paraId="2F221710">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4C9E4DA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擅自拆封、拆解、初始化、再设置航行数据记录装置或者读取航行数据记录装置记录的信息</w:t>
            </w:r>
          </w:p>
        </w:tc>
      </w:tr>
      <w:tr w14:paraId="573C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 w:type="dxa"/>
            <w:vAlign w:val="bottom"/>
          </w:tcPr>
          <w:p w14:paraId="5B50080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48</w:t>
            </w:r>
          </w:p>
        </w:tc>
        <w:tc>
          <w:tcPr>
            <w:tcW w:w="2556" w:type="dxa"/>
            <w:vAlign w:val="center"/>
          </w:tcPr>
          <w:p w14:paraId="4C41841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14:paraId="794DF7F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船舶违反规定超过检验证书核定的载客定额、载重线、载货种类载运乘客、货物</w:t>
            </w:r>
          </w:p>
        </w:tc>
      </w:tr>
      <w:tr w14:paraId="49AE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C45D0A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49</w:t>
            </w:r>
          </w:p>
        </w:tc>
        <w:tc>
          <w:tcPr>
            <w:tcW w:w="2556" w:type="dxa"/>
            <w:vAlign w:val="center"/>
          </w:tcPr>
          <w:p w14:paraId="00CE5F95">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33958DD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客船载运乘客同时载运危险货物</w:t>
            </w:r>
          </w:p>
        </w:tc>
      </w:tr>
      <w:tr w14:paraId="4BD6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BD5F35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50</w:t>
            </w:r>
          </w:p>
        </w:tc>
        <w:tc>
          <w:tcPr>
            <w:tcW w:w="2556" w:type="dxa"/>
            <w:vAlign w:val="center"/>
          </w:tcPr>
          <w:p w14:paraId="0EACB3C2">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782270B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客船未向乘客明示安全须知、设置安全标志和警示</w:t>
            </w:r>
          </w:p>
        </w:tc>
      </w:tr>
      <w:tr w14:paraId="2AFA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4869CC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51</w:t>
            </w:r>
          </w:p>
        </w:tc>
        <w:tc>
          <w:tcPr>
            <w:tcW w:w="2556" w:type="dxa"/>
            <w:vAlign w:val="center"/>
          </w:tcPr>
          <w:p w14:paraId="743E2D1C">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377068A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未按照有关法律、行政法规、规章以及强制性标准和技术规范的要求安全装卸、积载、隔离、系固和管理货物</w:t>
            </w:r>
          </w:p>
        </w:tc>
      </w:tr>
      <w:tr w14:paraId="5327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DC0181B">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52</w:t>
            </w:r>
          </w:p>
        </w:tc>
        <w:tc>
          <w:tcPr>
            <w:tcW w:w="2556" w:type="dxa"/>
            <w:vAlign w:val="center"/>
          </w:tcPr>
          <w:p w14:paraId="63C12C0D">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18DDF4C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国际航行船舶未经许可进出口岸</w:t>
            </w:r>
          </w:p>
        </w:tc>
      </w:tr>
      <w:tr w14:paraId="06D9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667600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53</w:t>
            </w:r>
          </w:p>
        </w:tc>
        <w:tc>
          <w:tcPr>
            <w:tcW w:w="2556" w:type="dxa"/>
            <w:vAlign w:val="center"/>
          </w:tcPr>
          <w:p w14:paraId="40C8A21C">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11B9F09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国内航行船舶进出港口、港外装卸站未依法向海事管理机构报告</w:t>
            </w:r>
          </w:p>
        </w:tc>
      </w:tr>
      <w:tr w14:paraId="0C7A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1E074B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54</w:t>
            </w:r>
          </w:p>
        </w:tc>
        <w:tc>
          <w:tcPr>
            <w:tcW w:w="2556" w:type="dxa"/>
            <w:vAlign w:val="center"/>
          </w:tcPr>
          <w:p w14:paraId="500A5CBA">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037E41F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外国籍船舶临时进入非对外开放水域，未依照国务院关于船舶进出口岸的规定取得许可的</w:t>
            </w:r>
          </w:p>
        </w:tc>
      </w:tr>
      <w:tr w14:paraId="710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7D35C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55</w:t>
            </w:r>
          </w:p>
        </w:tc>
        <w:tc>
          <w:tcPr>
            <w:tcW w:w="2556" w:type="dxa"/>
            <w:vAlign w:val="center"/>
          </w:tcPr>
          <w:p w14:paraId="2F28F328">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50875A2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外国籍船舶在中华人民共和国领海非无害通过的</w:t>
            </w:r>
          </w:p>
        </w:tc>
      </w:tr>
      <w:tr w14:paraId="20BB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07D3B3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56</w:t>
            </w:r>
          </w:p>
        </w:tc>
        <w:tc>
          <w:tcPr>
            <w:tcW w:w="2556" w:type="dxa"/>
            <w:vAlign w:val="center"/>
          </w:tcPr>
          <w:p w14:paraId="303C2ED2">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6C8E022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外国籍船舶进出中华人民共和国领海，应当向海事管理机构报告而未报告的</w:t>
            </w:r>
          </w:p>
        </w:tc>
      </w:tr>
      <w:tr w14:paraId="4B87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9DF6BA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57</w:t>
            </w:r>
          </w:p>
        </w:tc>
        <w:tc>
          <w:tcPr>
            <w:tcW w:w="2556" w:type="dxa"/>
            <w:vAlign w:val="center"/>
          </w:tcPr>
          <w:p w14:paraId="25C7CC73">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446B422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外国籍船舶进出中华人民共和国领海，未持有有关证书，未采取符合中华人民共和国法律、行政法规和规章规定的特别预防措施，或不接受海事管理机构的指令和监督</w:t>
            </w:r>
          </w:p>
        </w:tc>
      </w:tr>
      <w:tr w14:paraId="51FA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8B86BB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58</w:t>
            </w:r>
          </w:p>
        </w:tc>
        <w:tc>
          <w:tcPr>
            <w:tcW w:w="2556" w:type="dxa"/>
            <w:vAlign w:val="center"/>
          </w:tcPr>
          <w:p w14:paraId="01C39E95">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6BF5AE4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外国籍船舶因紧急情况未及获得许可进入中华人民共和国内水，未及时向海事管理机构紧急报告，或不接受海事管理机构的指令和监督</w:t>
            </w:r>
          </w:p>
        </w:tc>
      </w:tr>
      <w:tr w14:paraId="6FF4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BF9792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59</w:t>
            </w:r>
          </w:p>
        </w:tc>
        <w:tc>
          <w:tcPr>
            <w:tcW w:w="2556" w:type="dxa"/>
            <w:vAlign w:val="center"/>
          </w:tcPr>
          <w:p w14:paraId="6CA1B21F">
            <w:pPr>
              <w:adjustRightInd w:val="0"/>
              <w:snapToGrid w:val="0"/>
              <w:spacing w:line="360" w:lineRule="exact"/>
              <w:jc w:val="center"/>
              <w:rPr>
                <w:rFonts w:ascii="仿宋" w:hAnsi="仿宋" w:eastAsia="仿宋"/>
                <w:b/>
                <w:spacing w:val="-6"/>
                <w:sz w:val="28"/>
                <w:szCs w:val="28"/>
              </w:rPr>
            </w:pPr>
            <w:r>
              <w:rPr>
                <w:rFonts w:hint="eastAsia" w:ascii="仿宋" w:hAnsi="仿宋" w:eastAsia="仿宋" w:cs="仿宋"/>
                <w:kern w:val="0"/>
                <w:sz w:val="28"/>
                <w:szCs w:val="28"/>
              </w:rPr>
              <w:t>船舶管理</w:t>
            </w:r>
          </w:p>
        </w:tc>
        <w:tc>
          <w:tcPr>
            <w:tcW w:w="15451" w:type="dxa"/>
            <w:vAlign w:val="center"/>
          </w:tcPr>
          <w:p w14:paraId="136CA86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有关单位、个人拒绝、阻碍海事管理机构监督检查，或者在接受监督检查时弄虚作假的</w:t>
            </w:r>
          </w:p>
        </w:tc>
      </w:tr>
      <w:tr w14:paraId="361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E34815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60</w:t>
            </w:r>
          </w:p>
        </w:tc>
        <w:tc>
          <w:tcPr>
            <w:tcW w:w="2556" w:type="dxa"/>
            <w:vAlign w:val="center"/>
          </w:tcPr>
          <w:p w14:paraId="7047580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14:paraId="682E08D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未按照《船舶现场监督报告》《船旗国监督检查报告》《港口国监督检查报告》的处理意见纠正缺陷或者采取措施的</w:t>
            </w:r>
          </w:p>
        </w:tc>
      </w:tr>
      <w:tr w14:paraId="0837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814F0C3">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61</w:t>
            </w:r>
          </w:p>
        </w:tc>
        <w:tc>
          <w:tcPr>
            <w:tcW w:w="2556" w:type="dxa"/>
            <w:vAlign w:val="center"/>
          </w:tcPr>
          <w:p w14:paraId="0D184B0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5451" w:type="dxa"/>
            <w:vAlign w:val="center"/>
          </w:tcPr>
          <w:p w14:paraId="579AEDA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船舶在纠正应当申请复查的缺陷后未申请复查的</w:t>
            </w:r>
          </w:p>
        </w:tc>
      </w:tr>
      <w:tr w14:paraId="2628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6C6294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62</w:t>
            </w:r>
          </w:p>
        </w:tc>
        <w:tc>
          <w:tcPr>
            <w:tcW w:w="2556" w:type="dxa"/>
            <w:vAlign w:val="center"/>
          </w:tcPr>
          <w:p w14:paraId="14660F7C">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19DA0EA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船舶未按照规定开展自查或者未随船保存船舶自查记录的</w:t>
            </w:r>
          </w:p>
        </w:tc>
      </w:tr>
      <w:tr w14:paraId="01FA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2DFC32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63</w:t>
            </w:r>
          </w:p>
        </w:tc>
        <w:tc>
          <w:tcPr>
            <w:tcW w:w="2556" w:type="dxa"/>
            <w:vAlign w:val="center"/>
          </w:tcPr>
          <w:p w14:paraId="28BF1115">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29D1FAA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使用他人业经登记的船舶烟囱标志、公司旗的</w:t>
            </w:r>
          </w:p>
        </w:tc>
      </w:tr>
      <w:tr w14:paraId="0580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1B6517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64</w:t>
            </w:r>
          </w:p>
        </w:tc>
        <w:tc>
          <w:tcPr>
            <w:tcW w:w="2556" w:type="dxa"/>
            <w:vAlign w:val="center"/>
          </w:tcPr>
          <w:p w14:paraId="223D72F0">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24AEAE5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载运B组以外固体散装货物船舶进出港口前未按规定向海事管理机构报告的</w:t>
            </w:r>
          </w:p>
        </w:tc>
      </w:tr>
      <w:tr w14:paraId="6AE4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836F40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65</w:t>
            </w:r>
          </w:p>
        </w:tc>
        <w:tc>
          <w:tcPr>
            <w:tcW w:w="2556" w:type="dxa"/>
            <w:vAlign w:val="center"/>
          </w:tcPr>
          <w:p w14:paraId="165F3627">
            <w:pPr>
              <w:adjustRightInd w:val="0"/>
              <w:snapToGrid w:val="0"/>
              <w:spacing w:line="360" w:lineRule="exact"/>
              <w:jc w:val="center"/>
              <w:rPr>
                <w:rFonts w:ascii="仿宋" w:hAnsi="仿宋" w:eastAsia="仿宋"/>
                <w:spacing w:val="-6"/>
                <w:sz w:val="28"/>
                <w:szCs w:val="28"/>
              </w:rPr>
            </w:pPr>
            <w:r>
              <w:rPr>
                <w:rFonts w:hint="eastAsia" w:ascii="仿宋" w:hAnsi="仿宋" w:eastAsia="仿宋" w:cs="仿宋"/>
                <w:kern w:val="0"/>
                <w:sz w:val="28"/>
                <w:szCs w:val="28"/>
              </w:rPr>
              <w:t>船舶管理</w:t>
            </w:r>
          </w:p>
        </w:tc>
        <w:tc>
          <w:tcPr>
            <w:tcW w:w="15451" w:type="dxa"/>
            <w:vAlign w:val="center"/>
          </w:tcPr>
          <w:p w14:paraId="6B7CDDF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载运固体散装货物船舶未建立并落实船岸安全检查表制度，或者未按照船岸安全检查表的要求进行检查和填写的</w:t>
            </w:r>
          </w:p>
        </w:tc>
      </w:tr>
      <w:tr w14:paraId="5192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5A03DE2">
            <w:pPr>
              <w:widowControl/>
              <w:spacing w:line="360" w:lineRule="exact"/>
              <w:jc w:val="center"/>
              <w:textAlignment w:val="bottom"/>
              <w:rPr>
                <w:rFonts w:ascii="仿宋" w:hAnsi="仿宋" w:eastAsia="仿宋" w:cs="Times New Roman"/>
                <w:spacing w:val="-6"/>
                <w:sz w:val="28"/>
                <w:szCs w:val="28"/>
              </w:rPr>
            </w:pPr>
            <w:r>
              <w:rPr>
                <w:rFonts w:hint="eastAsia" w:ascii="仿宋" w:hAnsi="仿宋" w:eastAsia="仿宋" w:cs="仿宋_GB2312"/>
                <w:kern w:val="0"/>
                <w:sz w:val="28"/>
                <w:szCs w:val="28"/>
              </w:rPr>
              <w:t>66</w:t>
            </w:r>
          </w:p>
        </w:tc>
        <w:tc>
          <w:tcPr>
            <w:tcW w:w="2556" w:type="dxa"/>
            <w:vAlign w:val="center"/>
          </w:tcPr>
          <w:p w14:paraId="405E2C37">
            <w:pPr>
              <w:adjustRightInd w:val="0"/>
              <w:snapToGrid w:val="0"/>
              <w:spacing w:line="360" w:lineRule="exact"/>
              <w:jc w:val="center"/>
              <w:rPr>
                <w:rFonts w:ascii="仿宋" w:hAnsi="仿宋" w:eastAsia="仿宋" w:cs="Times New Roman"/>
                <w:spacing w:val="-6"/>
                <w:sz w:val="28"/>
                <w:szCs w:val="28"/>
              </w:rPr>
            </w:pPr>
            <w:r>
              <w:rPr>
                <w:rFonts w:hint="eastAsia" w:ascii="仿宋" w:hAnsi="仿宋" w:eastAsia="仿宋" w:cs="Times New Roman"/>
                <w:spacing w:val="-6"/>
                <w:sz w:val="28"/>
                <w:szCs w:val="28"/>
              </w:rPr>
              <w:t>危防管理</w:t>
            </w:r>
          </w:p>
        </w:tc>
        <w:tc>
          <w:tcPr>
            <w:tcW w:w="15451" w:type="dxa"/>
            <w:vAlign w:val="center"/>
          </w:tcPr>
          <w:p w14:paraId="1E8F055C">
            <w:pPr>
              <w:adjustRightInd w:val="0"/>
              <w:snapToGrid w:val="0"/>
              <w:spacing w:line="360" w:lineRule="exact"/>
              <w:jc w:val="left"/>
              <w:rPr>
                <w:rFonts w:ascii="仿宋" w:hAnsi="仿宋" w:eastAsia="仿宋" w:cs="Times New Roman"/>
                <w:spacing w:val="-6"/>
                <w:sz w:val="28"/>
                <w:szCs w:val="28"/>
              </w:rPr>
            </w:pPr>
            <w:r>
              <w:rPr>
                <w:rFonts w:hint="eastAsia" w:ascii="仿宋" w:hAnsi="仿宋" w:eastAsia="仿宋" w:cs="Times New Roman"/>
                <w:spacing w:val="-6"/>
                <w:sz w:val="28"/>
                <w:szCs w:val="28"/>
              </w:rPr>
              <w:t>载运危险货物的船舶未经许可进出港口</w:t>
            </w:r>
          </w:p>
        </w:tc>
      </w:tr>
      <w:tr w14:paraId="027F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9A2DF53">
            <w:pPr>
              <w:widowControl/>
              <w:spacing w:line="360" w:lineRule="exact"/>
              <w:jc w:val="center"/>
              <w:textAlignment w:val="bottom"/>
              <w:rPr>
                <w:rFonts w:ascii="仿宋" w:hAnsi="仿宋" w:eastAsia="仿宋" w:cs="Times New Roman"/>
                <w:spacing w:val="-6"/>
                <w:sz w:val="28"/>
                <w:szCs w:val="28"/>
              </w:rPr>
            </w:pPr>
            <w:r>
              <w:rPr>
                <w:rFonts w:hint="eastAsia" w:ascii="仿宋" w:hAnsi="仿宋" w:eastAsia="仿宋" w:cs="仿宋_GB2312"/>
                <w:kern w:val="0"/>
                <w:sz w:val="28"/>
                <w:szCs w:val="28"/>
              </w:rPr>
              <w:t>67</w:t>
            </w:r>
          </w:p>
        </w:tc>
        <w:tc>
          <w:tcPr>
            <w:tcW w:w="2556" w:type="dxa"/>
            <w:vAlign w:val="center"/>
          </w:tcPr>
          <w:p w14:paraId="48840440">
            <w:pPr>
              <w:adjustRightInd w:val="0"/>
              <w:snapToGrid w:val="0"/>
              <w:spacing w:line="360" w:lineRule="exact"/>
              <w:jc w:val="center"/>
              <w:rPr>
                <w:rFonts w:ascii="仿宋" w:hAnsi="仿宋" w:eastAsia="仿宋" w:cs="Times New Roman"/>
                <w:spacing w:val="-6"/>
                <w:sz w:val="28"/>
                <w:szCs w:val="28"/>
              </w:rPr>
            </w:pPr>
            <w:r>
              <w:rPr>
                <w:rFonts w:hint="eastAsia" w:ascii="仿宋" w:hAnsi="仿宋" w:eastAsia="仿宋" w:cs="Times New Roman"/>
                <w:spacing w:val="-6"/>
                <w:sz w:val="28"/>
                <w:szCs w:val="28"/>
              </w:rPr>
              <w:t>危防管理</w:t>
            </w:r>
          </w:p>
        </w:tc>
        <w:tc>
          <w:tcPr>
            <w:tcW w:w="15451" w:type="dxa"/>
            <w:vAlign w:val="center"/>
          </w:tcPr>
          <w:p w14:paraId="4B45BBF9">
            <w:pPr>
              <w:adjustRightInd w:val="0"/>
              <w:snapToGrid w:val="0"/>
              <w:spacing w:line="360" w:lineRule="exact"/>
              <w:jc w:val="left"/>
              <w:rPr>
                <w:rFonts w:ascii="仿宋" w:hAnsi="仿宋" w:eastAsia="仿宋" w:cs="Times New Roman"/>
                <w:spacing w:val="-6"/>
                <w:sz w:val="28"/>
                <w:szCs w:val="28"/>
              </w:rPr>
            </w:pPr>
            <w:r>
              <w:rPr>
                <w:rFonts w:hint="eastAsia" w:ascii="仿宋" w:hAnsi="仿宋" w:eastAsia="仿宋" w:cs="Times New Roman"/>
                <w:spacing w:val="-6"/>
                <w:sz w:val="28"/>
                <w:szCs w:val="28"/>
              </w:rPr>
              <w:t>船舶未经许可从事散装液体危险货物过驳作业</w:t>
            </w:r>
          </w:p>
        </w:tc>
      </w:tr>
      <w:tr w14:paraId="4D0B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3D9B4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68</w:t>
            </w:r>
          </w:p>
        </w:tc>
        <w:tc>
          <w:tcPr>
            <w:tcW w:w="2556" w:type="dxa"/>
            <w:vAlign w:val="center"/>
          </w:tcPr>
          <w:p w14:paraId="6A0D07B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DBD678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载运危险货物的船舶未按规定编制相应的危险货物应急处置预案，配备相应的消防、应急设备和器材</w:t>
            </w:r>
          </w:p>
        </w:tc>
      </w:tr>
      <w:tr w14:paraId="6FC5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3C8E7E0">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69</w:t>
            </w:r>
          </w:p>
        </w:tc>
        <w:tc>
          <w:tcPr>
            <w:tcW w:w="2556" w:type="dxa"/>
            <w:vAlign w:val="center"/>
          </w:tcPr>
          <w:p w14:paraId="3037C2F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F38A2F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船舶违反有关强制性标准和安全作业操作规程的要求从事危险货物装卸、过驳作业</w:t>
            </w:r>
          </w:p>
        </w:tc>
      </w:tr>
      <w:tr w14:paraId="3D89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E26CE4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70</w:t>
            </w:r>
          </w:p>
        </w:tc>
        <w:tc>
          <w:tcPr>
            <w:tcW w:w="2556" w:type="dxa"/>
            <w:vAlign w:val="center"/>
          </w:tcPr>
          <w:p w14:paraId="45EC6BA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A5C890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托运人未将托运的危险货物的正式名称、危险性质以及应当采取的防护措施通知承运人</w:t>
            </w:r>
          </w:p>
        </w:tc>
      </w:tr>
      <w:tr w14:paraId="69A6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7417A3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71</w:t>
            </w:r>
          </w:p>
        </w:tc>
        <w:tc>
          <w:tcPr>
            <w:tcW w:w="2556" w:type="dxa"/>
            <w:vAlign w:val="center"/>
          </w:tcPr>
          <w:p w14:paraId="53AECCA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013F44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托运人未按照有关法律、行政法规、规章以及强制性标准和技术规范的要求对危险货物妥善包装，设置明显的危险品标志和标签</w:t>
            </w:r>
          </w:p>
        </w:tc>
      </w:tr>
      <w:tr w14:paraId="54E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8181B0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72</w:t>
            </w:r>
          </w:p>
        </w:tc>
        <w:tc>
          <w:tcPr>
            <w:tcW w:w="2556" w:type="dxa"/>
            <w:vAlign w:val="center"/>
          </w:tcPr>
          <w:p w14:paraId="06DEE76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29D6A78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托运人在托运的普通货物中夹带危险货物或者将危险货物谎报为普通货物托运</w:t>
            </w:r>
          </w:p>
        </w:tc>
      </w:tr>
      <w:tr w14:paraId="23CA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7A663C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73</w:t>
            </w:r>
          </w:p>
        </w:tc>
        <w:tc>
          <w:tcPr>
            <w:tcW w:w="2556" w:type="dxa"/>
            <w:vAlign w:val="center"/>
          </w:tcPr>
          <w:p w14:paraId="7D85098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D7B82D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托运人未依法提交有关专业机构出具的表明该货物危险特性以及应当采取的防护措施等情况的文件</w:t>
            </w:r>
          </w:p>
        </w:tc>
      </w:tr>
      <w:tr w14:paraId="2A87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0E5CD9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74</w:t>
            </w:r>
          </w:p>
        </w:tc>
        <w:tc>
          <w:tcPr>
            <w:tcW w:w="2556" w:type="dxa"/>
            <w:vAlign w:val="center"/>
          </w:tcPr>
          <w:p w14:paraId="1374AE9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4EA02A2">
            <w:pPr>
              <w:adjustRightInd w:val="0"/>
              <w:snapToGrid w:val="0"/>
              <w:spacing w:line="360" w:lineRule="exact"/>
              <w:jc w:val="left"/>
              <w:rPr>
                <w:rFonts w:ascii="仿宋" w:hAnsi="仿宋" w:eastAsia="仿宋"/>
                <w:spacing w:val="-6"/>
                <w:sz w:val="28"/>
                <w:szCs w:val="28"/>
              </w:rPr>
            </w:pPr>
            <w:r>
              <w:rPr>
                <w:rFonts w:hint="eastAsia" w:ascii="仿宋" w:hAnsi="仿宋" w:eastAsia="仿宋" w:cs="Times New Roman"/>
                <w:sz w:val="28"/>
                <w:szCs w:val="28"/>
              </w:rPr>
              <w:t>将未经检验合格的运输危险化学品的船舶配载容器投入使用的</w:t>
            </w:r>
          </w:p>
        </w:tc>
      </w:tr>
      <w:tr w14:paraId="5806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2C31C77">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75</w:t>
            </w:r>
          </w:p>
        </w:tc>
        <w:tc>
          <w:tcPr>
            <w:tcW w:w="2556" w:type="dxa"/>
            <w:vAlign w:val="center"/>
          </w:tcPr>
          <w:p w14:paraId="4203231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529AF95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船舶不按照规定记载排污记录的</w:t>
            </w:r>
          </w:p>
        </w:tc>
      </w:tr>
      <w:tr w14:paraId="1C64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1F0F35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76</w:t>
            </w:r>
          </w:p>
        </w:tc>
        <w:tc>
          <w:tcPr>
            <w:tcW w:w="2556" w:type="dxa"/>
            <w:vAlign w:val="center"/>
          </w:tcPr>
          <w:p w14:paraId="7ADB681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6F14AD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船舶未按照规定在船舶上留存船舶污染物处置记录</w:t>
            </w:r>
          </w:p>
        </w:tc>
      </w:tr>
      <w:tr w14:paraId="5E92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01D8C2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77</w:t>
            </w:r>
          </w:p>
        </w:tc>
        <w:tc>
          <w:tcPr>
            <w:tcW w:w="2556" w:type="dxa"/>
            <w:vAlign w:val="center"/>
          </w:tcPr>
          <w:p w14:paraId="0F87C64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7B3D689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船舶污染物处置记录与船舶运行过程中产生的污染物数量不符合</w:t>
            </w:r>
          </w:p>
        </w:tc>
      </w:tr>
      <w:tr w14:paraId="6F77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0BC57C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78</w:t>
            </w:r>
          </w:p>
        </w:tc>
        <w:tc>
          <w:tcPr>
            <w:tcW w:w="2556" w:type="dxa"/>
            <w:vAlign w:val="center"/>
          </w:tcPr>
          <w:p w14:paraId="5518844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5B5D8D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船舶污染物接收单位未编制作业方案、遵守相关操作规程、采取必要的防污染措施</w:t>
            </w:r>
          </w:p>
        </w:tc>
      </w:tr>
      <w:tr w14:paraId="5B08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CEB7BE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79</w:t>
            </w:r>
          </w:p>
        </w:tc>
        <w:tc>
          <w:tcPr>
            <w:tcW w:w="2556" w:type="dxa"/>
            <w:vAlign w:val="center"/>
          </w:tcPr>
          <w:p w14:paraId="17BA458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0987680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船舶未按照规定保存污染物接收单证</w:t>
            </w:r>
          </w:p>
        </w:tc>
      </w:tr>
      <w:tr w14:paraId="2F60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D8037C5">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80</w:t>
            </w:r>
          </w:p>
        </w:tc>
        <w:tc>
          <w:tcPr>
            <w:tcW w:w="2556" w:type="dxa"/>
            <w:vAlign w:val="center"/>
          </w:tcPr>
          <w:p w14:paraId="6497544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DF8139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船舶污染物接收单位未按照规定将船舶污染物的接收和处理情况报海事管理机构备案的</w:t>
            </w:r>
          </w:p>
        </w:tc>
      </w:tr>
      <w:tr w14:paraId="0ABD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421CF5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81</w:t>
            </w:r>
          </w:p>
        </w:tc>
        <w:tc>
          <w:tcPr>
            <w:tcW w:w="2556" w:type="dxa"/>
            <w:vAlign w:val="center"/>
          </w:tcPr>
          <w:p w14:paraId="05A3C6E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310494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船舶向海域排放禁止排放的污染物的</w:t>
            </w:r>
          </w:p>
        </w:tc>
      </w:tr>
      <w:tr w14:paraId="0D29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6EF807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82</w:t>
            </w:r>
          </w:p>
        </w:tc>
        <w:tc>
          <w:tcPr>
            <w:tcW w:w="2556" w:type="dxa"/>
            <w:vAlign w:val="center"/>
          </w:tcPr>
          <w:p w14:paraId="4CF1216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2442D42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船舶不按照规定向海洋排放污染物，或者超过标准排放污染物的</w:t>
            </w:r>
          </w:p>
        </w:tc>
      </w:tr>
      <w:tr w14:paraId="1A0B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F4AF475">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83</w:t>
            </w:r>
          </w:p>
        </w:tc>
        <w:tc>
          <w:tcPr>
            <w:tcW w:w="2556" w:type="dxa"/>
            <w:vAlign w:val="center"/>
          </w:tcPr>
          <w:p w14:paraId="39A32A7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5BC036E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船舶从事作业活动，未按照规定将有关情况向海事管理机构报告的</w:t>
            </w:r>
          </w:p>
        </w:tc>
      </w:tr>
      <w:tr w14:paraId="05C2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DD0727C">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84</w:t>
            </w:r>
          </w:p>
        </w:tc>
        <w:tc>
          <w:tcPr>
            <w:tcW w:w="2556" w:type="dxa"/>
            <w:vAlign w:val="center"/>
          </w:tcPr>
          <w:p w14:paraId="53BE1D8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23ABCF1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船舶燃油供给单位未如实填写燃油供受单证的</w:t>
            </w:r>
          </w:p>
        </w:tc>
      </w:tr>
      <w:tr w14:paraId="118C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486D23D">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85</w:t>
            </w:r>
          </w:p>
        </w:tc>
        <w:tc>
          <w:tcPr>
            <w:tcW w:w="2556" w:type="dxa"/>
            <w:vAlign w:val="center"/>
          </w:tcPr>
          <w:p w14:paraId="0E87F16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5129660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船舶燃油供给单位未按照规定向船舶提供燃油供受单证和燃油样品的</w:t>
            </w:r>
          </w:p>
        </w:tc>
      </w:tr>
      <w:tr w14:paraId="517D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7E6E32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86</w:t>
            </w:r>
          </w:p>
        </w:tc>
        <w:tc>
          <w:tcPr>
            <w:tcW w:w="2556" w:type="dxa"/>
            <w:vAlign w:val="center"/>
          </w:tcPr>
          <w:p w14:paraId="53CBE5A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2ECE44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船舶和船舶燃油供给单位未按照规定保存燃油供受单证和燃油样品的</w:t>
            </w:r>
          </w:p>
        </w:tc>
      </w:tr>
      <w:tr w14:paraId="54C8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B75E3A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87</w:t>
            </w:r>
          </w:p>
        </w:tc>
        <w:tc>
          <w:tcPr>
            <w:tcW w:w="2556" w:type="dxa"/>
            <w:vAlign w:val="center"/>
          </w:tcPr>
          <w:p w14:paraId="39D133E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0D3850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船舶的结构不符合国家有关防治船舶污染海洋环境的技术规范或者有关国际条约要求</w:t>
            </w:r>
          </w:p>
        </w:tc>
      </w:tr>
      <w:tr w14:paraId="29D8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0DFF3E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88</w:t>
            </w:r>
          </w:p>
        </w:tc>
        <w:tc>
          <w:tcPr>
            <w:tcW w:w="2556" w:type="dxa"/>
            <w:vAlign w:val="center"/>
          </w:tcPr>
          <w:p w14:paraId="0CE6342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AF8736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船舶发生事故沉没，船舶所有人或者经营人未及时向海事管理机构报告船舶燃油、污染危害性货物以及其他污染物的性质、数量、种类、装载位置等情况的</w:t>
            </w:r>
          </w:p>
        </w:tc>
      </w:tr>
      <w:tr w14:paraId="74D3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F25E14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89</w:t>
            </w:r>
          </w:p>
        </w:tc>
        <w:tc>
          <w:tcPr>
            <w:tcW w:w="2556" w:type="dxa"/>
            <w:vAlign w:val="center"/>
          </w:tcPr>
          <w:p w14:paraId="7CC24A1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034869F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船舶发生事故沉没，船舶所有人或者经营人未及时采取措施清除船舶燃油、污染危害性货物以及其他污染物的</w:t>
            </w:r>
          </w:p>
        </w:tc>
      </w:tr>
      <w:tr w14:paraId="7040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F5C0E3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90</w:t>
            </w:r>
          </w:p>
        </w:tc>
        <w:tc>
          <w:tcPr>
            <w:tcW w:w="2556" w:type="dxa"/>
            <w:vAlign w:val="center"/>
          </w:tcPr>
          <w:p w14:paraId="26290A0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29C643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发生船舶污染事故，船舶、有关作业单位迟报、漏报事故的</w:t>
            </w:r>
          </w:p>
        </w:tc>
      </w:tr>
      <w:tr w14:paraId="2106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BCF6AE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91</w:t>
            </w:r>
          </w:p>
        </w:tc>
        <w:tc>
          <w:tcPr>
            <w:tcW w:w="2556" w:type="dxa"/>
            <w:vAlign w:val="center"/>
          </w:tcPr>
          <w:p w14:paraId="5ECF412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38C2FD7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发生船舶污染事故，船舶、有关作业单位瞒报、谎报事故的</w:t>
            </w:r>
          </w:p>
        </w:tc>
      </w:tr>
      <w:tr w14:paraId="7D6E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7442CD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92</w:t>
            </w:r>
          </w:p>
        </w:tc>
        <w:tc>
          <w:tcPr>
            <w:tcW w:w="2556" w:type="dxa"/>
            <w:vAlign w:val="center"/>
          </w:tcPr>
          <w:p w14:paraId="3229D72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2542A8E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未按照国家规定的标准使用消油剂的</w:t>
            </w:r>
          </w:p>
        </w:tc>
      </w:tr>
      <w:tr w14:paraId="61E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F73319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93</w:t>
            </w:r>
          </w:p>
        </w:tc>
        <w:tc>
          <w:tcPr>
            <w:tcW w:w="2556" w:type="dxa"/>
            <w:vAlign w:val="center"/>
          </w:tcPr>
          <w:p w14:paraId="15E0534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CC5AC9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发生船舶污染事故，船舶、有关作业单位未立即启动应急预案的</w:t>
            </w:r>
          </w:p>
        </w:tc>
      </w:tr>
      <w:tr w14:paraId="7F87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CB926B5">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94</w:t>
            </w:r>
          </w:p>
        </w:tc>
        <w:tc>
          <w:tcPr>
            <w:tcW w:w="2556" w:type="dxa"/>
            <w:vAlign w:val="center"/>
          </w:tcPr>
          <w:p w14:paraId="4D86676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2C44F96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载运散装液体污染危害性货物的船舶和1万总吨以上的其他船舶，其经营人未按照规定签订污染清除作业协议的</w:t>
            </w:r>
          </w:p>
        </w:tc>
      </w:tr>
      <w:tr w14:paraId="5980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E9F561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95</w:t>
            </w:r>
          </w:p>
        </w:tc>
        <w:tc>
          <w:tcPr>
            <w:tcW w:w="2556" w:type="dxa"/>
            <w:vAlign w:val="center"/>
          </w:tcPr>
          <w:p w14:paraId="063FE01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FD0A91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污染清除作业单位不符合国家有关技术规范从事污染清除作业的</w:t>
            </w:r>
          </w:p>
        </w:tc>
      </w:tr>
      <w:tr w14:paraId="6C82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160121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96</w:t>
            </w:r>
          </w:p>
        </w:tc>
        <w:tc>
          <w:tcPr>
            <w:tcW w:w="2556" w:type="dxa"/>
            <w:vAlign w:val="center"/>
          </w:tcPr>
          <w:p w14:paraId="6696A37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1C28B6E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在中华人民共和国管辖海域内航行的船舶，其所有人未按照规定投保船舶油污损害民事责任保险或者取得相应的财务担保的</w:t>
            </w:r>
          </w:p>
        </w:tc>
      </w:tr>
      <w:tr w14:paraId="2455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B6AAE2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97</w:t>
            </w:r>
          </w:p>
        </w:tc>
        <w:tc>
          <w:tcPr>
            <w:tcW w:w="2556" w:type="dxa"/>
            <w:vAlign w:val="center"/>
          </w:tcPr>
          <w:p w14:paraId="2CB91CD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5823E37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船舶所有人投保船舶油污损害民事责任保险或者取得的财务担保的额度低于《中华人民共和国海商法》、中华人民共和国缔结或者参加的有关国际条约规定的油污赔偿限额的</w:t>
            </w:r>
          </w:p>
        </w:tc>
      </w:tr>
      <w:tr w14:paraId="24C0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B9205F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98</w:t>
            </w:r>
          </w:p>
        </w:tc>
        <w:tc>
          <w:tcPr>
            <w:tcW w:w="2556" w:type="dxa"/>
            <w:vAlign w:val="center"/>
          </w:tcPr>
          <w:p w14:paraId="3EA7304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9DE511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使用不符合标准或者要求的船舶用燃油的</w:t>
            </w:r>
          </w:p>
        </w:tc>
      </w:tr>
      <w:tr w14:paraId="28B5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87508A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99</w:t>
            </w:r>
          </w:p>
        </w:tc>
        <w:tc>
          <w:tcPr>
            <w:tcW w:w="2556" w:type="dxa"/>
            <w:vAlign w:val="center"/>
          </w:tcPr>
          <w:p w14:paraId="1D4F068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4A5BA90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船舶和有关作业单位未配备防污设施、设备、器材的，或者配备的防污设施、设备、器材不符合国家有关规定和标准的</w:t>
            </w:r>
          </w:p>
        </w:tc>
      </w:tr>
      <w:tr w14:paraId="0E99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1DC586E0">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100</w:t>
            </w:r>
          </w:p>
        </w:tc>
        <w:tc>
          <w:tcPr>
            <w:tcW w:w="2556" w:type="dxa"/>
            <w:vAlign w:val="center"/>
          </w:tcPr>
          <w:p w14:paraId="19E56205">
            <w:pPr>
              <w:adjustRightInd w:val="0"/>
              <w:snapToGrid w:val="0"/>
              <w:spacing w:line="360" w:lineRule="exact"/>
              <w:jc w:val="center"/>
              <w:rPr>
                <w:rFonts w:ascii="仿宋" w:hAnsi="仿宋" w:eastAsia="仿宋"/>
                <w:spacing w:val="-6"/>
                <w:sz w:val="28"/>
                <w:szCs w:val="28"/>
              </w:rPr>
            </w:pPr>
            <w:r>
              <w:rPr>
                <w:rFonts w:hint="eastAsia" w:ascii="仿宋" w:hAnsi="仿宋" w:eastAsia="仿宋" w:cs="Times New Roman"/>
                <w:spacing w:val="-6"/>
                <w:sz w:val="28"/>
                <w:szCs w:val="28"/>
              </w:rPr>
              <w:t>危防管理</w:t>
            </w:r>
          </w:p>
        </w:tc>
        <w:tc>
          <w:tcPr>
            <w:tcW w:w="15451" w:type="dxa"/>
            <w:vAlign w:val="center"/>
          </w:tcPr>
          <w:p w14:paraId="3879B9D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船舶在出港前未将上一航次消耗的燃料种类和数量，主机、辅机和锅炉功率以及运行工况时间等信息按照规定报告海事管理机构</w:t>
            </w:r>
          </w:p>
        </w:tc>
      </w:tr>
      <w:tr w14:paraId="7E61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6AA81C1">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101</w:t>
            </w:r>
          </w:p>
        </w:tc>
        <w:tc>
          <w:tcPr>
            <w:tcW w:w="2556" w:type="dxa"/>
            <w:vAlign w:val="center"/>
          </w:tcPr>
          <w:p w14:paraId="63DF62E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5451" w:type="dxa"/>
            <w:vAlign w:val="center"/>
          </w:tcPr>
          <w:p w14:paraId="7D9DAF7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废油船未经洗舱、排污、清舱和测爆即行拆解</w:t>
            </w:r>
          </w:p>
        </w:tc>
      </w:tr>
      <w:tr w14:paraId="20DA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E16271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102</w:t>
            </w:r>
          </w:p>
        </w:tc>
        <w:tc>
          <w:tcPr>
            <w:tcW w:w="2556" w:type="dxa"/>
            <w:vAlign w:val="center"/>
          </w:tcPr>
          <w:p w14:paraId="3A3DB213">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船员管理</w:t>
            </w:r>
          </w:p>
        </w:tc>
        <w:tc>
          <w:tcPr>
            <w:tcW w:w="15451" w:type="dxa"/>
            <w:vAlign w:val="center"/>
          </w:tcPr>
          <w:p w14:paraId="51D5C0C7">
            <w:pPr>
              <w:adjustRightInd w:val="0"/>
              <w:snapToGrid w:val="0"/>
              <w:spacing w:line="360" w:lineRule="exact"/>
              <w:jc w:val="left"/>
              <w:rPr>
                <w:rFonts w:ascii="仿宋" w:hAnsi="仿宋" w:eastAsia="仿宋" w:cs="仿宋"/>
                <w:spacing w:val="-6"/>
                <w:sz w:val="28"/>
                <w:szCs w:val="28"/>
              </w:rPr>
            </w:pPr>
            <w:r>
              <w:rPr>
                <w:rFonts w:hint="eastAsia" w:ascii="仿宋" w:hAnsi="仿宋" w:eastAsia="仿宋" w:cs="仿宋"/>
                <w:spacing w:val="-6"/>
                <w:sz w:val="28"/>
                <w:szCs w:val="28"/>
              </w:rPr>
              <w:t>在船舶上工作未持有船员适任证书、船员健康证明或者所持船员适任证书、船员健康证明不符合要求</w:t>
            </w:r>
          </w:p>
        </w:tc>
      </w:tr>
      <w:tr w14:paraId="6D55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3EC144C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103</w:t>
            </w:r>
          </w:p>
        </w:tc>
        <w:tc>
          <w:tcPr>
            <w:tcW w:w="2556" w:type="dxa"/>
            <w:vAlign w:val="center"/>
          </w:tcPr>
          <w:p w14:paraId="5DE0767A">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cs="仿宋"/>
                <w:kern w:val="0"/>
                <w:sz w:val="28"/>
                <w:szCs w:val="28"/>
              </w:rPr>
              <w:t>船员管理</w:t>
            </w:r>
          </w:p>
        </w:tc>
        <w:tc>
          <w:tcPr>
            <w:tcW w:w="15451" w:type="dxa"/>
            <w:vAlign w:val="center"/>
          </w:tcPr>
          <w:p w14:paraId="5D162C4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以欺骗、贿赂等不正当手段取得船员适任证书的</w:t>
            </w:r>
          </w:p>
        </w:tc>
      </w:tr>
      <w:tr w14:paraId="6EE3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9247F9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104</w:t>
            </w:r>
          </w:p>
        </w:tc>
        <w:tc>
          <w:tcPr>
            <w:tcW w:w="2556" w:type="dxa"/>
            <w:vAlign w:val="center"/>
          </w:tcPr>
          <w:p w14:paraId="13B9746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138F037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船长未保证船舶和船员携带证书、文书以及有关航行资料的</w:t>
            </w:r>
          </w:p>
        </w:tc>
      </w:tr>
      <w:tr w14:paraId="7377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55504A8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105</w:t>
            </w:r>
          </w:p>
        </w:tc>
        <w:tc>
          <w:tcPr>
            <w:tcW w:w="2556" w:type="dxa"/>
            <w:vAlign w:val="center"/>
          </w:tcPr>
          <w:p w14:paraId="43256C7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31EDD0D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船员服务簿记载的事项发生变更，船员未办理变更手续</w:t>
            </w:r>
          </w:p>
        </w:tc>
      </w:tr>
      <w:tr w14:paraId="5BC7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B5B72D6">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106</w:t>
            </w:r>
          </w:p>
        </w:tc>
        <w:tc>
          <w:tcPr>
            <w:tcW w:w="2556" w:type="dxa"/>
            <w:vAlign w:val="center"/>
          </w:tcPr>
          <w:p w14:paraId="5AE95B6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21461DC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船长未在船员服务簿内如实记载船员的履职情况的</w:t>
            </w:r>
          </w:p>
        </w:tc>
      </w:tr>
      <w:tr w14:paraId="6EBD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083ACFA">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107</w:t>
            </w:r>
          </w:p>
        </w:tc>
        <w:tc>
          <w:tcPr>
            <w:tcW w:w="2556" w:type="dxa"/>
            <w:vAlign w:val="center"/>
          </w:tcPr>
          <w:p w14:paraId="5B523B11">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5A5300E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船员未保持安全值班，有违反海上船员值班规则的行为的</w:t>
            </w:r>
          </w:p>
        </w:tc>
      </w:tr>
      <w:tr w14:paraId="6A12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25AE4239">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108</w:t>
            </w:r>
          </w:p>
        </w:tc>
        <w:tc>
          <w:tcPr>
            <w:tcW w:w="2556" w:type="dxa"/>
            <w:vAlign w:val="center"/>
          </w:tcPr>
          <w:p w14:paraId="11C3BD66">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7BC291F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船员未保持安全值班，违反规定摄入可能影响安全值班的食品、药品或其他物品</w:t>
            </w:r>
          </w:p>
        </w:tc>
      </w:tr>
      <w:tr w14:paraId="6B0A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42D58C7E">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109</w:t>
            </w:r>
          </w:p>
        </w:tc>
        <w:tc>
          <w:tcPr>
            <w:tcW w:w="2556" w:type="dxa"/>
            <w:vAlign w:val="center"/>
          </w:tcPr>
          <w:p w14:paraId="2998D44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5451" w:type="dxa"/>
            <w:vAlign w:val="center"/>
          </w:tcPr>
          <w:p w14:paraId="627E47C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船员服务机构和船员用人单位未将其招用或者管理的船员的有关情况定期向海事管理机构备案的</w:t>
            </w:r>
          </w:p>
        </w:tc>
      </w:tr>
      <w:tr w14:paraId="329D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D16B668">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110</w:t>
            </w:r>
          </w:p>
        </w:tc>
        <w:tc>
          <w:tcPr>
            <w:tcW w:w="2556" w:type="dxa"/>
            <w:vAlign w:val="center"/>
          </w:tcPr>
          <w:p w14:paraId="6A32D9CD">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14:paraId="17FC890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损坏海上交通支持服务系统或者妨碍其工作效能</w:t>
            </w:r>
          </w:p>
        </w:tc>
      </w:tr>
      <w:tr w14:paraId="3BE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72231FB4">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111</w:t>
            </w:r>
          </w:p>
        </w:tc>
        <w:tc>
          <w:tcPr>
            <w:tcW w:w="2556" w:type="dxa"/>
            <w:vAlign w:val="center"/>
          </w:tcPr>
          <w:p w14:paraId="6F105557">
            <w:pPr>
              <w:adjustRightInd w:val="0"/>
              <w:snapToGrid w:val="0"/>
              <w:spacing w:line="360" w:lineRule="exact"/>
              <w:jc w:val="center"/>
              <w:textAlignment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14:paraId="1DAC317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未经海事管理机构同意设置、撤除专用航标，移动专用航标位置或者改变航标灯光、功率等其他状况，或者临时航标不符合海事管理机构确定的航标设置点</w:t>
            </w:r>
          </w:p>
        </w:tc>
      </w:tr>
      <w:tr w14:paraId="770F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0541A66F">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112</w:t>
            </w:r>
          </w:p>
        </w:tc>
        <w:tc>
          <w:tcPr>
            <w:tcW w:w="2556" w:type="dxa"/>
            <w:vAlign w:val="center"/>
          </w:tcPr>
          <w:p w14:paraId="6FF3F097">
            <w:pPr>
              <w:adjustRightInd w:val="0"/>
              <w:snapToGrid w:val="0"/>
              <w:spacing w:line="360" w:lineRule="exact"/>
              <w:jc w:val="center"/>
              <w:rPr>
                <w:rFonts w:ascii="仿宋" w:hAnsi="仿宋" w:eastAsia="仿宋" w:cs="仿宋"/>
                <w:kern w:val="0"/>
                <w:sz w:val="28"/>
                <w:szCs w:val="28"/>
              </w:rPr>
            </w:pPr>
            <w:r>
              <w:rPr>
                <w:rFonts w:hint="eastAsia" w:ascii="仿宋" w:hAnsi="仿宋" w:eastAsia="仿宋"/>
                <w:spacing w:val="-6"/>
                <w:sz w:val="28"/>
                <w:szCs w:val="28"/>
              </w:rPr>
              <w:t>航标管理</w:t>
            </w:r>
          </w:p>
        </w:tc>
        <w:tc>
          <w:tcPr>
            <w:tcW w:w="15451" w:type="dxa"/>
            <w:vAlign w:val="center"/>
          </w:tcPr>
          <w:p w14:paraId="1E5E869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船舶违反规定，触碰航标不报告</w:t>
            </w:r>
          </w:p>
        </w:tc>
      </w:tr>
      <w:tr w14:paraId="5D6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dxa"/>
            <w:vAlign w:val="bottom"/>
          </w:tcPr>
          <w:p w14:paraId="6E6B3F42">
            <w:pPr>
              <w:widowControl/>
              <w:spacing w:line="360" w:lineRule="exact"/>
              <w:jc w:val="center"/>
              <w:textAlignment w:val="bottom"/>
              <w:rPr>
                <w:rFonts w:ascii="仿宋" w:hAnsi="仿宋" w:eastAsia="仿宋"/>
                <w:spacing w:val="-6"/>
                <w:sz w:val="28"/>
                <w:szCs w:val="28"/>
              </w:rPr>
            </w:pPr>
            <w:r>
              <w:rPr>
                <w:rFonts w:hint="eastAsia" w:ascii="仿宋" w:hAnsi="仿宋" w:eastAsia="仿宋" w:cs="仿宋_GB2312"/>
                <w:kern w:val="0"/>
                <w:sz w:val="28"/>
                <w:szCs w:val="28"/>
              </w:rPr>
              <w:t>113</w:t>
            </w:r>
          </w:p>
        </w:tc>
        <w:tc>
          <w:tcPr>
            <w:tcW w:w="2556" w:type="dxa"/>
            <w:vAlign w:val="center"/>
          </w:tcPr>
          <w:p w14:paraId="72327FB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航标管理</w:t>
            </w:r>
          </w:p>
        </w:tc>
        <w:tc>
          <w:tcPr>
            <w:tcW w:w="15451" w:type="dxa"/>
            <w:vAlign w:val="center"/>
          </w:tcPr>
          <w:p w14:paraId="3D95242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建设海洋工程、海岸工程未按规定设置专用航标</w:t>
            </w:r>
          </w:p>
        </w:tc>
      </w:tr>
    </w:tbl>
    <w:p w14:paraId="014A104C">
      <w:pPr>
        <w:rPr>
          <w:rFonts w:ascii="宋体"/>
          <w:szCs w:val="32"/>
        </w:rPr>
      </w:pPr>
      <w:r>
        <w:rPr>
          <w:rFonts w:hint="eastAsia" w:ascii="宋体"/>
          <w:szCs w:val="32"/>
        </w:rPr>
        <w:br w:type="page"/>
      </w:r>
    </w:p>
    <w:p w14:paraId="0FBE7438">
      <w:pPr>
        <w:adjustRightInd w:val="0"/>
        <w:snapToGrid w:val="0"/>
        <w:jc w:val="center"/>
        <w:rPr>
          <w:rFonts w:hAnsi="仿宋_GB2312" w:eastAsia="仿宋_GB2312" w:cs="仿宋_GB2312"/>
          <w:sz w:val="32"/>
          <w:szCs w:val="32"/>
        </w:rPr>
      </w:pPr>
      <w:r>
        <w:rPr>
          <w:rFonts w:hint="eastAsia" w:ascii="宋体"/>
          <w:b/>
          <w:bCs/>
          <w:sz w:val="44"/>
          <w:szCs w:val="44"/>
        </w:rPr>
        <w:t>（二）常见海上海事行政处罚裁量基准使用说明</w:t>
      </w:r>
    </w:p>
    <w:p w14:paraId="6FD8E83F">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一、基准表中“案由”直接援引法条或根据法条进行表述。</w:t>
      </w:r>
    </w:p>
    <w:p w14:paraId="035F433B">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二、基准表中“法定幅度和种类”引用的法律、法规和规章中，“以上”和“以下”的含义为其在对应的法律法规和规章中的含义。</w:t>
      </w:r>
    </w:p>
    <w:p w14:paraId="23BE3DB3">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三、基准表中所列仅为海事管理常见违法行为及处罚依据，并未包括所有违法行为和处罚依据。涉及到基准表以外的违法行为，仍然需要依法进行处罚。</w:t>
      </w:r>
    </w:p>
    <w:p w14:paraId="3F87E72D">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四、基准表中“一般等级以上事故”包括一般等级事故。“小事故”指的是《水上交通事故统计办法》第二十九条规定“一般事故等级中没有造成人员伤亡且直接经济损失小于100万的小事故（停航7日以上的搁浅事故除外）”。</w:t>
      </w:r>
    </w:p>
    <w:p w14:paraId="1EA3F635">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五、基准表中“较重情节”和“严重情节”如没有直接规定，裁量原则按照《海事行政处罚实施细则》相关条款执行。</w:t>
      </w:r>
    </w:p>
    <w:p w14:paraId="00EFBB6B">
      <w:pPr>
        <w:adjustRightInd w:val="0"/>
        <w:snapToGrid w:val="0"/>
        <w:ind w:firstLine="640" w:firstLineChars="200"/>
        <w:jc w:val="left"/>
        <w:rPr>
          <w:rFonts w:ascii="方正小标宋简体" w:hAnsi="方正小标宋简体" w:eastAsia="方正小标宋简体" w:cs="方正小标宋简体"/>
          <w:sz w:val="44"/>
          <w:szCs w:val="44"/>
        </w:rPr>
      </w:pPr>
      <w:r>
        <w:rPr>
          <w:rFonts w:hint="eastAsia" w:hAnsi="仿宋_GB2312" w:eastAsia="仿宋_GB2312" w:cs="仿宋_GB2312"/>
          <w:sz w:val="32"/>
          <w:szCs w:val="32"/>
        </w:rPr>
        <w:t>六、基准表中“险情”是指海上险情，即对海上生命安全、水域环境构成威胁，需立即采取措施规避、控制、减轻和消除的各种情形。</w:t>
      </w:r>
      <w:r>
        <w:rPr>
          <w:rFonts w:hint="eastAsia" w:ascii="方正小标宋简体" w:hAnsi="方正小标宋简体" w:eastAsia="方正小标宋简体" w:cs="方正小标宋简体"/>
          <w:sz w:val="44"/>
          <w:szCs w:val="44"/>
        </w:rPr>
        <w:br w:type="page"/>
      </w:r>
    </w:p>
    <w:p w14:paraId="3364C555">
      <w:pPr>
        <w:jc w:val="center"/>
        <w:rPr>
          <w:rFonts w:ascii="宋体"/>
          <w:b/>
          <w:bCs/>
          <w:sz w:val="44"/>
          <w:szCs w:val="44"/>
        </w:rPr>
      </w:pPr>
      <w:r>
        <w:rPr>
          <w:rFonts w:hint="eastAsia" w:ascii="宋体"/>
          <w:b/>
          <w:bCs/>
          <w:sz w:val="44"/>
          <w:szCs w:val="44"/>
        </w:rPr>
        <w:t>（三）常见海上海事违法行为行政处罚裁量基准</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560"/>
        <w:gridCol w:w="1842"/>
        <w:gridCol w:w="1843"/>
        <w:gridCol w:w="6379"/>
        <w:gridCol w:w="6662"/>
      </w:tblGrid>
      <w:tr w14:paraId="557A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5" w:hRule="atLeast"/>
        </w:trPr>
        <w:tc>
          <w:tcPr>
            <w:tcW w:w="1191" w:type="dxa"/>
            <w:vMerge w:val="restart"/>
            <w:vAlign w:val="center"/>
          </w:tcPr>
          <w:p w14:paraId="2D16F92B">
            <w:pPr>
              <w:jc w:val="center"/>
              <w:rPr>
                <w:rFonts w:ascii="宋体"/>
                <w:b/>
                <w:kern w:val="0"/>
              </w:rPr>
            </w:pPr>
            <w:r>
              <w:rPr>
                <w:rFonts w:hint="eastAsia" w:ascii="宋体"/>
                <w:b/>
                <w:kern w:val="0"/>
              </w:rPr>
              <w:t>案由1</w:t>
            </w:r>
          </w:p>
        </w:tc>
        <w:tc>
          <w:tcPr>
            <w:tcW w:w="3402" w:type="dxa"/>
            <w:gridSpan w:val="2"/>
            <w:vAlign w:val="center"/>
          </w:tcPr>
          <w:p w14:paraId="4F30503D">
            <w:pPr>
              <w:jc w:val="center"/>
              <w:rPr>
                <w:rFonts w:ascii="宋体"/>
                <w:b/>
                <w:kern w:val="0"/>
              </w:rPr>
            </w:pPr>
            <w:r>
              <w:rPr>
                <w:rFonts w:hint="eastAsia" w:ascii="宋体"/>
                <w:b/>
                <w:kern w:val="0"/>
              </w:rPr>
              <w:t>法律依据</w:t>
            </w:r>
          </w:p>
        </w:tc>
        <w:tc>
          <w:tcPr>
            <w:tcW w:w="1843" w:type="dxa"/>
            <w:vMerge w:val="restart"/>
            <w:vAlign w:val="center"/>
          </w:tcPr>
          <w:p w14:paraId="0C7DAA09">
            <w:pPr>
              <w:jc w:val="center"/>
              <w:rPr>
                <w:rFonts w:ascii="宋体"/>
                <w:b/>
                <w:kern w:val="0"/>
              </w:rPr>
            </w:pPr>
            <w:r>
              <w:rPr>
                <w:rFonts w:hint="eastAsia" w:ascii="宋体"/>
                <w:b/>
                <w:kern w:val="0"/>
              </w:rPr>
              <w:t>违法情节</w:t>
            </w:r>
          </w:p>
        </w:tc>
        <w:tc>
          <w:tcPr>
            <w:tcW w:w="6379" w:type="dxa"/>
            <w:vMerge w:val="restart"/>
            <w:vAlign w:val="center"/>
          </w:tcPr>
          <w:p w14:paraId="008A3F9C">
            <w:pPr>
              <w:jc w:val="center"/>
              <w:rPr>
                <w:rFonts w:ascii="宋体"/>
                <w:b/>
                <w:kern w:val="0"/>
              </w:rPr>
            </w:pPr>
            <w:r>
              <w:rPr>
                <w:rFonts w:hint="eastAsia" w:ascii="宋体"/>
                <w:b/>
                <w:kern w:val="0"/>
              </w:rPr>
              <w:t>主要考虑因素（事实、性质、情节、危害程度和实际后果等）</w:t>
            </w:r>
          </w:p>
        </w:tc>
        <w:tc>
          <w:tcPr>
            <w:tcW w:w="6662" w:type="dxa"/>
            <w:vAlign w:val="center"/>
          </w:tcPr>
          <w:p w14:paraId="6286B26E">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14:paraId="2BDC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14:paraId="282EB90F">
            <w:pPr>
              <w:jc w:val="left"/>
              <w:rPr>
                <w:rFonts w:ascii="宋体"/>
                <w:b/>
                <w:kern w:val="0"/>
              </w:rPr>
            </w:pPr>
          </w:p>
        </w:tc>
        <w:tc>
          <w:tcPr>
            <w:tcW w:w="1560" w:type="dxa"/>
            <w:tcBorders>
              <w:bottom w:val="single" w:color="000000" w:sz="4" w:space="0"/>
            </w:tcBorders>
            <w:vAlign w:val="center"/>
          </w:tcPr>
          <w:p w14:paraId="018FF73F">
            <w:pPr>
              <w:jc w:val="center"/>
              <w:rPr>
                <w:rFonts w:ascii="宋体"/>
                <w:b/>
                <w:kern w:val="0"/>
              </w:rPr>
            </w:pPr>
            <w:r>
              <w:rPr>
                <w:rFonts w:hint="eastAsia" w:ascii="宋体"/>
                <w:b/>
                <w:kern w:val="0"/>
              </w:rPr>
              <w:t>违反条款</w:t>
            </w:r>
          </w:p>
        </w:tc>
        <w:tc>
          <w:tcPr>
            <w:tcW w:w="1842" w:type="dxa"/>
            <w:tcBorders>
              <w:bottom w:val="single" w:color="000000" w:sz="4" w:space="0"/>
            </w:tcBorders>
            <w:vAlign w:val="center"/>
          </w:tcPr>
          <w:p w14:paraId="6BDA60E7">
            <w:pPr>
              <w:jc w:val="center"/>
              <w:rPr>
                <w:rFonts w:ascii="宋体"/>
                <w:b/>
                <w:kern w:val="0"/>
              </w:rPr>
            </w:pPr>
            <w:r>
              <w:rPr>
                <w:rFonts w:hint="eastAsia" w:ascii="宋体"/>
                <w:b/>
                <w:kern w:val="0"/>
              </w:rPr>
              <w:t>处罚依据</w:t>
            </w:r>
          </w:p>
        </w:tc>
        <w:tc>
          <w:tcPr>
            <w:tcW w:w="1843" w:type="dxa"/>
            <w:vMerge w:val="continue"/>
            <w:tcBorders>
              <w:bottom w:val="single" w:color="000000" w:sz="4" w:space="0"/>
            </w:tcBorders>
            <w:vAlign w:val="center"/>
          </w:tcPr>
          <w:p w14:paraId="724BEE0E">
            <w:pPr>
              <w:jc w:val="left"/>
              <w:rPr>
                <w:rFonts w:ascii="宋体"/>
                <w:b/>
                <w:kern w:val="0"/>
              </w:rPr>
            </w:pPr>
          </w:p>
        </w:tc>
        <w:tc>
          <w:tcPr>
            <w:tcW w:w="6379" w:type="dxa"/>
            <w:vMerge w:val="continue"/>
            <w:tcBorders>
              <w:bottom w:val="single" w:color="000000" w:sz="4" w:space="0"/>
            </w:tcBorders>
            <w:vAlign w:val="center"/>
          </w:tcPr>
          <w:p w14:paraId="09D5425C">
            <w:pPr>
              <w:jc w:val="left"/>
              <w:rPr>
                <w:rFonts w:ascii="宋体"/>
                <w:b/>
                <w:kern w:val="0"/>
              </w:rPr>
            </w:pPr>
          </w:p>
        </w:tc>
        <w:tc>
          <w:tcPr>
            <w:tcW w:w="6662" w:type="dxa"/>
            <w:tcBorders>
              <w:top w:val="single" w:color="auto" w:sz="4" w:space="0"/>
              <w:bottom w:val="single" w:color="auto" w:sz="4" w:space="0"/>
              <w:right w:val="single" w:color="auto" w:sz="4" w:space="0"/>
            </w:tcBorders>
            <w:vAlign w:val="center"/>
          </w:tcPr>
          <w:p w14:paraId="10492D04">
            <w:pPr>
              <w:jc w:val="center"/>
              <w:rPr>
                <w:rFonts w:ascii="宋体"/>
                <w:b/>
                <w:kern w:val="0"/>
              </w:rPr>
            </w:pPr>
            <w:r>
              <w:rPr>
                <w:rFonts w:hint="eastAsia" w:ascii="宋体"/>
                <w:b/>
                <w:kern w:val="0"/>
              </w:rPr>
              <w:t>【对象】</w:t>
            </w:r>
            <w:r>
              <w:rPr>
                <w:rFonts w:hint="eastAsia" w:ascii="宋体"/>
                <w:b/>
              </w:rPr>
              <w:t>海洋工程、海岸工程的建设单位、所有人或者经营</w:t>
            </w:r>
            <w:r>
              <w:rPr>
                <w:rFonts w:hint="eastAsia" w:ascii="宋体"/>
                <w:b/>
                <w:kern w:val="0"/>
              </w:rPr>
              <w:t>人</w:t>
            </w:r>
          </w:p>
        </w:tc>
      </w:tr>
      <w:tr w14:paraId="40611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14:paraId="3B8A7285">
            <w:pPr>
              <w:widowControl/>
              <w:jc w:val="left"/>
              <w:rPr>
                <w:rFonts w:ascii="宋体"/>
                <w:kern w:val="0"/>
              </w:rPr>
            </w:pPr>
            <w:r>
              <w:rPr>
                <w:rFonts w:hint="eastAsia" w:ascii="宋体"/>
                <w:kern w:val="0"/>
              </w:rPr>
              <w:t>建设海洋工程、海岸工程未按规定配备相应的防止船舶碰撞的设施、设备</w:t>
            </w:r>
          </w:p>
        </w:tc>
        <w:tc>
          <w:tcPr>
            <w:tcW w:w="1560" w:type="dxa"/>
            <w:vMerge w:val="restart"/>
            <w:vAlign w:val="center"/>
          </w:tcPr>
          <w:p w14:paraId="60B5D506">
            <w:pPr>
              <w:widowControl/>
              <w:rPr>
                <w:rFonts w:ascii="宋体"/>
                <w:kern w:val="0"/>
              </w:rPr>
            </w:pPr>
            <w:r>
              <w:rPr>
                <w:rFonts w:hint="eastAsia" w:ascii="宋体"/>
                <w:kern w:val="0"/>
              </w:rPr>
              <w:t>1.《中华人民共和国海上交通安全法》第二十条；</w:t>
            </w:r>
          </w:p>
          <w:p w14:paraId="5A978A13">
            <w:pPr>
              <w:widowControl/>
              <w:rPr>
                <w:rFonts w:ascii="宋体"/>
              </w:rPr>
            </w:pPr>
            <w:r>
              <w:rPr>
                <w:rFonts w:hint="eastAsia" w:ascii="宋体"/>
              </w:rPr>
              <w:t>2.其他法律、法规、规章等。</w:t>
            </w:r>
          </w:p>
        </w:tc>
        <w:tc>
          <w:tcPr>
            <w:tcW w:w="1842" w:type="dxa"/>
            <w:vMerge w:val="restart"/>
            <w:vAlign w:val="center"/>
          </w:tcPr>
          <w:p w14:paraId="3EC41C11">
            <w:pPr>
              <w:jc w:val="left"/>
              <w:rPr>
                <w:rFonts w:ascii="宋体"/>
                <w:kern w:val="0"/>
              </w:rPr>
            </w:pPr>
            <w:r>
              <w:rPr>
                <w:rFonts w:hint="eastAsia" w:ascii="宋体"/>
                <w:kern w:val="0"/>
              </w:rPr>
              <w:t>1.《中华人民共和国海上交通安全法》第一百条第（一）项、《中华人民共和国海上海事行政处罚规定》第十九条第（一）项；</w:t>
            </w:r>
          </w:p>
          <w:p w14:paraId="18DF22F5">
            <w:pPr>
              <w:jc w:val="left"/>
              <w:rPr>
                <w:rFonts w:ascii="宋体"/>
                <w:kern w:val="0"/>
              </w:rPr>
            </w:pPr>
            <w:r>
              <w:rPr>
                <w:rFonts w:hint="eastAsia" w:ascii="宋体"/>
                <w:kern w:val="0"/>
              </w:rPr>
              <w:t>2. 《中华人民共和国海上海事行政处罚规定》第七条。</w:t>
            </w:r>
          </w:p>
        </w:tc>
        <w:tc>
          <w:tcPr>
            <w:tcW w:w="1843" w:type="dxa"/>
            <w:vAlign w:val="center"/>
          </w:tcPr>
          <w:p w14:paraId="78A56AA4">
            <w:pPr>
              <w:jc w:val="center"/>
              <w:rPr>
                <w:rFonts w:ascii="宋体"/>
                <w:kern w:val="0"/>
              </w:rPr>
            </w:pPr>
            <w:r>
              <w:rPr>
                <w:rFonts w:hint="eastAsia" w:ascii="宋体"/>
                <w:kern w:val="0"/>
              </w:rPr>
              <w:t>从轻</w:t>
            </w:r>
          </w:p>
        </w:tc>
        <w:tc>
          <w:tcPr>
            <w:tcW w:w="6379" w:type="dxa"/>
            <w:vAlign w:val="center"/>
          </w:tcPr>
          <w:p w14:paraId="07E1CB35">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tcBorders>
              <w:right w:val="single" w:color="auto" w:sz="4" w:space="0"/>
            </w:tcBorders>
            <w:vAlign w:val="center"/>
          </w:tcPr>
          <w:p w14:paraId="56096EBC">
            <w:pPr>
              <w:jc w:val="center"/>
              <w:rPr>
                <w:rFonts w:ascii="宋体"/>
                <w:kern w:val="0"/>
              </w:rPr>
            </w:pPr>
            <w:r>
              <w:rPr>
                <w:rFonts w:hint="eastAsia" w:ascii="宋体"/>
              </w:rPr>
              <w:t>责令改正</w:t>
            </w:r>
          </w:p>
        </w:tc>
      </w:tr>
      <w:tr w14:paraId="6B34A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9" w:hRule="atLeast"/>
        </w:trPr>
        <w:tc>
          <w:tcPr>
            <w:tcW w:w="1191" w:type="dxa"/>
            <w:vMerge w:val="continue"/>
            <w:vAlign w:val="center"/>
          </w:tcPr>
          <w:p w14:paraId="16612E54">
            <w:pPr>
              <w:jc w:val="left"/>
              <w:rPr>
                <w:rFonts w:ascii="宋体"/>
                <w:kern w:val="0"/>
              </w:rPr>
            </w:pPr>
          </w:p>
        </w:tc>
        <w:tc>
          <w:tcPr>
            <w:tcW w:w="1560" w:type="dxa"/>
            <w:vMerge w:val="continue"/>
            <w:vAlign w:val="center"/>
          </w:tcPr>
          <w:p w14:paraId="66CC5A05">
            <w:pPr>
              <w:widowControl/>
              <w:jc w:val="left"/>
              <w:rPr>
                <w:rFonts w:ascii="宋体"/>
                <w:kern w:val="0"/>
              </w:rPr>
            </w:pPr>
          </w:p>
        </w:tc>
        <w:tc>
          <w:tcPr>
            <w:tcW w:w="1842" w:type="dxa"/>
            <w:vMerge w:val="continue"/>
            <w:vAlign w:val="center"/>
          </w:tcPr>
          <w:p w14:paraId="43FD4C91">
            <w:pPr>
              <w:jc w:val="left"/>
              <w:rPr>
                <w:rFonts w:ascii="宋体"/>
                <w:kern w:val="0"/>
              </w:rPr>
            </w:pPr>
          </w:p>
        </w:tc>
        <w:tc>
          <w:tcPr>
            <w:tcW w:w="1843" w:type="dxa"/>
            <w:vAlign w:val="center"/>
          </w:tcPr>
          <w:p w14:paraId="6B83F4AD">
            <w:pPr>
              <w:jc w:val="center"/>
              <w:rPr>
                <w:rFonts w:ascii="宋体"/>
                <w:kern w:val="0"/>
              </w:rPr>
            </w:pPr>
            <w:r>
              <w:rPr>
                <w:rFonts w:hint="eastAsia" w:ascii="宋体"/>
                <w:kern w:val="0"/>
              </w:rPr>
              <w:t>一般</w:t>
            </w:r>
          </w:p>
        </w:tc>
        <w:tc>
          <w:tcPr>
            <w:tcW w:w="6379" w:type="dxa"/>
            <w:vAlign w:val="center"/>
          </w:tcPr>
          <w:p w14:paraId="5A38025B">
            <w:pPr>
              <w:pStyle w:val="13"/>
              <w:jc w:val="left"/>
              <w:rPr>
                <w:rFonts w:ascii="宋体"/>
              </w:rPr>
            </w:pPr>
            <w:r>
              <w:rPr>
                <w:rFonts w:hint="eastAsia" w:ascii="宋体"/>
              </w:rPr>
              <w:t>配备的防止船舶碰撞的设施、设备不符合相关规定要求，且按责令改正的期限改正的；</w:t>
            </w:r>
          </w:p>
        </w:tc>
        <w:tc>
          <w:tcPr>
            <w:tcW w:w="6662" w:type="dxa"/>
            <w:tcBorders>
              <w:right w:val="single" w:color="auto" w:sz="4" w:space="0"/>
            </w:tcBorders>
            <w:vAlign w:val="center"/>
          </w:tcPr>
          <w:p w14:paraId="1D7D0123">
            <w:pPr>
              <w:jc w:val="center"/>
              <w:rPr>
                <w:rFonts w:ascii="宋体"/>
                <w:kern w:val="0"/>
              </w:rPr>
            </w:pPr>
            <w:r>
              <w:rPr>
                <w:rFonts w:hint="eastAsia" w:ascii="宋体"/>
              </w:rPr>
              <w:t>责令改正</w:t>
            </w:r>
          </w:p>
        </w:tc>
      </w:tr>
      <w:tr w14:paraId="2580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8" w:hRule="atLeast"/>
        </w:trPr>
        <w:tc>
          <w:tcPr>
            <w:tcW w:w="1191" w:type="dxa"/>
            <w:vMerge w:val="continue"/>
            <w:vAlign w:val="center"/>
          </w:tcPr>
          <w:p w14:paraId="308E6CD0">
            <w:pPr>
              <w:jc w:val="left"/>
              <w:rPr>
                <w:rFonts w:ascii="宋体"/>
                <w:kern w:val="0"/>
              </w:rPr>
            </w:pPr>
          </w:p>
        </w:tc>
        <w:tc>
          <w:tcPr>
            <w:tcW w:w="1560" w:type="dxa"/>
            <w:vMerge w:val="continue"/>
            <w:vAlign w:val="center"/>
          </w:tcPr>
          <w:p w14:paraId="648E099E">
            <w:pPr>
              <w:jc w:val="left"/>
              <w:rPr>
                <w:rFonts w:ascii="宋体"/>
                <w:kern w:val="0"/>
              </w:rPr>
            </w:pPr>
          </w:p>
        </w:tc>
        <w:tc>
          <w:tcPr>
            <w:tcW w:w="1842" w:type="dxa"/>
            <w:vMerge w:val="continue"/>
            <w:vAlign w:val="center"/>
          </w:tcPr>
          <w:p w14:paraId="2AC04832">
            <w:pPr>
              <w:jc w:val="left"/>
              <w:rPr>
                <w:rFonts w:ascii="宋体"/>
                <w:kern w:val="0"/>
              </w:rPr>
            </w:pPr>
          </w:p>
        </w:tc>
        <w:tc>
          <w:tcPr>
            <w:tcW w:w="1843" w:type="dxa"/>
            <w:vMerge w:val="restart"/>
            <w:vAlign w:val="center"/>
          </w:tcPr>
          <w:p w14:paraId="7F187BE8">
            <w:pPr>
              <w:pStyle w:val="13"/>
              <w:jc w:val="center"/>
              <w:rPr>
                <w:rFonts w:ascii="宋体"/>
              </w:rPr>
            </w:pPr>
            <w:r>
              <w:rPr>
                <w:rFonts w:hint="eastAsia" w:ascii="宋体"/>
              </w:rPr>
              <w:t>情节严重</w:t>
            </w:r>
          </w:p>
        </w:tc>
        <w:tc>
          <w:tcPr>
            <w:tcW w:w="6379" w:type="dxa"/>
            <w:tcBorders>
              <w:top w:val="single" w:color="auto" w:sz="4" w:space="0"/>
              <w:left w:val="single" w:color="auto" w:sz="4" w:space="0"/>
              <w:bottom w:val="single" w:color="auto" w:sz="4" w:space="0"/>
            </w:tcBorders>
            <w:vAlign w:val="center"/>
          </w:tcPr>
          <w:p w14:paraId="3F12CEBC">
            <w:pPr>
              <w:pStyle w:val="13"/>
              <w:jc w:val="left"/>
              <w:rPr>
                <w:rFonts w:ascii="宋体"/>
              </w:rPr>
            </w:pPr>
            <w:r>
              <w:rPr>
                <w:rFonts w:hint="eastAsia" w:ascii="宋体"/>
              </w:rPr>
              <w:t>未配备相应的防止船舶碰撞的设施、设备造成小事故或险情的</w:t>
            </w:r>
          </w:p>
        </w:tc>
        <w:tc>
          <w:tcPr>
            <w:tcW w:w="6662" w:type="dxa"/>
            <w:tcBorders>
              <w:top w:val="single" w:color="auto" w:sz="4" w:space="0"/>
              <w:right w:val="single" w:color="auto" w:sz="4" w:space="0"/>
            </w:tcBorders>
            <w:vAlign w:val="center"/>
          </w:tcPr>
          <w:p w14:paraId="183423F7">
            <w:pPr>
              <w:jc w:val="center"/>
              <w:rPr>
                <w:rFonts w:ascii="宋体"/>
                <w:kern w:val="0"/>
              </w:rPr>
            </w:pPr>
            <w:r>
              <w:rPr>
                <w:rFonts w:hint="eastAsia" w:ascii="宋体"/>
              </w:rPr>
              <w:t>3-5万元</w:t>
            </w:r>
          </w:p>
        </w:tc>
      </w:tr>
      <w:tr w14:paraId="37DBC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31" w:hRule="atLeast"/>
        </w:trPr>
        <w:tc>
          <w:tcPr>
            <w:tcW w:w="1191" w:type="dxa"/>
            <w:vMerge w:val="continue"/>
            <w:vAlign w:val="center"/>
          </w:tcPr>
          <w:p w14:paraId="6EB11874">
            <w:pPr>
              <w:jc w:val="left"/>
              <w:rPr>
                <w:rFonts w:ascii="宋体"/>
                <w:kern w:val="0"/>
              </w:rPr>
            </w:pPr>
          </w:p>
        </w:tc>
        <w:tc>
          <w:tcPr>
            <w:tcW w:w="1560" w:type="dxa"/>
            <w:vMerge w:val="continue"/>
            <w:vAlign w:val="center"/>
          </w:tcPr>
          <w:p w14:paraId="3557286C">
            <w:pPr>
              <w:jc w:val="left"/>
              <w:rPr>
                <w:rFonts w:ascii="宋体"/>
                <w:kern w:val="0"/>
              </w:rPr>
            </w:pPr>
          </w:p>
        </w:tc>
        <w:tc>
          <w:tcPr>
            <w:tcW w:w="1842" w:type="dxa"/>
            <w:vMerge w:val="continue"/>
            <w:vAlign w:val="center"/>
          </w:tcPr>
          <w:p w14:paraId="739B22BE">
            <w:pPr>
              <w:jc w:val="left"/>
              <w:rPr>
                <w:rFonts w:ascii="宋体"/>
                <w:kern w:val="0"/>
              </w:rPr>
            </w:pPr>
          </w:p>
        </w:tc>
        <w:tc>
          <w:tcPr>
            <w:tcW w:w="1843" w:type="dxa"/>
            <w:vMerge w:val="continue"/>
            <w:vAlign w:val="center"/>
          </w:tcPr>
          <w:p w14:paraId="4658B159">
            <w:pPr>
              <w:jc w:val="left"/>
              <w:rPr>
                <w:rFonts w:ascii="宋体"/>
                <w:kern w:val="0"/>
              </w:rPr>
            </w:pPr>
          </w:p>
        </w:tc>
        <w:tc>
          <w:tcPr>
            <w:tcW w:w="6379" w:type="dxa"/>
            <w:tcBorders>
              <w:top w:val="single" w:color="auto" w:sz="4" w:space="0"/>
              <w:left w:val="single" w:color="auto" w:sz="4" w:space="0"/>
              <w:bottom w:val="single" w:color="auto" w:sz="4" w:space="0"/>
            </w:tcBorders>
            <w:vAlign w:val="center"/>
          </w:tcPr>
          <w:p w14:paraId="4A140821">
            <w:pPr>
              <w:numPr>
                <w:ilvl w:val="0"/>
                <w:numId w:val="1"/>
              </w:numPr>
              <w:jc w:val="left"/>
              <w:rPr>
                <w:rFonts w:ascii="宋体"/>
                <w:kern w:val="0"/>
              </w:rPr>
            </w:pPr>
            <w:r>
              <w:rPr>
                <w:rFonts w:hint="eastAsia" w:ascii="宋体"/>
                <w:kern w:val="0"/>
              </w:rPr>
              <w:t>未配备相应的防止船舶碰撞的设施、设备</w:t>
            </w:r>
            <w:r>
              <w:rPr>
                <w:rFonts w:hint="eastAsia" w:ascii="宋体"/>
              </w:rPr>
              <w:t>造成一般等级以上事故</w:t>
            </w:r>
            <w:r>
              <w:rPr>
                <w:rFonts w:hint="eastAsia" w:ascii="宋体"/>
                <w:kern w:val="0"/>
              </w:rPr>
              <w:t>的；</w:t>
            </w:r>
          </w:p>
          <w:p w14:paraId="129933DC">
            <w:pPr>
              <w:numPr>
                <w:ilvl w:val="0"/>
                <w:numId w:val="1"/>
              </w:numPr>
              <w:jc w:val="left"/>
              <w:rPr>
                <w:rFonts w:ascii="宋体"/>
                <w:kern w:val="0"/>
              </w:rPr>
            </w:pPr>
            <w:r>
              <w:rPr>
                <w:rFonts w:hint="eastAsia" w:ascii="宋体"/>
                <w:kern w:val="0"/>
              </w:rPr>
              <w:t>未按期改正的；</w:t>
            </w:r>
          </w:p>
          <w:p w14:paraId="433DA075">
            <w:pPr>
              <w:jc w:val="left"/>
              <w:rPr>
                <w:rFonts w:ascii="宋体"/>
                <w:kern w:val="0"/>
              </w:rPr>
            </w:pPr>
            <w:r>
              <w:rPr>
                <w:rFonts w:hint="eastAsia" w:ascii="宋体"/>
                <w:kern w:val="0"/>
              </w:rPr>
              <w:t>3.具有其他严重情节的。</w:t>
            </w:r>
          </w:p>
        </w:tc>
        <w:tc>
          <w:tcPr>
            <w:tcW w:w="6662" w:type="dxa"/>
            <w:tcBorders>
              <w:right w:val="single" w:color="auto" w:sz="4" w:space="0"/>
            </w:tcBorders>
            <w:vAlign w:val="center"/>
          </w:tcPr>
          <w:p w14:paraId="21E77809">
            <w:pPr>
              <w:jc w:val="center"/>
              <w:rPr>
                <w:rFonts w:ascii="宋体"/>
                <w:kern w:val="0"/>
              </w:rPr>
            </w:pPr>
            <w:r>
              <w:rPr>
                <w:rFonts w:hint="eastAsia" w:ascii="宋体"/>
              </w:rPr>
              <w:t>5-10万元</w:t>
            </w:r>
          </w:p>
        </w:tc>
      </w:tr>
    </w:tbl>
    <w:p w14:paraId="1BE712D2">
      <w:pPr>
        <w:rPr>
          <w:rFonts w:ascii="宋体"/>
        </w:rPr>
      </w:pPr>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843"/>
        <w:gridCol w:w="2126"/>
        <w:gridCol w:w="2268"/>
        <w:gridCol w:w="6663"/>
        <w:gridCol w:w="5528"/>
      </w:tblGrid>
      <w:tr w14:paraId="06B42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191" w:type="dxa"/>
            <w:vMerge w:val="restart"/>
            <w:vAlign w:val="center"/>
          </w:tcPr>
          <w:p w14:paraId="66063600">
            <w:pPr>
              <w:jc w:val="left"/>
              <w:rPr>
                <w:rFonts w:ascii="宋体"/>
                <w:b/>
                <w:kern w:val="0"/>
              </w:rPr>
            </w:pPr>
            <w:r>
              <w:rPr>
                <w:rFonts w:hint="eastAsia" w:ascii="宋体"/>
                <w:b/>
                <w:kern w:val="0"/>
              </w:rPr>
              <w:t>案由2</w:t>
            </w:r>
          </w:p>
        </w:tc>
        <w:tc>
          <w:tcPr>
            <w:tcW w:w="3969" w:type="dxa"/>
            <w:gridSpan w:val="2"/>
            <w:vAlign w:val="center"/>
          </w:tcPr>
          <w:p w14:paraId="7E8AE14E">
            <w:pPr>
              <w:jc w:val="center"/>
              <w:rPr>
                <w:rFonts w:ascii="宋体"/>
                <w:b/>
                <w:kern w:val="0"/>
              </w:rPr>
            </w:pPr>
            <w:r>
              <w:rPr>
                <w:rFonts w:hint="eastAsia" w:ascii="宋体"/>
                <w:b/>
                <w:kern w:val="0"/>
              </w:rPr>
              <w:t>法律依据</w:t>
            </w:r>
          </w:p>
        </w:tc>
        <w:tc>
          <w:tcPr>
            <w:tcW w:w="2268" w:type="dxa"/>
            <w:vMerge w:val="restart"/>
            <w:vAlign w:val="center"/>
          </w:tcPr>
          <w:p w14:paraId="010FF42E">
            <w:pPr>
              <w:jc w:val="center"/>
              <w:rPr>
                <w:rFonts w:ascii="宋体"/>
                <w:b/>
                <w:kern w:val="0"/>
              </w:rPr>
            </w:pPr>
            <w:r>
              <w:rPr>
                <w:rFonts w:hint="eastAsia" w:ascii="宋体"/>
                <w:b/>
                <w:kern w:val="0"/>
              </w:rPr>
              <w:t>违法情节</w:t>
            </w:r>
          </w:p>
        </w:tc>
        <w:tc>
          <w:tcPr>
            <w:tcW w:w="6663" w:type="dxa"/>
            <w:vMerge w:val="restart"/>
            <w:vAlign w:val="center"/>
          </w:tcPr>
          <w:p w14:paraId="00D8B39D">
            <w:pPr>
              <w:jc w:val="center"/>
              <w:rPr>
                <w:rFonts w:ascii="宋体"/>
                <w:b/>
                <w:kern w:val="0"/>
              </w:rPr>
            </w:pPr>
            <w:r>
              <w:rPr>
                <w:rFonts w:hint="eastAsia" w:ascii="宋体"/>
                <w:b/>
                <w:kern w:val="0"/>
              </w:rPr>
              <w:t>主要考虑因素（事实、性质、情节、危害程度和实际后果等）</w:t>
            </w:r>
          </w:p>
        </w:tc>
        <w:tc>
          <w:tcPr>
            <w:tcW w:w="5528" w:type="dxa"/>
            <w:vAlign w:val="center"/>
          </w:tcPr>
          <w:p w14:paraId="01EAF0FE">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14:paraId="71595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14:paraId="0E8562BB">
            <w:pPr>
              <w:jc w:val="left"/>
              <w:rPr>
                <w:rFonts w:ascii="宋体"/>
                <w:b/>
                <w:kern w:val="0"/>
              </w:rPr>
            </w:pPr>
          </w:p>
        </w:tc>
        <w:tc>
          <w:tcPr>
            <w:tcW w:w="1843" w:type="dxa"/>
            <w:tcBorders>
              <w:bottom w:val="single" w:color="000000" w:sz="4" w:space="0"/>
            </w:tcBorders>
            <w:vAlign w:val="center"/>
          </w:tcPr>
          <w:p w14:paraId="1B8C5DCC">
            <w:pPr>
              <w:jc w:val="center"/>
              <w:rPr>
                <w:rFonts w:ascii="宋体"/>
                <w:b/>
                <w:kern w:val="0"/>
              </w:rPr>
            </w:pPr>
            <w:r>
              <w:rPr>
                <w:rFonts w:hint="eastAsia" w:ascii="宋体"/>
                <w:b/>
                <w:kern w:val="0"/>
              </w:rPr>
              <w:t>违反条款</w:t>
            </w:r>
          </w:p>
        </w:tc>
        <w:tc>
          <w:tcPr>
            <w:tcW w:w="2126" w:type="dxa"/>
            <w:tcBorders>
              <w:bottom w:val="single" w:color="000000" w:sz="4" w:space="0"/>
            </w:tcBorders>
            <w:vAlign w:val="center"/>
          </w:tcPr>
          <w:p w14:paraId="484CF792">
            <w:pPr>
              <w:jc w:val="center"/>
              <w:rPr>
                <w:rFonts w:ascii="宋体"/>
                <w:b/>
                <w:kern w:val="0"/>
              </w:rPr>
            </w:pPr>
            <w:r>
              <w:rPr>
                <w:rFonts w:hint="eastAsia" w:ascii="宋体"/>
                <w:b/>
                <w:kern w:val="0"/>
              </w:rPr>
              <w:t>处罚依据</w:t>
            </w:r>
          </w:p>
        </w:tc>
        <w:tc>
          <w:tcPr>
            <w:tcW w:w="2268" w:type="dxa"/>
            <w:vMerge w:val="continue"/>
            <w:tcBorders>
              <w:bottom w:val="single" w:color="000000" w:sz="4" w:space="0"/>
            </w:tcBorders>
            <w:vAlign w:val="center"/>
          </w:tcPr>
          <w:p w14:paraId="6C09FD62">
            <w:pPr>
              <w:jc w:val="left"/>
              <w:rPr>
                <w:rFonts w:ascii="宋体"/>
                <w:b/>
                <w:kern w:val="0"/>
              </w:rPr>
            </w:pPr>
          </w:p>
        </w:tc>
        <w:tc>
          <w:tcPr>
            <w:tcW w:w="6663" w:type="dxa"/>
            <w:vMerge w:val="continue"/>
            <w:tcBorders>
              <w:bottom w:val="single" w:color="000000" w:sz="4" w:space="0"/>
            </w:tcBorders>
            <w:vAlign w:val="center"/>
          </w:tcPr>
          <w:p w14:paraId="545CD203">
            <w:pPr>
              <w:jc w:val="left"/>
              <w:rPr>
                <w:rFonts w:ascii="宋体"/>
                <w:b/>
                <w:kern w:val="0"/>
              </w:rPr>
            </w:pPr>
          </w:p>
        </w:tc>
        <w:tc>
          <w:tcPr>
            <w:tcW w:w="5528" w:type="dxa"/>
            <w:tcBorders>
              <w:top w:val="single" w:color="auto" w:sz="4" w:space="0"/>
              <w:bottom w:val="single" w:color="auto" w:sz="4" w:space="0"/>
              <w:right w:val="single" w:color="auto" w:sz="4" w:space="0"/>
            </w:tcBorders>
            <w:vAlign w:val="center"/>
          </w:tcPr>
          <w:p w14:paraId="662F1AEC">
            <w:pPr>
              <w:jc w:val="center"/>
              <w:rPr>
                <w:rFonts w:ascii="宋体"/>
                <w:b/>
                <w:kern w:val="0"/>
              </w:rPr>
            </w:pPr>
            <w:r>
              <w:rPr>
                <w:rFonts w:hint="eastAsia" w:ascii="宋体"/>
                <w:b/>
                <w:kern w:val="0"/>
              </w:rPr>
              <w:t>【对象】</w:t>
            </w:r>
            <w:r>
              <w:rPr>
                <w:rFonts w:hint="eastAsia" w:ascii="宋体"/>
                <w:b/>
              </w:rPr>
              <w:t>责任单位或责任人员</w:t>
            </w:r>
          </w:p>
        </w:tc>
      </w:tr>
      <w:tr w14:paraId="36CE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14:paraId="258BC19F">
            <w:pPr>
              <w:widowControl/>
              <w:jc w:val="left"/>
              <w:rPr>
                <w:rFonts w:ascii="宋体"/>
                <w:kern w:val="0"/>
              </w:rPr>
            </w:pPr>
            <w:r>
              <w:rPr>
                <w:rFonts w:hint="eastAsia" w:ascii="宋体"/>
                <w:kern w:val="0"/>
              </w:rPr>
              <w:t>在安全作业区、港外锚地范围内从事养殖、种植、捕捞以及其他影响海上交通安全的作业或者活动</w:t>
            </w:r>
          </w:p>
        </w:tc>
        <w:tc>
          <w:tcPr>
            <w:tcW w:w="1843" w:type="dxa"/>
            <w:vMerge w:val="restart"/>
            <w:vAlign w:val="center"/>
          </w:tcPr>
          <w:p w14:paraId="212059C6">
            <w:pPr>
              <w:widowControl/>
              <w:rPr>
                <w:rFonts w:ascii="宋体"/>
                <w:kern w:val="0"/>
              </w:rPr>
            </w:pPr>
            <w:r>
              <w:rPr>
                <w:rFonts w:hint="eastAsia" w:ascii="宋体"/>
                <w:kern w:val="0"/>
              </w:rPr>
              <w:t>1.《中华人民共和国海上交通安全法》第四十四条第三款；</w:t>
            </w:r>
          </w:p>
          <w:p w14:paraId="30727266">
            <w:pPr>
              <w:widowControl/>
              <w:jc w:val="left"/>
              <w:rPr>
                <w:rFonts w:ascii="宋体"/>
              </w:rPr>
            </w:pPr>
            <w:r>
              <w:rPr>
                <w:rFonts w:hint="eastAsia" w:ascii="宋体"/>
              </w:rPr>
              <w:t>2.其他法律、法规、规章等。</w:t>
            </w:r>
          </w:p>
        </w:tc>
        <w:tc>
          <w:tcPr>
            <w:tcW w:w="2126" w:type="dxa"/>
            <w:vMerge w:val="restart"/>
            <w:vAlign w:val="center"/>
          </w:tcPr>
          <w:p w14:paraId="631766D8">
            <w:pPr>
              <w:rPr>
                <w:rFonts w:ascii="宋体"/>
                <w:kern w:val="0"/>
              </w:rPr>
            </w:pPr>
            <w:r>
              <w:rPr>
                <w:rFonts w:hint="eastAsia" w:ascii="宋体"/>
                <w:kern w:val="0"/>
              </w:rPr>
              <w:t>1.《中华人民共和国海上交通安全法》第一百条第（四）项、《中华人民共和国海上海事行政处罚规定》第十九条第（四）项；</w:t>
            </w:r>
          </w:p>
          <w:p w14:paraId="28FFB96F">
            <w:pPr>
              <w:jc w:val="left"/>
              <w:rPr>
                <w:rFonts w:ascii="宋体"/>
                <w:kern w:val="0"/>
              </w:rPr>
            </w:pPr>
            <w:r>
              <w:rPr>
                <w:rFonts w:hint="eastAsia" w:ascii="宋体"/>
                <w:kern w:val="0"/>
              </w:rPr>
              <w:t>2.《中华人民共和国海上海事行政处罚规定》第七条。</w:t>
            </w:r>
          </w:p>
        </w:tc>
        <w:tc>
          <w:tcPr>
            <w:tcW w:w="2268" w:type="dxa"/>
            <w:vAlign w:val="center"/>
          </w:tcPr>
          <w:p w14:paraId="757585FD">
            <w:pPr>
              <w:jc w:val="center"/>
              <w:rPr>
                <w:rFonts w:ascii="宋体"/>
                <w:kern w:val="0"/>
              </w:rPr>
            </w:pPr>
            <w:r>
              <w:rPr>
                <w:rFonts w:hint="eastAsia" w:ascii="宋体"/>
                <w:kern w:val="0"/>
              </w:rPr>
              <w:t>从轻</w:t>
            </w:r>
          </w:p>
        </w:tc>
        <w:tc>
          <w:tcPr>
            <w:tcW w:w="6663" w:type="dxa"/>
            <w:vAlign w:val="center"/>
          </w:tcPr>
          <w:p w14:paraId="32FAC89A">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528" w:type="dxa"/>
            <w:tcBorders>
              <w:right w:val="single" w:color="auto" w:sz="4" w:space="0"/>
            </w:tcBorders>
            <w:vAlign w:val="center"/>
          </w:tcPr>
          <w:p w14:paraId="25E720B3">
            <w:pPr>
              <w:jc w:val="center"/>
              <w:rPr>
                <w:rFonts w:ascii="宋体"/>
                <w:kern w:val="0"/>
              </w:rPr>
            </w:pPr>
            <w:r>
              <w:rPr>
                <w:rFonts w:hint="eastAsia" w:ascii="宋体"/>
              </w:rPr>
              <w:t>责令改正</w:t>
            </w:r>
          </w:p>
        </w:tc>
      </w:tr>
      <w:tr w14:paraId="68FD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1" w:hRule="atLeast"/>
        </w:trPr>
        <w:tc>
          <w:tcPr>
            <w:tcW w:w="1191" w:type="dxa"/>
            <w:vMerge w:val="continue"/>
            <w:vAlign w:val="center"/>
          </w:tcPr>
          <w:p w14:paraId="48F949DE">
            <w:pPr>
              <w:jc w:val="left"/>
              <w:rPr>
                <w:rFonts w:ascii="宋体"/>
                <w:kern w:val="0"/>
              </w:rPr>
            </w:pPr>
          </w:p>
        </w:tc>
        <w:tc>
          <w:tcPr>
            <w:tcW w:w="1843" w:type="dxa"/>
            <w:vMerge w:val="continue"/>
            <w:vAlign w:val="center"/>
          </w:tcPr>
          <w:p w14:paraId="1C2BFD3A">
            <w:pPr>
              <w:widowControl/>
              <w:jc w:val="left"/>
              <w:rPr>
                <w:rFonts w:ascii="宋体"/>
                <w:kern w:val="0"/>
              </w:rPr>
            </w:pPr>
          </w:p>
        </w:tc>
        <w:tc>
          <w:tcPr>
            <w:tcW w:w="2126" w:type="dxa"/>
            <w:vMerge w:val="continue"/>
            <w:vAlign w:val="center"/>
          </w:tcPr>
          <w:p w14:paraId="20E0766E">
            <w:pPr>
              <w:jc w:val="left"/>
              <w:rPr>
                <w:rFonts w:ascii="宋体"/>
                <w:kern w:val="0"/>
              </w:rPr>
            </w:pPr>
          </w:p>
        </w:tc>
        <w:tc>
          <w:tcPr>
            <w:tcW w:w="2268" w:type="dxa"/>
            <w:vMerge w:val="restart"/>
            <w:vAlign w:val="center"/>
          </w:tcPr>
          <w:p w14:paraId="70C22E82">
            <w:pPr>
              <w:jc w:val="center"/>
              <w:rPr>
                <w:rFonts w:ascii="宋体"/>
                <w:kern w:val="0"/>
              </w:rPr>
            </w:pPr>
            <w:r>
              <w:rPr>
                <w:rFonts w:hint="eastAsia" w:ascii="宋体"/>
                <w:kern w:val="0"/>
              </w:rPr>
              <w:t>一般</w:t>
            </w:r>
          </w:p>
        </w:tc>
        <w:tc>
          <w:tcPr>
            <w:tcW w:w="6663" w:type="dxa"/>
            <w:vAlign w:val="center"/>
          </w:tcPr>
          <w:p w14:paraId="612B30B6">
            <w:pPr>
              <w:pStyle w:val="13"/>
              <w:jc w:val="left"/>
              <w:rPr>
                <w:rFonts w:ascii="宋体"/>
              </w:rPr>
            </w:pPr>
            <w:r>
              <w:rPr>
                <w:rFonts w:hint="eastAsia" w:ascii="宋体"/>
              </w:rPr>
              <w:t>1.养殖、种植、捕捞或其他影响海上交通安全的作业或者活动，未对船舶通航产生实际影响</w:t>
            </w:r>
          </w:p>
          <w:p w14:paraId="75C243EC">
            <w:pPr>
              <w:pStyle w:val="13"/>
              <w:jc w:val="left"/>
              <w:rPr>
                <w:rFonts w:ascii="宋体"/>
              </w:rPr>
            </w:pPr>
            <w:r>
              <w:rPr>
                <w:rFonts w:hint="eastAsia" w:ascii="宋体"/>
              </w:rPr>
              <w:t>2.短暂从事养殖、种植、捕捞或其他影响海上交通安全的作业或者活动</w:t>
            </w:r>
          </w:p>
        </w:tc>
        <w:tc>
          <w:tcPr>
            <w:tcW w:w="5528" w:type="dxa"/>
            <w:tcBorders>
              <w:right w:val="single" w:color="auto" w:sz="4" w:space="0"/>
            </w:tcBorders>
            <w:vAlign w:val="center"/>
          </w:tcPr>
          <w:p w14:paraId="45B1CBFA">
            <w:pPr>
              <w:jc w:val="center"/>
              <w:rPr>
                <w:rFonts w:ascii="宋体"/>
                <w:kern w:val="0"/>
              </w:rPr>
            </w:pPr>
            <w:r>
              <w:rPr>
                <w:rFonts w:hint="eastAsia" w:ascii="宋体"/>
              </w:rPr>
              <w:t>责令改正</w:t>
            </w:r>
          </w:p>
        </w:tc>
      </w:tr>
      <w:tr w14:paraId="4836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1" w:hRule="atLeast"/>
        </w:trPr>
        <w:tc>
          <w:tcPr>
            <w:tcW w:w="1191" w:type="dxa"/>
            <w:vMerge w:val="continue"/>
            <w:vAlign w:val="center"/>
          </w:tcPr>
          <w:p w14:paraId="6A754A4E">
            <w:pPr>
              <w:jc w:val="left"/>
              <w:rPr>
                <w:rFonts w:ascii="宋体"/>
                <w:kern w:val="0"/>
              </w:rPr>
            </w:pPr>
          </w:p>
        </w:tc>
        <w:tc>
          <w:tcPr>
            <w:tcW w:w="1843" w:type="dxa"/>
            <w:vMerge w:val="continue"/>
            <w:vAlign w:val="center"/>
          </w:tcPr>
          <w:p w14:paraId="2EBDC1B9">
            <w:pPr>
              <w:jc w:val="left"/>
              <w:rPr>
                <w:rFonts w:ascii="宋体"/>
                <w:kern w:val="0"/>
              </w:rPr>
            </w:pPr>
          </w:p>
        </w:tc>
        <w:tc>
          <w:tcPr>
            <w:tcW w:w="2126" w:type="dxa"/>
            <w:vMerge w:val="continue"/>
            <w:vAlign w:val="center"/>
          </w:tcPr>
          <w:p w14:paraId="066751B0">
            <w:pPr>
              <w:jc w:val="left"/>
              <w:rPr>
                <w:rFonts w:ascii="宋体"/>
                <w:kern w:val="0"/>
              </w:rPr>
            </w:pPr>
          </w:p>
        </w:tc>
        <w:tc>
          <w:tcPr>
            <w:tcW w:w="2268" w:type="dxa"/>
            <w:vMerge w:val="restart"/>
            <w:vAlign w:val="center"/>
          </w:tcPr>
          <w:p w14:paraId="2CCAEC4D">
            <w:pPr>
              <w:pStyle w:val="13"/>
              <w:jc w:val="center"/>
              <w:rPr>
                <w:rFonts w:ascii="宋体"/>
              </w:rPr>
            </w:pPr>
            <w:r>
              <w:rPr>
                <w:rFonts w:hint="eastAsia" w:ascii="宋体"/>
              </w:rPr>
              <w:t>情节严重</w:t>
            </w:r>
          </w:p>
        </w:tc>
        <w:tc>
          <w:tcPr>
            <w:tcW w:w="6663" w:type="dxa"/>
            <w:tcBorders>
              <w:top w:val="single" w:color="auto" w:sz="4" w:space="0"/>
              <w:left w:val="single" w:color="auto" w:sz="4" w:space="0"/>
              <w:bottom w:val="single" w:color="auto" w:sz="4" w:space="0"/>
            </w:tcBorders>
            <w:vAlign w:val="center"/>
          </w:tcPr>
          <w:p w14:paraId="0F69C84D">
            <w:pPr>
              <w:pStyle w:val="13"/>
              <w:jc w:val="left"/>
              <w:rPr>
                <w:rFonts w:ascii="宋体"/>
              </w:rPr>
            </w:pPr>
            <w:r>
              <w:rPr>
                <w:rFonts w:hint="eastAsia" w:ascii="宋体"/>
              </w:rPr>
              <w:t>1.养殖、种植、捕捞或其他影响海上交通安全的作业或者活动，对船舶通航造成重大影响的；</w:t>
            </w:r>
          </w:p>
          <w:p w14:paraId="682E4720">
            <w:pPr>
              <w:pStyle w:val="13"/>
              <w:jc w:val="left"/>
              <w:rPr>
                <w:rFonts w:ascii="宋体"/>
              </w:rPr>
            </w:pPr>
            <w:r>
              <w:rPr>
                <w:rFonts w:hint="eastAsia" w:ascii="宋体"/>
              </w:rPr>
              <w:t>2.造成小事故或险情的。</w:t>
            </w:r>
          </w:p>
        </w:tc>
        <w:tc>
          <w:tcPr>
            <w:tcW w:w="5528" w:type="dxa"/>
            <w:tcBorders>
              <w:top w:val="single" w:color="auto" w:sz="4" w:space="0"/>
              <w:right w:val="single" w:color="auto" w:sz="4" w:space="0"/>
            </w:tcBorders>
            <w:vAlign w:val="center"/>
          </w:tcPr>
          <w:p w14:paraId="0B2A4BDF">
            <w:pPr>
              <w:jc w:val="center"/>
              <w:rPr>
                <w:rFonts w:ascii="宋体"/>
                <w:kern w:val="0"/>
              </w:rPr>
            </w:pPr>
            <w:r>
              <w:rPr>
                <w:rFonts w:hint="eastAsia" w:ascii="宋体"/>
                <w:kern w:val="0"/>
              </w:rPr>
              <w:t>3-5万元</w:t>
            </w:r>
          </w:p>
        </w:tc>
      </w:tr>
      <w:tr w14:paraId="0415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0" w:hRule="atLeast"/>
        </w:trPr>
        <w:tc>
          <w:tcPr>
            <w:tcW w:w="1191" w:type="dxa"/>
            <w:vMerge w:val="continue"/>
            <w:vAlign w:val="center"/>
          </w:tcPr>
          <w:p w14:paraId="08CA62AD">
            <w:pPr>
              <w:jc w:val="left"/>
              <w:rPr>
                <w:rFonts w:ascii="宋体"/>
                <w:kern w:val="0"/>
              </w:rPr>
            </w:pPr>
          </w:p>
        </w:tc>
        <w:tc>
          <w:tcPr>
            <w:tcW w:w="1843" w:type="dxa"/>
            <w:vMerge w:val="continue"/>
            <w:vAlign w:val="center"/>
          </w:tcPr>
          <w:p w14:paraId="098AB002">
            <w:pPr>
              <w:jc w:val="left"/>
              <w:rPr>
                <w:rFonts w:ascii="宋体"/>
                <w:kern w:val="0"/>
              </w:rPr>
            </w:pPr>
          </w:p>
        </w:tc>
        <w:tc>
          <w:tcPr>
            <w:tcW w:w="2126" w:type="dxa"/>
            <w:vMerge w:val="continue"/>
            <w:vAlign w:val="center"/>
          </w:tcPr>
          <w:p w14:paraId="71811171">
            <w:pPr>
              <w:jc w:val="left"/>
              <w:rPr>
                <w:rFonts w:ascii="宋体"/>
                <w:kern w:val="0"/>
              </w:rPr>
            </w:pPr>
          </w:p>
        </w:tc>
        <w:tc>
          <w:tcPr>
            <w:tcW w:w="2268" w:type="dxa"/>
            <w:vMerge w:val="continue"/>
            <w:tcBorders>
              <w:bottom w:val="single" w:color="auto" w:sz="4" w:space="0"/>
            </w:tcBorders>
            <w:vAlign w:val="center"/>
          </w:tcPr>
          <w:p w14:paraId="22DE9C0E">
            <w:pPr>
              <w:jc w:val="left"/>
              <w:rPr>
                <w:rFonts w:ascii="宋体"/>
                <w:kern w:val="0"/>
              </w:rPr>
            </w:pPr>
          </w:p>
        </w:tc>
        <w:tc>
          <w:tcPr>
            <w:tcW w:w="6663" w:type="dxa"/>
            <w:tcBorders>
              <w:top w:val="single" w:color="auto" w:sz="4" w:space="0"/>
              <w:left w:val="single" w:color="auto" w:sz="4" w:space="0"/>
              <w:bottom w:val="single" w:color="auto" w:sz="4" w:space="0"/>
            </w:tcBorders>
            <w:vAlign w:val="center"/>
          </w:tcPr>
          <w:p w14:paraId="3395823D">
            <w:pPr>
              <w:pStyle w:val="13"/>
              <w:jc w:val="left"/>
              <w:rPr>
                <w:rFonts w:ascii="宋体"/>
              </w:rPr>
            </w:pPr>
            <w:r>
              <w:rPr>
                <w:rFonts w:hint="eastAsia" w:ascii="宋体"/>
              </w:rPr>
              <w:t>1.造成一般等级以上事故的；</w:t>
            </w:r>
          </w:p>
          <w:p w14:paraId="5DD41300">
            <w:pPr>
              <w:pStyle w:val="13"/>
              <w:jc w:val="left"/>
              <w:rPr>
                <w:rFonts w:ascii="宋体"/>
              </w:rPr>
            </w:pPr>
            <w:r>
              <w:rPr>
                <w:rFonts w:hint="eastAsia" w:ascii="宋体"/>
              </w:rPr>
              <w:t>2.具有其他严重情节的。</w:t>
            </w:r>
          </w:p>
        </w:tc>
        <w:tc>
          <w:tcPr>
            <w:tcW w:w="5528" w:type="dxa"/>
            <w:tcBorders>
              <w:bottom w:val="single" w:color="auto" w:sz="4" w:space="0"/>
            </w:tcBorders>
            <w:vAlign w:val="center"/>
          </w:tcPr>
          <w:p w14:paraId="67074BBE">
            <w:pPr>
              <w:pStyle w:val="13"/>
              <w:jc w:val="center"/>
              <w:rPr>
                <w:rFonts w:ascii="宋体"/>
              </w:rPr>
            </w:pPr>
            <w:r>
              <w:rPr>
                <w:rFonts w:hint="eastAsia" w:ascii="宋体"/>
              </w:rPr>
              <w:t>5-10万元</w:t>
            </w:r>
          </w:p>
        </w:tc>
      </w:tr>
    </w:tbl>
    <w:p w14:paraId="72258B79">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78"/>
        <w:gridCol w:w="1047"/>
        <w:gridCol w:w="1276"/>
        <w:gridCol w:w="992"/>
        <w:gridCol w:w="5103"/>
        <w:gridCol w:w="11010"/>
      </w:tblGrid>
      <w:tr w14:paraId="1732D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278" w:type="dxa"/>
            <w:vMerge w:val="restart"/>
            <w:vAlign w:val="center"/>
          </w:tcPr>
          <w:p w14:paraId="6112B00D">
            <w:pPr>
              <w:jc w:val="center"/>
              <w:rPr>
                <w:rFonts w:ascii="宋体"/>
                <w:b/>
                <w:kern w:val="0"/>
              </w:rPr>
            </w:pPr>
            <w:r>
              <w:rPr>
                <w:rFonts w:hint="eastAsia" w:ascii="宋体"/>
                <w:b/>
                <w:kern w:val="0"/>
              </w:rPr>
              <w:t>案由3</w:t>
            </w:r>
          </w:p>
        </w:tc>
        <w:tc>
          <w:tcPr>
            <w:tcW w:w="2323" w:type="dxa"/>
            <w:gridSpan w:val="2"/>
            <w:vAlign w:val="center"/>
          </w:tcPr>
          <w:p w14:paraId="1BE2BC39">
            <w:pPr>
              <w:jc w:val="center"/>
              <w:rPr>
                <w:rFonts w:ascii="宋体"/>
                <w:b/>
                <w:kern w:val="0"/>
              </w:rPr>
            </w:pPr>
            <w:r>
              <w:rPr>
                <w:rFonts w:hint="eastAsia" w:ascii="宋体"/>
                <w:b/>
                <w:kern w:val="0"/>
              </w:rPr>
              <w:t>法律依据</w:t>
            </w:r>
          </w:p>
        </w:tc>
        <w:tc>
          <w:tcPr>
            <w:tcW w:w="992" w:type="dxa"/>
            <w:vMerge w:val="restart"/>
            <w:vAlign w:val="center"/>
          </w:tcPr>
          <w:p w14:paraId="62F53EB5">
            <w:pPr>
              <w:jc w:val="left"/>
              <w:rPr>
                <w:rFonts w:ascii="宋体"/>
                <w:b/>
                <w:kern w:val="0"/>
              </w:rPr>
            </w:pPr>
            <w:r>
              <w:rPr>
                <w:rFonts w:hint="eastAsia" w:ascii="宋体"/>
                <w:b/>
                <w:kern w:val="0"/>
              </w:rPr>
              <w:t>违法情节</w:t>
            </w:r>
          </w:p>
        </w:tc>
        <w:tc>
          <w:tcPr>
            <w:tcW w:w="5103" w:type="dxa"/>
            <w:vMerge w:val="restart"/>
            <w:vAlign w:val="center"/>
          </w:tcPr>
          <w:p w14:paraId="7A6222CC">
            <w:pPr>
              <w:jc w:val="center"/>
              <w:rPr>
                <w:rFonts w:ascii="宋体"/>
                <w:b/>
                <w:kern w:val="0"/>
              </w:rPr>
            </w:pPr>
            <w:r>
              <w:rPr>
                <w:rFonts w:hint="eastAsia" w:ascii="宋体"/>
                <w:b/>
                <w:kern w:val="0"/>
              </w:rPr>
              <w:t>主要考虑因素（事实、性质、情节、危害程度和实际后果等）</w:t>
            </w:r>
          </w:p>
        </w:tc>
        <w:tc>
          <w:tcPr>
            <w:tcW w:w="11010" w:type="dxa"/>
            <w:vAlign w:val="center"/>
          </w:tcPr>
          <w:p w14:paraId="425B5CD0">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14:paraId="70CD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278" w:type="dxa"/>
            <w:vMerge w:val="continue"/>
            <w:tcBorders>
              <w:bottom w:val="single" w:color="000000" w:sz="4" w:space="0"/>
            </w:tcBorders>
            <w:vAlign w:val="center"/>
          </w:tcPr>
          <w:p w14:paraId="12C3D371">
            <w:pPr>
              <w:jc w:val="center"/>
              <w:rPr>
                <w:rFonts w:ascii="宋体"/>
                <w:b/>
                <w:kern w:val="0"/>
              </w:rPr>
            </w:pPr>
          </w:p>
        </w:tc>
        <w:tc>
          <w:tcPr>
            <w:tcW w:w="1047" w:type="dxa"/>
            <w:tcBorders>
              <w:bottom w:val="single" w:color="000000" w:sz="4" w:space="0"/>
            </w:tcBorders>
            <w:vAlign w:val="center"/>
          </w:tcPr>
          <w:p w14:paraId="2A685D03">
            <w:pPr>
              <w:jc w:val="center"/>
              <w:rPr>
                <w:rFonts w:ascii="宋体"/>
                <w:b/>
                <w:kern w:val="0"/>
              </w:rPr>
            </w:pPr>
            <w:r>
              <w:rPr>
                <w:rFonts w:hint="eastAsia" w:ascii="宋体"/>
                <w:b/>
                <w:kern w:val="0"/>
              </w:rPr>
              <w:t>违反条款</w:t>
            </w:r>
          </w:p>
        </w:tc>
        <w:tc>
          <w:tcPr>
            <w:tcW w:w="1276" w:type="dxa"/>
            <w:tcBorders>
              <w:bottom w:val="single" w:color="000000" w:sz="4" w:space="0"/>
            </w:tcBorders>
            <w:vAlign w:val="center"/>
          </w:tcPr>
          <w:p w14:paraId="28F67B08">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22052D2B">
            <w:pPr>
              <w:jc w:val="left"/>
              <w:rPr>
                <w:rFonts w:ascii="宋体"/>
                <w:b/>
                <w:kern w:val="0"/>
              </w:rPr>
            </w:pPr>
          </w:p>
        </w:tc>
        <w:tc>
          <w:tcPr>
            <w:tcW w:w="5103" w:type="dxa"/>
            <w:vMerge w:val="continue"/>
            <w:tcBorders>
              <w:bottom w:val="single" w:color="000000" w:sz="4" w:space="0"/>
            </w:tcBorders>
            <w:vAlign w:val="center"/>
          </w:tcPr>
          <w:p w14:paraId="37760C1B">
            <w:pPr>
              <w:jc w:val="left"/>
              <w:rPr>
                <w:rFonts w:ascii="宋体"/>
                <w:b/>
                <w:kern w:val="0"/>
              </w:rPr>
            </w:pPr>
          </w:p>
        </w:tc>
        <w:tc>
          <w:tcPr>
            <w:tcW w:w="11010" w:type="dxa"/>
            <w:tcBorders>
              <w:top w:val="single" w:color="auto" w:sz="4" w:space="0"/>
              <w:bottom w:val="single" w:color="auto" w:sz="4" w:space="0"/>
              <w:right w:val="single" w:color="auto" w:sz="4" w:space="0"/>
            </w:tcBorders>
            <w:vAlign w:val="center"/>
          </w:tcPr>
          <w:p w14:paraId="42463C21">
            <w:pPr>
              <w:jc w:val="center"/>
              <w:rPr>
                <w:rFonts w:ascii="宋体"/>
                <w:b/>
                <w:kern w:val="0"/>
              </w:rPr>
            </w:pPr>
            <w:r>
              <w:rPr>
                <w:rFonts w:hint="eastAsia" w:ascii="宋体"/>
                <w:b/>
                <w:kern w:val="0"/>
              </w:rPr>
              <w:t>【对象】责任人员</w:t>
            </w:r>
          </w:p>
        </w:tc>
      </w:tr>
      <w:tr w14:paraId="35E0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78" w:type="dxa"/>
            <w:vMerge w:val="restart"/>
            <w:vAlign w:val="center"/>
          </w:tcPr>
          <w:p w14:paraId="2E474945">
            <w:pPr>
              <w:widowControl/>
              <w:jc w:val="left"/>
              <w:rPr>
                <w:rFonts w:ascii="宋体"/>
                <w:kern w:val="0"/>
              </w:rPr>
            </w:pPr>
            <w:r>
              <w:rPr>
                <w:rFonts w:hint="eastAsia" w:ascii="宋体"/>
                <w:kern w:val="0"/>
              </w:rPr>
              <w:t>承担无线电通信任务的船员和岸基无线电台（站）的工作人员未保持海上交通安全通信频道的值守和畅通，或者使用海上交通安全通信频率交流与海上交通安全无关的内容</w:t>
            </w:r>
          </w:p>
        </w:tc>
        <w:tc>
          <w:tcPr>
            <w:tcW w:w="1047" w:type="dxa"/>
            <w:vMerge w:val="restart"/>
            <w:vAlign w:val="center"/>
          </w:tcPr>
          <w:p w14:paraId="05B161BA">
            <w:pPr>
              <w:widowControl/>
              <w:jc w:val="left"/>
              <w:rPr>
                <w:rFonts w:ascii="宋体"/>
                <w:kern w:val="0"/>
              </w:rPr>
            </w:pPr>
            <w:r>
              <w:rPr>
                <w:rFonts w:hint="eastAsia" w:ascii="宋体"/>
                <w:kern w:val="0"/>
              </w:rPr>
              <w:t>1.《中华人民共和国海上交通安全法》第二十四条第二款；</w:t>
            </w:r>
          </w:p>
          <w:p w14:paraId="606D82A6">
            <w:pPr>
              <w:widowControl/>
              <w:rPr>
                <w:rFonts w:ascii="宋体"/>
              </w:rPr>
            </w:pPr>
            <w:r>
              <w:rPr>
                <w:rFonts w:hint="eastAsia" w:ascii="宋体"/>
              </w:rPr>
              <w:t>2.其他法律、法规、规章等。</w:t>
            </w:r>
          </w:p>
        </w:tc>
        <w:tc>
          <w:tcPr>
            <w:tcW w:w="1276" w:type="dxa"/>
            <w:vMerge w:val="restart"/>
            <w:vAlign w:val="center"/>
          </w:tcPr>
          <w:p w14:paraId="74174BF3">
            <w:pPr>
              <w:jc w:val="left"/>
              <w:rPr>
                <w:rFonts w:ascii="宋体"/>
                <w:kern w:val="0"/>
              </w:rPr>
            </w:pPr>
            <w:r>
              <w:rPr>
                <w:rFonts w:hint="eastAsia" w:ascii="宋体"/>
                <w:kern w:val="0"/>
              </w:rPr>
              <w:t>1.《中华人民共和国海上交通安全法》第一百零一条第（一）项、《中华人民共和国海上海事行政处罚规定》第二十条第（一）项；</w:t>
            </w:r>
          </w:p>
          <w:p w14:paraId="51B826FD">
            <w:pPr>
              <w:jc w:val="left"/>
              <w:rPr>
                <w:rFonts w:ascii="宋体"/>
                <w:kern w:val="0"/>
              </w:rPr>
            </w:pPr>
            <w:r>
              <w:rPr>
                <w:rFonts w:hint="eastAsia" w:ascii="宋体"/>
                <w:kern w:val="0"/>
              </w:rPr>
              <w:t>2.《中华人民共和国海上海事行政处罚规定》第七条。</w:t>
            </w:r>
          </w:p>
        </w:tc>
        <w:tc>
          <w:tcPr>
            <w:tcW w:w="992" w:type="dxa"/>
            <w:vAlign w:val="center"/>
          </w:tcPr>
          <w:p w14:paraId="74D1C6A5">
            <w:pPr>
              <w:jc w:val="center"/>
              <w:rPr>
                <w:rFonts w:ascii="宋体"/>
                <w:kern w:val="0"/>
              </w:rPr>
            </w:pPr>
            <w:r>
              <w:rPr>
                <w:rFonts w:hint="eastAsia" w:ascii="宋体"/>
                <w:kern w:val="0"/>
              </w:rPr>
              <w:t>从轻</w:t>
            </w:r>
          </w:p>
        </w:tc>
        <w:tc>
          <w:tcPr>
            <w:tcW w:w="5103" w:type="dxa"/>
            <w:vAlign w:val="center"/>
          </w:tcPr>
          <w:p w14:paraId="68005E8F">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010" w:type="dxa"/>
            <w:tcBorders>
              <w:right w:val="single" w:color="auto" w:sz="4" w:space="0"/>
            </w:tcBorders>
            <w:vAlign w:val="center"/>
          </w:tcPr>
          <w:p w14:paraId="70ED8C08">
            <w:pPr>
              <w:jc w:val="center"/>
              <w:rPr>
                <w:rFonts w:ascii="宋体"/>
                <w:kern w:val="0"/>
              </w:rPr>
            </w:pPr>
            <w:r>
              <w:rPr>
                <w:rFonts w:hint="eastAsia" w:ascii="宋体"/>
                <w:kern w:val="0"/>
              </w:rPr>
              <w:t>3000-4000元</w:t>
            </w:r>
          </w:p>
        </w:tc>
      </w:tr>
      <w:tr w14:paraId="48853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278" w:type="dxa"/>
            <w:vMerge w:val="continue"/>
            <w:vAlign w:val="center"/>
          </w:tcPr>
          <w:p w14:paraId="04CE11F6">
            <w:pPr>
              <w:jc w:val="left"/>
              <w:rPr>
                <w:rFonts w:ascii="宋体"/>
                <w:kern w:val="0"/>
              </w:rPr>
            </w:pPr>
          </w:p>
        </w:tc>
        <w:tc>
          <w:tcPr>
            <w:tcW w:w="1047" w:type="dxa"/>
            <w:vMerge w:val="continue"/>
            <w:vAlign w:val="center"/>
          </w:tcPr>
          <w:p w14:paraId="645F1A3D">
            <w:pPr>
              <w:widowControl/>
              <w:jc w:val="left"/>
              <w:rPr>
                <w:rFonts w:ascii="宋体"/>
                <w:kern w:val="0"/>
              </w:rPr>
            </w:pPr>
          </w:p>
        </w:tc>
        <w:tc>
          <w:tcPr>
            <w:tcW w:w="1276" w:type="dxa"/>
            <w:vMerge w:val="continue"/>
            <w:vAlign w:val="center"/>
          </w:tcPr>
          <w:p w14:paraId="3329C772">
            <w:pPr>
              <w:jc w:val="left"/>
              <w:rPr>
                <w:rFonts w:ascii="宋体"/>
                <w:kern w:val="0"/>
              </w:rPr>
            </w:pPr>
          </w:p>
        </w:tc>
        <w:tc>
          <w:tcPr>
            <w:tcW w:w="992" w:type="dxa"/>
            <w:vMerge w:val="restart"/>
            <w:vAlign w:val="center"/>
          </w:tcPr>
          <w:p w14:paraId="4865BA5B">
            <w:pPr>
              <w:jc w:val="center"/>
              <w:rPr>
                <w:rFonts w:ascii="宋体"/>
                <w:kern w:val="0"/>
              </w:rPr>
            </w:pPr>
            <w:r>
              <w:rPr>
                <w:rFonts w:hint="eastAsia" w:ascii="宋体"/>
                <w:kern w:val="0"/>
              </w:rPr>
              <w:t>一般</w:t>
            </w:r>
          </w:p>
        </w:tc>
        <w:tc>
          <w:tcPr>
            <w:tcW w:w="5103" w:type="dxa"/>
            <w:vAlign w:val="center"/>
          </w:tcPr>
          <w:p w14:paraId="081723A0">
            <w:pPr>
              <w:pStyle w:val="13"/>
              <w:jc w:val="left"/>
              <w:rPr>
                <w:rFonts w:ascii="宋体"/>
              </w:rPr>
            </w:pPr>
            <w:r>
              <w:rPr>
                <w:rFonts w:hint="eastAsia" w:ascii="宋体"/>
              </w:rPr>
              <w:t>未保持海上交通安全通信频道的值守和畅通，使用海上交通安全通信频率交流与海上交通安全无关的内容，未造成影响的。</w:t>
            </w:r>
          </w:p>
        </w:tc>
        <w:tc>
          <w:tcPr>
            <w:tcW w:w="11010" w:type="dxa"/>
            <w:tcBorders>
              <w:right w:val="single" w:color="auto" w:sz="4" w:space="0"/>
            </w:tcBorders>
            <w:vAlign w:val="center"/>
          </w:tcPr>
          <w:p w14:paraId="5B57C6F4">
            <w:pPr>
              <w:jc w:val="center"/>
              <w:rPr>
                <w:rFonts w:ascii="宋体"/>
                <w:kern w:val="0"/>
              </w:rPr>
            </w:pPr>
            <w:r>
              <w:rPr>
                <w:rFonts w:hint="eastAsia" w:ascii="宋体"/>
                <w:kern w:val="0"/>
              </w:rPr>
              <w:t>4000-6000元</w:t>
            </w:r>
          </w:p>
        </w:tc>
      </w:tr>
      <w:tr w14:paraId="4FD7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278" w:type="dxa"/>
            <w:vMerge w:val="continue"/>
            <w:vAlign w:val="center"/>
          </w:tcPr>
          <w:p w14:paraId="5838DEB6">
            <w:pPr>
              <w:jc w:val="left"/>
              <w:rPr>
                <w:rFonts w:ascii="宋体"/>
                <w:kern w:val="0"/>
              </w:rPr>
            </w:pPr>
          </w:p>
        </w:tc>
        <w:tc>
          <w:tcPr>
            <w:tcW w:w="1047" w:type="dxa"/>
            <w:vMerge w:val="continue"/>
            <w:vAlign w:val="center"/>
          </w:tcPr>
          <w:p w14:paraId="550244D8">
            <w:pPr>
              <w:widowControl/>
              <w:jc w:val="left"/>
              <w:rPr>
                <w:rFonts w:ascii="宋体"/>
                <w:kern w:val="0"/>
              </w:rPr>
            </w:pPr>
          </w:p>
        </w:tc>
        <w:tc>
          <w:tcPr>
            <w:tcW w:w="1276" w:type="dxa"/>
            <w:vMerge w:val="continue"/>
            <w:vAlign w:val="center"/>
          </w:tcPr>
          <w:p w14:paraId="58014387">
            <w:pPr>
              <w:jc w:val="left"/>
              <w:rPr>
                <w:rFonts w:ascii="宋体"/>
                <w:kern w:val="0"/>
              </w:rPr>
            </w:pPr>
          </w:p>
        </w:tc>
        <w:tc>
          <w:tcPr>
            <w:tcW w:w="992" w:type="dxa"/>
            <w:vMerge w:val="continue"/>
            <w:vAlign w:val="center"/>
          </w:tcPr>
          <w:p w14:paraId="035B7FC6">
            <w:pPr>
              <w:jc w:val="center"/>
              <w:rPr>
                <w:rFonts w:ascii="宋体"/>
                <w:kern w:val="0"/>
              </w:rPr>
            </w:pPr>
          </w:p>
        </w:tc>
        <w:tc>
          <w:tcPr>
            <w:tcW w:w="5103" w:type="dxa"/>
            <w:vAlign w:val="center"/>
          </w:tcPr>
          <w:p w14:paraId="7A1CD2C4">
            <w:pPr>
              <w:pStyle w:val="13"/>
              <w:jc w:val="left"/>
              <w:rPr>
                <w:rFonts w:ascii="宋体"/>
              </w:rPr>
            </w:pPr>
            <w:r>
              <w:rPr>
                <w:rFonts w:hint="eastAsia" w:ascii="宋体"/>
              </w:rPr>
              <w:t>未保持海上交通安全通信频道的值守和畅通，使用海上交通安全通信频率交流与海上交通安全无关的内容，干扰搜寻救助的</w:t>
            </w:r>
          </w:p>
        </w:tc>
        <w:tc>
          <w:tcPr>
            <w:tcW w:w="11010" w:type="dxa"/>
            <w:tcBorders>
              <w:right w:val="single" w:color="auto" w:sz="4" w:space="0"/>
            </w:tcBorders>
            <w:vAlign w:val="center"/>
          </w:tcPr>
          <w:p w14:paraId="0C388FFE">
            <w:pPr>
              <w:jc w:val="center"/>
              <w:rPr>
                <w:rFonts w:ascii="宋体"/>
                <w:kern w:val="0"/>
              </w:rPr>
            </w:pPr>
            <w:r>
              <w:rPr>
                <w:rFonts w:hint="eastAsia" w:ascii="宋体"/>
              </w:rPr>
              <w:t>6</w:t>
            </w:r>
            <w:r>
              <w:rPr>
                <w:rFonts w:hint="eastAsia" w:ascii="宋体"/>
                <w:kern w:val="0"/>
              </w:rPr>
              <w:t>000元-1万</w:t>
            </w:r>
          </w:p>
        </w:tc>
      </w:tr>
      <w:tr w14:paraId="4C7B7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278" w:type="dxa"/>
            <w:vMerge w:val="continue"/>
            <w:vAlign w:val="center"/>
          </w:tcPr>
          <w:p w14:paraId="062AEB03">
            <w:pPr>
              <w:jc w:val="left"/>
              <w:rPr>
                <w:rFonts w:ascii="宋体"/>
                <w:kern w:val="0"/>
              </w:rPr>
            </w:pPr>
          </w:p>
        </w:tc>
        <w:tc>
          <w:tcPr>
            <w:tcW w:w="1047" w:type="dxa"/>
            <w:vMerge w:val="continue"/>
            <w:vAlign w:val="center"/>
          </w:tcPr>
          <w:p w14:paraId="11C42473">
            <w:pPr>
              <w:jc w:val="left"/>
              <w:rPr>
                <w:rFonts w:ascii="宋体"/>
                <w:kern w:val="0"/>
              </w:rPr>
            </w:pPr>
          </w:p>
        </w:tc>
        <w:tc>
          <w:tcPr>
            <w:tcW w:w="1276" w:type="dxa"/>
            <w:vMerge w:val="continue"/>
            <w:vAlign w:val="center"/>
          </w:tcPr>
          <w:p w14:paraId="6A071EC0">
            <w:pPr>
              <w:jc w:val="left"/>
              <w:rPr>
                <w:rFonts w:ascii="宋体"/>
                <w:kern w:val="0"/>
              </w:rPr>
            </w:pPr>
          </w:p>
        </w:tc>
        <w:tc>
          <w:tcPr>
            <w:tcW w:w="992" w:type="dxa"/>
            <w:vMerge w:val="continue"/>
            <w:tcBorders>
              <w:bottom w:val="single" w:color="auto" w:sz="4" w:space="0"/>
            </w:tcBorders>
            <w:vAlign w:val="center"/>
          </w:tcPr>
          <w:p w14:paraId="32D70FD6">
            <w:pPr>
              <w:jc w:val="center"/>
              <w:rPr>
                <w:rFonts w:ascii="宋体"/>
                <w:kern w:val="0"/>
              </w:rPr>
            </w:pPr>
          </w:p>
        </w:tc>
        <w:tc>
          <w:tcPr>
            <w:tcW w:w="5103" w:type="dxa"/>
            <w:tcBorders>
              <w:top w:val="single" w:color="auto" w:sz="4" w:space="0"/>
              <w:bottom w:val="single" w:color="auto" w:sz="4" w:space="0"/>
            </w:tcBorders>
            <w:vAlign w:val="center"/>
          </w:tcPr>
          <w:p w14:paraId="265C0085">
            <w:pPr>
              <w:jc w:val="left"/>
              <w:rPr>
                <w:rFonts w:ascii="宋体"/>
                <w:kern w:val="0"/>
              </w:rPr>
            </w:pPr>
            <w:r>
              <w:rPr>
                <w:rFonts w:hint="eastAsia" w:ascii="宋体"/>
                <w:kern w:val="0"/>
              </w:rPr>
              <w:t>1.</w:t>
            </w:r>
            <w:r>
              <w:rPr>
                <w:rFonts w:hint="eastAsia" w:ascii="宋体"/>
              </w:rPr>
              <w:t>经海事机构责令改正，仍</w:t>
            </w:r>
            <w:r>
              <w:rPr>
                <w:rFonts w:hint="eastAsia" w:ascii="宋体"/>
                <w:kern w:val="0"/>
              </w:rPr>
              <w:t>未保持海上交通安全通信频道的值守和畅通，或者继续使用海上交通安全通信频率交流与海上交通安全无关的内容；</w:t>
            </w:r>
          </w:p>
          <w:p w14:paraId="5C9A363C">
            <w:pPr>
              <w:jc w:val="left"/>
              <w:rPr>
                <w:rFonts w:ascii="宋体"/>
                <w:kern w:val="0"/>
              </w:rPr>
            </w:pPr>
            <w:r>
              <w:rPr>
                <w:rFonts w:hint="eastAsia" w:ascii="宋体"/>
                <w:kern w:val="0"/>
              </w:rPr>
              <w:t>2.具有其他较重情节的。</w:t>
            </w:r>
          </w:p>
        </w:tc>
        <w:tc>
          <w:tcPr>
            <w:tcW w:w="11010" w:type="dxa"/>
            <w:tcBorders>
              <w:top w:val="single" w:color="auto" w:sz="4" w:space="0"/>
              <w:bottom w:val="single" w:color="auto" w:sz="4" w:space="0"/>
              <w:right w:val="single" w:color="auto" w:sz="4" w:space="0"/>
            </w:tcBorders>
            <w:vAlign w:val="center"/>
          </w:tcPr>
          <w:p w14:paraId="21227D1F">
            <w:pPr>
              <w:jc w:val="center"/>
              <w:rPr>
                <w:rFonts w:ascii="宋体"/>
                <w:kern w:val="0"/>
              </w:rPr>
            </w:pPr>
            <w:r>
              <w:rPr>
                <w:rFonts w:hint="eastAsia" w:ascii="宋体"/>
                <w:kern w:val="0"/>
              </w:rPr>
              <w:t>1-3万元</w:t>
            </w:r>
          </w:p>
        </w:tc>
      </w:tr>
      <w:tr w14:paraId="08B9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278" w:type="dxa"/>
            <w:vMerge w:val="continue"/>
            <w:vAlign w:val="center"/>
          </w:tcPr>
          <w:p w14:paraId="516C052C">
            <w:pPr>
              <w:jc w:val="left"/>
              <w:rPr>
                <w:rFonts w:ascii="宋体"/>
                <w:kern w:val="0"/>
              </w:rPr>
            </w:pPr>
          </w:p>
        </w:tc>
        <w:tc>
          <w:tcPr>
            <w:tcW w:w="1047" w:type="dxa"/>
            <w:vMerge w:val="continue"/>
            <w:vAlign w:val="center"/>
          </w:tcPr>
          <w:p w14:paraId="272A538B">
            <w:pPr>
              <w:jc w:val="left"/>
              <w:rPr>
                <w:rFonts w:ascii="宋体"/>
                <w:kern w:val="0"/>
              </w:rPr>
            </w:pPr>
          </w:p>
        </w:tc>
        <w:tc>
          <w:tcPr>
            <w:tcW w:w="1276" w:type="dxa"/>
            <w:vMerge w:val="continue"/>
            <w:vAlign w:val="center"/>
          </w:tcPr>
          <w:p w14:paraId="0E215F16">
            <w:pPr>
              <w:jc w:val="left"/>
              <w:rPr>
                <w:rFonts w:ascii="宋体"/>
                <w:kern w:val="0"/>
              </w:rPr>
            </w:pPr>
          </w:p>
        </w:tc>
        <w:tc>
          <w:tcPr>
            <w:tcW w:w="992" w:type="dxa"/>
            <w:vMerge w:val="restart"/>
            <w:tcBorders>
              <w:top w:val="single" w:color="auto" w:sz="4" w:space="0"/>
              <w:right w:val="single" w:color="auto" w:sz="4" w:space="0"/>
            </w:tcBorders>
            <w:vAlign w:val="center"/>
          </w:tcPr>
          <w:p w14:paraId="3F07EDD3">
            <w:pPr>
              <w:jc w:val="center"/>
              <w:rPr>
                <w:rFonts w:ascii="宋体"/>
                <w:kern w:val="0"/>
              </w:rPr>
            </w:pPr>
            <w:r>
              <w:rPr>
                <w:rFonts w:hint="eastAsia" w:ascii="宋体"/>
                <w:kern w:val="0"/>
              </w:rPr>
              <w:t>情节严重</w:t>
            </w:r>
          </w:p>
        </w:tc>
        <w:tc>
          <w:tcPr>
            <w:tcW w:w="5103" w:type="dxa"/>
            <w:tcBorders>
              <w:top w:val="single" w:color="auto" w:sz="4" w:space="0"/>
              <w:left w:val="single" w:color="auto" w:sz="4" w:space="0"/>
              <w:bottom w:val="single" w:color="auto" w:sz="4" w:space="0"/>
            </w:tcBorders>
            <w:vAlign w:val="center"/>
          </w:tcPr>
          <w:p w14:paraId="7F918B76">
            <w:pPr>
              <w:jc w:val="left"/>
              <w:rPr>
                <w:rFonts w:ascii="宋体"/>
              </w:rPr>
            </w:pPr>
            <w:r>
              <w:rPr>
                <w:rFonts w:hint="eastAsia" w:ascii="宋体"/>
              </w:rPr>
              <w:t>1.</w:t>
            </w:r>
            <w:r>
              <w:rPr>
                <w:rFonts w:hint="eastAsia" w:ascii="宋体"/>
                <w:kern w:val="0"/>
              </w:rPr>
              <w:t>未保持海上交通安全通信频道的值守和畅通</w:t>
            </w:r>
            <w:r>
              <w:rPr>
                <w:rFonts w:hint="eastAsia" w:ascii="宋体"/>
              </w:rPr>
              <w:t>，</w:t>
            </w:r>
            <w:r>
              <w:rPr>
                <w:rFonts w:hint="eastAsia" w:ascii="宋体"/>
                <w:kern w:val="0"/>
              </w:rPr>
              <w:t>使用海上交通安全通信频率交流与海上交通安全无关的内容</w:t>
            </w:r>
            <w:r>
              <w:rPr>
                <w:rFonts w:hint="eastAsia" w:ascii="宋体"/>
              </w:rPr>
              <w:t>，干扰搜寻救助，造成不利后果的；</w:t>
            </w:r>
          </w:p>
          <w:p w14:paraId="2B0E9D72">
            <w:pPr>
              <w:jc w:val="left"/>
              <w:rPr>
                <w:rFonts w:ascii="宋体"/>
                <w:kern w:val="0"/>
              </w:rPr>
            </w:pPr>
            <w:r>
              <w:rPr>
                <w:rFonts w:hint="eastAsia" w:ascii="宋体"/>
                <w:kern w:val="0"/>
              </w:rPr>
              <w:t>2.造</w:t>
            </w:r>
            <w:r>
              <w:rPr>
                <w:rFonts w:hint="eastAsia" w:ascii="宋体"/>
              </w:rPr>
              <w:t>成小事故或险情的。</w:t>
            </w:r>
          </w:p>
        </w:tc>
        <w:tc>
          <w:tcPr>
            <w:tcW w:w="11010" w:type="dxa"/>
            <w:tcBorders>
              <w:top w:val="single" w:color="auto" w:sz="4" w:space="0"/>
              <w:right w:val="single" w:color="auto" w:sz="4" w:space="0"/>
            </w:tcBorders>
            <w:vAlign w:val="center"/>
          </w:tcPr>
          <w:p w14:paraId="794B9066">
            <w:pPr>
              <w:jc w:val="center"/>
              <w:rPr>
                <w:rFonts w:ascii="宋体"/>
                <w:kern w:val="0"/>
              </w:rPr>
            </w:pPr>
            <w:r>
              <w:rPr>
                <w:rFonts w:hint="eastAsia" w:ascii="宋体"/>
                <w:kern w:val="0"/>
              </w:rPr>
              <w:t>3-5万元，并暂扣责任船员的船员适任证书1-2个月</w:t>
            </w:r>
          </w:p>
        </w:tc>
      </w:tr>
      <w:tr w14:paraId="338AE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278" w:type="dxa"/>
            <w:vMerge w:val="continue"/>
            <w:vAlign w:val="center"/>
          </w:tcPr>
          <w:p w14:paraId="0D607398">
            <w:pPr>
              <w:jc w:val="left"/>
              <w:rPr>
                <w:rFonts w:ascii="宋体"/>
                <w:kern w:val="0"/>
              </w:rPr>
            </w:pPr>
          </w:p>
        </w:tc>
        <w:tc>
          <w:tcPr>
            <w:tcW w:w="1047" w:type="dxa"/>
            <w:vMerge w:val="continue"/>
            <w:vAlign w:val="center"/>
          </w:tcPr>
          <w:p w14:paraId="07A7333B">
            <w:pPr>
              <w:jc w:val="left"/>
              <w:rPr>
                <w:rFonts w:ascii="宋体"/>
                <w:kern w:val="0"/>
              </w:rPr>
            </w:pPr>
          </w:p>
        </w:tc>
        <w:tc>
          <w:tcPr>
            <w:tcW w:w="1276" w:type="dxa"/>
            <w:vMerge w:val="continue"/>
            <w:vAlign w:val="center"/>
          </w:tcPr>
          <w:p w14:paraId="39FF047C">
            <w:pPr>
              <w:jc w:val="left"/>
              <w:rPr>
                <w:rFonts w:ascii="宋体"/>
                <w:kern w:val="0"/>
              </w:rPr>
            </w:pPr>
          </w:p>
        </w:tc>
        <w:tc>
          <w:tcPr>
            <w:tcW w:w="992" w:type="dxa"/>
            <w:vMerge w:val="continue"/>
            <w:tcBorders>
              <w:bottom w:val="single" w:color="auto" w:sz="4" w:space="0"/>
              <w:right w:val="single" w:color="auto" w:sz="4" w:space="0"/>
            </w:tcBorders>
            <w:vAlign w:val="center"/>
          </w:tcPr>
          <w:p w14:paraId="59A36CC3">
            <w:pPr>
              <w:jc w:val="left"/>
              <w:rPr>
                <w:rFonts w:ascii="宋体"/>
                <w:kern w:val="0"/>
              </w:rPr>
            </w:pPr>
          </w:p>
        </w:tc>
        <w:tc>
          <w:tcPr>
            <w:tcW w:w="5103" w:type="dxa"/>
            <w:tcBorders>
              <w:top w:val="single" w:color="auto" w:sz="4" w:space="0"/>
              <w:left w:val="single" w:color="auto" w:sz="4" w:space="0"/>
              <w:bottom w:val="single" w:color="auto" w:sz="4" w:space="0"/>
            </w:tcBorders>
            <w:vAlign w:val="center"/>
          </w:tcPr>
          <w:p w14:paraId="52425EB2">
            <w:pPr>
              <w:jc w:val="left"/>
              <w:rPr>
                <w:rFonts w:ascii="宋体"/>
                <w:kern w:val="0"/>
              </w:rPr>
            </w:pPr>
            <w:r>
              <w:rPr>
                <w:rFonts w:hint="eastAsia" w:ascii="宋体"/>
                <w:kern w:val="0"/>
              </w:rPr>
              <w:t>1.造成一般等级以上事故的；</w:t>
            </w:r>
          </w:p>
          <w:p w14:paraId="47FDC000">
            <w:pPr>
              <w:jc w:val="left"/>
              <w:rPr>
                <w:rFonts w:ascii="宋体"/>
                <w:kern w:val="0"/>
              </w:rPr>
            </w:pPr>
            <w:r>
              <w:rPr>
                <w:rFonts w:hint="eastAsia" w:ascii="宋体"/>
                <w:kern w:val="0"/>
              </w:rPr>
              <w:t>2.具有其他严重情节的。</w:t>
            </w:r>
          </w:p>
        </w:tc>
        <w:tc>
          <w:tcPr>
            <w:tcW w:w="11010" w:type="dxa"/>
            <w:tcBorders>
              <w:bottom w:val="single" w:color="auto" w:sz="4" w:space="0"/>
            </w:tcBorders>
            <w:vAlign w:val="center"/>
          </w:tcPr>
          <w:p w14:paraId="66F54ED0">
            <w:pPr>
              <w:jc w:val="center"/>
              <w:rPr>
                <w:rFonts w:ascii="宋体"/>
                <w:kern w:val="0"/>
              </w:rPr>
            </w:pPr>
            <w:r>
              <w:rPr>
                <w:rFonts w:hint="eastAsia" w:ascii="宋体"/>
                <w:kern w:val="0"/>
              </w:rPr>
              <w:t>5-10万元，并暂扣责任船员的船员适任证书2-3个月</w:t>
            </w:r>
          </w:p>
        </w:tc>
      </w:tr>
    </w:tbl>
    <w:p w14:paraId="6B4D57EF">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1275"/>
        <w:gridCol w:w="1276"/>
        <w:gridCol w:w="992"/>
        <w:gridCol w:w="3544"/>
        <w:gridCol w:w="11475"/>
      </w:tblGrid>
      <w:tr w14:paraId="35576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50" w:type="dxa"/>
            <w:vMerge w:val="restart"/>
            <w:vAlign w:val="center"/>
          </w:tcPr>
          <w:p w14:paraId="026BF3A4">
            <w:pPr>
              <w:jc w:val="left"/>
              <w:rPr>
                <w:rFonts w:ascii="宋体"/>
                <w:b/>
                <w:kern w:val="0"/>
              </w:rPr>
            </w:pPr>
            <w:r>
              <w:rPr>
                <w:rFonts w:hint="eastAsia" w:ascii="宋体"/>
                <w:b/>
                <w:kern w:val="0"/>
              </w:rPr>
              <w:t>案由4</w:t>
            </w:r>
          </w:p>
        </w:tc>
        <w:tc>
          <w:tcPr>
            <w:tcW w:w="2551" w:type="dxa"/>
            <w:gridSpan w:val="2"/>
            <w:vAlign w:val="center"/>
          </w:tcPr>
          <w:p w14:paraId="121ACB80">
            <w:pPr>
              <w:jc w:val="center"/>
              <w:rPr>
                <w:rFonts w:ascii="宋体"/>
                <w:b/>
                <w:kern w:val="0"/>
              </w:rPr>
            </w:pPr>
            <w:r>
              <w:rPr>
                <w:rFonts w:hint="eastAsia" w:ascii="宋体"/>
                <w:b/>
                <w:kern w:val="0"/>
              </w:rPr>
              <w:t>法律依据</w:t>
            </w:r>
          </w:p>
        </w:tc>
        <w:tc>
          <w:tcPr>
            <w:tcW w:w="992" w:type="dxa"/>
            <w:vMerge w:val="restart"/>
            <w:vAlign w:val="center"/>
          </w:tcPr>
          <w:p w14:paraId="21047ED7">
            <w:pPr>
              <w:jc w:val="left"/>
              <w:rPr>
                <w:rFonts w:ascii="宋体"/>
                <w:b/>
                <w:kern w:val="0"/>
              </w:rPr>
            </w:pPr>
            <w:r>
              <w:rPr>
                <w:rFonts w:hint="eastAsia" w:ascii="宋体"/>
                <w:b/>
                <w:kern w:val="0"/>
              </w:rPr>
              <w:t>违法情节</w:t>
            </w:r>
          </w:p>
        </w:tc>
        <w:tc>
          <w:tcPr>
            <w:tcW w:w="3544" w:type="dxa"/>
            <w:vMerge w:val="restart"/>
            <w:vAlign w:val="center"/>
          </w:tcPr>
          <w:p w14:paraId="2ADA075B">
            <w:pPr>
              <w:jc w:val="center"/>
              <w:rPr>
                <w:rFonts w:ascii="宋体"/>
                <w:b/>
                <w:kern w:val="0"/>
              </w:rPr>
            </w:pPr>
            <w:r>
              <w:rPr>
                <w:rFonts w:hint="eastAsia" w:ascii="宋体"/>
                <w:b/>
                <w:kern w:val="0"/>
              </w:rPr>
              <w:t>主要考虑因素（事实、性质、情节、危害程度和实际后果等）</w:t>
            </w:r>
          </w:p>
        </w:tc>
        <w:tc>
          <w:tcPr>
            <w:tcW w:w="11475" w:type="dxa"/>
            <w:vAlign w:val="center"/>
          </w:tcPr>
          <w:p w14:paraId="495C9C34">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14:paraId="1239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50" w:type="dxa"/>
            <w:vMerge w:val="continue"/>
            <w:tcBorders>
              <w:bottom w:val="single" w:color="000000" w:sz="4" w:space="0"/>
            </w:tcBorders>
            <w:vAlign w:val="center"/>
          </w:tcPr>
          <w:p w14:paraId="028150E8">
            <w:pPr>
              <w:jc w:val="left"/>
              <w:rPr>
                <w:rFonts w:ascii="宋体"/>
                <w:b/>
                <w:kern w:val="0"/>
              </w:rPr>
            </w:pPr>
          </w:p>
        </w:tc>
        <w:tc>
          <w:tcPr>
            <w:tcW w:w="1275" w:type="dxa"/>
            <w:tcBorders>
              <w:bottom w:val="single" w:color="000000" w:sz="4" w:space="0"/>
            </w:tcBorders>
            <w:vAlign w:val="center"/>
          </w:tcPr>
          <w:p w14:paraId="002CB56F">
            <w:pPr>
              <w:jc w:val="center"/>
              <w:rPr>
                <w:rFonts w:ascii="宋体"/>
                <w:b/>
                <w:kern w:val="0"/>
              </w:rPr>
            </w:pPr>
            <w:r>
              <w:rPr>
                <w:rFonts w:hint="eastAsia" w:ascii="宋体"/>
                <w:b/>
                <w:kern w:val="0"/>
              </w:rPr>
              <w:t>违反条款</w:t>
            </w:r>
          </w:p>
        </w:tc>
        <w:tc>
          <w:tcPr>
            <w:tcW w:w="1276" w:type="dxa"/>
            <w:tcBorders>
              <w:bottom w:val="single" w:color="000000" w:sz="4" w:space="0"/>
            </w:tcBorders>
            <w:vAlign w:val="center"/>
          </w:tcPr>
          <w:p w14:paraId="46C8B905">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40B34D53">
            <w:pPr>
              <w:jc w:val="left"/>
              <w:rPr>
                <w:rFonts w:ascii="宋体"/>
                <w:b/>
                <w:kern w:val="0"/>
              </w:rPr>
            </w:pPr>
          </w:p>
        </w:tc>
        <w:tc>
          <w:tcPr>
            <w:tcW w:w="3544" w:type="dxa"/>
            <w:vMerge w:val="continue"/>
            <w:tcBorders>
              <w:bottom w:val="single" w:color="000000" w:sz="4" w:space="0"/>
            </w:tcBorders>
            <w:vAlign w:val="center"/>
          </w:tcPr>
          <w:p w14:paraId="7C1797B5">
            <w:pPr>
              <w:jc w:val="left"/>
              <w:rPr>
                <w:rFonts w:ascii="宋体"/>
                <w:b/>
                <w:kern w:val="0"/>
              </w:rPr>
            </w:pPr>
          </w:p>
        </w:tc>
        <w:tc>
          <w:tcPr>
            <w:tcW w:w="11475" w:type="dxa"/>
            <w:tcBorders>
              <w:top w:val="single" w:color="auto" w:sz="4" w:space="0"/>
              <w:bottom w:val="single" w:color="auto" w:sz="4" w:space="0"/>
              <w:right w:val="single" w:color="auto" w:sz="4" w:space="0"/>
            </w:tcBorders>
            <w:vAlign w:val="center"/>
          </w:tcPr>
          <w:p w14:paraId="57324EF3">
            <w:pPr>
              <w:jc w:val="center"/>
              <w:rPr>
                <w:rFonts w:ascii="宋体"/>
                <w:b/>
                <w:kern w:val="0"/>
              </w:rPr>
            </w:pPr>
            <w:r>
              <w:rPr>
                <w:rFonts w:hint="eastAsia" w:ascii="宋体"/>
                <w:b/>
                <w:kern w:val="0"/>
              </w:rPr>
              <w:t>【对象】责任人员</w:t>
            </w:r>
          </w:p>
        </w:tc>
      </w:tr>
      <w:tr w14:paraId="49E5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50" w:type="dxa"/>
            <w:vMerge w:val="restart"/>
            <w:vAlign w:val="center"/>
          </w:tcPr>
          <w:p w14:paraId="6D17EA39">
            <w:pPr>
              <w:widowControl/>
              <w:jc w:val="left"/>
              <w:rPr>
                <w:rFonts w:ascii="宋体"/>
                <w:kern w:val="0"/>
              </w:rPr>
            </w:pPr>
            <w:r>
              <w:rPr>
                <w:rFonts w:hint="eastAsia" w:ascii="宋体"/>
                <w:kern w:val="0"/>
              </w:rPr>
              <w:t>违反国家有关规定使用无线电台识别码影响海上搜救的身份识别</w:t>
            </w:r>
          </w:p>
        </w:tc>
        <w:tc>
          <w:tcPr>
            <w:tcW w:w="1275" w:type="dxa"/>
            <w:vMerge w:val="restart"/>
            <w:vAlign w:val="center"/>
          </w:tcPr>
          <w:p w14:paraId="586C69B2">
            <w:pPr>
              <w:widowControl/>
              <w:jc w:val="left"/>
              <w:rPr>
                <w:rFonts w:ascii="宋体"/>
                <w:kern w:val="0"/>
              </w:rPr>
            </w:pPr>
            <w:r>
              <w:rPr>
                <w:rFonts w:hint="eastAsia" w:ascii="宋体"/>
                <w:kern w:val="0"/>
              </w:rPr>
              <w:t>1.《中华人民共和国海上交通安全法》第二十四条第三款；</w:t>
            </w:r>
          </w:p>
          <w:p w14:paraId="5875E26B">
            <w:pPr>
              <w:widowControl/>
              <w:rPr>
                <w:rFonts w:ascii="宋体"/>
              </w:rPr>
            </w:pPr>
            <w:r>
              <w:rPr>
                <w:rFonts w:hint="eastAsia" w:ascii="宋体"/>
              </w:rPr>
              <w:t>2.其他法律、法规、规章等。</w:t>
            </w:r>
          </w:p>
        </w:tc>
        <w:tc>
          <w:tcPr>
            <w:tcW w:w="1276" w:type="dxa"/>
            <w:vMerge w:val="restart"/>
            <w:vAlign w:val="center"/>
          </w:tcPr>
          <w:p w14:paraId="50217061">
            <w:pPr>
              <w:jc w:val="left"/>
              <w:rPr>
                <w:rFonts w:ascii="宋体"/>
                <w:kern w:val="0"/>
              </w:rPr>
            </w:pPr>
            <w:r>
              <w:rPr>
                <w:rFonts w:hint="eastAsia" w:ascii="宋体"/>
                <w:kern w:val="0"/>
              </w:rPr>
              <w:t>1.《中华人民共和国海上交通安全法》第一百零一条第（二）项、《中华人民共和国海上海事行政处罚规定》第二十条第（二）项；</w:t>
            </w:r>
          </w:p>
          <w:p w14:paraId="3041CE38">
            <w:pPr>
              <w:jc w:val="left"/>
              <w:rPr>
                <w:rFonts w:ascii="宋体"/>
                <w:kern w:val="0"/>
              </w:rPr>
            </w:pPr>
            <w:r>
              <w:rPr>
                <w:rFonts w:hint="eastAsia" w:ascii="宋体"/>
                <w:kern w:val="0"/>
              </w:rPr>
              <w:t>2. 《中华人民共和国海上海事行政处罚规定》第七条。</w:t>
            </w:r>
          </w:p>
        </w:tc>
        <w:tc>
          <w:tcPr>
            <w:tcW w:w="992" w:type="dxa"/>
            <w:vAlign w:val="center"/>
          </w:tcPr>
          <w:p w14:paraId="1E221C8A">
            <w:pPr>
              <w:jc w:val="center"/>
              <w:rPr>
                <w:rFonts w:ascii="宋体"/>
                <w:kern w:val="0"/>
              </w:rPr>
            </w:pPr>
            <w:r>
              <w:rPr>
                <w:rFonts w:hint="eastAsia" w:ascii="宋体"/>
                <w:kern w:val="0"/>
              </w:rPr>
              <w:t>从轻</w:t>
            </w:r>
          </w:p>
        </w:tc>
        <w:tc>
          <w:tcPr>
            <w:tcW w:w="3544" w:type="dxa"/>
            <w:vAlign w:val="center"/>
          </w:tcPr>
          <w:p w14:paraId="7F452610">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475" w:type="dxa"/>
            <w:tcBorders>
              <w:right w:val="single" w:color="auto" w:sz="4" w:space="0"/>
            </w:tcBorders>
            <w:vAlign w:val="center"/>
          </w:tcPr>
          <w:p w14:paraId="2E05E514">
            <w:pPr>
              <w:jc w:val="center"/>
              <w:rPr>
                <w:rFonts w:ascii="宋体"/>
                <w:kern w:val="0"/>
              </w:rPr>
            </w:pPr>
            <w:r>
              <w:rPr>
                <w:rFonts w:hint="eastAsia" w:ascii="宋体"/>
                <w:kern w:val="0"/>
              </w:rPr>
              <w:t>3000-4000元</w:t>
            </w:r>
          </w:p>
        </w:tc>
      </w:tr>
      <w:tr w14:paraId="38E8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050" w:type="dxa"/>
            <w:vMerge w:val="continue"/>
            <w:vAlign w:val="center"/>
          </w:tcPr>
          <w:p w14:paraId="512926A2">
            <w:pPr>
              <w:jc w:val="left"/>
              <w:rPr>
                <w:rFonts w:ascii="宋体"/>
                <w:kern w:val="0"/>
              </w:rPr>
            </w:pPr>
          </w:p>
        </w:tc>
        <w:tc>
          <w:tcPr>
            <w:tcW w:w="1275" w:type="dxa"/>
            <w:vMerge w:val="continue"/>
            <w:vAlign w:val="center"/>
          </w:tcPr>
          <w:p w14:paraId="0D1690C4">
            <w:pPr>
              <w:widowControl/>
              <w:jc w:val="left"/>
              <w:rPr>
                <w:rFonts w:ascii="宋体"/>
                <w:kern w:val="0"/>
              </w:rPr>
            </w:pPr>
          </w:p>
        </w:tc>
        <w:tc>
          <w:tcPr>
            <w:tcW w:w="1276" w:type="dxa"/>
            <w:vMerge w:val="continue"/>
            <w:vAlign w:val="center"/>
          </w:tcPr>
          <w:p w14:paraId="3B24C7EE">
            <w:pPr>
              <w:jc w:val="left"/>
              <w:rPr>
                <w:rFonts w:ascii="宋体"/>
                <w:kern w:val="0"/>
              </w:rPr>
            </w:pPr>
          </w:p>
        </w:tc>
        <w:tc>
          <w:tcPr>
            <w:tcW w:w="992" w:type="dxa"/>
            <w:vMerge w:val="restart"/>
            <w:vAlign w:val="center"/>
          </w:tcPr>
          <w:p w14:paraId="06B40F89">
            <w:pPr>
              <w:jc w:val="center"/>
              <w:rPr>
                <w:rFonts w:ascii="宋体"/>
                <w:kern w:val="0"/>
              </w:rPr>
            </w:pPr>
            <w:r>
              <w:rPr>
                <w:rFonts w:hint="eastAsia" w:ascii="宋体"/>
                <w:kern w:val="0"/>
              </w:rPr>
              <w:t>一般</w:t>
            </w:r>
          </w:p>
        </w:tc>
        <w:tc>
          <w:tcPr>
            <w:tcW w:w="3544" w:type="dxa"/>
            <w:vAlign w:val="center"/>
          </w:tcPr>
          <w:p w14:paraId="7A512C7F">
            <w:pPr>
              <w:pStyle w:val="13"/>
              <w:jc w:val="left"/>
              <w:rPr>
                <w:rFonts w:ascii="宋体"/>
              </w:rPr>
            </w:pPr>
            <w:r>
              <w:rPr>
                <w:rFonts w:hint="eastAsia" w:ascii="宋体"/>
              </w:rPr>
              <w:t xml:space="preserve">未准确输入无线电台识别码，影响海上搜救的身份识别。 </w:t>
            </w:r>
          </w:p>
        </w:tc>
        <w:tc>
          <w:tcPr>
            <w:tcW w:w="11475" w:type="dxa"/>
            <w:tcBorders>
              <w:right w:val="single" w:color="auto" w:sz="4" w:space="0"/>
            </w:tcBorders>
            <w:vAlign w:val="center"/>
          </w:tcPr>
          <w:p w14:paraId="2CE66E29">
            <w:pPr>
              <w:jc w:val="center"/>
              <w:rPr>
                <w:rFonts w:ascii="宋体"/>
                <w:kern w:val="0"/>
              </w:rPr>
            </w:pPr>
            <w:r>
              <w:rPr>
                <w:rFonts w:hint="eastAsia" w:ascii="宋体"/>
                <w:kern w:val="0"/>
              </w:rPr>
              <w:t>4000-6000元</w:t>
            </w:r>
          </w:p>
        </w:tc>
      </w:tr>
      <w:tr w14:paraId="1ADF0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050" w:type="dxa"/>
            <w:vMerge w:val="continue"/>
            <w:vAlign w:val="center"/>
          </w:tcPr>
          <w:p w14:paraId="2F51CBF1">
            <w:pPr>
              <w:jc w:val="left"/>
              <w:rPr>
                <w:rFonts w:ascii="宋体"/>
                <w:kern w:val="0"/>
              </w:rPr>
            </w:pPr>
          </w:p>
        </w:tc>
        <w:tc>
          <w:tcPr>
            <w:tcW w:w="1275" w:type="dxa"/>
            <w:vMerge w:val="continue"/>
            <w:vAlign w:val="center"/>
          </w:tcPr>
          <w:p w14:paraId="1AB6F13B">
            <w:pPr>
              <w:widowControl/>
              <w:jc w:val="left"/>
              <w:rPr>
                <w:rFonts w:ascii="宋体"/>
                <w:kern w:val="0"/>
              </w:rPr>
            </w:pPr>
          </w:p>
        </w:tc>
        <w:tc>
          <w:tcPr>
            <w:tcW w:w="1276" w:type="dxa"/>
            <w:vMerge w:val="continue"/>
            <w:vAlign w:val="center"/>
          </w:tcPr>
          <w:p w14:paraId="474EBD15">
            <w:pPr>
              <w:jc w:val="left"/>
              <w:rPr>
                <w:rFonts w:ascii="宋体"/>
                <w:kern w:val="0"/>
              </w:rPr>
            </w:pPr>
          </w:p>
        </w:tc>
        <w:tc>
          <w:tcPr>
            <w:tcW w:w="992" w:type="dxa"/>
            <w:vMerge w:val="continue"/>
            <w:vAlign w:val="center"/>
          </w:tcPr>
          <w:p w14:paraId="3DF8B01C">
            <w:pPr>
              <w:jc w:val="center"/>
              <w:rPr>
                <w:rFonts w:ascii="宋体"/>
                <w:kern w:val="0"/>
              </w:rPr>
            </w:pPr>
          </w:p>
        </w:tc>
        <w:tc>
          <w:tcPr>
            <w:tcW w:w="3544" w:type="dxa"/>
            <w:vAlign w:val="center"/>
          </w:tcPr>
          <w:p w14:paraId="0B95C120">
            <w:pPr>
              <w:pStyle w:val="13"/>
              <w:jc w:val="left"/>
              <w:rPr>
                <w:rFonts w:ascii="宋体"/>
              </w:rPr>
            </w:pPr>
            <w:r>
              <w:rPr>
                <w:rFonts w:hint="eastAsia" w:ascii="宋体"/>
              </w:rPr>
              <w:t>冒用、伪造无线电台识别码，影响海上搜救的身份识别。</w:t>
            </w:r>
          </w:p>
        </w:tc>
        <w:tc>
          <w:tcPr>
            <w:tcW w:w="11475" w:type="dxa"/>
            <w:tcBorders>
              <w:right w:val="single" w:color="auto" w:sz="4" w:space="0"/>
            </w:tcBorders>
            <w:vAlign w:val="center"/>
          </w:tcPr>
          <w:p w14:paraId="65EAA5D4">
            <w:pPr>
              <w:jc w:val="center"/>
              <w:rPr>
                <w:rFonts w:ascii="宋体"/>
                <w:kern w:val="0"/>
              </w:rPr>
            </w:pPr>
            <w:r>
              <w:rPr>
                <w:rFonts w:hint="eastAsia" w:ascii="宋体"/>
              </w:rPr>
              <w:t>6</w:t>
            </w:r>
            <w:r>
              <w:rPr>
                <w:rFonts w:hint="eastAsia" w:ascii="宋体"/>
                <w:kern w:val="0"/>
              </w:rPr>
              <w:t>000元-1万</w:t>
            </w:r>
          </w:p>
        </w:tc>
      </w:tr>
      <w:tr w14:paraId="62BA5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50" w:type="dxa"/>
            <w:vMerge w:val="continue"/>
            <w:vAlign w:val="center"/>
          </w:tcPr>
          <w:p w14:paraId="2DAE20C4">
            <w:pPr>
              <w:jc w:val="left"/>
              <w:rPr>
                <w:rFonts w:ascii="宋体"/>
                <w:kern w:val="0"/>
              </w:rPr>
            </w:pPr>
          </w:p>
        </w:tc>
        <w:tc>
          <w:tcPr>
            <w:tcW w:w="1275" w:type="dxa"/>
            <w:vMerge w:val="continue"/>
            <w:vAlign w:val="center"/>
          </w:tcPr>
          <w:p w14:paraId="686F0AA3">
            <w:pPr>
              <w:jc w:val="left"/>
              <w:rPr>
                <w:rFonts w:ascii="宋体"/>
                <w:kern w:val="0"/>
              </w:rPr>
            </w:pPr>
          </w:p>
        </w:tc>
        <w:tc>
          <w:tcPr>
            <w:tcW w:w="1276" w:type="dxa"/>
            <w:vMerge w:val="continue"/>
            <w:vAlign w:val="center"/>
          </w:tcPr>
          <w:p w14:paraId="62E34C07">
            <w:pPr>
              <w:jc w:val="left"/>
              <w:rPr>
                <w:rFonts w:ascii="宋体"/>
                <w:kern w:val="0"/>
              </w:rPr>
            </w:pPr>
          </w:p>
        </w:tc>
        <w:tc>
          <w:tcPr>
            <w:tcW w:w="992" w:type="dxa"/>
            <w:vMerge w:val="continue"/>
            <w:tcBorders>
              <w:bottom w:val="single" w:color="auto" w:sz="4" w:space="0"/>
            </w:tcBorders>
            <w:vAlign w:val="center"/>
          </w:tcPr>
          <w:p w14:paraId="6B187064">
            <w:pPr>
              <w:jc w:val="center"/>
              <w:rPr>
                <w:rFonts w:ascii="宋体"/>
                <w:kern w:val="0"/>
              </w:rPr>
            </w:pPr>
          </w:p>
        </w:tc>
        <w:tc>
          <w:tcPr>
            <w:tcW w:w="3544" w:type="dxa"/>
            <w:tcBorders>
              <w:top w:val="single" w:color="auto" w:sz="4" w:space="0"/>
              <w:bottom w:val="single" w:color="auto" w:sz="4" w:space="0"/>
            </w:tcBorders>
            <w:vAlign w:val="center"/>
          </w:tcPr>
          <w:p w14:paraId="02279EBD">
            <w:pPr>
              <w:jc w:val="left"/>
              <w:rPr>
                <w:rFonts w:ascii="宋体"/>
              </w:rPr>
            </w:pPr>
            <w:r>
              <w:rPr>
                <w:rFonts w:hint="eastAsia" w:ascii="宋体"/>
                <w:kern w:val="0"/>
              </w:rPr>
              <w:t>1.</w:t>
            </w:r>
            <w:r>
              <w:rPr>
                <w:rFonts w:hint="eastAsia" w:ascii="宋体"/>
              </w:rPr>
              <w:t>经海事机构责令改正，仍</w:t>
            </w:r>
            <w:r>
              <w:rPr>
                <w:rFonts w:hint="eastAsia" w:ascii="宋体"/>
                <w:kern w:val="0"/>
              </w:rPr>
              <w:t>违反国家有关规定使用无线电台识别码影响海上搜救的身份识别。</w:t>
            </w:r>
          </w:p>
          <w:p w14:paraId="0C6DFC03">
            <w:pPr>
              <w:jc w:val="left"/>
              <w:rPr>
                <w:rFonts w:ascii="宋体"/>
                <w:kern w:val="0"/>
              </w:rPr>
            </w:pPr>
            <w:r>
              <w:rPr>
                <w:rFonts w:hint="eastAsia" w:ascii="宋体"/>
                <w:kern w:val="0"/>
              </w:rPr>
              <w:t>2.具有其他较重情节的；</w:t>
            </w:r>
          </w:p>
        </w:tc>
        <w:tc>
          <w:tcPr>
            <w:tcW w:w="11475" w:type="dxa"/>
            <w:tcBorders>
              <w:top w:val="single" w:color="auto" w:sz="4" w:space="0"/>
              <w:bottom w:val="single" w:color="auto" w:sz="4" w:space="0"/>
              <w:right w:val="single" w:color="auto" w:sz="4" w:space="0"/>
            </w:tcBorders>
            <w:vAlign w:val="center"/>
          </w:tcPr>
          <w:p w14:paraId="3A20D5C3">
            <w:pPr>
              <w:jc w:val="center"/>
              <w:rPr>
                <w:rFonts w:ascii="宋体"/>
                <w:kern w:val="0"/>
              </w:rPr>
            </w:pPr>
            <w:r>
              <w:rPr>
                <w:rFonts w:hint="eastAsia" w:ascii="宋体"/>
                <w:kern w:val="0"/>
              </w:rPr>
              <w:t>1-3万元</w:t>
            </w:r>
          </w:p>
        </w:tc>
      </w:tr>
      <w:tr w14:paraId="7519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50" w:type="dxa"/>
            <w:vMerge w:val="continue"/>
            <w:vAlign w:val="center"/>
          </w:tcPr>
          <w:p w14:paraId="40214E00">
            <w:pPr>
              <w:jc w:val="left"/>
              <w:rPr>
                <w:rFonts w:ascii="宋体"/>
                <w:kern w:val="0"/>
              </w:rPr>
            </w:pPr>
          </w:p>
        </w:tc>
        <w:tc>
          <w:tcPr>
            <w:tcW w:w="1275" w:type="dxa"/>
            <w:vMerge w:val="continue"/>
            <w:vAlign w:val="center"/>
          </w:tcPr>
          <w:p w14:paraId="6A1A3A29">
            <w:pPr>
              <w:jc w:val="left"/>
              <w:rPr>
                <w:rFonts w:ascii="宋体"/>
                <w:kern w:val="0"/>
              </w:rPr>
            </w:pPr>
          </w:p>
        </w:tc>
        <w:tc>
          <w:tcPr>
            <w:tcW w:w="1276" w:type="dxa"/>
            <w:vMerge w:val="continue"/>
            <w:vAlign w:val="center"/>
          </w:tcPr>
          <w:p w14:paraId="2F492604">
            <w:pPr>
              <w:jc w:val="left"/>
              <w:rPr>
                <w:rFonts w:ascii="宋体"/>
                <w:kern w:val="0"/>
              </w:rPr>
            </w:pPr>
          </w:p>
        </w:tc>
        <w:tc>
          <w:tcPr>
            <w:tcW w:w="992" w:type="dxa"/>
            <w:vMerge w:val="restart"/>
            <w:tcBorders>
              <w:top w:val="single" w:color="auto" w:sz="4" w:space="0"/>
              <w:right w:val="single" w:color="auto" w:sz="4" w:space="0"/>
            </w:tcBorders>
            <w:vAlign w:val="center"/>
          </w:tcPr>
          <w:p w14:paraId="28A7EAC1">
            <w:pPr>
              <w:jc w:val="center"/>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14:paraId="542B26DC">
            <w:pPr>
              <w:jc w:val="left"/>
              <w:rPr>
                <w:rFonts w:ascii="宋体"/>
                <w:kern w:val="0"/>
              </w:rPr>
            </w:pPr>
            <w:r>
              <w:rPr>
                <w:rFonts w:hint="eastAsia" w:ascii="宋体"/>
                <w:kern w:val="0"/>
              </w:rPr>
              <w:t>影响海上搜救（非人命救助和污染事故）的身份识别，干扰搜寻救助，造成不利后果的。</w:t>
            </w:r>
          </w:p>
        </w:tc>
        <w:tc>
          <w:tcPr>
            <w:tcW w:w="11475" w:type="dxa"/>
            <w:tcBorders>
              <w:top w:val="single" w:color="auto" w:sz="4" w:space="0"/>
              <w:right w:val="single" w:color="auto" w:sz="4" w:space="0"/>
            </w:tcBorders>
            <w:vAlign w:val="center"/>
          </w:tcPr>
          <w:p w14:paraId="4C0B663D">
            <w:pPr>
              <w:jc w:val="center"/>
              <w:rPr>
                <w:rFonts w:ascii="宋体"/>
                <w:kern w:val="0"/>
              </w:rPr>
            </w:pPr>
            <w:r>
              <w:rPr>
                <w:rFonts w:hint="eastAsia" w:ascii="宋体"/>
                <w:kern w:val="0"/>
              </w:rPr>
              <w:t>3-5万元，并暂扣责任船员的船员适任证书1-2个月</w:t>
            </w:r>
          </w:p>
        </w:tc>
      </w:tr>
      <w:tr w14:paraId="71D3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050" w:type="dxa"/>
            <w:vMerge w:val="continue"/>
            <w:vAlign w:val="center"/>
          </w:tcPr>
          <w:p w14:paraId="61268939">
            <w:pPr>
              <w:jc w:val="left"/>
              <w:rPr>
                <w:rFonts w:ascii="宋体"/>
                <w:kern w:val="0"/>
              </w:rPr>
            </w:pPr>
          </w:p>
        </w:tc>
        <w:tc>
          <w:tcPr>
            <w:tcW w:w="1275" w:type="dxa"/>
            <w:vMerge w:val="continue"/>
            <w:vAlign w:val="center"/>
          </w:tcPr>
          <w:p w14:paraId="02D18AEB">
            <w:pPr>
              <w:jc w:val="left"/>
              <w:rPr>
                <w:rFonts w:ascii="宋体"/>
                <w:kern w:val="0"/>
              </w:rPr>
            </w:pPr>
          </w:p>
        </w:tc>
        <w:tc>
          <w:tcPr>
            <w:tcW w:w="1276" w:type="dxa"/>
            <w:vMerge w:val="continue"/>
            <w:vAlign w:val="center"/>
          </w:tcPr>
          <w:p w14:paraId="5B6FC9C9">
            <w:pPr>
              <w:jc w:val="left"/>
              <w:rPr>
                <w:rFonts w:ascii="宋体"/>
                <w:kern w:val="0"/>
              </w:rPr>
            </w:pPr>
          </w:p>
        </w:tc>
        <w:tc>
          <w:tcPr>
            <w:tcW w:w="992" w:type="dxa"/>
            <w:vMerge w:val="continue"/>
            <w:tcBorders>
              <w:bottom w:val="single" w:color="auto" w:sz="4" w:space="0"/>
              <w:right w:val="single" w:color="auto" w:sz="4" w:space="0"/>
            </w:tcBorders>
            <w:vAlign w:val="center"/>
          </w:tcPr>
          <w:p w14:paraId="5A2E1DB2">
            <w:pPr>
              <w:jc w:val="left"/>
              <w:rPr>
                <w:rFonts w:ascii="宋体"/>
                <w:kern w:val="0"/>
              </w:rPr>
            </w:pPr>
          </w:p>
        </w:tc>
        <w:tc>
          <w:tcPr>
            <w:tcW w:w="3544" w:type="dxa"/>
            <w:tcBorders>
              <w:top w:val="single" w:color="auto" w:sz="4" w:space="0"/>
              <w:left w:val="single" w:color="auto" w:sz="4" w:space="0"/>
              <w:bottom w:val="single" w:color="auto" w:sz="4" w:space="0"/>
            </w:tcBorders>
            <w:vAlign w:val="center"/>
          </w:tcPr>
          <w:p w14:paraId="58DCB279">
            <w:pPr>
              <w:jc w:val="left"/>
              <w:rPr>
                <w:rFonts w:ascii="宋体"/>
                <w:kern w:val="0"/>
              </w:rPr>
            </w:pPr>
            <w:r>
              <w:rPr>
                <w:rFonts w:hint="eastAsia" w:ascii="宋体"/>
                <w:kern w:val="0"/>
              </w:rPr>
              <w:t>1.影响海上搜救（涉及人命救助和污染事故）的身份识别，干扰搜寻救助，造成不利后果的。</w:t>
            </w:r>
          </w:p>
          <w:p w14:paraId="08E7BFA6">
            <w:pPr>
              <w:jc w:val="left"/>
              <w:rPr>
                <w:rFonts w:ascii="宋体"/>
                <w:kern w:val="0"/>
              </w:rPr>
            </w:pPr>
            <w:r>
              <w:rPr>
                <w:rFonts w:hint="eastAsia" w:ascii="宋体"/>
                <w:kern w:val="0"/>
              </w:rPr>
              <w:t>2.具有其他严重情节的。</w:t>
            </w:r>
          </w:p>
        </w:tc>
        <w:tc>
          <w:tcPr>
            <w:tcW w:w="11475" w:type="dxa"/>
            <w:tcBorders>
              <w:bottom w:val="single" w:color="auto" w:sz="4" w:space="0"/>
            </w:tcBorders>
            <w:vAlign w:val="center"/>
          </w:tcPr>
          <w:p w14:paraId="1DF0ED5E">
            <w:pPr>
              <w:jc w:val="center"/>
              <w:rPr>
                <w:rFonts w:ascii="宋体"/>
                <w:kern w:val="0"/>
              </w:rPr>
            </w:pPr>
            <w:r>
              <w:rPr>
                <w:rFonts w:hint="eastAsia" w:ascii="宋体"/>
                <w:kern w:val="0"/>
              </w:rPr>
              <w:t>5-10万元，并暂扣责任船员的船员适任证书2-3个月</w:t>
            </w:r>
          </w:p>
        </w:tc>
      </w:tr>
    </w:tbl>
    <w:p w14:paraId="6F99AED9">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992"/>
        <w:gridCol w:w="1559"/>
        <w:gridCol w:w="992"/>
        <w:gridCol w:w="6566"/>
        <w:gridCol w:w="8885"/>
      </w:tblGrid>
      <w:tr w14:paraId="266C1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50" w:type="dxa"/>
            <w:vMerge w:val="restart"/>
            <w:vAlign w:val="center"/>
          </w:tcPr>
          <w:p w14:paraId="4A4005D5">
            <w:pPr>
              <w:jc w:val="left"/>
              <w:rPr>
                <w:rFonts w:ascii="宋体"/>
                <w:b/>
                <w:kern w:val="0"/>
              </w:rPr>
            </w:pPr>
            <w:r>
              <w:rPr>
                <w:rFonts w:hint="eastAsia" w:ascii="宋体"/>
                <w:b/>
                <w:kern w:val="0"/>
              </w:rPr>
              <w:t>案由5</w:t>
            </w:r>
          </w:p>
        </w:tc>
        <w:tc>
          <w:tcPr>
            <w:tcW w:w="2551" w:type="dxa"/>
            <w:gridSpan w:val="2"/>
            <w:vAlign w:val="center"/>
          </w:tcPr>
          <w:p w14:paraId="6AE3600E">
            <w:pPr>
              <w:jc w:val="center"/>
              <w:rPr>
                <w:rFonts w:ascii="宋体"/>
                <w:b/>
                <w:kern w:val="0"/>
              </w:rPr>
            </w:pPr>
            <w:r>
              <w:rPr>
                <w:rFonts w:hint="eastAsia" w:ascii="宋体"/>
                <w:b/>
                <w:kern w:val="0"/>
              </w:rPr>
              <w:t>法律依据</w:t>
            </w:r>
          </w:p>
        </w:tc>
        <w:tc>
          <w:tcPr>
            <w:tcW w:w="992" w:type="dxa"/>
            <w:vMerge w:val="restart"/>
            <w:vAlign w:val="center"/>
          </w:tcPr>
          <w:p w14:paraId="58B0D2BC">
            <w:pPr>
              <w:jc w:val="left"/>
              <w:rPr>
                <w:rFonts w:ascii="宋体"/>
                <w:b/>
                <w:kern w:val="0"/>
              </w:rPr>
            </w:pPr>
            <w:r>
              <w:rPr>
                <w:rFonts w:hint="eastAsia" w:ascii="宋体"/>
                <w:b/>
                <w:kern w:val="0"/>
              </w:rPr>
              <w:t>违法情节</w:t>
            </w:r>
          </w:p>
        </w:tc>
        <w:tc>
          <w:tcPr>
            <w:tcW w:w="6566" w:type="dxa"/>
            <w:vMerge w:val="restart"/>
            <w:vAlign w:val="center"/>
          </w:tcPr>
          <w:p w14:paraId="3467C7EB">
            <w:pPr>
              <w:jc w:val="center"/>
              <w:rPr>
                <w:rFonts w:ascii="宋体"/>
                <w:b/>
                <w:kern w:val="0"/>
              </w:rPr>
            </w:pPr>
            <w:r>
              <w:rPr>
                <w:rFonts w:hint="eastAsia" w:ascii="宋体"/>
                <w:b/>
                <w:kern w:val="0"/>
              </w:rPr>
              <w:t>主要考虑因素（事实、性质、情节、危害程度和实际后果等）</w:t>
            </w:r>
          </w:p>
        </w:tc>
        <w:tc>
          <w:tcPr>
            <w:tcW w:w="8885" w:type="dxa"/>
            <w:vAlign w:val="center"/>
          </w:tcPr>
          <w:p w14:paraId="19DF116D">
            <w:pPr>
              <w:jc w:val="left"/>
              <w:rPr>
                <w:rFonts w:ascii="宋体"/>
                <w:b/>
                <w:kern w:val="0"/>
              </w:rPr>
            </w:pPr>
            <w:r>
              <w:rPr>
                <w:rFonts w:hint="eastAsia" w:ascii="宋体"/>
                <w:b/>
                <w:kern w:val="0"/>
              </w:rPr>
              <w:t>【法定幅度和种类】</w:t>
            </w:r>
            <w:r>
              <w:rPr>
                <w:rFonts w:hint="eastAsia" w:ascii="宋体"/>
              </w:rPr>
              <w:t>由海事管理机构责令改正，对有关责任人员处三万元以下的罚款；情节严重的，处三万元以上十万元以下的罚款，并暂扣责任船员的船员适任证书一个月至三个月</w:t>
            </w:r>
            <w:r>
              <w:rPr>
                <w:rFonts w:hint="eastAsia" w:ascii="宋体"/>
                <w:b/>
                <w:kern w:val="0"/>
              </w:rPr>
              <w:t>。</w:t>
            </w:r>
          </w:p>
        </w:tc>
      </w:tr>
      <w:tr w14:paraId="226F0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50" w:type="dxa"/>
            <w:vMerge w:val="continue"/>
            <w:tcBorders>
              <w:bottom w:val="single" w:color="000000" w:sz="4" w:space="0"/>
            </w:tcBorders>
            <w:vAlign w:val="center"/>
          </w:tcPr>
          <w:p w14:paraId="4289408B">
            <w:pPr>
              <w:jc w:val="left"/>
              <w:rPr>
                <w:rFonts w:ascii="宋体"/>
                <w:b/>
                <w:kern w:val="0"/>
              </w:rPr>
            </w:pPr>
          </w:p>
        </w:tc>
        <w:tc>
          <w:tcPr>
            <w:tcW w:w="992" w:type="dxa"/>
            <w:tcBorders>
              <w:bottom w:val="single" w:color="000000" w:sz="4" w:space="0"/>
            </w:tcBorders>
            <w:vAlign w:val="center"/>
          </w:tcPr>
          <w:p w14:paraId="692D04ED">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14:paraId="02C55066">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0F18E393">
            <w:pPr>
              <w:jc w:val="left"/>
              <w:rPr>
                <w:rFonts w:ascii="宋体"/>
                <w:b/>
                <w:kern w:val="0"/>
              </w:rPr>
            </w:pPr>
          </w:p>
        </w:tc>
        <w:tc>
          <w:tcPr>
            <w:tcW w:w="6566" w:type="dxa"/>
            <w:vMerge w:val="continue"/>
            <w:tcBorders>
              <w:bottom w:val="single" w:color="000000" w:sz="4" w:space="0"/>
            </w:tcBorders>
            <w:vAlign w:val="center"/>
          </w:tcPr>
          <w:p w14:paraId="1500AFF7">
            <w:pPr>
              <w:jc w:val="left"/>
              <w:rPr>
                <w:rFonts w:ascii="宋体"/>
                <w:b/>
                <w:kern w:val="0"/>
              </w:rPr>
            </w:pPr>
          </w:p>
        </w:tc>
        <w:tc>
          <w:tcPr>
            <w:tcW w:w="8885" w:type="dxa"/>
            <w:tcBorders>
              <w:top w:val="single" w:color="auto" w:sz="4" w:space="0"/>
              <w:bottom w:val="single" w:color="auto" w:sz="4" w:space="0"/>
              <w:right w:val="single" w:color="auto" w:sz="4" w:space="0"/>
            </w:tcBorders>
            <w:vAlign w:val="center"/>
          </w:tcPr>
          <w:p w14:paraId="567CAB60">
            <w:pPr>
              <w:jc w:val="center"/>
              <w:rPr>
                <w:rFonts w:ascii="宋体"/>
                <w:b/>
                <w:kern w:val="0"/>
              </w:rPr>
            </w:pPr>
            <w:r>
              <w:rPr>
                <w:rFonts w:hint="eastAsia" w:ascii="宋体"/>
                <w:b/>
                <w:kern w:val="0"/>
              </w:rPr>
              <w:t>【对象】责任人员</w:t>
            </w:r>
          </w:p>
        </w:tc>
      </w:tr>
      <w:tr w14:paraId="68E9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50" w:type="dxa"/>
            <w:vMerge w:val="restart"/>
            <w:vAlign w:val="center"/>
          </w:tcPr>
          <w:p w14:paraId="6E3C28EC">
            <w:pPr>
              <w:widowControl/>
              <w:jc w:val="left"/>
              <w:rPr>
                <w:rFonts w:ascii="宋体"/>
                <w:kern w:val="0"/>
              </w:rPr>
            </w:pPr>
            <w:r>
              <w:rPr>
                <w:rFonts w:hint="eastAsia" w:ascii="宋体"/>
                <w:kern w:val="0"/>
              </w:rPr>
              <w:t>其他违反海上无线电通信规则的行为</w:t>
            </w:r>
          </w:p>
        </w:tc>
        <w:tc>
          <w:tcPr>
            <w:tcW w:w="992" w:type="dxa"/>
            <w:vMerge w:val="restart"/>
            <w:vAlign w:val="center"/>
          </w:tcPr>
          <w:p w14:paraId="08EB96AA">
            <w:pPr>
              <w:widowControl/>
              <w:jc w:val="left"/>
              <w:rPr>
                <w:rFonts w:ascii="宋体"/>
                <w:kern w:val="0"/>
              </w:rPr>
            </w:pPr>
            <w:r>
              <w:rPr>
                <w:rFonts w:hint="eastAsia" w:ascii="宋体"/>
                <w:kern w:val="0"/>
              </w:rPr>
              <w:t>1.《中华人民共和国海上交通安全法》相关条款；</w:t>
            </w:r>
          </w:p>
          <w:p w14:paraId="4FA2EFA1">
            <w:pPr>
              <w:widowControl/>
              <w:rPr>
                <w:rFonts w:ascii="宋体"/>
              </w:rPr>
            </w:pPr>
            <w:r>
              <w:rPr>
                <w:rFonts w:hint="eastAsia" w:ascii="宋体"/>
              </w:rPr>
              <w:t>2.其他法律、法规、规章等。</w:t>
            </w:r>
          </w:p>
        </w:tc>
        <w:tc>
          <w:tcPr>
            <w:tcW w:w="1559" w:type="dxa"/>
            <w:vMerge w:val="restart"/>
            <w:vAlign w:val="center"/>
          </w:tcPr>
          <w:p w14:paraId="39C8D529">
            <w:pPr>
              <w:jc w:val="left"/>
              <w:rPr>
                <w:rFonts w:ascii="宋体"/>
                <w:kern w:val="0"/>
              </w:rPr>
            </w:pPr>
            <w:r>
              <w:rPr>
                <w:rFonts w:hint="eastAsia" w:ascii="宋体"/>
                <w:kern w:val="0"/>
              </w:rPr>
              <w:t>1.《中华人民共和国海上交通安全法》第一百零一条第（三）项、《中华人民共和国海上海事行政处罚规定》第二十条第（三）项；</w:t>
            </w:r>
          </w:p>
          <w:p w14:paraId="6392F697">
            <w:pPr>
              <w:jc w:val="left"/>
              <w:rPr>
                <w:rFonts w:ascii="宋体"/>
                <w:kern w:val="0"/>
              </w:rPr>
            </w:pPr>
            <w:r>
              <w:rPr>
                <w:rFonts w:hint="eastAsia" w:ascii="宋体"/>
                <w:kern w:val="0"/>
              </w:rPr>
              <w:t>2. 《中华人民共和国海上海事行政处罚规定》第七条。</w:t>
            </w:r>
          </w:p>
        </w:tc>
        <w:tc>
          <w:tcPr>
            <w:tcW w:w="992" w:type="dxa"/>
            <w:vAlign w:val="center"/>
          </w:tcPr>
          <w:p w14:paraId="2EAEF3E1">
            <w:pPr>
              <w:jc w:val="center"/>
              <w:rPr>
                <w:rFonts w:ascii="宋体"/>
                <w:kern w:val="0"/>
              </w:rPr>
            </w:pPr>
            <w:r>
              <w:rPr>
                <w:rFonts w:hint="eastAsia" w:ascii="宋体"/>
                <w:kern w:val="0"/>
              </w:rPr>
              <w:t>从轻</w:t>
            </w:r>
          </w:p>
        </w:tc>
        <w:tc>
          <w:tcPr>
            <w:tcW w:w="6566" w:type="dxa"/>
            <w:vAlign w:val="center"/>
          </w:tcPr>
          <w:p w14:paraId="27E95D33">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情节的（无线电台（站）注销或者拆除后，未及时将相关无线电设备（信息）移除的）</w:t>
            </w:r>
          </w:p>
        </w:tc>
        <w:tc>
          <w:tcPr>
            <w:tcW w:w="8885" w:type="dxa"/>
            <w:tcBorders>
              <w:right w:val="single" w:color="auto" w:sz="4" w:space="0"/>
            </w:tcBorders>
            <w:vAlign w:val="center"/>
          </w:tcPr>
          <w:p w14:paraId="4CE2521D">
            <w:pPr>
              <w:jc w:val="center"/>
              <w:rPr>
                <w:rFonts w:ascii="宋体"/>
                <w:kern w:val="0"/>
              </w:rPr>
            </w:pPr>
            <w:r>
              <w:rPr>
                <w:rFonts w:hint="eastAsia" w:ascii="宋体"/>
                <w:kern w:val="0"/>
              </w:rPr>
              <w:t>3000-4000元</w:t>
            </w:r>
          </w:p>
        </w:tc>
      </w:tr>
      <w:tr w14:paraId="238F6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1" w:hRule="atLeast"/>
        </w:trPr>
        <w:tc>
          <w:tcPr>
            <w:tcW w:w="1050" w:type="dxa"/>
            <w:vMerge w:val="continue"/>
            <w:vAlign w:val="center"/>
          </w:tcPr>
          <w:p w14:paraId="35C294EB">
            <w:pPr>
              <w:jc w:val="left"/>
              <w:rPr>
                <w:rFonts w:ascii="宋体"/>
                <w:kern w:val="0"/>
              </w:rPr>
            </w:pPr>
          </w:p>
        </w:tc>
        <w:tc>
          <w:tcPr>
            <w:tcW w:w="992" w:type="dxa"/>
            <w:vMerge w:val="continue"/>
            <w:vAlign w:val="center"/>
          </w:tcPr>
          <w:p w14:paraId="628773B5">
            <w:pPr>
              <w:widowControl/>
              <w:jc w:val="left"/>
              <w:rPr>
                <w:rFonts w:ascii="宋体"/>
                <w:kern w:val="0"/>
              </w:rPr>
            </w:pPr>
          </w:p>
        </w:tc>
        <w:tc>
          <w:tcPr>
            <w:tcW w:w="1559" w:type="dxa"/>
            <w:vMerge w:val="continue"/>
            <w:vAlign w:val="center"/>
          </w:tcPr>
          <w:p w14:paraId="0A61833C">
            <w:pPr>
              <w:jc w:val="left"/>
              <w:rPr>
                <w:rFonts w:ascii="宋体"/>
                <w:kern w:val="0"/>
              </w:rPr>
            </w:pPr>
          </w:p>
        </w:tc>
        <w:tc>
          <w:tcPr>
            <w:tcW w:w="992" w:type="dxa"/>
            <w:vMerge w:val="restart"/>
            <w:vAlign w:val="center"/>
          </w:tcPr>
          <w:p w14:paraId="1B9AA5DE">
            <w:pPr>
              <w:jc w:val="center"/>
              <w:rPr>
                <w:rFonts w:ascii="宋体"/>
                <w:kern w:val="0"/>
              </w:rPr>
            </w:pPr>
            <w:r>
              <w:rPr>
                <w:rFonts w:hint="eastAsia" w:ascii="宋体"/>
                <w:kern w:val="0"/>
              </w:rPr>
              <w:t>一般</w:t>
            </w:r>
          </w:p>
        </w:tc>
        <w:tc>
          <w:tcPr>
            <w:tcW w:w="6566" w:type="dxa"/>
            <w:vAlign w:val="center"/>
          </w:tcPr>
          <w:p w14:paraId="2E0AEEA9">
            <w:pPr>
              <w:pStyle w:val="13"/>
              <w:jc w:val="left"/>
              <w:rPr>
                <w:rFonts w:ascii="宋体"/>
              </w:rPr>
            </w:pPr>
            <w:r>
              <w:rPr>
                <w:rFonts w:hint="eastAsia" w:ascii="宋体"/>
              </w:rPr>
              <w:t>电台的发射功率、发射种类、占有带宽等技术特性不符合有关规定</w:t>
            </w:r>
          </w:p>
        </w:tc>
        <w:tc>
          <w:tcPr>
            <w:tcW w:w="8885" w:type="dxa"/>
            <w:tcBorders>
              <w:right w:val="single" w:color="auto" w:sz="4" w:space="0"/>
            </w:tcBorders>
            <w:vAlign w:val="center"/>
          </w:tcPr>
          <w:p w14:paraId="7EE70CA2">
            <w:pPr>
              <w:jc w:val="center"/>
              <w:rPr>
                <w:rFonts w:ascii="宋体"/>
                <w:kern w:val="0"/>
              </w:rPr>
            </w:pPr>
            <w:r>
              <w:rPr>
                <w:rFonts w:hint="eastAsia" w:ascii="宋体"/>
                <w:kern w:val="0"/>
              </w:rPr>
              <w:t>4000-6000元</w:t>
            </w:r>
          </w:p>
        </w:tc>
      </w:tr>
      <w:tr w14:paraId="405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8" w:hRule="atLeast"/>
        </w:trPr>
        <w:tc>
          <w:tcPr>
            <w:tcW w:w="1050" w:type="dxa"/>
            <w:vMerge w:val="continue"/>
            <w:vAlign w:val="center"/>
          </w:tcPr>
          <w:p w14:paraId="561FC604">
            <w:pPr>
              <w:jc w:val="left"/>
              <w:rPr>
                <w:rFonts w:ascii="宋体"/>
                <w:kern w:val="0"/>
              </w:rPr>
            </w:pPr>
          </w:p>
        </w:tc>
        <w:tc>
          <w:tcPr>
            <w:tcW w:w="992" w:type="dxa"/>
            <w:vMerge w:val="continue"/>
            <w:vAlign w:val="center"/>
          </w:tcPr>
          <w:p w14:paraId="24F9441D">
            <w:pPr>
              <w:widowControl/>
              <w:jc w:val="left"/>
              <w:rPr>
                <w:rFonts w:ascii="宋体"/>
                <w:kern w:val="0"/>
              </w:rPr>
            </w:pPr>
          </w:p>
        </w:tc>
        <w:tc>
          <w:tcPr>
            <w:tcW w:w="1559" w:type="dxa"/>
            <w:vMerge w:val="continue"/>
            <w:vAlign w:val="center"/>
          </w:tcPr>
          <w:p w14:paraId="4534E2A8">
            <w:pPr>
              <w:jc w:val="left"/>
              <w:rPr>
                <w:rFonts w:ascii="宋体"/>
                <w:kern w:val="0"/>
              </w:rPr>
            </w:pPr>
          </w:p>
        </w:tc>
        <w:tc>
          <w:tcPr>
            <w:tcW w:w="992" w:type="dxa"/>
            <w:vMerge w:val="continue"/>
            <w:vAlign w:val="center"/>
          </w:tcPr>
          <w:p w14:paraId="1A68B985">
            <w:pPr>
              <w:jc w:val="center"/>
              <w:rPr>
                <w:rFonts w:ascii="宋体"/>
                <w:kern w:val="0"/>
              </w:rPr>
            </w:pPr>
          </w:p>
        </w:tc>
        <w:tc>
          <w:tcPr>
            <w:tcW w:w="6566" w:type="dxa"/>
            <w:vAlign w:val="center"/>
          </w:tcPr>
          <w:p w14:paraId="470D027A">
            <w:pPr>
              <w:pStyle w:val="13"/>
              <w:jc w:val="left"/>
              <w:rPr>
                <w:rFonts w:ascii="宋体"/>
              </w:rPr>
            </w:pPr>
            <w:r>
              <w:rPr>
                <w:rFonts w:hint="eastAsia" w:ascii="宋体"/>
              </w:rPr>
              <w:t>误发射遇险、报警、紧急或安全通信，未及时发现并解除</w:t>
            </w:r>
          </w:p>
        </w:tc>
        <w:tc>
          <w:tcPr>
            <w:tcW w:w="8885" w:type="dxa"/>
            <w:tcBorders>
              <w:right w:val="single" w:color="auto" w:sz="4" w:space="0"/>
            </w:tcBorders>
            <w:vAlign w:val="center"/>
          </w:tcPr>
          <w:p w14:paraId="5E8EB4C4">
            <w:pPr>
              <w:jc w:val="center"/>
              <w:rPr>
                <w:rFonts w:ascii="宋体"/>
                <w:kern w:val="0"/>
              </w:rPr>
            </w:pPr>
            <w:r>
              <w:rPr>
                <w:rFonts w:hint="eastAsia" w:ascii="宋体"/>
              </w:rPr>
              <w:t>6</w:t>
            </w:r>
            <w:r>
              <w:rPr>
                <w:rFonts w:hint="eastAsia" w:ascii="宋体"/>
                <w:kern w:val="0"/>
              </w:rPr>
              <w:t>000元-1万</w:t>
            </w:r>
          </w:p>
        </w:tc>
      </w:tr>
      <w:tr w14:paraId="68CF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2" w:hRule="atLeast"/>
        </w:trPr>
        <w:tc>
          <w:tcPr>
            <w:tcW w:w="1050" w:type="dxa"/>
            <w:vMerge w:val="continue"/>
            <w:vAlign w:val="center"/>
          </w:tcPr>
          <w:p w14:paraId="54974863">
            <w:pPr>
              <w:jc w:val="left"/>
              <w:rPr>
                <w:rFonts w:ascii="宋体"/>
                <w:kern w:val="0"/>
              </w:rPr>
            </w:pPr>
          </w:p>
        </w:tc>
        <w:tc>
          <w:tcPr>
            <w:tcW w:w="992" w:type="dxa"/>
            <w:vMerge w:val="continue"/>
            <w:vAlign w:val="center"/>
          </w:tcPr>
          <w:p w14:paraId="0171B5B7">
            <w:pPr>
              <w:widowControl/>
              <w:jc w:val="left"/>
              <w:rPr>
                <w:rFonts w:ascii="宋体"/>
                <w:kern w:val="0"/>
              </w:rPr>
            </w:pPr>
          </w:p>
        </w:tc>
        <w:tc>
          <w:tcPr>
            <w:tcW w:w="1559" w:type="dxa"/>
            <w:vMerge w:val="continue"/>
            <w:vAlign w:val="center"/>
          </w:tcPr>
          <w:p w14:paraId="02D85FB9">
            <w:pPr>
              <w:jc w:val="left"/>
              <w:rPr>
                <w:rFonts w:ascii="宋体"/>
                <w:kern w:val="0"/>
              </w:rPr>
            </w:pPr>
          </w:p>
        </w:tc>
        <w:tc>
          <w:tcPr>
            <w:tcW w:w="992" w:type="dxa"/>
            <w:vMerge w:val="continue"/>
            <w:vAlign w:val="center"/>
          </w:tcPr>
          <w:p w14:paraId="57419D72">
            <w:pPr>
              <w:jc w:val="center"/>
              <w:rPr>
                <w:rFonts w:ascii="宋体"/>
                <w:kern w:val="0"/>
              </w:rPr>
            </w:pPr>
          </w:p>
        </w:tc>
        <w:tc>
          <w:tcPr>
            <w:tcW w:w="6566" w:type="dxa"/>
            <w:vAlign w:val="center"/>
          </w:tcPr>
          <w:p w14:paraId="72B6F09C">
            <w:pPr>
              <w:pStyle w:val="13"/>
              <w:jc w:val="left"/>
              <w:rPr>
                <w:rFonts w:ascii="宋体"/>
              </w:rPr>
            </w:pPr>
            <w:r>
              <w:rPr>
                <w:rFonts w:hint="eastAsia" w:ascii="宋体"/>
              </w:rPr>
              <w:t>1.未及时确认并转发遇险信息；</w:t>
            </w:r>
          </w:p>
          <w:p w14:paraId="0A5E1C14">
            <w:pPr>
              <w:pStyle w:val="13"/>
              <w:jc w:val="left"/>
              <w:rPr>
                <w:rFonts w:ascii="宋体"/>
              </w:rPr>
            </w:pPr>
            <w:r>
              <w:rPr>
                <w:rFonts w:hint="eastAsia" w:ascii="宋体"/>
              </w:rPr>
              <w:t>2.未经许可，擅自设置、使用无线电台(站)；</w:t>
            </w:r>
          </w:p>
          <w:p w14:paraId="098C5FD9">
            <w:pPr>
              <w:pStyle w:val="13"/>
              <w:jc w:val="left"/>
              <w:rPr>
                <w:rFonts w:ascii="宋体"/>
              </w:rPr>
            </w:pPr>
            <w:r>
              <w:rPr>
                <w:rFonts w:hint="eastAsia" w:ascii="宋体"/>
              </w:rPr>
              <w:t>3.未按照电台执照记载的许可事项和要求设置、使用无线电台站（实船配备设备与证照不一致，擅自变更无线电设备型号、数量、技术参数等的）；</w:t>
            </w:r>
          </w:p>
        </w:tc>
        <w:tc>
          <w:tcPr>
            <w:tcW w:w="8885" w:type="dxa"/>
            <w:tcBorders>
              <w:right w:val="single" w:color="auto" w:sz="4" w:space="0"/>
            </w:tcBorders>
            <w:vAlign w:val="center"/>
          </w:tcPr>
          <w:p w14:paraId="714F353F">
            <w:pPr>
              <w:jc w:val="center"/>
              <w:rPr>
                <w:rFonts w:ascii="宋体"/>
                <w:kern w:val="0"/>
              </w:rPr>
            </w:pPr>
            <w:r>
              <w:rPr>
                <w:rFonts w:hint="eastAsia" w:ascii="宋体"/>
                <w:kern w:val="0"/>
              </w:rPr>
              <w:t>8000元-2万元</w:t>
            </w:r>
          </w:p>
        </w:tc>
      </w:tr>
      <w:tr w14:paraId="22ED9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0" w:hRule="atLeast"/>
        </w:trPr>
        <w:tc>
          <w:tcPr>
            <w:tcW w:w="1050" w:type="dxa"/>
            <w:vMerge w:val="continue"/>
            <w:vAlign w:val="center"/>
          </w:tcPr>
          <w:p w14:paraId="1FFA1ACD">
            <w:pPr>
              <w:jc w:val="left"/>
              <w:rPr>
                <w:rFonts w:ascii="宋体"/>
                <w:kern w:val="0"/>
              </w:rPr>
            </w:pPr>
          </w:p>
        </w:tc>
        <w:tc>
          <w:tcPr>
            <w:tcW w:w="992" w:type="dxa"/>
            <w:vMerge w:val="continue"/>
            <w:vAlign w:val="center"/>
          </w:tcPr>
          <w:p w14:paraId="5761A638">
            <w:pPr>
              <w:jc w:val="left"/>
              <w:rPr>
                <w:rFonts w:ascii="宋体"/>
                <w:kern w:val="0"/>
              </w:rPr>
            </w:pPr>
          </w:p>
        </w:tc>
        <w:tc>
          <w:tcPr>
            <w:tcW w:w="1559" w:type="dxa"/>
            <w:vMerge w:val="continue"/>
            <w:vAlign w:val="center"/>
          </w:tcPr>
          <w:p w14:paraId="32D31DE7">
            <w:pPr>
              <w:jc w:val="left"/>
              <w:rPr>
                <w:rFonts w:ascii="宋体"/>
                <w:kern w:val="0"/>
              </w:rPr>
            </w:pPr>
          </w:p>
        </w:tc>
        <w:tc>
          <w:tcPr>
            <w:tcW w:w="992" w:type="dxa"/>
            <w:vMerge w:val="continue"/>
            <w:tcBorders>
              <w:bottom w:val="single" w:color="auto" w:sz="4" w:space="0"/>
            </w:tcBorders>
            <w:vAlign w:val="center"/>
          </w:tcPr>
          <w:p w14:paraId="0ED8B535">
            <w:pPr>
              <w:jc w:val="center"/>
              <w:rPr>
                <w:rFonts w:ascii="宋体"/>
                <w:kern w:val="0"/>
              </w:rPr>
            </w:pPr>
          </w:p>
        </w:tc>
        <w:tc>
          <w:tcPr>
            <w:tcW w:w="6566" w:type="dxa"/>
            <w:tcBorders>
              <w:top w:val="single" w:color="auto" w:sz="4" w:space="0"/>
              <w:bottom w:val="single" w:color="auto" w:sz="4" w:space="0"/>
            </w:tcBorders>
            <w:vAlign w:val="center"/>
          </w:tcPr>
          <w:p w14:paraId="4C79EEB2">
            <w:pPr>
              <w:numPr>
                <w:ilvl w:val="0"/>
                <w:numId w:val="2"/>
              </w:numPr>
              <w:jc w:val="left"/>
              <w:rPr>
                <w:rFonts w:ascii="宋体"/>
                <w:kern w:val="0"/>
              </w:rPr>
            </w:pPr>
            <w:r>
              <w:rPr>
                <w:rFonts w:hint="eastAsia" w:ascii="宋体"/>
              </w:rPr>
              <w:t>经海事机构责令改正，仍</w:t>
            </w:r>
            <w:r>
              <w:rPr>
                <w:rFonts w:hint="eastAsia" w:ascii="宋体"/>
                <w:kern w:val="0"/>
              </w:rPr>
              <w:t>违反海上无线电通信规则的。</w:t>
            </w:r>
          </w:p>
          <w:p w14:paraId="5C3EED2F">
            <w:pPr>
              <w:numPr>
                <w:ilvl w:val="0"/>
                <w:numId w:val="2"/>
              </w:numPr>
              <w:jc w:val="left"/>
              <w:rPr>
                <w:rFonts w:ascii="宋体"/>
                <w:kern w:val="0"/>
              </w:rPr>
            </w:pPr>
            <w:r>
              <w:rPr>
                <w:rFonts w:hint="eastAsia" w:ascii="宋体"/>
                <w:kern w:val="0"/>
              </w:rPr>
              <w:t>故意收发无线电台执照许可事项之外的无线电通信业务信息，或者将非公众性无线电通信信息内容加以复制、公布或者利用；</w:t>
            </w:r>
          </w:p>
          <w:p w14:paraId="4F26FE7F">
            <w:pPr>
              <w:jc w:val="left"/>
              <w:rPr>
                <w:rFonts w:ascii="宋体"/>
                <w:kern w:val="0"/>
              </w:rPr>
            </w:pPr>
            <w:r>
              <w:rPr>
                <w:rFonts w:hint="eastAsia" w:ascii="宋体"/>
                <w:kern w:val="0"/>
              </w:rPr>
              <w:t>3.具有其他较重情节的。</w:t>
            </w:r>
          </w:p>
        </w:tc>
        <w:tc>
          <w:tcPr>
            <w:tcW w:w="8885" w:type="dxa"/>
            <w:tcBorders>
              <w:top w:val="single" w:color="auto" w:sz="4" w:space="0"/>
              <w:bottom w:val="single" w:color="auto" w:sz="4" w:space="0"/>
              <w:right w:val="single" w:color="auto" w:sz="4" w:space="0"/>
            </w:tcBorders>
            <w:vAlign w:val="center"/>
          </w:tcPr>
          <w:p w14:paraId="09CA7917">
            <w:pPr>
              <w:jc w:val="center"/>
              <w:rPr>
                <w:rFonts w:ascii="宋体"/>
                <w:kern w:val="0"/>
              </w:rPr>
            </w:pPr>
            <w:r>
              <w:rPr>
                <w:rFonts w:hint="eastAsia" w:ascii="宋体"/>
                <w:kern w:val="0"/>
              </w:rPr>
              <w:t>1.5-3万元</w:t>
            </w:r>
          </w:p>
        </w:tc>
      </w:tr>
      <w:tr w14:paraId="2174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50" w:type="dxa"/>
            <w:vMerge w:val="continue"/>
            <w:vAlign w:val="center"/>
          </w:tcPr>
          <w:p w14:paraId="4DD8ECB6">
            <w:pPr>
              <w:jc w:val="left"/>
              <w:rPr>
                <w:rFonts w:ascii="宋体"/>
                <w:kern w:val="0"/>
              </w:rPr>
            </w:pPr>
          </w:p>
        </w:tc>
        <w:tc>
          <w:tcPr>
            <w:tcW w:w="992" w:type="dxa"/>
            <w:vMerge w:val="continue"/>
            <w:vAlign w:val="center"/>
          </w:tcPr>
          <w:p w14:paraId="4FF04159">
            <w:pPr>
              <w:jc w:val="left"/>
              <w:rPr>
                <w:rFonts w:ascii="宋体"/>
                <w:kern w:val="0"/>
              </w:rPr>
            </w:pPr>
          </w:p>
        </w:tc>
        <w:tc>
          <w:tcPr>
            <w:tcW w:w="1559" w:type="dxa"/>
            <w:vMerge w:val="continue"/>
            <w:vAlign w:val="center"/>
          </w:tcPr>
          <w:p w14:paraId="7C212835">
            <w:pPr>
              <w:jc w:val="left"/>
              <w:rPr>
                <w:rFonts w:ascii="宋体"/>
                <w:kern w:val="0"/>
              </w:rPr>
            </w:pPr>
          </w:p>
        </w:tc>
        <w:tc>
          <w:tcPr>
            <w:tcW w:w="992" w:type="dxa"/>
            <w:vMerge w:val="restart"/>
            <w:tcBorders>
              <w:top w:val="single" w:color="auto" w:sz="4" w:space="0"/>
              <w:right w:val="single" w:color="auto" w:sz="4" w:space="0"/>
            </w:tcBorders>
            <w:vAlign w:val="center"/>
          </w:tcPr>
          <w:p w14:paraId="561A551E">
            <w:pPr>
              <w:jc w:val="center"/>
              <w:rPr>
                <w:rFonts w:ascii="宋体"/>
                <w:kern w:val="0"/>
              </w:rPr>
            </w:pPr>
            <w:r>
              <w:rPr>
                <w:rFonts w:hint="eastAsia" w:ascii="宋体"/>
                <w:kern w:val="0"/>
              </w:rPr>
              <w:t>情节严重</w:t>
            </w:r>
          </w:p>
        </w:tc>
        <w:tc>
          <w:tcPr>
            <w:tcW w:w="6566" w:type="dxa"/>
            <w:tcBorders>
              <w:top w:val="single" w:color="auto" w:sz="4" w:space="0"/>
              <w:left w:val="single" w:color="auto" w:sz="4" w:space="0"/>
              <w:bottom w:val="single" w:color="auto" w:sz="4" w:space="0"/>
            </w:tcBorders>
            <w:vAlign w:val="center"/>
          </w:tcPr>
          <w:p w14:paraId="34B84E09">
            <w:pPr>
              <w:numPr>
                <w:ilvl w:val="0"/>
                <w:numId w:val="3"/>
              </w:numPr>
              <w:jc w:val="left"/>
              <w:rPr>
                <w:rFonts w:ascii="宋体"/>
                <w:kern w:val="0"/>
              </w:rPr>
            </w:pPr>
            <w:r>
              <w:rPr>
                <w:rFonts w:hint="eastAsia" w:ascii="宋体"/>
                <w:kern w:val="0"/>
              </w:rPr>
              <w:t>船舶在中华人民共和国管辖海域内通信需要使用岸基无线电台（站）转接的，未通过依法设置的境内海岸无线电台站或者卫星关口站进行转接；</w:t>
            </w:r>
          </w:p>
          <w:p w14:paraId="563ECF82">
            <w:pPr>
              <w:jc w:val="left"/>
              <w:rPr>
                <w:rFonts w:ascii="宋体"/>
                <w:kern w:val="0"/>
              </w:rPr>
            </w:pPr>
            <w:r>
              <w:rPr>
                <w:rFonts w:hint="eastAsia" w:ascii="宋体"/>
                <w:kern w:val="0"/>
              </w:rPr>
              <w:t>2.造成小事故或险情的。</w:t>
            </w:r>
          </w:p>
        </w:tc>
        <w:tc>
          <w:tcPr>
            <w:tcW w:w="8885" w:type="dxa"/>
            <w:tcBorders>
              <w:top w:val="single" w:color="auto" w:sz="4" w:space="0"/>
              <w:right w:val="single" w:color="auto" w:sz="4" w:space="0"/>
            </w:tcBorders>
            <w:vAlign w:val="center"/>
          </w:tcPr>
          <w:p w14:paraId="0E05DEF3">
            <w:pPr>
              <w:jc w:val="center"/>
              <w:rPr>
                <w:rFonts w:ascii="宋体"/>
                <w:kern w:val="0"/>
              </w:rPr>
            </w:pPr>
            <w:r>
              <w:rPr>
                <w:rFonts w:hint="eastAsia" w:ascii="宋体"/>
                <w:kern w:val="0"/>
              </w:rPr>
              <w:t>3-5万元，并暂扣责任船员的船员适任证书1-2个月</w:t>
            </w:r>
          </w:p>
        </w:tc>
      </w:tr>
      <w:tr w14:paraId="78B4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050" w:type="dxa"/>
            <w:vMerge w:val="continue"/>
            <w:vAlign w:val="center"/>
          </w:tcPr>
          <w:p w14:paraId="03AF469A">
            <w:pPr>
              <w:jc w:val="left"/>
              <w:rPr>
                <w:rFonts w:ascii="宋体"/>
                <w:kern w:val="0"/>
              </w:rPr>
            </w:pPr>
          </w:p>
        </w:tc>
        <w:tc>
          <w:tcPr>
            <w:tcW w:w="992" w:type="dxa"/>
            <w:vMerge w:val="continue"/>
            <w:vAlign w:val="center"/>
          </w:tcPr>
          <w:p w14:paraId="2A99AF13">
            <w:pPr>
              <w:jc w:val="left"/>
              <w:rPr>
                <w:rFonts w:ascii="宋体"/>
                <w:kern w:val="0"/>
              </w:rPr>
            </w:pPr>
          </w:p>
        </w:tc>
        <w:tc>
          <w:tcPr>
            <w:tcW w:w="1559" w:type="dxa"/>
            <w:vMerge w:val="continue"/>
            <w:vAlign w:val="center"/>
          </w:tcPr>
          <w:p w14:paraId="14225CE2">
            <w:pPr>
              <w:jc w:val="left"/>
              <w:rPr>
                <w:rFonts w:ascii="宋体"/>
                <w:kern w:val="0"/>
              </w:rPr>
            </w:pPr>
          </w:p>
        </w:tc>
        <w:tc>
          <w:tcPr>
            <w:tcW w:w="992" w:type="dxa"/>
            <w:vMerge w:val="continue"/>
            <w:tcBorders>
              <w:bottom w:val="single" w:color="auto" w:sz="4" w:space="0"/>
              <w:right w:val="single" w:color="auto" w:sz="4" w:space="0"/>
            </w:tcBorders>
            <w:vAlign w:val="center"/>
          </w:tcPr>
          <w:p w14:paraId="46F10E9F">
            <w:pPr>
              <w:jc w:val="left"/>
              <w:rPr>
                <w:rFonts w:ascii="宋体"/>
                <w:kern w:val="0"/>
              </w:rPr>
            </w:pPr>
          </w:p>
        </w:tc>
        <w:tc>
          <w:tcPr>
            <w:tcW w:w="6566" w:type="dxa"/>
            <w:tcBorders>
              <w:top w:val="single" w:color="auto" w:sz="4" w:space="0"/>
              <w:left w:val="single" w:color="auto" w:sz="4" w:space="0"/>
              <w:bottom w:val="single" w:color="auto" w:sz="4" w:space="0"/>
            </w:tcBorders>
            <w:vAlign w:val="center"/>
          </w:tcPr>
          <w:p w14:paraId="4E1D3487">
            <w:pPr>
              <w:jc w:val="left"/>
              <w:rPr>
                <w:rFonts w:ascii="宋体"/>
                <w:kern w:val="0"/>
              </w:rPr>
            </w:pPr>
            <w:r>
              <w:rPr>
                <w:rFonts w:hint="eastAsia" w:ascii="宋体"/>
                <w:kern w:val="0"/>
              </w:rPr>
              <w:t>1.造成一般等级以上事故的；</w:t>
            </w:r>
          </w:p>
          <w:p w14:paraId="01126B53">
            <w:pPr>
              <w:jc w:val="left"/>
              <w:rPr>
                <w:rFonts w:ascii="宋体"/>
                <w:kern w:val="0"/>
              </w:rPr>
            </w:pPr>
            <w:r>
              <w:rPr>
                <w:rFonts w:hint="eastAsia" w:ascii="宋体"/>
                <w:kern w:val="0"/>
              </w:rPr>
              <w:t>2.具有其他严重情节的。</w:t>
            </w:r>
          </w:p>
        </w:tc>
        <w:tc>
          <w:tcPr>
            <w:tcW w:w="8885" w:type="dxa"/>
            <w:tcBorders>
              <w:bottom w:val="single" w:color="auto" w:sz="4" w:space="0"/>
            </w:tcBorders>
            <w:vAlign w:val="center"/>
          </w:tcPr>
          <w:p w14:paraId="3B485767">
            <w:pPr>
              <w:jc w:val="center"/>
              <w:rPr>
                <w:rFonts w:ascii="宋体"/>
                <w:kern w:val="0"/>
              </w:rPr>
            </w:pPr>
            <w:r>
              <w:rPr>
                <w:rFonts w:hint="eastAsia" w:ascii="宋体"/>
                <w:kern w:val="0"/>
              </w:rPr>
              <w:t>5-10万元，并暂扣责任船员的船员适任证书2-3个月</w:t>
            </w:r>
          </w:p>
        </w:tc>
      </w:tr>
    </w:tbl>
    <w:p w14:paraId="0276D276">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9"/>
        <w:gridCol w:w="1462"/>
        <w:gridCol w:w="1475"/>
        <w:gridCol w:w="1050"/>
        <w:gridCol w:w="3481"/>
        <w:gridCol w:w="6422"/>
        <w:gridCol w:w="5245"/>
      </w:tblGrid>
      <w:tr w14:paraId="2104E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09" w:type="dxa"/>
            <w:vMerge w:val="restart"/>
            <w:vAlign w:val="center"/>
          </w:tcPr>
          <w:p w14:paraId="31B874B4">
            <w:pPr>
              <w:jc w:val="left"/>
              <w:rPr>
                <w:rFonts w:ascii="宋体"/>
                <w:b/>
                <w:kern w:val="0"/>
              </w:rPr>
            </w:pPr>
            <w:r>
              <w:rPr>
                <w:rFonts w:hint="eastAsia" w:ascii="宋体"/>
                <w:b/>
                <w:kern w:val="0"/>
              </w:rPr>
              <w:t>案由6</w:t>
            </w:r>
          </w:p>
        </w:tc>
        <w:tc>
          <w:tcPr>
            <w:tcW w:w="2937" w:type="dxa"/>
            <w:gridSpan w:val="2"/>
            <w:vAlign w:val="center"/>
          </w:tcPr>
          <w:p w14:paraId="1CB2741B">
            <w:pPr>
              <w:jc w:val="center"/>
              <w:rPr>
                <w:rFonts w:ascii="宋体"/>
                <w:b/>
                <w:kern w:val="0"/>
              </w:rPr>
            </w:pPr>
            <w:r>
              <w:rPr>
                <w:rFonts w:hint="eastAsia" w:ascii="宋体"/>
                <w:b/>
                <w:kern w:val="0"/>
              </w:rPr>
              <w:t>法律依据</w:t>
            </w:r>
          </w:p>
        </w:tc>
        <w:tc>
          <w:tcPr>
            <w:tcW w:w="1050" w:type="dxa"/>
            <w:vMerge w:val="restart"/>
            <w:vAlign w:val="center"/>
          </w:tcPr>
          <w:p w14:paraId="36DCC6BF">
            <w:pPr>
              <w:jc w:val="center"/>
              <w:rPr>
                <w:rFonts w:ascii="宋体"/>
                <w:b/>
                <w:kern w:val="0"/>
              </w:rPr>
            </w:pPr>
            <w:r>
              <w:rPr>
                <w:rFonts w:hint="eastAsia" w:ascii="宋体"/>
                <w:b/>
                <w:kern w:val="0"/>
              </w:rPr>
              <w:t>违法情节</w:t>
            </w:r>
          </w:p>
        </w:tc>
        <w:tc>
          <w:tcPr>
            <w:tcW w:w="3481" w:type="dxa"/>
            <w:vMerge w:val="restart"/>
            <w:vAlign w:val="center"/>
          </w:tcPr>
          <w:p w14:paraId="0AB918BD">
            <w:pPr>
              <w:jc w:val="center"/>
              <w:rPr>
                <w:rFonts w:ascii="宋体"/>
                <w:b/>
                <w:kern w:val="0"/>
              </w:rPr>
            </w:pPr>
            <w:r>
              <w:rPr>
                <w:rFonts w:hint="eastAsia" w:ascii="宋体"/>
                <w:b/>
                <w:kern w:val="0"/>
              </w:rPr>
              <w:t>主要考虑因素（事实、性质、情节、危害程度和实际后果等）</w:t>
            </w:r>
          </w:p>
        </w:tc>
        <w:tc>
          <w:tcPr>
            <w:tcW w:w="11667" w:type="dxa"/>
            <w:gridSpan w:val="2"/>
            <w:vAlign w:val="center"/>
          </w:tcPr>
          <w:p w14:paraId="0120D531">
            <w:pPr>
              <w:jc w:val="left"/>
              <w:rPr>
                <w:rFonts w:ascii="宋体"/>
                <w:b/>
                <w:kern w:val="0"/>
              </w:rPr>
            </w:pPr>
            <w:r>
              <w:rPr>
                <w:rFonts w:hint="eastAsia" w:ascii="宋体"/>
                <w:b/>
                <w:kern w:val="0"/>
              </w:rPr>
              <w:t>【法定幅度和种类】</w:t>
            </w:r>
            <w:r>
              <w:rPr>
                <w:rFonts w:hint="eastAsia" w:ascii="宋体"/>
              </w:rPr>
              <w:t>由海事管理机构对违法船舶的所有人、经营人或者管理人处五万元以上五十万元以下的罚款，对船长处一千元以上一万元以下的罚款；情节严重的，暂扣有关船舶证书三个月至十二个月，暂扣船长的船员适任证书一个月至三个月。</w:t>
            </w:r>
          </w:p>
        </w:tc>
      </w:tr>
      <w:tr w14:paraId="1C0B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909" w:type="dxa"/>
            <w:vMerge w:val="continue"/>
            <w:tcBorders>
              <w:bottom w:val="single" w:color="000000" w:sz="4" w:space="0"/>
            </w:tcBorders>
            <w:vAlign w:val="center"/>
          </w:tcPr>
          <w:p w14:paraId="10D93725">
            <w:pPr>
              <w:jc w:val="left"/>
              <w:rPr>
                <w:rFonts w:ascii="宋体"/>
                <w:b/>
                <w:kern w:val="0"/>
              </w:rPr>
            </w:pPr>
          </w:p>
        </w:tc>
        <w:tc>
          <w:tcPr>
            <w:tcW w:w="1462" w:type="dxa"/>
            <w:tcBorders>
              <w:bottom w:val="single" w:color="000000" w:sz="4" w:space="0"/>
            </w:tcBorders>
            <w:vAlign w:val="center"/>
          </w:tcPr>
          <w:p w14:paraId="26D8E832">
            <w:pPr>
              <w:jc w:val="center"/>
              <w:rPr>
                <w:rFonts w:ascii="宋体"/>
                <w:b/>
                <w:kern w:val="0"/>
              </w:rPr>
            </w:pPr>
            <w:r>
              <w:rPr>
                <w:rFonts w:hint="eastAsia" w:ascii="宋体"/>
                <w:b/>
                <w:kern w:val="0"/>
              </w:rPr>
              <w:t>违反条款</w:t>
            </w:r>
          </w:p>
        </w:tc>
        <w:tc>
          <w:tcPr>
            <w:tcW w:w="1475" w:type="dxa"/>
            <w:tcBorders>
              <w:bottom w:val="single" w:color="000000" w:sz="4" w:space="0"/>
            </w:tcBorders>
            <w:vAlign w:val="center"/>
          </w:tcPr>
          <w:p w14:paraId="3648C1E5">
            <w:pPr>
              <w:jc w:val="center"/>
              <w:rPr>
                <w:rFonts w:ascii="宋体"/>
                <w:b/>
                <w:kern w:val="0"/>
              </w:rPr>
            </w:pPr>
            <w:r>
              <w:rPr>
                <w:rFonts w:hint="eastAsia" w:ascii="宋体"/>
                <w:b/>
                <w:kern w:val="0"/>
              </w:rPr>
              <w:t>处罚依据</w:t>
            </w:r>
          </w:p>
        </w:tc>
        <w:tc>
          <w:tcPr>
            <w:tcW w:w="1050" w:type="dxa"/>
            <w:vMerge w:val="continue"/>
            <w:tcBorders>
              <w:bottom w:val="single" w:color="000000" w:sz="4" w:space="0"/>
            </w:tcBorders>
            <w:vAlign w:val="center"/>
          </w:tcPr>
          <w:p w14:paraId="417DB833">
            <w:pPr>
              <w:jc w:val="left"/>
              <w:rPr>
                <w:rFonts w:ascii="宋体"/>
                <w:b/>
                <w:kern w:val="0"/>
              </w:rPr>
            </w:pPr>
          </w:p>
        </w:tc>
        <w:tc>
          <w:tcPr>
            <w:tcW w:w="3481" w:type="dxa"/>
            <w:vMerge w:val="continue"/>
            <w:tcBorders>
              <w:bottom w:val="single" w:color="000000" w:sz="4" w:space="0"/>
            </w:tcBorders>
            <w:vAlign w:val="center"/>
          </w:tcPr>
          <w:p w14:paraId="0D0DD6D8">
            <w:pPr>
              <w:jc w:val="left"/>
              <w:rPr>
                <w:rFonts w:ascii="宋体"/>
                <w:b/>
                <w:kern w:val="0"/>
              </w:rPr>
            </w:pPr>
          </w:p>
        </w:tc>
        <w:tc>
          <w:tcPr>
            <w:tcW w:w="6422" w:type="dxa"/>
            <w:tcBorders>
              <w:top w:val="single" w:color="auto" w:sz="4" w:space="0"/>
              <w:bottom w:val="single" w:color="auto" w:sz="4" w:space="0"/>
              <w:right w:val="single" w:color="auto" w:sz="4" w:space="0"/>
            </w:tcBorders>
            <w:vAlign w:val="center"/>
          </w:tcPr>
          <w:p w14:paraId="061614D8">
            <w:pPr>
              <w:jc w:val="center"/>
              <w:rPr>
                <w:rFonts w:ascii="宋体"/>
                <w:b/>
                <w:kern w:val="0"/>
              </w:rPr>
            </w:pPr>
            <w:r>
              <w:rPr>
                <w:rFonts w:hint="eastAsia" w:ascii="宋体"/>
                <w:b/>
                <w:kern w:val="0"/>
              </w:rPr>
              <w:t>【对象】所有人、经营人或者管理人</w:t>
            </w:r>
          </w:p>
        </w:tc>
        <w:tc>
          <w:tcPr>
            <w:tcW w:w="5245" w:type="dxa"/>
            <w:tcBorders>
              <w:top w:val="single" w:color="auto" w:sz="4" w:space="0"/>
              <w:left w:val="single" w:color="auto" w:sz="4" w:space="0"/>
            </w:tcBorders>
            <w:vAlign w:val="center"/>
          </w:tcPr>
          <w:p w14:paraId="03CB3EE0">
            <w:pPr>
              <w:jc w:val="center"/>
              <w:rPr>
                <w:rFonts w:ascii="宋体"/>
                <w:b/>
                <w:kern w:val="0"/>
              </w:rPr>
            </w:pPr>
            <w:r>
              <w:rPr>
                <w:rFonts w:hint="eastAsia" w:ascii="宋体"/>
                <w:b/>
                <w:kern w:val="0"/>
              </w:rPr>
              <w:t>【对象】船长</w:t>
            </w:r>
          </w:p>
        </w:tc>
      </w:tr>
      <w:tr w14:paraId="3030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9" w:type="dxa"/>
            <w:vMerge w:val="restart"/>
            <w:vAlign w:val="center"/>
          </w:tcPr>
          <w:p w14:paraId="0921FBE4">
            <w:pPr>
              <w:widowControl/>
              <w:jc w:val="left"/>
              <w:rPr>
                <w:rFonts w:ascii="宋体"/>
                <w:kern w:val="0"/>
              </w:rPr>
            </w:pPr>
            <w:r>
              <w:rPr>
                <w:rFonts w:hint="eastAsia" w:ascii="宋体"/>
                <w:kern w:val="0"/>
              </w:rPr>
              <w:t>未按照规定申请引航</w:t>
            </w:r>
          </w:p>
        </w:tc>
        <w:tc>
          <w:tcPr>
            <w:tcW w:w="1462" w:type="dxa"/>
            <w:vMerge w:val="restart"/>
            <w:vAlign w:val="center"/>
          </w:tcPr>
          <w:p w14:paraId="363CDBCB">
            <w:pPr>
              <w:widowControl/>
              <w:rPr>
                <w:rFonts w:ascii="宋体"/>
                <w:kern w:val="0"/>
              </w:rPr>
            </w:pPr>
            <w:r>
              <w:rPr>
                <w:rFonts w:hint="eastAsia" w:ascii="宋体"/>
                <w:kern w:val="0"/>
              </w:rPr>
              <w:t>1.《中华人民共和国海上交通安全法》第三十条；</w:t>
            </w:r>
          </w:p>
          <w:p w14:paraId="039FA868">
            <w:pPr>
              <w:widowControl/>
              <w:rPr>
                <w:rFonts w:ascii="宋体"/>
              </w:rPr>
            </w:pPr>
            <w:r>
              <w:rPr>
                <w:rFonts w:hint="eastAsia" w:ascii="宋体"/>
              </w:rPr>
              <w:t>2.其他法律、法规、规章等。</w:t>
            </w:r>
          </w:p>
        </w:tc>
        <w:tc>
          <w:tcPr>
            <w:tcW w:w="1475" w:type="dxa"/>
            <w:vMerge w:val="restart"/>
            <w:vAlign w:val="center"/>
          </w:tcPr>
          <w:p w14:paraId="34FC386B">
            <w:pPr>
              <w:jc w:val="left"/>
              <w:rPr>
                <w:rFonts w:ascii="宋体"/>
                <w:kern w:val="0"/>
              </w:rPr>
            </w:pPr>
            <w:r>
              <w:rPr>
                <w:rFonts w:hint="eastAsia" w:ascii="宋体"/>
                <w:kern w:val="0"/>
              </w:rPr>
              <w:t>1.《中华人民共和国海上交通安全法》第一百零二条第一款；</w:t>
            </w:r>
          </w:p>
          <w:p w14:paraId="3A848AEC">
            <w:pPr>
              <w:jc w:val="left"/>
              <w:rPr>
                <w:rFonts w:ascii="宋体"/>
                <w:kern w:val="0"/>
              </w:rPr>
            </w:pPr>
            <w:r>
              <w:rPr>
                <w:rFonts w:hint="eastAsia" w:ascii="宋体"/>
                <w:kern w:val="0"/>
              </w:rPr>
              <w:t>2. 《中华人民共和国海上海事行政处罚规定》第七条。</w:t>
            </w:r>
          </w:p>
        </w:tc>
        <w:tc>
          <w:tcPr>
            <w:tcW w:w="1050" w:type="dxa"/>
            <w:vAlign w:val="center"/>
          </w:tcPr>
          <w:p w14:paraId="5F689221">
            <w:pPr>
              <w:jc w:val="center"/>
              <w:rPr>
                <w:rFonts w:ascii="宋体"/>
                <w:kern w:val="0"/>
              </w:rPr>
            </w:pPr>
            <w:r>
              <w:rPr>
                <w:rFonts w:hint="eastAsia" w:ascii="宋体"/>
                <w:kern w:val="0"/>
              </w:rPr>
              <w:t>从轻</w:t>
            </w:r>
          </w:p>
        </w:tc>
        <w:tc>
          <w:tcPr>
            <w:tcW w:w="3481" w:type="dxa"/>
            <w:vAlign w:val="center"/>
          </w:tcPr>
          <w:p w14:paraId="3BBD218B">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422" w:type="dxa"/>
            <w:tcBorders>
              <w:right w:val="single" w:color="auto" w:sz="4" w:space="0"/>
            </w:tcBorders>
            <w:vAlign w:val="center"/>
          </w:tcPr>
          <w:p w14:paraId="72E2D45A">
            <w:pPr>
              <w:jc w:val="center"/>
              <w:rPr>
                <w:rFonts w:ascii="宋体"/>
                <w:kern w:val="0"/>
              </w:rPr>
            </w:pPr>
            <w:r>
              <w:rPr>
                <w:rFonts w:hint="eastAsia" w:ascii="宋体"/>
                <w:kern w:val="0"/>
              </w:rPr>
              <w:t>5-10万元</w:t>
            </w:r>
          </w:p>
        </w:tc>
        <w:tc>
          <w:tcPr>
            <w:tcW w:w="5245" w:type="dxa"/>
            <w:tcBorders>
              <w:left w:val="single" w:color="auto" w:sz="4" w:space="0"/>
              <w:bottom w:val="single" w:color="auto" w:sz="4" w:space="0"/>
            </w:tcBorders>
            <w:vAlign w:val="center"/>
          </w:tcPr>
          <w:p w14:paraId="349C5ABC">
            <w:pPr>
              <w:jc w:val="center"/>
              <w:rPr>
                <w:rFonts w:ascii="宋体"/>
                <w:kern w:val="0"/>
              </w:rPr>
            </w:pPr>
            <w:r>
              <w:rPr>
                <w:rFonts w:hint="eastAsia" w:ascii="宋体"/>
                <w:kern w:val="0"/>
              </w:rPr>
              <w:t>1000-3000元</w:t>
            </w:r>
          </w:p>
        </w:tc>
      </w:tr>
      <w:tr w14:paraId="0B563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19" w:hRule="atLeast"/>
        </w:trPr>
        <w:tc>
          <w:tcPr>
            <w:tcW w:w="909" w:type="dxa"/>
            <w:vMerge w:val="continue"/>
            <w:vAlign w:val="center"/>
          </w:tcPr>
          <w:p w14:paraId="7F7DB33E">
            <w:pPr>
              <w:jc w:val="left"/>
              <w:rPr>
                <w:rFonts w:ascii="宋体"/>
                <w:kern w:val="0"/>
              </w:rPr>
            </w:pPr>
          </w:p>
        </w:tc>
        <w:tc>
          <w:tcPr>
            <w:tcW w:w="1462" w:type="dxa"/>
            <w:vMerge w:val="continue"/>
            <w:vAlign w:val="center"/>
          </w:tcPr>
          <w:p w14:paraId="7FE655E3">
            <w:pPr>
              <w:widowControl/>
              <w:jc w:val="left"/>
              <w:rPr>
                <w:rFonts w:ascii="宋体"/>
                <w:kern w:val="0"/>
              </w:rPr>
            </w:pPr>
          </w:p>
        </w:tc>
        <w:tc>
          <w:tcPr>
            <w:tcW w:w="1475" w:type="dxa"/>
            <w:vMerge w:val="continue"/>
            <w:vAlign w:val="center"/>
          </w:tcPr>
          <w:p w14:paraId="3EC87CC9">
            <w:pPr>
              <w:jc w:val="left"/>
              <w:rPr>
                <w:rFonts w:ascii="宋体"/>
                <w:kern w:val="0"/>
              </w:rPr>
            </w:pPr>
          </w:p>
        </w:tc>
        <w:tc>
          <w:tcPr>
            <w:tcW w:w="1050" w:type="dxa"/>
            <w:vMerge w:val="restart"/>
            <w:vAlign w:val="center"/>
          </w:tcPr>
          <w:p w14:paraId="04C078BB">
            <w:pPr>
              <w:jc w:val="center"/>
              <w:rPr>
                <w:rFonts w:ascii="宋体"/>
                <w:kern w:val="0"/>
              </w:rPr>
            </w:pPr>
            <w:r>
              <w:rPr>
                <w:rFonts w:hint="eastAsia" w:ascii="宋体"/>
                <w:kern w:val="0"/>
              </w:rPr>
              <w:t>一般</w:t>
            </w:r>
          </w:p>
        </w:tc>
        <w:tc>
          <w:tcPr>
            <w:tcW w:w="3481" w:type="dxa"/>
            <w:vAlign w:val="center"/>
          </w:tcPr>
          <w:p w14:paraId="15168323">
            <w:pPr>
              <w:pStyle w:val="13"/>
              <w:jc w:val="left"/>
              <w:rPr>
                <w:rFonts w:ascii="宋体"/>
              </w:rPr>
            </w:pPr>
            <w:r>
              <w:rPr>
                <w:rFonts w:hint="eastAsia" w:ascii="宋体"/>
              </w:rPr>
              <w:t>1.船舶在申请引航中弄虚作假的；</w:t>
            </w:r>
          </w:p>
        </w:tc>
        <w:tc>
          <w:tcPr>
            <w:tcW w:w="6422" w:type="dxa"/>
            <w:tcBorders>
              <w:right w:val="single" w:color="auto" w:sz="4" w:space="0"/>
            </w:tcBorders>
            <w:vAlign w:val="center"/>
          </w:tcPr>
          <w:p w14:paraId="0F2A1E08">
            <w:pPr>
              <w:jc w:val="center"/>
              <w:rPr>
                <w:rFonts w:ascii="宋体"/>
                <w:kern w:val="0"/>
              </w:rPr>
            </w:pPr>
            <w:r>
              <w:rPr>
                <w:rFonts w:hint="eastAsia" w:ascii="宋体"/>
                <w:kern w:val="0"/>
              </w:rPr>
              <w:t>10-20万元</w:t>
            </w:r>
          </w:p>
        </w:tc>
        <w:tc>
          <w:tcPr>
            <w:tcW w:w="5245" w:type="dxa"/>
            <w:tcBorders>
              <w:top w:val="single" w:color="auto" w:sz="4" w:space="0"/>
              <w:left w:val="single" w:color="auto" w:sz="4" w:space="0"/>
            </w:tcBorders>
            <w:vAlign w:val="center"/>
          </w:tcPr>
          <w:p w14:paraId="5BD1D946">
            <w:pPr>
              <w:jc w:val="center"/>
              <w:rPr>
                <w:rFonts w:ascii="宋体"/>
                <w:kern w:val="0"/>
              </w:rPr>
            </w:pPr>
            <w:r>
              <w:rPr>
                <w:rFonts w:hint="eastAsia" w:ascii="宋体"/>
                <w:kern w:val="0"/>
              </w:rPr>
              <w:t>3000-5000元</w:t>
            </w:r>
          </w:p>
        </w:tc>
      </w:tr>
      <w:tr w14:paraId="59ADD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38" w:hRule="atLeast"/>
        </w:trPr>
        <w:tc>
          <w:tcPr>
            <w:tcW w:w="909" w:type="dxa"/>
            <w:vMerge w:val="continue"/>
            <w:vAlign w:val="center"/>
          </w:tcPr>
          <w:p w14:paraId="64FF6CED">
            <w:pPr>
              <w:jc w:val="left"/>
              <w:rPr>
                <w:rFonts w:ascii="宋体"/>
                <w:kern w:val="0"/>
              </w:rPr>
            </w:pPr>
          </w:p>
        </w:tc>
        <w:tc>
          <w:tcPr>
            <w:tcW w:w="1462" w:type="dxa"/>
            <w:vMerge w:val="continue"/>
            <w:vAlign w:val="center"/>
          </w:tcPr>
          <w:p w14:paraId="54CA3355">
            <w:pPr>
              <w:widowControl/>
              <w:jc w:val="left"/>
              <w:rPr>
                <w:rFonts w:ascii="宋体"/>
                <w:kern w:val="0"/>
              </w:rPr>
            </w:pPr>
          </w:p>
        </w:tc>
        <w:tc>
          <w:tcPr>
            <w:tcW w:w="1475" w:type="dxa"/>
            <w:vMerge w:val="continue"/>
            <w:vAlign w:val="center"/>
          </w:tcPr>
          <w:p w14:paraId="48ACCDDF">
            <w:pPr>
              <w:jc w:val="left"/>
              <w:rPr>
                <w:rFonts w:ascii="宋体"/>
                <w:kern w:val="0"/>
              </w:rPr>
            </w:pPr>
          </w:p>
        </w:tc>
        <w:tc>
          <w:tcPr>
            <w:tcW w:w="1050" w:type="dxa"/>
            <w:vMerge w:val="continue"/>
            <w:vAlign w:val="center"/>
          </w:tcPr>
          <w:p w14:paraId="241D16B6">
            <w:pPr>
              <w:jc w:val="center"/>
              <w:rPr>
                <w:rFonts w:ascii="宋体"/>
                <w:kern w:val="0"/>
              </w:rPr>
            </w:pPr>
          </w:p>
        </w:tc>
        <w:tc>
          <w:tcPr>
            <w:tcW w:w="3481" w:type="dxa"/>
            <w:vAlign w:val="center"/>
          </w:tcPr>
          <w:p w14:paraId="5AA96ADE">
            <w:pPr>
              <w:pStyle w:val="13"/>
              <w:jc w:val="left"/>
              <w:rPr>
                <w:rFonts w:ascii="宋体"/>
              </w:rPr>
            </w:pPr>
            <w:r>
              <w:rPr>
                <w:rFonts w:hint="eastAsia" w:ascii="宋体"/>
              </w:rPr>
              <w:t>2.除本案由一般情节3.规定的船舶外应当申请引航的船舶，未申请引航的；</w:t>
            </w:r>
          </w:p>
        </w:tc>
        <w:tc>
          <w:tcPr>
            <w:tcW w:w="6422" w:type="dxa"/>
            <w:tcBorders>
              <w:right w:val="single" w:color="auto" w:sz="4" w:space="0"/>
            </w:tcBorders>
            <w:vAlign w:val="center"/>
          </w:tcPr>
          <w:p w14:paraId="67352017">
            <w:pPr>
              <w:jc w:val="center"/>
              <w:rPr>
                <w:rFonts w:ascii="宋体"/>
                <w:kern w:val="0"/>
              </w:rPr>
            </w:pPr>
            <w:r>
              <w:rPr>
                <w:rFonts w:hint="eastAsia" w:ascii="宋体"/>
                <w:kern w:val="0"/>
              </w:rPr>
              <w:t>20-30万元</w:t>
            </w:r>
          </w:p>
        </w:tc>
        <w:tc>
          <w:tcPr>
            <w:tcW w:w="5245" w:type="dxa"/>
            <w:tcBorders>
              <w:top w:val="single" w:color="auto" w:sz="4" w:space="0"/>
              <w:left w:val="single" w:color="auto" w:sz="4" w:space="0"/>
            </w:tcBorders>
            <w:vAlign w:val="center"/>
          </w:tcPr>
          <w:p w14:paraId="51DF2C43">
            <w:pPr>
              <w:jc w:val="center"/>
              <w:rPr>
                <w:rFonts w:ascii="宋体"/>
                <w:kern w:val="0"/>
              </w:rPr>
            </w:pPr>
            <w:r>
              <w:rPr>
                <w:rFonts w:hint="eastAsia" w:ascii="宋体"/>
                <w:kern w:val="0"/>
              </w:rPr>
              <w:t>3000-5000元</w:t>
            </w:r>
          </w:p>
        </w:tc>
      </w:tr>
      <w:tr w14:paraId="2004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3" w:hRule="atLeast"/>
        </w:trPr>
        <w:tc>
          <w:tcPr>
            <w:tcW w:w="909" w:type="dxa"/>
            <w:vMerge w:val="continue"/>
            <w:vAlign w:val="center"/>
          </w:tcPr>
          <w:p w14:paraId="3423F528">
            <w:pPr>
              <w:jc w:val="left"/>
              <w:rPr>
                <w:rFonts w:ascii="宋体"/>
                <w:kern w:val="0"/>
              </w:rPr>
            </w:pPr>
          </w:p>
        </w:tc>
        <w:tc>
          <w:tcPr>
            <w:tcW w:w="1462" w:type="dxa"/>
            <w:vMerge w:val="continue"/>
            <w:vAlign w:val="center"/>
          </w:tcPr>
          <w:p w14:paraId="04B9A50E">
            <w:pPr>
              <w:widowControl/>
              <w:jc w:val="left"/>
              <w:rPr>
                <w:rFonts w:ascii="宋体"/>
                <w:kern w:val="0"/>
              </w:rPr>
            </w:pPr>
          </w:p>
        </w:tc>
        <w:tc>
          <w:tcPr>
            <w:tcW w:w="1475" w:type="dxa"/>
            <w:vMerge w:val="continue"/>
            <w:vAlign w:val="center"/>
          </w:tcPr>
          <w:p w14:paraId="2D4F6F92">
            <w:pPr>
              <w:jc w:val="left"/>
              <w:rPr>
                <w:rFonts w:ascii="宋体"/>
                <w:kern w:val="0"/>
              </w:rPr>
            </w:pPr>
          </w:p>
        </w:tc>
        <w:tc>
          <w:tcPr>
            <w:tcW w:w="1050" w:type="dxa"/>
            <w:vMerge w:val="continue"/>
            <w:vAlign w:val="center"/>
          </w:tcPr>
          <w:p w14:paraId="3F6D3CF3">
            <w:pPr>
              <w:jc w:val="center"/>
              <w:rPr>
                <w:rFonts w:ascii="宋体"/>
                <w:kern w:val="0"/>
              </w:rPr>
            </w:pPr>
          </w:p>
        </w:tc>
        <w:tc>
          <w:tcPr>
            <w:tcW w:w="3481" w:type="dxa"/>
            <w:vAlign w:val="center"/>
          </w:tcPr>
          <w:p w14:paraId="4CA5B620">
            <w:pPr>
              <w:pStyle w:val="13"/>
              <w:jc w:val="left"/>
              <w:rPr>
                <w:rFonts w:ascii="宋体"/>
              </w:rPr>
            </w:pPr>
            <w:r>
              <w:rPr>
                <w:rFonts w:hint="eastAsia" w:ascii="宋体"/>
              </w:rPr>
              <w:t>3.核动力船舶、载运放射性物质的船舶、超大型油轮、可能危及港口安全的散装液化气船或散装危险化学品船、长宽高接近相应航道通航条件限值的邮轮未申请引航；</w:t>
            </w:r>
          </w:p>
          <w:p w14:paraId="3142DDF1">
            <w:pPr>
              <w:pStyle w:val="13"/>
              <w:jc w:val="left"/>
              <w:rPr>
                <w:rFonts w:ascii="宋体"/>
              </w:rPr>
            </w:pPr>
            <w:r>
              <w:rPr>
                <w:rFonts w:hint="eastAsia" w:ascii="宋体"/>
              </w:rPr>
              <w:t>4.具有其他较重情节的。</w:t>
            </w:r>
          </w:p>
        </w:tc>
        <w:tc>
          <w:tcPr>
            <w:tcW w:w="6422" w:type="dxa"/>
            <w:tcBorders>
              <w:right w:val="single" w:color="auto" w:sz="4" w:space="0"/>
            </w:tcBorders>
            <w:vAlign w:val="center"/>
          </w:tcPr>
          <w:p w14:paraId="6A382A96">
            <w:pPr>
              <w:jc w:val="center"/>
              <w:rPr>
                <w:rFonts w:ascii="宋体"/>
                <w:kern w:val="0"/>
              </w:rPr>
            </w:pPr>
            <w:r>
              <w:rPr>
                <w:rFonts w:hint="eastAsia" w:ascii="宋体"/>
                <w:kern w:val="0"/>
              </w:rPr>
              <w:t>30-50万元</w:t>
            </w:r>
          </w:p>
        </w:tc>
        <w:tc>
          <w:tcPr>
            <w:tcW w:w="5245" w:type="dxa"/>
            <w:tcBorders>
              <w:left w:val="single" w:color="auto" w:sz="4" w:space="0"/>
              <w:bottom w:val="single" w:color="auto" w:sz="4" w:space="0"/>
            </w:tcBorders>
            <w:vAlign w:val="center"/>
          </w:tcPr>
          <w:p w14:paraId="64153E04">
            <w:pPr>
              <w:jc w:val="center"/>
              <w:rPr>
                <w:rFonts w:ascii="宋体"/>
                <w:kern w:val="0"/>
              </w:rPr>
            </w:pPr>
            <w:r>
              <w:rPr>
                <w:rFonts w:hint="eastAsia" w:ascii="宋体"/>
                <w:kern w:val="0"/>
              </w:rPr>
              <w:t>8000元-1万元</w:t>
            </w:r>
          </w:p>
        </w:tc>
      </w:tr>
      <w:tr w14:paraId="69C1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30" w:hRule="atLeast"/>
        </w:trPr>
        <w:tc>
          <w:tcPr>
            <w:tcW w:w="909" w:type="dxa"/>
            <w:vMerge w:val="continue"/>
            <w:vAlign w:val="center"/>
          </w:tcPr>
          <w:p w14:paraId="17A1DB35">
            <w:pPr>
              <w:jc w:val="left"/>
              <w:rPr>
                <w:rFonts w:ascii="宋体"/>
                <w:kern w:val="0"/>
              </w:rPr>
            </w:pPr>
          </w:p>
        </w:tc>
        <w:tc>
          <w:tcPr>
            <w:tcW w:w="1462" w:type="dxa"/>
            <w:vMerge w:val="continue"/>
            <w:vAlign w:val="center"/>
          </w:tcPr>
          <w:p w14:paraId="0221D9D4">
            <w:pPr>
              <w:jc w:val="left"/>
              <w:rPr>
                <w:rFonts w:ascii="宋体"/>
                <w:kern w:val="0"/>
              </w:rPr>
            </w:pPr>
          </w:p>
        </w:tc>
        <w:tc>
          <w:tcPr>
            <w:tcW w:w="1475" w:type="dxa"/>
            <w:vMerge w:val="continue"/>
            <w:vAlign w:val="center"/>
          </w:tcPr>
          <w:p w14:paraId="01C565AF">
            <w:pPr>
              <w:jc w:val="left"/>
              <w:rPr>
                <w:rFonts w:ascii="宋体"/>
                <w:kern w:val="0"/>
              </w:rPr>
            </w:pPr>
          </w:p>
        </w:tc>
        <w:tc>
          <w:tcPr>
            <w:tcW w:w="1050" w:type="dxa"/>
            <w:vAlign w:val="center"/>
          </w:tcPr>
          <w:p w14:paraId="7C743FBD">
            <w:pPr>
              <w:jc w:val="center"/>
              <w:rPr>
                <w:rFonts w:ascii="宋体"/>
                <w:kern w:val="0"/>
              </w:rPr>
            </w:pPr>
          </w:p>
          <w:p w14:paraId="3254671C">
            <w:pPr>
              <w:jc w:val="center"/>
              <w:rPr>
                <w:rFonts w:ascii="宋体"/>
                <w:kern w:val="0"/>
              </w:rPr>
            </w:pPr>
            <w:r>
              <w:rPr>
                <w:rFonts w:hint="eastAsia" w:ascii="宋体"/>
                <w:kern w:val="0"/>
              </w:rPr>
              <w:t>情节严重</w:t>
            </w:r>
          </w:p>
        </w:tc>
        <w:tc>
          <w:tcPr>
            <w:tcW w:w="3481" w:type="dxa"/>
            <w:tcBorders>
              <w:top w:val="single" w:color="auto" w:sz="4" w:space="0"/>
              <w:bottom w:val="single" w:color="auto" w:sz="4" w:space="0"/>
            </w:tcBorders>
            <w:vAlign w:val="center"/>
          </w:tcPr>
          <w:p w14:paraId="75221FC8">
            <w:pPr>
              <w:pStyle w:val="13"/>
              <w:jc w:val="left"/>
              <w:rPr>
                <w:rFonts w:ascii="宋体"/>
              </w:rPr>
            </w:pPr>
            <w:r>
              <w:rPr>
                <w:rFonts w:hint="eastAsia" w:ascii="宋体"/>
              </w:rPr>
              <w:t>1.情节恶劣或者造成较大等级事故的；</w:t>
            </w:r>
          </w:p>
          <w:p w14:paraId="7EB53D6A">
            <w:pPr>
              <w:pStyle w:val="13"/>
              <w:jc w:val="left"/>
              <w:rPr>
                <w:rFonts w:ascii="宋体"/>
              </w:rPr>
            </w:pPr>
            <w:r>
              <w:rPr>
                <w:rFonts w:hint="eastAsia" w:ascii="宋体"/>
              </w:rPr>
              <w:t>2.具有其他严重情节的。</w:t>
            </w:r>
          </w:p>
        </w:tc>
        <w:tc>
          <w:tcPr>
            <w:tcW w:w="6422" w:type="dxa"/>
            <w:tcBorders>
              <w:top w:val="single" w:color="auto" w:sz="4" w:space="0"/>
              <w:bottom w:val="single" w:color="auto" w:sz="4" w:space="0"/>
              <w:right w:val="single" w:color="auto" w:sz="4" w:space="0"/>
            </w:tcBorders>
            <w:vAlign w:val="center"/>
          </w:tcPr>
          <w:p w14:paraId="3A5F7229">
            <w:pPr>
              <w:jc w:val="center"/>
              <w:rPr>
                <w:rFonts w:ascii="宋体"/>
                <w:kern w:val="0"/>
              </w:rPr>
            </w:pPr>
            <w:r>
              <w:rPr>
                <w:rFonts w:hint="eastAsia" w:ascii="宋体"/>
                <w:kern w:val="0"/>
              </w:rPr>
              <w:t>暂扣有关船舶证书3个月至12个月</w:t>
            </w:r>
          </w:p>
        </w:tc>
        <w:tc>
          <w:tcPr>
            <w:tcW w:w="5245" w:type="dxa"/>
            <w:tcBorders>
              <w:top w:val="single" w:color="auto" w:sz="4" w:space="0"/>
              <w:left w:val="single" w:color="auto" w:sz="4" w:space="0"/>
              <w:bottom w:val="single" w:color="auto" w:sz="4" w:space="0"/>
            </w:tcBorders>
            <w:vAlign w:val="center"/>
          </w:tcPr>
          <w:p w14:paraId="7370EDD5">
            <w:pPr>
              <w:jc w:val="center"/>
              <w:rPr>
                <w:rFonts w:ascii="宋体"/>
                <w:kern w:val="0"/>
              </w:rPr>
            </w:pPr>
            <w:r>
              <w:rPr>
                <w:rFonts w:hint="eastAsia" w:ascii="宋体"/>
                <w:kern w:val="0"/>
              </w:rPr>
              <w:t>暂扣适任证书1个月至3个月</w:t>
            </w:r>
          </w:p>
        </w:tc>
      </w:tr>
    </w:tbl>
    <w:p w14:paraId="2246C6D2">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71"/>
        <w:gridCol w:w="1313"/>
        <w:gridCol w:w="1417"/>
        <w:gridCol w:w="992"/>
        <w:gridCol w:w="3544"/>
        <w:gridCol w:w="11340"/>
      </w:tblGrid>
      <w:tr w14:paraId="708D7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71" w:type="dxa"/>
            <w:vMerge w:val="restart"/>
            <w:vAlign w:val="center"/>
          </w:tcPr>
          <w:p w14:paraId="36443409">
            <w:pPr>
              <w:jc w:val="left"/>
              <w:rPr>
                <w:rFonts w:ascii="宋体"/>
                <w:b/>
                <w:kern w:val="0"/>
              </w:rPr>
            </w:pPr>
            <w:r>
              <w:rPr>
                <w:rFonts w:hint="eastAsia" w:ascii="宋体"/>
                <w:b/>
                <w:kern w:val="0"/>
              </w:rPr>
              <w:t>案由7</w:t>
            </w:r>
          </w:p>
        </w:tc>
        <w:tc>
          <w:tcPr>
            <w:tcW w:w="2730" w:type="dxa"/>
            <w:gridSpan w:val="2"/>
            <w:vAlign w:val="center"/>
          </w:tcPr>
          <w:p w14:paraId="2E8F26F3">
            <w:pPr>
              <w:jc w:val="center"/>
              <w:rPr>
                <w:rFonts w:ascii="宋体"/>
                <w:b/>
                <w:kern w:val="0"/>
              </w:rPr>
            </w:pPr>
            <w:r>
              <w:rPr>
                <w:rFonts w:hint="eastAsia" w:ascii="宋体"/>
                <w:b/>
                <w:kern w:val="0"/>
              </w:rPr>
              <w:t>法律依据</w:t>
            </w:r>
          </w:p>
        </w:tc>
        <w:tc>
          <w:tcPr>
            <w:tcW w:w="992" w:type="dxa"/>
            <w:vMerge w:val="restart"/>
            <w:vAlign w:val="center"/>
          </w:tcPr>
          <w:p w14:paraId="2A4E485E">
            <w:pPr>
              <w:jc w:val="left"/>
              <w:rPr>
                <w:rFonts w:ascii="宋体"/>
                <w:b/>
                <w:kern w:val="0"/>
              </w:rPr>
            </w:pPr>
            <w:r>
              <w:rPr>
                <w:rFonts w:hint="eastAsia" w:ascii="宋体"/>
                <w:b/>
                <w:kern w:val="0"/>
              </w:rPr>
              <w:t>违法情节</w:t>
            </w:r>
          </w:p>
        </w:tc>
        <w:tc>
          <w:tcPr>
            <w:tcW w:w="3544" w:type="dxa"/>
            <w:vMerge w:val="restart"/>
            <w:vAlign w:val="center"/>
          </w:tcPr>
          <w:p w14:paraId="375B27AD">
            <w:pPr>
              <w:jc w:val="center"/>
              <w:rPr>
                <w:rFonts w:ascii="宋体"/>
                <w:b/>
                <w:kern w:val="0"/>
              </w:rPr>
            </w:pPr>
            <w:r>
              <w:rPr>
                <w:rFonts w:hint="eastAsia" w:ascii="宋体"/>
                <w:b/>
                <w:kern w:val="0"/>
              </w:rPr>
              <w:t>主要考虑因素（事实、性质、情节、危害程度和实际后果等）</w:t>
            </w:r>
          </w:p>
        </w:tc>
        <w:tc>
          <w:tcPr>
            <w:tcW w:w="11340" w:type="dxa"/>
            <w:vAlign w:val="center"/>
          </w:tcPr>
          <w:p w14:paraId="0DDAF92F">
            <w:pPr>
              <w:jc w:val="left"/>
              <w:rPr>
                <w:rFonts w:ascii="宋体"/>
                <w:b/>
                <w:kern w:val="0"/>
              </w:rPr>
            </w:pPr>
            <w:r>
              <w:rPr>
                <w:rFonts w:hint="eastAsia" w:ascii="宋体"/>
                <w:b/>
                <w:kern w:val="0"/>
              </w:rPr>
              <w:t>【法定幅度和种类】</w:t>
            </w:r>
            <w:r>
              <w:rPr>
                <w:rFonts w:hint="eastAsia" w:ascii="宋体"/>
              </w:rPr>
              <w:t>由海事管理机构对引航机构处三万元以上三十万元以下的罚款。</w:t>
            </w:r>
          </w:p>
        </w:tc>
      </w:tr>
      <w:tr w14:paraId="4A23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871" w:type="dxa"/>
            <w:vMerge w:val="continue"/>
            <w:tcBorders>
              <w:bottom w:val="single" w:color="000000" w:sz="4" w:space="0"/>
            </w:tcBorders>
            <w:vAlign w:val="center"/>
          </w:tcPr>
          <w:p w14:paraId="2A4C151D">
            <w:pPr>
              <w:jc w:val="left"/>
              <w:rPr>
                <w:rFonts w:ascii="宋体"/>
                <w:b/>
                <w:kern w:val="0"/>
              </w:rPr>
            </w:pPr>
          </w:p>
        </w:tc>
        <w:tc>
          <w:tcPr>
            <w:tcW w:w="1313" w:type="dxa"/>
            <w:tcBorders>
              <w:bottom w:val="single" w:color="000000" w:sz="4" w:space="0"/>
            </w:tcBorders>
            <w:vAlign w:val="center"/>
          </w:tcPr>
          <w:p w14:paraId="671AF8CF">
            <w:pPr>
              <w:jc w:val="center"/>
              <w:rPr>
                <w:rFonts w:ascii="宋体"/>
                <w:b/>
                <w:kern w:val="0"/>
              </w:rPr>
            </w:pPr>
            <w:r>
              <w:rPr>
                <w:rFonts w:hint="eastAsia" w:ascii="宋体"/>
                <w:b/>
                <w:kern w:val="0"/>
              </w:rPr>
              <w:t>违反条款</w:t>
            </w:r>
          </w:p>
        </w:tc>
        <w:tc>
          <w:tcPr>
            <w:tcW w:w="1417" w:type="dxa"/>
            <w:tcBorders>
              <w:bottom w:val="single" w:color="000000" w:sz="4" w:space="0"/>
            </w:tcBorders>
            <w:vAlign w:val="center"/>
          </w:tcPr>
          <w:p w14:paraId="1D71F046">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4D70BD1D">
            <w:pPr>
              <w:jc w:val="left"/>
              <w:rPr>
                <w:rFonts w:ascii="宋体"/>
                <w:b/>
                <w:kern w:val="0"/>
              </w:rPr>
            </w:pPr>
          </w:p>
        </w:tc>
        <w:tc>
          <w:tcPr>
            <w:tcW w:w="3544" w:type="dxa"/>
            <w:vMerge w:val="continue"/>
            <w:tcBorders>
              <w:bottom w:val="single" w:color="000000" w:sz="4" w:space="0"/>
            </w:tcBorders>
            <w:vAlign w:val="center"/>
          </w:tcPr>
          <w:p w14:paraId="2ADDB03F">
            <w:pPr>
              <w:jc w:val="left"/>
              <w:rPr>
                <w:rFonts w:ascii="宋体"/>
                <w:b/>
                <w:kern w:val="0"/>
              </w:rPr>
            </w:pPr>
          </w:p>
        </w:tc>
        <w:tc>
          <w:tcPr>
            <w:tcW w:w="11340" w:type="dxa"/>
            <w:tcBorders>
              <w:top w:val="single" w:color="auto" w:sz="4" w:space="0"/>
              <w:bottom w:val="single" w:color="auto" w:sz="4" w:space="0"/>
              <w:right w:val="single" w:color="auto" w:sz="4" w:space="0"/>
            </w:tcBorders>
            <w:vAlign w:val="center"/>
          </w:tcPr>
          <w:p w14:paraId="06ABF4A4">
            <w:pPr>
              <w:jc w:val="center"/>
              <w:rPr>
                <w:rFonts w:ascii="宋体"/>
                <w:b/>
                <w:kern w:val="0"/>
              </w:rPr>
            </w:pPr>
            <w:r>
              <w:rPr>
                <w:rFonts w:hint="eastAsia" w:ascii="宋体"/>
                <w:b/>
                <w:kern w:val="0"/>
              </w:rPr>
              <w:t>【对象】引航机构</w:t>
            </w:r>
          </w:p>
        </w:tc>
      </w:tr>
      <w:tr w14:paraId="173D3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871" w:type="dxa"/>
            <w:vMerge w:val="restart"/>
            <w:vAlign w:val="center"/>
          </w:tcPr>
          <w:p w14:paraId="5122185F">
            <w:pPr>
              <w:widowControl/>
              <w:jc w:val="left"/>
              <w:rPr>
                <w:rFonts w:ascii="宋体"/>
                <w:kern w:val="0"/>
              </w:rPr>
            </w:pPr>
            <w:r>
              <w:rPr>
                <w:rFonts w:hint="eastAsia" w:ascii="宋体"/>
                <w:kern w:val="0"/>
              </w:rPr>
              <w:t>引航机构派遣引航员存在过失，造成船舶损失</w:t>
            </w:r>
          </w:p>
        </w:tc>
        <w:tc>
          <w:tcPr>
            <w:tcW w:w="1313" w:type="dxa"/>
            <w:vMerge w:val="restart"/>
            <w:vAlign w:val="center"/>
          </w:tcPr>
          <w:p w14:paraId="615A322F">
            <w:pPr>
              <w:widowControl/>
              <w:rPr>
                <w:rFonts w:ascii="宋体"/>
                <w:kern w:val="0"/>
              </w:rPr>
            </w:pPr>
            <w:r>
              <w:rPr>
                <w:rFonts w:hint="eastAsia" w:ascii="宋体"/>
                <w:kern w:val="0"/>
              </w:rPr>
              <w:t>1.《中华人民共和国海上交通安全法》第三十一条第一款、第二款；</w:t>
            </w:r>
          </w:p>
          <w:p w14:paraId="70E0AF76">
            <w:pPr>
              <w:widowControl/>
              <w:rPr>
                <w:rFonts w:ascii="宋体"/>
              </w:rPr>
            </w:pPr>
            <w:r>
              <w:rPr>
                <w:rFonts w:hint="eastAsia" w:ascii="宋体"/>
              </w:rPr>
              <w:t>2.其他法律、法规、规章等。</w:t>
            </w:r>
          </w:p>
        </w:tc>
        <w:tc>
          <w:tcPr>
            <w:tcW w:w="1417" w:type="dxa"/>
            <w:vMerge w:val="restart"/>
            <w:vAlign w:val="center"/>
          </w:tcPr>
          <w:p w14:paraId="3DB7B946">
            <w:pPr>
              <w:jc w:val="left"/>
              <w:rPr>
                <w:rFonts w:ascii="宋体"/>
                <w:kern w:val="0"/>
              </w:rPr>
            </w:pPr>
            <w:r>
              <w:rPr>
                <w:rFonts w:hint="eastAsia" w:ascii="宋体"/>
                <w:kern w:val="0"/>
              </w:rPr>
              <w:t>1.《中华人民共和国海上交通安全法》第一百零二条第二款；</w:t>
            </w:r>
          </w:p>
          <w:p w14:paraId="20A3370E">
            <w:pPr>
              <w:jc w:val="left"/>
              <w:rPr>
                <w:rFonts w:ascii="宋体"/>
                <w:kern w:val="0"/>
              </w:rPr>
            </w:pPr>
            <w:r>
              <w:rPr>
                <w:rFonts w:hint="eastAsia" w:ascii="宋体"/>
                <w:kern w:val="0"/>
              </w:rPr>
              <w:t>2. 《中华人民共和国海上海事行政处罚规定》第七条。</w:t>
            </w:r>
          </w:p>
        </w:tc>
        <w:tc>
          <w:tcPr>
            <w:tcW w:w="992" w:type="dxa"/>
            <w:vAlign w:val="center"/>
          </w:tcPr>
          <w:p w14:paraId="3B5406BC">
            <w:pPr>
              <w:jc w:val="center"/>
              <w:rPr>
                <w:rFonts w:ascii="宋体"/>
                <w:kern w:val="0"/>
              </w:rPr>
            </w:pPr>
            <w:r>
              <w:rPr>
                <w:rFonts w:hint="eastAsia" w:ascii="宋体"/>
                <w:kern w:val="0"/>
              </w:rPr>
              <w:t>从轻</w:t>
            </w:r>
          </w:p>
        </w:tc>
        <w:tc>
          <w:tcPr>
            <w:tcW w:w="3544" w:type="dxa"/>
            <w:vAlign w:val="center"/>
          </w:tcPr>
          <w:p w14:paraId="4B05385C">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340" w:type="dxa"/>
            <w:tcBorders>
              <w:right w:val="single" w:color="auto" w:sz="4" w:space="0"/>
            </w:tcBorders>
            <w:vAlign w:val="center"/>
          </w:tcPr>
          <w:p w14:paraId="2D5E8951">
            <w:pPr>
              <w:jc w:val="center"/>
              <w:rPr>
                <w:rFonts w:ascii="宋体"/>
                <w:kern w:val="0"/>
              </w:rPr>
            </w:pPr>
            <w:r>
              <w:rPr>
                <w:rFonts w:hint="eastAsia" w:ascii="宋体"/>
                <w:kern w:val="0"/>
              </w:rPr>
              <w:t>3-5万元</w:t>
            </w:r>
          </w:p>
        </w:tc>
      </w:tr>
      <w:tr w14:paraId="28CBF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5" w:hRule="atLeast"/>
        </w:trPr>
        <w:tc>
          <w:tcPr>
            <w:tcW w:w="871" w:type="dxa"/>
            <w:vMerge w:val="continue"/>
            <w:vAlign w:val="center"/>
          </w:tcPr>
          <w:p w14:paraId="2D180C65">
            <w:pPr>
              <w:jc w:val="left"/>
              <w:rPr>
                <w:rFonts w:ascii="宋体"/>
                <w:kern w:val="0"/>
              </w:rPr>
            </w:pPr>
          </w:p>
        </w:tc>
        <w:tc>
          <w:tcPr>
            <w:tcW w:w="1313" w:type="dxa"/>
            <w:vMerge w:val="continue"/>
            <w:vAlign w:val="center"/>
          </w:tcPr>
          <w:p w14:paraId="7EE5F952">
            <w:pPr>
              <w:widowControl/>
              <w:jc w:val="left"/>
              <w:rPr>
                <w:rFonts w:ascii="宋体"/>
                <w:kern w:val="0"/>
              </w:rPr>
            </w:pPr>
          </w:p>
        </w:tc>
        <w:tc>
          <w:tcPr>
            <w:tcW w:w="1417" w:type="dxa"/>
            <w:vMerge w:val="continue"/>
            <w:vAlign w:val="center"/>
          </w:tcPr>
          <w:p w14:paraId="1356DD36">
            <w:pPr>
              <w:jc w:val="left"/>
              <w:rPr>
                <w:rFonts w:ascii="宋体"/>
                <w:kern w:val="0"/>
              </w:rPr>
            </w:pPr>
          </w:p>
        </w:tc>
        <w:tc>
          <w:tcPr>
            <w:tcW w:w="992" w:type="dxa"/>
            <w:vMerge w:val="restart"/>
            <w:vAlign w:val="center"/>
          </w:tcPr>
          <w:p w14:paraId="0F4B1539">
            <w:pPr>
              <w:jc w:val="center"/>
              <w:rPr>
                <w:rFonts w:ascii="宋体"/>
                <w:kern w:val="0"/>
              </w:rPr>
            </w:pPr>
            <w:r>
              <w:rPr>
                <w:rFonts w:hint="eastAsia" w:ascii="宋体"/>
                <w:kern w:val="0"/>
              </w:rPr>
              <w:t>一般</w:t>
            </w:r>
          </w:p>
        </w:tc>
        <w:tc>
          <w:tcPr>
            <w:tcW w:w="3544" w:type="dxa"/>
            <w:vAlign w:val="center"/>
          </w:tcPr>
          <w:p w14:paraId="0AE51152">
            <w:pPr>
              <w:pStyle w:val="13"/>
              <w:jc w:val="left"/>
              <w:rPr>
                <w:rFonts w:ascii="宋体"/>
              </w:rPr>
            </w:pPr>
            <w:r>
              <w:rPr>
                <w:rFonts w:hint="eastAsia" w:ascii="宋体"/>
              </w:rPr>
              <w:t>引航机构未及时派遣引航员</w:t>
            </w:r>
          </w:p>
        </w:tc>
        <w:tc>
          <w:tcPr>
            <w:tcW w:w="11340" w:type="dxa"/>
            <w:tcBorders>
              <w:right w:val="single" w:color="auto" w:sz="4" w:space="0"/>
            </w:tcBorders>
            <w:vAlign w:val="center"/>
          </w:tcPr>
          <w:p w14:paraId="56E77DD2">
            <w:pPr>
              <w:jc w:val="center"/>
              <w:rPr>
                <w:rFonts w:ascii="宋体"/>
                <w:kern w:val="0"/>
              </w:rPr>
            </w:pPr>
            <w:r>
              <w:rPr>
                <w:rFonts w:hint="eastAsia" w:ascii="宋体"/>
                <w:kern w:val="0"/>
              </w:rPr>
              <w:t>5-8万元</w:t>
            </w:r>
          </w:p>
        </w:tc>
      </w:tr>
      <w:tr w14:paraId="27E9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8" w:hRule="atLeast"/>
        </w:trPr>
        <w:tc>
          <w:tcPr>
            <w:tcW w:w="871" w:type="dxa"/>
            <w:vMerge w:val="continue"/>
            <w:vAlign w:val="center"/>
          </w:tcPr>
          <w:p w14:paraId="28167A7B">
            <w:pPr>
              <w:jc w:val="left"/>
              <w:rPr>
                <w:rFonts w:ascii="宋体"/>
                <w:kern w:val="0"/>
              </w:rPr>
            </w:pPr>
          </w:p>
        </w:tc>
        <w:tc>
          <w:tcPr>
            <w:tcW w:w="1313" w:type="dxa"/>
            <w:vMerge w:val="continue"/>
            <w:vAlign w:val="center"/>
          </w:tcPr>
          <w:p w14:paraId="57C3EC8E">
            <w:pPr>
              <w:widowControl/>
              <w:jc w:val="left"/>
              <w:rPr>
                <w:rFonts w:ascii="宋体"/>
                <w:kern w:val="0"/>
              </w:rPr>
            </w:pPr>
          </w:p>
        </w:tc>
        <w:tc>
          <w:tcPr>
            <w:tcW w:w="1417" w:type="dxa"/>
            <w:vMerge w:val="continue"/>
            <w:vAlign w:val="center"/>
          </w:tcPr>
          <w:p w14:paraId="72E617D3">
            <w:pPr>
              <w:jc w:val="left"/>
              <w:rPr>
                <w:rFonts w:ascii="宋体"/>
                <w:kern w:val="0"/>
              </w:rPr>
            </w:pPr>
          </w:p>
        </w:tc>
        <w:tc>
          <w:tcPr>
            <w:tcW w:w="992" w:type="dxa"/>
            <w:vMerge w:val="continue"/>
            <w:vAlign w:val="center"/>
          </w:tcPr>
          <w:p w14:paraId="513EE8E2">
            <w:pPr>
              <w:jc w:val="center"/>
              <w:rPr>
                <w:rFonts w:ascii="宋体"/>
                <w:kern w:val="0"/>
              </w:rPr>
            </w:pPr>
          </w:p>
        </w:tc>
        <w:tc>
          <w:tcPr>
            <w:tcW w:w="3544" w:type="dxa"/>
            <w:vAlign w:val="center"/>
          </w:tcPr>
          <w:p w14:paraId="71A6BB90">
            <w:pPr>
              <w:pStyle w:val="13"/>
              <w:jc w:val="left"/>
              <w:rPr>
                <w:rFonts w:ascii="宋体"/>
              </w:rPr>
            </w:pPr>
            <w:r>
              <w:rPr>
                <w:rFonts w:hint="eastAsia" w:ascii="宋体"/>
              </w:rPr>
              <w:t>引航机构未按照船舶情况派遣相应资质引航员</w:t>
            </w:r>
          </w:p>
        </w:tc>
        <w:tc>
          <w:tcPr>
            <w:tcW w:w="11340" w:type="dxa"/>
            <w:tcBorders>
              <w:right w:val="single" w:color="auto" w:sz="4" w:space="0"/>
            </w:tcBorders>
            <w:vAlign w:val="center"/>
          </w:tcPr>
          <w:p w14:paraId="662F3F23">
            <w:pPr>
              <w:jc w:val="center"/>
              <w:rPr>
                <w:rFonts w:ascii="宋体"/>
                <w:kern w:val="0"/>
              </w:rPr>
            </w:pPr>
            <w:r>
              <w:rPr>
                <w:rFonts w:hint="eastAsia" w:ascii="宋体"/>
                <w:kern w:val="0"/>
              </w:rPr>
              <w:t>8-10万元</w:t>
            </w:r>
          </w:p>
        </w:tc>
      </w:tr>
      <w:tr w14:paraId="08E37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2" w:hRule="atLeast"/>
        </w:trPr>
        <w:tc>
          <w:tcPr>
            <w:tcW w:w="871" w:type="dxa"/>
            <w:vMerge w:val="continue"/>
            <w:vAlign w:val="center"/>
          </w:tcPr>
          <w:p w14:paraId="0D0082C7">
            <w:pPr>
              <w:jc w:val="left"/>
              <w:rPr>
                <w:rFonts w:ascii="宋体"/>
                <w:kern w:val="0"/>
              </w:rPr>
            </w:pPr>
          </w:p>
        </w:tc>
        <w:tc>
          <w:tcPr>
            <w:tcW w:w="1313" w:type="dxa"/>
            <w:vMerge w:val="continue"/>
            <w:vAlign w:val="center"/>
          </w:tcPr>
          <w:p w14:paraId="13C6113C">
            <w:pPr>
              <w:widowControl/>
              <w:jc w:val="left"/>
              <w:rPr>
                <w:rFonts w:ascii="宋体"/>
                <w:kern w:val="0"/>
              </w:rPr>
            </w:pPr>
          </w:p>
        </w:tc>
        <w:tc>
          <w:tcPr>
            <w:tcW w:w="1417" w:type="dxa"/>
            <w:vMerge w:val="continue"/>
            <w:vAlign w:val="center"/>
          </w:tcPr>
          <w:p w14:paraId="495EFCA6">
            <w:pPr>
              <w:jc w:val="left"/>
              <w:rPr>
                <w:rFonts w:ascii="宋体"/>
                <w:kern w:val="0"/>
              </w:rPr>
            </w:pPr>
          </w:p>
        </w:tc>
        <w:tc>
          <w:tcPr>
            <w:tcW w:w="992" w:type="dxa"/>
            <w:vMerge w:val="continue"/>
            <w:vAlign w:val="center"/>
          </w:tcPr>
          <w:p w14:paraId="2C6A5512">
            <w:pPr>
              <w:jc w:val="center"/>
              <w:rPr>
                <w:rFonts w:ascii="宋体"/>
                <w:kern w:val="0"/>
              </w:rPr>
            </w:pPr>
          </w:p>
        </w:tc>
        <w:tc>
          <w:tcPr>
            <w:tcW w:w="3544" w:type="dxa"/>
            <w:vAlign w:val="center"/>
          </w:tcPr>
          <w:p w14:paraId="7C9B804F">
            <w:pPr>
              <w:pStyle w:val="13"/>
              <w:jc w:val="left"/>
              <w:rPr>
                <w:rFonts w:ascii="宋体"/>
              </w:rPr>
            </w:pPr>
            <w:r>
              <w:rPr>
                <w:rFonts w:hint="eastAsia" w:ascii="宋体"/>
              </w:rPr>
              <w:t>引航机构接到申请后无正当理由拒绝派遣引航员</w:t>
            </w:r>
          </w:p>
        </w:tc>
        <w:tc>
          <w:tcPr>
            <w:tcW w:w="11340" w:type="dxa"/>
            <w:tcBorders>
              <w:right w:val="single" w:color="auto" w:sz="4" w:space="0"/>
            </w:tcBorders>
            <w:vAlign w:val="center"/>
          </w:tcPr>
          <w:p w14:paraId="2905A3BF">
            <w:pPr>
              <w:jc w:val="center"/>
              <w:rPr>
                <w:rFonts w:ascii="宋体"/>
                <w:kern w:val="0"/>
              </w:rPr>
            </w:pPr>
            <w:r>
              <w:rPr>
                <w:rFonts w:hint="eastAsia" w:ascii="宋体"/>
                <w:kern w:val="0"/>
              </w:rPr>
              <w:t>10-15万元</w:t>
            </w:r>
          </w:p>
        </w:tc>
      </w:tr>
      <w:tr w14:paraId="4411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3" w:hRule="atLeast"/>
        </w:trPr>
        <w:tc>
          <w:tcPr>
            <w:tcW w:w="871" w:type="dxa"/>
            <w:vMerge w:val="continue"/>
            <w:vAlign w:val="center"/>
          </w:tcPr>
          <w:p w14:paraId="51D4051F">
            <w:pPr>
              <w:jc w:val="left"/>
              <w:rPr>
                <w:rFonts w:ascii="宋体"/>
                <w:kern w:val="0"/>
              </w:rPr>
            </w:pPr>
          </w:p>
        </w:tc>
        <w:tc>
          <w:tcPr>
            <w:tcW w:w="1313" w:type="dxa"/>
            <w:vMerge w:val="continue"/>
            <w:vAlign w:val="center"/>
          </w:tcPr>
          <w:p w14:paraId="5ED3D1B5">
            <w:pPr>
              <w:jc w:val="left"/>
              <w:rPr>
                <w:rFonts w:ascii="宋体"/>
                <w:kern w:val="0"/>
              </w:rPr>
            </w:pPr>
          </w:p>
        </w:tc>
        <w:tc>
          <w:tcPr>
            <w:tcW w:w="1417" w:type="dxa"/>
            <w:vMerge w:val="continue"/>
            <w:vAlign w:val="center"/>
          </w:tcPr>
          <w:p w14:paraId="6836AAF0">
            <w:pPr>
              <w:jc w:val="left"/>
              <w:rPr>
                <w:rFonts w:ascii="宋体"/>
                <w:kern w:val="0"/>
              </w:rPr>
            </w:pPr>
          </w:p>
        </w:tc>
        <w:tc>
          <w:tcPr>
            <w:tcW w:w="992" w:type="dxa"/>
            <w:vMerge w:val="continue"/>
            <w:vAlign w:val="center"/>
          </w:tcPr>
          <w:p w14:paraId="5AF0F941">
            <w:pPr>
              <w:jc w:val="center"/>
              <w:rPr>
                <w:rFonts w:ascii="宋体"/>
                <w:kern w:val="0"/>
              </w:rPr>
            </w:pPr>
          </w:p>
        </w:tc>
        <w:tc>
          <w:tcPr>
            <w:tcW w:w="3544" w:type="dxa"/>
            <w:tcBorders>
              <w:top w:val="single" w:color="auto" w:sz="4" w:space="0"/>
              <w:bottom w:val="single" w:color="auto" w:sz="4" w:space="0"/>
            </w:tcBorders>
            <w:vAlign w:val="center"/>
          </w:tcPr>
          <w:p w14:paraId="18FF5DF0">
            <w:pPr>
              <w:jc w:val="left"/>
              <w:rPr>
                <w:rFonts w:ascii="宋体"/>
                <w:kern w:val="0"/>
              </w:rPr>
            </w:pPr>
            <w:r>
              <w:rPr>
                <w:rFonts w:hint="eastAsia" w:ascii="宋体"/>
                <w:kern w:val="0"/>
              </w:rPr>
              <w:t>造成小事故或险情的</w:t>
            </w:r>
          </w:p>
        </w:tc>
        <w:tc>
          <w:tcPr>
            <w:tcW w:w="11340" w:type="dxa"/>
            <w:tcBorders>
              <w:top w:val="single" w:color="auto" w:sz="4" w:space="0"/>
              <w:bottom w:val="single" w:color="auto" w:sz="4" w:space="0"/>
              <w:right w:val="single" w:color="auto" w:sz="4" w:space="0"/>
            </w:tcBorders>
            <w:vAlign w:val="center"/>
          </w:tcPr>
          <w:p w14:paraId="0D7AFC5F">
            <w:pPr>
              <w:jc w:val="center"/>
              <w:rPr>
                <w:rFonts w:ascii="宋体"/>
                <w:kern w:val="0"/>
              </w:rPr>
            </w:pPr>
            <w:r>
              <w:rPr>
                <w:rFonts w:hint="eastAsia" w:ascii="宋体"/>
                <w:kern w:val="0"/>
              </w:rPr>
              <w:t>15-20万元</w:t>
            </w:r>
          </w:p>
        </w:tc>
      </w:tr>
      <w:tr w14:paraId="7DEB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871" w:type="dxa"/>
            <w:vMerge w:val="continue"/>
            <w:vAlign w:val="center"/>
          </w:tcPr>
          <w:p w14:paraId="2AA29537">
            <w:pPr>
              <w:jc w:val="left"/>
              <w:rPr>
                <w:rFonts w:ascii="宋体"/>
                <w:kern w:val="0"/>
              </w:rPr>
            </w:pPr>
          </w:p>
        </w:tc>
        <w:tc>
          <w:tcPr>
            <w:tcW w:w="1313" w:type="dxa"/>
            <w:vMerge w:val="continue"/>
            <w:vAlign w:val="center"/>
          </w:tcPr>
          <w:p w14:paraId="4F15EB76">
            <w:pPr>
              <w:jc w:val="left"/>
              <w:rPr>
                <w:rFonts w:ascii="宋体"/>
                <w:kern w:val="0"/>
              </w:rPr>
            </w:pPr>
          </w:p>
        </w:tc>
        <w:tc>
          <w:tcPr>
            <w:tcW w:w="1417" w:type="dxa"/>
            <w:vMerge w:val="continue"/>
            <w:vAlign w:val="center"/>
          </w:tcPr>
          <w:p w14:paraId="28B94D9F">
            <w:pPr>
              <w:jc w:val="left"/>
              <w:rPr>
                <w:rFonts w:ascii="宋体"/>
                <w:kern w:val="0"/>
              </w:rPr>
            </w:pPr>
          </w:p>
        </w:tc>
        <w:tc>
          <w:tcPr>
            <w:tcW w:w="992" w:type="dxa"/>
            <w:vMerge w:val="continue"/>
            <w:vAlign w:val="center"/>
          </w:tcPr>
          <w:p w14:paraId="23654D64">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14:paraId="3EFFC457">
            <w:pPr>
              <w:jc w:val="left"/>
              <w:rPr>
                <w:rFonts w:ascii="宋体"/>
              </w:rPr>
            </w:pPr>
            <w:r>
              <w:rPr>
                <w:rFonts w:hint="eastAsia" w:ascii="宋体"/>
                <w:kern w:val="0"/>
              </w:rPr>
              <w:t>1.造成一般等级以上事故的</w:t>
            </w:r>
            <w:r>
              <w:rPr>
                <w:rFonts w:hint="eastAsia" w:ascii="宋体"/>
              </w:rPr>
              <w:t>；</w:t>
            </w:r>
          </w:p>
          <w:p w14:paraId="30A10431">
            <w:pPr>
              <w:jc w:val="left"/>
              <w:rPr>
                <w:rFonts w:ascii="宋体"/>
                <w:kern w:val="0"/>
              </w:rPr>
            </w:pPr>
            <w:r>
              <w:rPr>
                <w:rFonts w:hint="eastAsia" w:ascii="宋体"/>
                <w:kern w:val="0"/>
              </w:rPr>
              <w:t>2.具有其他较重情节的。</w:t>
            </w:r>
          </w:p>
        </w:tc>
        <w:tc>
          <w:tcPr>
            <w:tcW w:w="11340" w:type="dxa"/>
            <w:tcBorders>
              <w:top w:val="single" w:color="auto" w:sz="4" w:space="0"/>
              <w:right w:val="single" w:color="auto" w:sz="4" w:space="0"/>
            </w:tcBorders>
            <w:vAlign w:val="center"/>
          </w:tcPr>
          <w:p w14:paraId="16C0CAAA">
            <w:pPr>
              <w:jc w:val="center"/>
              <w:rPr>
                <w:rFonts w:ascii="宋体"/>
                <w:kern w:val="0"/>
              </w:rPr>
            </w:pPr>
            <w:r>
              <w:rPr>
                <w:rFonts w:hint="eastAsia" w:ascii="宋体"/>
                <w:kern w:val="0"/>
              </w:rPr>
              <w:t>20-30万元</w:t>
            </w:r>
          </w:p>
        </w:tc>
      </w:tr>
    </w:tbl>
    <w:p w14:paraId="3D3B7549">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46"/>
        <w:gridCol w:w="1196"/>
        <w:gridCol w:w="1559"/>
        <w:gridCol w:w="992"/>
        <w:gridCol w:w="3544"/>
        <w:gridCol w:w="11482"/>
      </w:tblGrid>
      <w:tr w14:paraId="53E4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46" w:type="dxa"/>
            <w:vMerge w:val="restart"/>
            <w:vAlign w:val="center"/>
          </w:tcPr>
          <w:p w14:paraId="0521CA35">
            <w:pPr>
              <w:jc w:val="left"/>
              <w:rPr>
                <w:rFonts w:ascii="宋体"/>
                <w:b/>
                <w:kern w:val="0"/>
              </w:rPr>
            </w:pPr>
            <w:r>
              <w:rPr>
                <w:rFonts w:hint="eastAsia" w:ascii="宋体"/>
                <w:b/>
                <w:kern w:val="0"/>
              </w:rPr>
              <w:t>案由8</w:t>
            </w:r>
          </w:p>
        </w:tc>
        <w:tc>
          <w:tcPr>
            <w:tcW w:w="2755" w:type="dxa"/>
            <w:gridSpan w:val="2"/>
            <w:vAlign w:val="center"/>
          </w:tcPr>
          <w:p w14:paraId="3ABCD0A6">
            <w:pPr>
              <w:jc w:val="center"/>
              <w:rPr>
                <w:rFonts w:ascii="宋体"/>
                <w:b/>
                <w:kern w:val="0"/>
              </w:rPr>
            </w:pPr>
            <w:r>
              <w:rPr>
                <w:rFonts w:hint="eastAsia" w:ascii="宋体"/>
                <w:b/>
                <w:kern w:val="0"/>
              </w:rPr>
              <w:t>法律依据</w:t>
            </w:r>
          </w:p>
        </w:tc>
        <w:tc>
          <w:tcPr>
            <w:tcW w:w="992" w:type="dxa"/>
            <w:vMerge w:val="restart"/>
            <w:vAlign w:val="center"/>
          </w:tcPr>
          <w:p w14:paraId="1AE2AAF3">
            <w:pPr>
              <w:jc w:val="left"/>
              <w:rPr>
                <w:rFonts w:ascii="宋体"/>
                <w:b/>
                <w:kern w:val="0"/>
              </w:rPr>
            </w:pPr>
            <w:r>
              <w:rPr>
                <w:rFonts w:hint="eastAsia" w:ascii="宋体"/>
                <w:b/>
                <w:kern w:val="0"/>
              </w:rPr>
              <w:t>违法情节</w:t>
            </w:r>
          </w:p>
        </w:tc>
        <w:tc>
          <w:tcPr>
            <w:tcW w:w="3544" w:type="dxa"/>
            <w:vMerge w:val="restart"/>
            <w:vAlign w:val="center"/>
          </w:tcPr>
          <w:p w14:paraId="74E30D36">
            <w:pPr>
              <w:jc w:val="center"/>
              <w:rPr>
                <w:rFonts w:ascii="宋体"/>
                <w:b/>
                <w:kern w:val="0"/>
              </w:rPr>
            </w:pPr>
            <w:r>
              <w:rPr>
                <w:rFonts w:hint="eastAsia" w:ascii="宋体"/>
                <w:b/>
                <w:kern w:val="0"/>
              </w:rPr>
              <w:t>主要考虑因素（事实、性质、情节、危害程度和实际后果等）</w:t>
            </w:r>
          </w:p>
        </w:tc>
        <w:tc>
          <w:tcPr>
            <w:tcW w:w="11482" w:type="dxa"/>
            <w:vAlign w:val="center"/>
          </w:tcPr>
          <w:p w14:paraId="3924FAA8">
            <w:pPr>
              <w:jc w:val="left"/>
              <w:rPr>
                <w:rFonts w:ascii="宋体"/>
                <w:b/>
                <w:kern w:val="0"/>
              </w:rPr>
            </w:pPr>
            <w:r>
              <w:rPr>
                <w:rFonts w:hint="eastAsia" w:ascii="宋体"/>
                <w:b/>
                <w:kern w:val="0"/>
              </w:rPr>
              <w:t>【法定幅度和种类】</w:t>
            </w:r>
            <w:r>
              <w:rPr>
                <w:rFonts w:hint="eastAsia" w:ascii="宋体"/>
              </w:rPr>
              <w:t>由海事管理机构对引领船舶的人员处三千元以上三万元以下的罚款</w:t>
            </w:r>
          </w:p>
        </w:tc>
      </w:tr>
      <w:tr w14:paraId="53CF0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0" w:hRule="atLeast"/>
        </w:trPr>
        <w:tc>
          <w:tcPr>
            <w:tcW w:w="846" w:type="dxa"/>
            <w:vMerge w:val="continue"/>
            <w:tcBorders>
              <w:bottom w:val="single" w:color="000000" w:sz="4" w:space="0"/>
            </w:tcBorders>
            <w:vAlign w:val="center"/>
          </w:tcPr>
          <w:p w14:paraId="7D684D72">
            <w:pPr>
              <w:jc w:val="left"/>
              <w:rPr>
                <w:rFonts w:ascii="宋体"/>
                <w:b/>
                <w:kern w:val="0"/>
              </w:rPr>
            </w:pPr>
          </w:p>
        </w:tc>
        <w:tc>
          <w:tcPr>
            <w:tcW w:w="1196" w:type="dxa"/>
            <w:tcBorders>
              <w:bottom w:val="single" w:color="000000" w:sz="4" w:space="0"/>
            </w:tcBorders>
            <w:vAlign w:val="center"/>
          </w:tcPr>
          <w:p w14:paraId="22A1E6C7">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14:paraId="4EE160B5">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63983427">
            <w:pPr>
              <w:jc w:val="left"/>
              <w:rPr>
                <w:rFonts w:ascii="宋体"/>
                <w:b/>
                <w:kern w:val="0"/>
              </w:rPr>
            </w:pPr>
          </w:p>
        </w:tc>
        <w:tc>
          <w:tcPr>
            <w:tcW w:w="3544" w:type="dxa"/>
            <w:vMerge w:val="continue"/>
            <w:tcBorders>
              <w:bottom w:val="single" w:color="000000" w:sz="4" w:space="0"/>
            </w:tcBorders>
            <w:vAlign w:val="center"/>
          </w:tcPr>
          <w:p w14:paraId="6A6A451B">
            <w:pPr>
              <w:jc w:val="left"/>
              <w:rPr>
                <w:rFonts w:ascii="宋体"/>
                <w:b/>
                <w:kern w:val="0"/>
              </w:rPr>
            </w:pPr>
          </w:p>
        </w:tc>
        <w:tc>
          <w:tcPr>
            <w:tcW w:w="11482" w:type="dxa"/>
            <w:tcBorders>
              <w:top w:val="single" w:color="auto" w:sz="4" w:space="0"/>
              <w:bottom w:val="single" w:color="auto" w:sz="4" w:space="0"/>
              <w:right w:val="single" w:color="auto" w:sz="4" w:space="0"/>
            </w:tcBorders>
            <w:vAlign w:val="center"/>
          </w:tcPr>
          <w:p w14:paraId="25298198">
            <w:pPr>
              <w:jc w:val="center"/>
              <w:rPr>
                <w:rFonts w:ascii="宋体"/>
                <w:b/>
                <w:kern w:val="0"/>
              </w:rPr>
            </w:pPr>
            <w:r>
              <w:rPr>
                <w:rFonts w:hint="eastAsia" w:ascii="宋体"/>
                <w:b/>
                <w:kern w:val="0"/>
              </w:rPr>
              <w:t>【对象】</w:t>
            </w:r>
            <w:r>
              <w:rPr>
                <w:rFonts w:hint="eastAsia" w:ascii="宋体"/>
                <w:b/>
              </w:rPr>
              <w:t>引领船舶的人员</w:t>
            </w:r>
          </w:p>
        </w:tc>
      </w:tr>
      <w:tr w14:paraId="5BAB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846" w:type="dxa"/>
            <w:vMerge w:val="restart"/>
            <w:vAlign w:val="center"/>
          </w:tcPr>
          <w:p w14:paraId="7ADF9779">
            <w:pPr>
              <w:widowControl/>
              <w:jc w:val="left"/>
              <w:rPr>
                <w:rFonts w:ascii="宋体"/>
                <w:kern w:val="0"/>
              </w:rPr>
            </w:pPr>
            <w:r>
              <w:rPr>
                <w:rFonts w:hint="eastAsia" w:ascii="宋体"/>
                <w:kern w:val="0"/>
              </w:rPr>
              <w:t>未经引航机构指派擅自提供引航服务</w:t>
            </w:r>
          </w:p>
        </w:tc>
        <w:tc>
          <w:tcPr>
            <w:tcW w:w="1196" w:type="dxa"/>
            <w:vMerge w:val="restart"/>
            <w:vAlign w:val="center"/>
          </w:tcPr>
          <w:p w14:paraId="437DDBCD">
            <w:pPr>
              <w:widowControl/>
              <w:jc w:val="left"/>
              <w:rPr>
                <w:rFonts w:ascii="宋体"/>
                <w:kern w:val="0"/>
              </w:rPr>
            </w:pPr>
            <w:r>
              <w:rPr>
                <w:rFonts w:hint="eastAsia" w:ascii="宋体"/>
                <w:kern w:val="0"/>
              </w:rPr>
              <w:t>1.《中华人民共和国海上交通安全法》第三十一条第二款；</w:t>
            </w:r>
          </w:p>
          <w:p w14:paraId="2CE93565">
            <w:pPr>
              <w:widowControl/>
              <w:jc w:val="left"/>
              <w:rPr>
                <w:rFonts w:ascii="宋体"/>
              </w:rPr>
            </w:pPr>
            <w:r>
              <w:rPr>
                <w:rFonts w:hint="eastAsia" w:ascii="宋体"/>
              </w:rPr>
              <w:t>2.其他法律、法规、规章等。</w:t>
            </w:r>
          </w:p>
        </w:tc>
        <w:tc>
          <w:tcPr>
            <w:tcW w:w="1559" w:type="dxa"/>
            <w:vMerge w:val="restart"/>
            <w:vAlign w:val="center"/>
          </w:tcPr>
          <w:p w14:paraId="6C6397CF">
            <w:pPr>
              <w:jc w:val="left"/>
              <w:rPr>
                <w:rFonts w:ascii="宋体"/>
                <w:kern w:val="0"/>
              </w:rPr>
            </w:pPr>
            <w:r>
              <w:rPr>
                <w:rFonts w:hint="eastAsia" w:ascii="宋体"/>
                <w:kern w:val="0"/>
              </w:rPr>
              <w:t>1.《中华人民共和国海上交通安全法》第一百零二条第三款；</w:t>
            </w:r>
          </w:p>
          <w:p w14:paraId="750EED50">
            <w:pPr>
              <w:jc w:val="left"/>
              <w:rPr>
                <w:rFonts w:ascii="宋体"/>
                <w:kern w:val="0"/>
              </w:rPr>
            </w:pPr>
            <w:r>
              <w:rPr>
                <w:rFonts w:hint="eastAsia" w:ascii="宋体"/>
                <w:kern w:val="0"/>
              </w:rPr>
              <w:t>2.《中华人民共和国海上海事行政处罚规定》第七条。</w:t>
            </w:r>
          </w:p>
        </w:tc>
        <w:tc>
          <w:tcPr>
            <w:tcW w:w="992" w:type="dxa"/>
            <w:vAlign w:val="center"/>
          </w:tcPr>
          <w:p w14:paraId="5AAEE0EF">
            <w:pPr>
              <w:jc w:val="center"/>
              <w:rPr>
                <w:rFonts w:ascii="宋体"/>
                <w:kern w:val="0"/>
              </w:rPr>
            </w:pPr>
            <w:r>
              <w:rPr>
                <w:rFonts w:hint="eastAsia" w:ascii="宋体"/>
                <w:kern w:val="0"/>
              </w:rPr>
              <w:t>从轻</w:t>
            </w:r>
          </w:p>
        </w:tc>
        <w:tc>
          <w:tcPr>
            <w:tcW w:w="3544" w:type="dxa"/>
            <w:vAlign w:val="center"/>
          </w:tcPr>
          <w:p w14:paraId="560BD411">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482" w:type="dxa"/>
            <w:tcBorders>
              <w:right w:val="single" w:color="auto" w:sz="4" w:space="0"/>
            </w:tcBorders>
            <w:vAlign w:val="center"/>
          </w:tcPr>
          <w:p w14:paraId="3FB3F46B">
            <w:pPr>
              <w:jc w:val="center"/>
              <w:rPr>
                <w:rFonts w:ascii="宋体"/>
                <w:kern w:val="0"/>
              </w:rPr>
            </w:pPr>
            <w:r>
              <w:rPr>
                <w:rFonts w:hint="eastAsia" w:ascii="宋体"/>
                <w:kern w:val="0"/>
              </w:rPr>
              <w:t>3000元-1万元</w:t>
            </w:r>
          </w:p>
        </w:tc>
      </w:tr>
      <w:tr w14:paraId="22919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8" w:hRule="atLeast"/>
        </w:trPr>
        <w:tc>
          <w:tcPr>
            <w:tcW w:w="846" w:type="dxa"/>
            <w:vMerge w:val="continue"/>
            <w:vAlign w:val="center"/>
          </w:tcPr>
          <w:p w14:paraId="12AEA3C8">
            <w:pPr>
              <w:jc w:val="left"/>
              <w:rPr>
                <w:rFonts w:ascii="宋体"/>
                <w:kern w:val="0"/>
              </w:rPr>
            </w:pPr>
          </w:p>
        </w:tc>
        <w:tc>
          <w:tcPr>
            <w:tcW w:w="1196" w:type="dxa"/>
            <w:vMerge w:val="continue"/>
            <w:vAlign w:val="center"/>
          </w:tcPr>
          <w:p w14:paraId="2CFFD2AD">
            <w:pPr>
              <w:widowControl/>
              <w:jc w:val="left"/>
              <w:rPr>
                <w:rFonts w:ascii="宋体"/>
                <w:kern w:val="0"/>
              </w:rPr>
            </w:pPr>
          </w:p>
        </w:tc>
        <w:tc>
          <w:tcPr>
            <w:tcW w:w="1559" w:type="dxa"/>
            <w:vMerge w:val="continue"/>
            <w:vAlign w:val="center"/>
          </w:tcPr>
          <w:p w14:paraId="187DDD11">
            <w:pPr>
              <w:jc w:val="left"/>
              <w:rPr>
                <w:rFonts w:ascii="宋体"/>
                <w:kern w:val="0"/>
              </w:rPr>
            </w:pPr>
          </w:p>
        </w:tc>
        <w:tc>
          <w:tcPr>
            <w:tcW w:w="992" w:type="dxa"/>
            <w:vMerge w:val="restart"/>
            <w:vAlign w:val="center"/>
          </w:tcPr>
          <w:p w14:paraId="525D9A40">
            <w:pPr>
              <w:jc w:val="center"/>
              <w:rPr>
                <w:rFonts w:ascii="宋体"/>
                <w:kern w:val="0"/>
              </w:rPr>
            </w:pPr>
            <w:r>
              <w:rPr>
                <w:rFonts w:hint="eastAsia" w:ascii="宋体"/>
                <w:kern w:val="0"/>
              </w:rPr>
              <w:t>一般</w:t>
            </w:r>
          </w:p>
        </w:tc>
        <w:tc>
          <w:tcPr>
            <w:tcW w:w="3544" w:type="dxa"/>
            <w:vAlign w:val="center"/>
          </w:tcPr>
          <w:p w14:paraId="758A4E76">
            <w:pPr>
              <w:pStyle w:val="13"/>
              <w:jc w:val="left"/>
              <w:rPr>
                <w:rFonts w:ascii="宋体"/>
              </w:rPr>
            </w:pPr>
            <w:r>
              <w:rPr>
                <w:rFonts w:hint="eastAsia" w:ascii="宋体"/>
              </w:rPr>
              <w:t>引航员未经引航机构指派擅自提供引航服务</w:t>
            </w:r>
          </w:p>
        </w:tc>
        <w:tc>
          <w:tcPr>
            <w:tcW w:w="11482" w:type="dxa"/>
            <w:tcBorders>
              <w:right w:val="single" w:color="auto" w:sz="4" w:space="0"/>
            </w:tcBorders>
            <w:vAlign w:val="center"/>
          </w:tcPr>
          <w:p w14:paraId="22654414">
            <w:pPr>
              <w:jc w:val="center"/>
              <w:rPr>
                <w:rFonts w:ascii="宋体"/>
                <w:kern w:val="0"/>
              </w:rPr>
            </w:pPr>
            <w:r>
              <w:rPr>
                <w:rFonts w:hint="eastAsia" w:ascii="宋体"/>
                <w:kern w:val="0"/>
              </w:rPr>
              <w:t>1-2万元</w:t>
            </w:r>
          </w:p>
        </w:tc>
      </w:tr>
      <w:tr w14:paraId="2BBD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846" w:type="dxa"/>
            <w:vMerge w:val="continue"/>
            <w:vAlign w:val="center"/>
          </w:tcPr>
          <w:p w14:paraId="593107E6">
            <w:pPr>
              <w:jc w:val="left"/>
              <w:rPr>
                <w:rFonts w:ascii="宋体"/>
                <w:kern w:val="0"/>
              </w:rPr>
            </w:pPr>
          </w:p>
        </w:tc>
        <w:tc>
          <w:tcPr>
            <w:tcW w:w="1196" w:type="dxa"/>
            <w:vMerge w:val="continue"/>
            <w:vAlign w:val="center"/>
          </w:tcPr>
          <w:p w14:paraId="4CF51665">
            <w:pPr>
              <w:jc w:val="left"/>
              <w:rPr>
                <w:rFonts w:ascii="宋体"/>
                <w:kern w:val="0"/>
              </w:rPr>
            </w:pPr>
          </w:p>
        </w:tc>
        <w:tc>
          <w:tcPr>
            <w:tcW w:w="1559" w:type="dxa"/>
            <w:vMerge w:val="continue"/>
            <w:vAlign w:val="center"/>
          </w:tcPr>
          <w:p w14:paraId="7C4FB848">
            <w:pPr>
              <w:jc w:val="left"/>
              <w:rPr>
                <w:rFonts w:ascii="宋体"/>
                <w:kern w:val="0"/>
              </w:rPr>
            </w:pPr>
          </w:p>
        </w:tc>
        <w:tc>
          <w:tcPr>
            <w:tcW w:w="992" w:type="dxa"/>
            <w:vMerge w:val="continue"/>
            <w:vAlign w:val="center"/>
          </w:tcPr>
          <w:p w14:paraId="707539D7">
            <w:pPr>
              <w:jc w:val="center"/>
              <w:rPr>
                <w:rFonts w:ascii="宋体"/>
                <w:kern w:val="0"/>
              </w:rPr>
            </w:pPr>
          </w:p>
        </w:tc>
        <w:tc>
          <w:tcPr>
            <w:tcW w:w="3544" w:type="dxa"/>
            <w:tcBorders>
              <w:top w:val="single" w:color="auto" w:sz="4" w:space="0"/>
              <w:bottom w:val="single" w:color="auto" w:sz="4" w:space="0"/>
            </w:tcBorders>
            <w:vAlign w:val="center"/>
          </w:tcPr>
          <w:p w14:paraId="3C742462">
            <w:pPr>
              <w:jc w:val="left"/>
              <w:rPr>
                <w:rFonts w:ascii="宋体"/>
                <w:kern w:val="0"/>
              </w:rPr>
            </w:pPr>
            <w:r>
              <w:rPr>
                <w:rFonts w:hint="eastAsia" w:ascii="宋体"/>
                <w:kern w:val="0"/>
              </w:rPr>
              <w:t>造成小事故或险情的</w:t>
            </w:r>
          </w:p>
        </w:tc>
        <w:tc>
          <w:tcPr>
            <w:tcW w:w="11482" w:type="dxa"/>
            <w:tcBorders>
              <w:top w:val="single" w:color="auto" w:sz="4" w:space="0"/>
              <w:bottom w:val="single" w:color="auto" w:sz="4" w:space="0"/>
              <w:right w:val="single" w:color="auto" w:sz="4" w:space="0"/>
            </w:tcBorders>
            <w:vAlign w:val="center"/>
          </w:tcPr>
          <w:p w14:paraId="03F9D37C">
            <w:pPr>
              <w:jc w:val="center"/>
              <w:rPr>
                <w:rFonts w:ascii="宋体"/>
                <w:kern w:val="0"/>
              </w:rPr>
            </w:pPr>
            <w:r>
              <w:rPr>
                <w:rFonts w:hint="eastAsia" w:ascii="宋体"/>
                <w:kern w:val="0"/>
              </w:rPr>
              <w:t>2-2.5万元</w:t>
            </w:r>
          </w:p>
        </w:tc>
      </w:tr>
      <w:tr w14:paraId="7F33B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846" w:type="dxa"/>
            <w:vMerge w:val="continue"/>
            <w:vAlign w:val="center"/>
          </w:tcPr>
          <w:p w14:paraId="464097CF">
            <w:pPr>
              <w:jc w:val="left"/>
              <w:rPr>
                <w:rFonts w:ascii="宋体"/>
                <w:kern w:val="0"/>
              </w:rPr>
            </w:pPr>
          </w:p>
        </w:tc>
        <w:tc>
          <w:tcPr>
            <w:tcW w:w="1196" w:type="dxa"/>
            <w:vMerge w:val="continue"/>
            <w:vAlign w:val="center"/>
          </w:tcPr>
          <w:p w14:paraId="76E006C8">
            <w:pPr>
              <w:jc w:val="left"/>
              <w:rPr>
                <w:rFonts w:ascii="宋体"/>
                <w:kern w:val="0"/>
              </w:rPr>
            </w:pPr>
          </w:p>
        </w:tc>
        <w:tc>
          <w:tcPr>
            <w:tcW w:w="1559" w:type="dxa"/>
            <w:vMerge w:val="continue"/>
            <w:vAlign w:val="center"/>
          </w:tcPr>
          <w:p w14:paraId="519E79AE">
            <w:pPr>
              <w:jc w:val="left"/>
              <w:rPr>
                <w:rFonts w:ascii="宋体"/>
                <w:kern w:val="0"/>
              </w:rPr>
            </w:pPr>
          </w:p>
        </w:tc>
        <w:tc>
          <w:tcPr>
            <w:tcW w:w="992" w:type="dxa"/>
            <w:vMerge w:val="continue"/>
            <w:vAlign w:val="center"/>
          </w:tcPr>
          <w:p w14:paraId="40570F2B">
            <w:pPr>
              <w:rPr>
                <w:rFonts w:ascii="宋体"/>
                <w:kern w:val="0"/>
              </w:rPr>
            </w:pPr>
          </w:p>
        </w:tc>
        <w:tc>
          <w:tcPr>
            <w:tcW w:w="3544" w:type="dxa"/>
            <w:tcBorders>
              <w:top w:val="single" w:color="auto" w:sz="4" w:space="0"/>
              <w:left w:val="single" w:color="auto" w:sz="4" w:space="0"/>
              <w:bottom w:val="single" w:color="auto" w:sz="4" w:space="0"/>
            </w:tcBorders>
            <w:vAlign w:val="center"/>
          </w:tcPr>
          <w:p w14:paraId="09086930">
            <w:pPr>
              <w:jc w:val="left"/>
              <w:rPr>
                <w:rFonts w:ascii="宋体"/>
              </w:rPr>
            </w:pPr>
            <w:r>
              <w:rPr>
                <w:rFonts w:hint="eastAsia" w:ascii="宋体"/>
                <w:kern w:val="0"/>
              </w:rPr>
              <w:t>1.造成一般等级以上事故的</w:t>
            </w:r>
            <w:r>
              <w:rPr>
                <w:rFonts w:hint="eastAsia" w:ascii="宋体"/>
              </w:rPr>
              <w:t>；</w:t>
            </w:r>
          </w:p>
          <w:p w14:paraId="607151F9">
            <w:pPr>
              <w:jc w:val="left"/>
              <w:rPr>
                <w:rFonts w:ascii="宋体"/>
                <w:kern w:val="0"/>
              </w:rPr>
            </w:pPr>
            <w:r>
              <w:rPr>
                <w:rFonts w:hint="eastAsia" w:ascii="宋体"/>
                <w:kern w:val="0"/>
              </w:rPr>
              <w:t>2.具有其他较重情节的。</w:t>
            </w:r>
          </w:p>
        </w:tc>
        <w:tc>
          <w:tcPr>
            <w:tcW w:w="11482" w:type="dxa"/>
            <w:tcBorders>
              <w:top w:val="single" w:color="auto" w:sz="4" w:space="0"/>
              <w:right w:val="single" w:color="auto" w:sz="4" w:space="0"/>
            </w:tcBorders>
            <w:vAlign w:val="center"/>
          </w:tcPr>
          <w:p w14:paraId="4E0C36BB">
            <w:pPr>
              <w:jc w:val="center"/>
              <w:rPr>
                <w:rFonts w:ascii="宋体"/>
                <w:kern w:val="0"/>
              </w:rPr>
            </w:pPr>
            <w:r>
              <w:rPr>
                <w:rFonts w:hint="eastAsia" w:ascii="宋体"/>
                <w:kern w:val="0"/>
              </w:rPr>
              <w:t>2.5-3万元</w:t>
            </w:r>
          </w:p>
        </w:tc>
      </w:tr>
    </w:tbl>
    <w:p w14:paraId="0BE1E8BC">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1150"/>
        <w:gridCol w:w="1446"/>
        <w:gridCol w:w="1149"/>
        <w:gridCol w:w="3386"/>
        <w:gridCol w:w="6800"/>
        <w:gridCol w:w="2127"/>
        <w:gridCol w:w="3032"/>
      </w:tblGrid>
      <w:tr w14:paraId="34D61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1005" w:type="dxa"/>
            <w:vMerge w:val="restart"/>
            <w:vAlign w:val="center"/>
          </w:tcPr>
          <w:p w14:paraId="58CEA7E7">
            <w:pPr>
              <w:spacing w:line="240" w:lineRule="atLeast"/>
              <w:jc w:val="center"/>
              <w:rPr>
                <w:rFonts w:ascii="宋体"/>
                <w:b/>
                <w:kern w:val="0"/>
              </w:rPr>
            </w:pPr>
            <w:r>
              <w:rPr>
                <w:rFonts w:hint="eastAsia" w:ascii="宋体"/>
                <w:b/>
                <w:kern w:val="0"/>
              </w:rPr>
              <w:t>案由9</w:t>
            </w:r>
          </w:p>
        </w:tc>
        <w:tc>
          <w:tcPr>
            <w:tcW w:w="2596" w:type="dxa"/>
            <w:gridSpan w:val="2"/>
            <w:vAlign w:val="center"/>
          </w:tcPr>
          <w:p w14:paraId="67FA421E">
            <w:pPr>
              <w:spacing w:line="240" w:lineRule="atLeast"/>
              <w:jc w:val="center"/>
              <w:rPr>
                <w:rFonts w:ascii="宋体"/>
                <w:b/>
                <w:kern w:val="0"/>
              </w:rPr>
            </w:pPr>
            <w:r>
              <w:rPr>
                <w:rFonts w:hint="eastAsia" w:ascii="宋体"/>
                <w:b/>
                <w:kern w:val="0"/>
              </w:rPr>
              <w:t>法律依据</w:t>
            </w:r>
          </w:p>
        </w:tc>
        <w:tc>
          <w:tcPr>
            <w:tcW w:w="1149" w:type="dxa"/>
            <w:vMerge w:val="restart"/>
            <w:vAlign w:val="center"/>
          </w:tcPr>
          <w:p w14:paraId="2E246E84">
            <w:pPr>
              <w:spacing w:line="240" w:lineRule="atLeast"/>
              <w:jc w:val="center"/>
              <w:rPr>
                <w:rFonts w:ascii="宋体"/>
                <w:b/>
                <w:kern w:val="0"/>
              </w:rPr>
            </w:pPr>
            <w:r>
              <w:rPr>
                <w:rFonts w:hint="eastAsia" w:ascii="宋体"/>
                <w:b/>
                <w:kern w:val="0"/>
              </w:rPr>
              <w:t>违法情节</w:t>
            </w:r>
          </w:p>
        </w:tc>
        <w:tc>
          <w:tcPr>
            <w:tcW w:w="3386" w:type="dxa"/>
            <w:vMerge w:val="restart"/>
            <w:vAlign w:val="center"/>
          </w:tcPr>
          <w:p w14:paraId="7D619177">
            <w:pPr>
              <w:spacing w:line="240" w:lineRule="atLeas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770190E4">
            <w:pPr>
              <w:spacing w:line="240" w:lineRule="atLeas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1606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trPr>
        <w:tc>
          <w:tcPr>
            <w:tcW w:w="1005" w:type="dxa"/>
            <w:vMerge w:val="continue"/>
          </w:tcPr>
          <w:p w14:paraId="4C5A0F15">
            <w:pPr>
              <w:spacing w:line="240" w:lineRule="atLeast"/>
              <w:jc w:val="left"/>
              <w:rPr>
                <w:rFonts w:ascii="宋体"/>
                <w:b/>
                <w:kern w:val="0"/>
              </w:rPr>
            </w:pPr>
          </w:p>
        </w:tc>
        <w:tc>
          <w:tcPr>
            <w:tcW w:w="1150" w:type="dxa"/>
            <w:vAlign w:val="center"/>
          </w:tcPr>
          <w:p w14:paraId="6691F327">
            <w:pPr>
              <w:spacing w:line="240" w:lineRule="atLeast"/>
              <w:jc w:val="center"/>
              <w:rPr>
                <w:rFonts w:ascii="宋体"/>
                <w:b/>
                <w:kern w:val="0"/>
              </w:rPr>
            </w:pPr>
            <w:r>
              <w:rPr>
                <w:rFonts w:hint="eastAsia" w:ascii="宋体"/>
                <w:b/>
                <w:kern w:val="0"/>
              </w:rPr>
              <w:t>违反条款</w:t>
            </w:r>
          </w:p>
        </w:tc>
        <w:tc>
          <w:tcPr>
            <w:tcW w:w="1446" w:type="dxa"/>
            <w:vAlign w:val="center"/>
          </w:tcPr>
          <w:p w14:paraId="360E0894">
            <w:pPr>
              <w:spacing w:line="240" w:lineRule="atLeast"/>
              <w:jc w:val="center"/>
              <w:rPr>
                <w:rFonts w:ascii="宋体"/>
                <w:b/>
                <w:kern w:val="0"/>
              </w:rPr>
            </w:pPr>
            <w:r>
              <w:rPr>
                <w:rFonts w:hint="eastAsia" w:ascii="宋体"/>
                <w:b/>
                <w:kern w:val="0"/>
              </w:rPr>
              <w:t>处罚依据</w:t>
            </w:r>
          </w:p>
        </w:tc>
        <w:tc>
          <w:tcPr>
            <w:tcW w:w="1149" w:type="dxa"/>
            <w:vMerge w:val="continue"/>
          </w:tcPr>
          <w:p w14:paraId="56A4C371">
            <w:pPr>
              <w:spacing w:line="240" w:lineRule="atLeast"/>
              <w:jc w:val="left"/>
              <w:rPr>
                <w:rFonts w:ascii="宋体"/>
                <w:b/>
                <w:kern w:val="0"/>
              </w:rPr>
            </w:pPr>
          </w:p>
        </w:tc>
        <w:tc>
          <w:tcPr>
            <w:tcW w:w="3386" w:type="dxa"/>
            <w:vMerge w:val="continue"/>
          </w:tcPr>
          <w:p w14:paraId="20817FA8">
            <w:pPr>
              <w:spacing w:line="240" w:lineRule="atLeast"/>
              <w:jc w:val="left"/>
              <w:rPr>
                <w:rFonts w:ascii="宋体"/>
                <w:b/>
                <w:kern w:val="0"/>
              </w:rPr>
            </w:pPr>
          </w:p>
        </w:tc>
        <w:tc>
          <w:tcPr>
            <w:tcW w:w="6800" w:type="dxa"/>
            <w:vAlign w:val="center"/>
          </w:tcPr>
          <w:p w14:paraId="4BD8F7C9">
            <w:pPr>
              <w:spacing w:line="240" w:lineRule="atLeast"/>
              <w:jc w:val="center"/>
              <w:rPr>
                <w:rFonts w:ascii="宋体"/>
                <w:b/>
                <w:kern w:val="0"/>
              </w:rPr>
            </w:pPr>
            <w:r>
              <w:rPr>
                <w:rFonts w:hint="eastAsia" w:ascii="宋体"/>
                <w:b/>
                <w:kern w:val="0"/>
              </w:rPr>
              <w:t>【对象】对船舶的所有人、经营人或者管理人</w:t>
            </w:r>
          </w:p>
        </w:tc>
        <w:tc>
          <w:tcPr>
            <w:tcW w:w="2127" w:type="dxa"/>
            <w:vAlign w:val="center"/>
          </w:tcPr>
          <w:p w14:paraId="2E979E00">
            <w:pPr>
              <w:spacing w:line="240" w:lineRule="atLeast"/>
              <w:jc w:val="center"/>
              <w:rPr>
                <w:rFonts w:ascii="宋体"/>
                <w:b/>
                <w:kern w:val="0"/>
              </w:rPr>
            </w:pPr>
            <w:r>
              <w:rPr>
                <w:rFonts w:hint="eastAsia" w:ascii="宋体"/>
                <w:b/>
                <w:kern w:val="0"/>
              </w:rPr>
              <w:t>【对象】船长</w:t>
            </w:r>
          </w:p>
        </w:tc>
        <w:tc>
          <w:tcPr>
            <w:tcW w:w="3032" w:type="dxa"/>
            <w:vAlign w:val="center"/>
          </w:tcPr>
          <w:p w14:paraId="28D8B2EA">
            <w:pPr>
              <w:spacing w:line="240" w:lineRule="atLeast"/>
              <w:jc w:val="center"/>
              <w:rPr>
                <w:rFonts w:ascii="宋体"/>
                <w:b/>
                <w:kern w:val="0"/>
              </w:rPr>
            </w:pPr>
            <w:r>
              <w:rPr>
                <w:rFonts w:hint="eastAsia" w:ascii="宋体"/>
                <w:b/>
                <w:kern w:val="0"/>
              </w:rPr>
              <w:t>【对象】责任船员</w:t>
            </w:r>
          </w:p>
        </w:tc>
      </w:tr>
      <w:tr w14:paraId="37F6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05" w:type="dxa"/>
            <w:vMerge w:val="restart"/>
            <w:vAlign w:val="center"/>
          </w:tcPr>
          <w:p w14:paraId="5B39CE0B">
            <w:pPr>
              <w:widowControl/>
              <w:spacing w:line="240" w:lineRule="atLeast"/>
              <w:jc w:val="left"/>
              <w:rPr>
                <w:rFonts w:ascii="宋体"/>
                <w:kern w:val="0"/>
              </w:rPr>
            </w:pPr>
            <w:r>
              <w:rPr>
                <w:rFonts w:hint="eastAsia" w:ascii="宋体"/>
                <w:kern w:val="0"/>
              </w:rPr>
              <w:t>船舶进出港口、锚地或者通过桥区水域、海峡、狭水道、重要渔业水域、通航船舶密集的区域、船舶定线区、交通管制区时未加强瞭望</w:t>
            </w:r>
          </w:p>
        </w:tc>
        <w:tc>
          <w:tcPr>
            <w:tcW w:w="1150" w:type="dxa"/>
            <w:vMerge w:val="restart"/>
            <w:vAlign w:val="center"/>
          </w:tcPr>
          <w:p w14:paraId="0B656937">
            <w:pPr>
              <w:widowControl/>
              <w:spacing w:line="240" w:lineRule="atLeast"/>
              <w:jc w:val="left"/>
              <w:rPr>
                <w:rFonts w:ascii="宋体"/>
                <w:kern w:val="0"/>
              </w:rPr>
            </w:pPr>
            <w:r>
              <w:rPr>
                <w:rFonts w:hint="eastAsia" w:ascii="宋体"/>
                <w:kern w:val="0"/>
              </w:rPr>
              <w:t>1.《中华人民共和国海上交通安全法》第四十三条第一款；</w:t>
            </w:r>
          </w:p>
          <w:p w14:paraId="65435B35">
            <w:pPr>
              <w:widowControl/>
              <w:spacing w:line="240" w:lineRule="atLeast"/>
              <w:jc w:val="left"/>
              <w:rPr>
                <w:rFonts w:ascii="宋体"/>
              </w:rPr>
            </w:pPr>
            <w:r>
              <w:rPr>
                <w:rFonts w:hint="eastAsia" w:ascii="宋体"/>
              </w:rPr>
              <w:t>2.其他法律、法规、规章等。</w:t>
            </w:r>
          </w:p>
        </w:tc>
        <w:tc>
          <w:tcPr>
            <w:tcW w:w="1446" w:type="dxa"/>
            <w:vMerge w:val="restart"/>
            <w:vAlign w:val="center"/>
          </w:tcPr>
          <w:p w14:paraId="2136E777">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14:paraId="561FFF69">
            <w:pPr>
              <w:spacing w:line="240" w:lineRule="atLeast"/>
              <w:jc w:val="left"/>
              <w:rPr>
                <w:rFonts w:ascii="宋体"/>
                <w:kern w:val="0"/>
              </w:rPr>
            </w:pPr>
            <w:r>
              <w:rPr>
                <w:rFonts w:hint="eastAsia" w:ascii="宋体"/>
                <w:kern w:val="0"/>
              </w:rPr>
              <w:t>2.《中华人民共和国海上海事行政处罚规定》第七条。</w:t>
            </w:r>
          </w:p>
        </w:tc>
        <w:tc>
          <w:tcPr>
            <w:tcW w:w="1149" w:type="dxa"/>
            <w:vAlign w:val="center"/>
          </w:tcPr>
          <w:p w14:paraId="46BDCE90">
            <w:pPr>
              <w:spacing w:line="240" w:lineRule="atLeast"/>
              <w:jc w:val="center"/>
              <w:rPr>
                <w:rFonts w:ascii="宋体"/>
                <w:kern w:val="0"/>
              </w:rPr>
            </w:pPr>
            <w:r>
              <w:rPr>
                <w:rFonts w:hint="eastAsia" w:ascii="宋体"/>
                <w:kern w:val="0"/>
              </w:rPr>
              <w:t>从轻</w:t>
            </w:r>
          </w:p>
        </w:tc>
        <w:tc>
          <w:tcPr>
            <w:tcW w:w="3386" w:type="dxa"/>
            <w:vAlign w:val="center"/>
          </w:tcPr>
          <w:p w14:paraId="779D6ABD">
            <w:pPr>
              <w:widowControl/>
              <w:spacing w:line="240" w:lineRule="atLeas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800" w:type="dxa"/>
            <w:vAlign w:val="center"/>
          </w:tcPr>
          <w:p w14:paraId="77B8D79F">
            <w:pPr>
              <w:spacing w:line="240" w:lineRule="atLeast"/>
              <w:jc w:val="center"/>
              <w:rPr>
                <w:rFonts w:ascii="宋体"/>
                <w:kern w:val="0"/>
              </w:rPr>
            </w:pPr>
            <w:r>
              <w:rPr>
                <w:rFonts w:hint="eastAsia" w:ascii="宋体"/>
                <w:kern w:val="0"/>
              </w:rPr>
              <w:t>2-3万元</w:t>
            </w:r>
          </w:p>
        </w:tc>
        <w:tc>
          <w:tcPr>
            <w:tcW w:w="2127" w:type="dxa"/>
            <w:vAlign w:val="center"/>
          </w:tcPr>
          <w:p w14:paraId="20377DA3">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70F279DF">
            <w:pPr>
              <w:spacing w:line="240" w:lineRule="atLeast"/>
              <w:jc w:val="center"/>
              <w:rPr>
                <w:rFonts w:ascii="宋体"/>
                <w:kern w:val="0"/>
              </w:rPr>
            </w:pPr>
            <w:r>
              <w:rPr>
                <w:rFonts w:hint="eastAsia" w:ascii="宋体"/>
                <w:kern w:val="0"/>
              </w:rPr>
              <w:t>2000-4000元、并暂扣适任证书3个月至4个月</w:t>
            </w:r>
          </w:p>
        </w:tc>
      </w:tr>
      <w:tr w14:paraId="331D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05" w:type="dxa"/>
            <w:vMerge w:val="continue"/>
            <w:vAlign w:val="center"/>
          </w:tcPr>
          <w:p w14:paraId="78225615">
            <w:pPr>
              <w:spacing w:line="240" w:lineRule="atLeast"/>
              <w:jc w:val="center"/>
              <w:rPr>
                <w:rFonts w:ascii="宋体"/>
                <w:kern w:val="0"/>
              </w:rPr>
            </w:pPr>
          </w:p>
        </w:tc>
        <w:tc>
          <w:tcPr>
            <w:tcW w:w="1150" w:type="dxa"/>
            <w:vMerge w:val="continue"/>
            <w:vAlign w:val="center"/>
          </w:tcPr>
          <w:p w14:paraId="14AD6E3E">
            <w:pPr>
              <w:widowControl/>
              <w:spacing w:line="240" w:lineRule="atLeast"/>
              <w:jc w:val="center"/>
              <w:rPr>
                <w:rFonts w:ascii="宋体"/>
                <w:kern w:val="0"/>
              </w:rPr>
            </w:pPr>
          </w:p>
        </w:tc>
        <w:tc>
          <w:tcPr>
            <w:tcW w:w="1446" w:type="dxa"/>
            <w:vMerge w:val="continue"/>
            <w:vAlign w:val="center"/>
          </w:tcPr>
          <w:p w14:paraId="2B243980">
            <w:pPr>
              <w:spacing w:line="240" w:lineRule="atLeast"/>
              <w:jc w:val="center"/>
              <w:rPr>
                <w:rFonts w:ascii="宋体"/>
                <w:kern w:val="0"/>
              </w:rPr>
            </w:pPr>
          </w:p>
        </w:tc>
        <w:tc>
          <w:tcPr>
            <w:tcW w:w="1149" w:type="dxa"/>
            <w:vMerge w:val="restart"/>
            <w:vAlign w:val="center"/>
          </w:tcPr>
          <w:p w14:paraId="063C3F8C">
            <w:pPr>
              <w:spacing w:line="240" w:lineRule="atLeast"/>
              <w:jc w:val="center"/>
              <w:rPr>
                <w:rFonts w:ascii="宋体"/>
                <w:kern w:val="0"/>
              </w:rPr>
            </w:pPr>
            <w:r>
              <w:rPr>
                <w:rFonts w:hint="eastAsia" w:ascii="宋体"/>
                <w:kern w:val="0"/>
              </w:rPr>
              <w:t>一般</w:t>
            </w:r>
          </w:p>
        </w:tc>
        <w:tc>
          <w:tcPr>
            <w:tcW w:w="3386" w:type="dxa"/>
            <w:vAlign w:val="center"/>
          </w:tcPr>
          <w:p w14:paraId="5BE6F17F">
            <w:pPr>
              <w:widowControl/>
              <w:spacing w:line="240" w:lineRule="atLeast"/>
              <w:jc w:val="left"/>
              <w:rPr>
                <w:rFonts w:ascii="宋体"/>
                <w:kern w:val="0"/>
              </w:rPr>
            </w:pPr>
            <w:r>
              <w:rPr>
                <w:rFonts w:hint="eastAsia" w:ascii="宋体"/>
                <w:kern w:val="0"/>
              </w:rPr>
              <w:t>一般船舶未加强瞭望的</w:t>
            </w:r>
          </w:p>
        </w:tc>
        <w:tc>
          <w:tcPr>
            <w:tcW w:w="6800" w:type="dxa"/>
            <w:vAlign w:val="center"/>
          </w:tcPr>
          <w:p w14:paraId="2AFD20A1">
            <w:pPr>
              <w:spacing w:line="240" w:lineRule="atLeast"/>
              <w:jc w:val="center"/>
              <w:rPr>
                <w:rFonts w:ascii="宋体"/>
                <w:kern w:val="0"/>
              </w:rPr>
            </w:pPr>
            <w:r>
              <w:rPr>
                <w:rFonts w:hint="eastAsia" w:ascii="宋体"/>
                <w:kern w:val="0"/>
              </w:rPr>
              <w:t>3-4万元</w:t>
            </w:r>
          </w:p>
        </w:tc>
        <w:tc>
          <w:tcPr>
            <w:tcW w:w="2127" w:type="dxa"/>
            <w:vAlign w:val="center"/>
          </w:tcPr>
          <w:p w14:paraId="0C2EF284">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5C56581C">
            <w:pPr>
              <w:spacing w:line="240" w:lineRule="atLeast"/>
              <w:jc w:val="center"/>
              <w:rPr>
                <w:rFonts w:ascii="宋体"/>
                <w:b/>
                <w:kern w:val="0"/>
              </w:rPr>
            </w:pPr>
            <w:r>
              <w:rPr>
                <w:rFonts w:hint="eastAsia" w:ascii="宋体"/>
                <w:kern w:val="0"/>
              </w:rPr>
              <w:t>4000元-6000、并暂扣适任证书3个月至4个月</w:t>
            </w:r>
          </w:p>
        </w:tc>
      </w:tr>
      <w:tr w14:paraId="3EC2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05" w:type="dxa"/>
            <w:vMerge w:val="continue"/>
            <w:vAlign w:val="center"/>
          </w:tcPr>
          <w:p w14:paraId="6BC01413">
            <w:pPr>
              <w:spacing w:line="240" w:lineRule="atLeast"/>
              <w:jc w:val="center"/>
              <w:rPr>
                <w:rFonts w:ascii="宋体"/>
                <w:kern w:val="0"/>
              </w:rPr>
            </w:pPr>
          </w:p>
        </w:tc>
        <w:tc>
          <w:tcPr>
            <w:tcW w:w="1150" w:type="dxa"/>
            <w:vMerge w:val="continue"/>
            <w:vAlign w:val="center"/>
          </w:tcPr>
          <w:p w14:paraId="7CC75E7E">
            <w:pPr>
              <w:widowControl/>
              <w:spacing w:line="240" w:lineRule="atLeast"/>
              <w:jc w:val="center"/>
              <w:rPr>
                <w:rFonts w:ascii="宋体"/>
                <w:kern w:val="0"/>
              </w:rPr>
            </w:pPr>
          </w:p>
        </w:tc>
        <w:tc>
          <w:tcPr>
            <w:tcW w:w="1446" w:type="dxa"/>
            <w:vMerge w:val="continue"/>
            <w:vAlign w:val="center"/>
          </w:tcPr>
          <w:p w14:paraId="633737AF">
            <w:pPr>
              <w:spacing w:line="240" w:lineRule="atLeast"/>
              <w:jc w:val="center"/>
              <w:rPr>
                <w:rFonts w:ascii="宋体"/>
                <w:kern w:val="0"/>
              </w:rPr>
            </w:pPr>
          </w:p>
        </w:tc>
        <w:tc>
          <w:tcPr>
            <w:tcW w:w="1149" w:type="dxa"/>
            <w:vMerge w:val="continue"/>
            <w:vAlign w:val="center"/>
          </w:tcPr>
          <w:p w14:paraId="6B8E4889">
            <w:pPr>
              <w:spacing w:line="240" w:lineRule="atLeast"/>
              <w:jc w:val="center"/>
              <w:rPr>
                <w:rFonts w:ascii="宋体"/>
                <w:kern w:val="0"/>
              </w:rPr>
            </w:pPr>
          </w:p>
        </w:tc>
        <w:tc>
          <w:tcPr>
            <w:tcW w:w="3386" w:type="dxa"/>
            <w:vAlign w:val="center"/>
          </w:tcPr>
          <w:p w14:paraId="7B0702FE">
            <w:pPr>
              <w:widowControl/>
              <w:spacing w:line="240" w:lineRule="atLeast"/>
              <w:jc w:val="left"/>
              <w:rPr>
                <w:rFonts w:ascii="宋体"/>
                <w:kern w:val="0"/>
              </w:rPr>
            </w:pPr>
            <w:r>
              <w:rPr>
                <w:rFonts w:hint="eastAsia" w:ascii="宋体"/>
                <w:kern w:val="0"/>
              </w:rPr>
              <w:t>客船、危险品船未加强瞭望的</w:t>
            </w:r>
          </w:p>
        </w:tc>
        <w:tc>
          <w:tcPr>
            <w:tcW w:w="6800" w:type="dxa"/>
            <w:vAlign w:val="center"/>
          </w:tcPr>
          <w:p w14:paraId="0ADB4E3E">
            <w:pPr>
              <w:spacing w:line="240" w:lineRule="atLeast"/>
              <w:jc w:val="center"/>
              <w:rPr>
                <w:rFonts w:ascii="宋体"/>
                <w:kern w:val="0"/>
              </w:rPr>
            </w:pPr>
            <w:r>
              <w:rPr>
                <w:rFonts w:hint="eastAsia" w:ascii="宋体"/>
                <w:kern w:val="0"/>
              </w:rPr>
              <w:t>4-5万元</w:t>
            </w:r>
          </w:p>
        </w:tc>
        <w:tc>
          <w:tcPr>
            <w:tcW w:w="2127" w:type="dxa"/>
            <w:vAlign w:val="center"/>
          </w:tcPr>
          <w:p w14:paraId="5E44E1B2">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57070F23">
            <w:pPr>
              <w:spacing w:line="240" w:lineRule="atLeast"/>
              <w:jc w:val="center"/>
              <w:rPr>
                <w:rFonts w:ascii="宋体"/>
                <w:b/>
                <w:kern w:val="0"/>
              </w:rPr>
            </w:pPr>
            <w:r>
              <w:rPr>
                <w:rFonts w:hint="eastAsia" w:ascii="宋体"/>
                <w:kern w:val="0"/>
              </w:rPr>
              <w:t>6000元-1万元、并暂扣适任证书4个月至5个月</w:t>
            </w:r>
          </w:p>
        </w:tc>
      </w:tr>
      <w:tr w14:paraId="462D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005" w:type="dxa"/>
            <w:vMerge w:val="continue"/>
            <w:vAlign w:val="center"/>
          </w:tcPr>
          <w:p w14:paraId="04B919A2">
            <w:pPr>
              <w:spacing w:line="240" w:lineRule="atLeast"/>
              <w:jc w:val="center"/>
              <w:rPr>
                <w:rFonts w:ascii="宋体"/>
                <w:kern w:val="0"/>
              </w:rPr>
            </w:pPr>
          </w:p>
        </w:tc>
        <w:tc>
          <w:tcPr>
            <w:tcW w:w="1150" w:type="dxa"/>
            <w:vMerge w:val="continue"/>
            <w:vAlign w:val="center"/>
          </w:tcPr>
          <w:p w14:paraId="4CFE5C01">
            <w:pPr>
              <w:widowControl/>
              <w:spacing w:line="240" w:lineRule="atLeast"/>
              <w:jc w:val="center"/>
              <w:rPr>
                <w:rFonts w:ascii="宋体"/>
                <w:kern w:val="0"/>
              </w:rPr>
            </w:pPr>
          </w:p>
        </w:tc>
        <w:tc>
          <w:tcPr>
            <w:tcW w:w="1446" w:type="dxa"/>
            <w:vMerge w:val="continue"/>
            <w:vAlign w:val="center"/>
          </w:tcPr>
          <w:p w14:paraId="68E14F15">
            <w:pPr>
              <w:spacing w:line="240" w:lineRule="atLeast"/>
              <w:jc w:val="center"/>
              <w:rPr>
                <w:rFonts w:ascii="宋体"/>
                <w:kern w:val="0"/>
              </w:rPr>
            </w:pPr>
          </w:p>
        </w:tc>
        <w:tc>
          <w:tcPr>
            <w:tcW w:w="1149" w:type="dxa"/>
            <w:vMerge w:val="continue"/>
            <w:vAlign w:val="center"/>
          </w:tcPr>
          <w:p w14:paraId="4D82762C">
            <w:pPr>
              <w:spacing w:line="240" w:lineRule="atLeast"/>
              <w:jc w:val="center"/>
              <w:rPr>
                <w:rFonts w:ascii="宋体"/>
                <w:kern w:val="0"/>
              </w:rPr>
            </w:pPr>
          </w:p>
        </w:tc>
        <w:tc>
          <w:tcPr>
            <w:tcW w:w="3386" w:type="dxa"/>
            <w:vAlign w:val="center"/>
          </w:tcPr>
          <w:p w14:paraId="0565A7C7">
            <w:pPr>
              <w:spacing w:line="240" w:lineRule="atLeast"/>
              <w:jc w:val="left"/>
              <w:rPr>
                <w:rFonts w:ascii="宋体"/>
              </w:rPr>
            </w:pPr>
            <w:r>
              <w:rPr>
                <w:rFonts w:hint="eastAsia" w:ascii="宋体"/>
              </w:rPr>
              <w:t>1.造成一般事故或险情的；</w:t>
            </w:r>
          </w:p>
          <w:p w14:paraId="519A0D32">
            <w:pPr>
              <w:spacing w:line="240" w:lineRule="atLeast"/>
              <w:jc w:val="left"/>
              <w:rPr>
                <w:rFonts w:ascii="宋体"/>
              </w:rPr>
            </w:pPr>
            <w:r>
              <w:rPr>
                <w:rFonts w:hint="eastAsia" w:ascii="宋体"/>
              </w:rPr>
              <w:t>2.具有其他较重情节的。</w:t>
            </w:r>
          </w:p>
        </w:tc>
        <w:tc>
          <w:tcPr>
            <w:tcW w:w="6800" w:type="dxa"/>
            <w:vAlign w:val="center"/>
          </w:tcPr>
          <w:p w14:paraId="095A0849">
            <w:pPr>
              <w:spacing w:line="240" w:lineRule="atLeast"/>
              <w:jc w:val="center"/>
              <w:rPr>
                <w:rFonts w:ascii="宋体"/>
                <w:kern w:val="0"/>
              </w:rPr>
            </w:pPr>
            <w:r>
              <w:rPr>
                <w:rFonts w:hint="eastAsia" w:ascii="宋体"/>
                <w:kern w:val="0"/>
              </w:rPr>
              <w:t>5-10万元</w:t>
            </w:r>
          </w:p>
        </w:tc>
        <w:tc>
          <w:tcPr>
            <w:tcW w:w="2127" w:type="dxa"/>
            <w:vAlign w:val="center"/>
          </w:tcPr>
          <w:p w14:paraId="7E21CD30">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55A5E69F">
            <w:pPr>
              <w:spacing w:line="240" w:lineRule="atLeast"/>
              <w:jc w:val="center"/>
              <w:rPr>
                <w:rFonts w:ascii="宋体"/>
                <w:kern w:val="0"/>
              </w:rPr>
            </w:pPr>
            <w:r>
              <w:rPr>
                <w:rFonts w:hint="eastAsia" w:ascii="宋体"/>
                <w:kern w:val="0"/>
              </w:rPr>
              <w:t>1-2万元、并暂扣适任证书5个月至12个月</w:t>
            </w:r>
          </w:p>
        </w:tc>
      </w:tr>
      <w:tr w14:paraId="6AB74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1005" w:type="dxa"/>
            <w:vMerge w:val="continue"/>
            <w:vAlign w:val="center"/>
          </w:tcPr>
          <w:p w14:paraId="642E726B">
            <w:pPr>
              <w:spacing w:line="240" w:lineRule="atLeast"/>
              <w:jc w:val="center"/>
              <w:rPr>
                <w:rFonts w:ascii="宋体"/>
                <w:kern w:val="0"/>
              </w:rPr>
            </w:pPr>
          </w:p>
        </w:tc>
        <w:tc>
          <w:tcPr>
            <w:tcW w:w="1150" w:type="dxa"/>
            <w:vMerge w:val="continue"/>
            <w:vAlign w:val="center"/>
          </w:tcPr>
          <w:p w14:paraId="764ACFB6">
            <w:pPr>
              <w:spacing w:line="240" w:lineRule="atLeast"/>
              <w:jc w:val="center"/>
              <w:rPr>
                <w:rFonts w:ascii="宋体"/>
                <w:kern w:val="0"/>
              </w:rPr>
            </w:pPr>
          </w:p>
        </w:tc>
        <w:tc>
          <w:tcPr>
            <w:tcW w:w="1446" w:type="dxa"/>
            <w:vMerge w:val="continue"/>
            <w:vAlign w:val="center"/>
          </w:tcPr>
          <w:p w14:paraId="156D9213">
            <w:pPr>
              <w:spacing w:line="240" w:lineRule="atLeast"/>
              <w:jc w:val="center"/>
              <w:rPr>
                <w:rFonts w:ascii="宋体"/>
                <w:kern w:val="0"/>
              </w:rPr>
            </w:pPr>
          </w:p>
        </w:tc>
        <w:tc>
          <w:tcPr>
            <w:tcW w:w="1149" w:type="dxa"/>
            <w:vAlign w:val="center"/>
          </w:tcPr>
          <w:p w14:paraId="19A5EF64">
            <w:pPr>
              <w:spacing w:line="240" w:lineRule="atLeast"/>
              <w:jc w:val="center"/>
              <w:rPr>
                <w:rFonts w:ascii="宋体"/>
                <w:kern w:val="0"/>
              </w:rPr>
            </w:pPr>
            <w:r>
              <w:rPr>
                <w:rFonts w:hint="eastAsia" w:ascii="宋体"/>
                <w:kern w:val="0"/>
              </w:rPr>
              <w:t>情节严重</w:t>
            </w:r>
          </w:p>
        </w:tc>
        <w:tc>
          <w:tcPr>
            <w:tcW w:w="3386" w:type="dxa"/>
            <w:vAlign w:val="center"/>
          </w:tcPr>
          <w:p w14:paraId="3280CCFD">
            <w:pPr>
              <w:spacing w:line="240" w:lineRule="atLeast"/>
              <w:jc w:val="left"/>
              <w:rPr>
                <w:rFonts w:ascii="宋体"/>
              </w:rPr>
            </w:pPr>
            <w:r>
              <w:rPr>
                <w:rFonts w:hint="eastAsia" w:ascii="宋体"/>
              </w:rPr>
              <w:t>1.造成较大等级以上事故的；</w:t>
            </w:r>
          </w:p>
          <w:p w14:paraId="0409F8CE">
            <w:pPr>
              <w:spacing w:line="240" w:lineRule="atLeast"/>
              <w:jc w:val="left"/>
              <w:rPr>
                <w:rFonts w:ascii="宋体"/>
              </w:rPr>
            </w:pPr>
            <w:r>
              <w:rPr>
                <w:rFonts w:hint="eastAsia" w:ascii="宋体"/>
              </w:rPr>
              <w:t>2.具有其他严重情节的。</w:t>
            </w:r>
          </w:p>
        </w:tc>
        <w:tc>
          <w:tcPr>
            <w:tcW w:w="6800" w:type="dxa"/>
            <w:vAlign w:val="center"/>
          </w:tcPr>
          <w:p w14:paraId="7842272A">
            <w:pPr>
              <w:spacing w:line="240" w:lineRule="atLeast"/>
              <w:jc w:val="center"/>
              <w:rPr>
                <w:rFonts w:ascii="宋体"/>
                <w:kern w:val="0"/>
              </w:rPr>
            </w:pPr>
            <w:r>
              <w:rPr>
                <w:rFonts w:hint="eastAsia" w:ascii="宋体"/>
                <w:kern w:val="0"/>
              </w:rPr>
              <w:t>10-20万元</w:t>
            </w:r>
          </w:p>
        </w:tc>
        <w:tc>
          <w:tcPr>
            <w:tcW w:w="2127" w:type="dxa"/>
            <w:vAlign w:val="center"/>
          </w:tcPr>
          <w:p w14:paraId="7CA52B17">
            <w:pPr>
              <w:spacing w:line="240" w:lineRule="atLeast"/>
              <w:jc w:val="center"/>
              <w:rPr>
                <w:rFonts w:ascii="宋体"/>
                <w:kern w:val="0"/>
              </w:rPr>
            </w:pPr>
            <w:r>
              <w:rPr>
                <w:rFonts w:hint="eastAsia" w:ascii="宋体"/>
                <w:kern w:val="0"/>
              </w:rPr>
              <w:t>吊销适任证书</w:t>
            </w:r>
          </w:p>
        </w:tc>
        <w:tc>
          <w:tcPr>
            <w:tcW w:w="3032" w:type="dxa"/>
            <w:vAlign w:val="center"/>
          </w:tcPr>
          <w:p w14:paraId="4AD26E62">
            <w:pPr>
              <w:spacing w:line="240" w:lineRule="atLeast"/>
              <w:jc w:val="center"/>
              <w:rPr>
                <w:rFonts w:ascii="宋体"/>
                <w:kern w:val="0"/>
              </w:rPr>
            </w:pPr>
            <w:r>
              <w:rPr>
                <w:rFonts w:hint="eastAsia" w:ascii="宋体"/>
                <w:kern w:val="0"/>
              </w:rPr>
              <w:t>吊销适任证书</w:t>
            </w:r>
          </w:p>
        </w:tc>
      </w:tr>
    </w:tbl>
    <w:p w14:paraId="7F7DF97B">
      <w:pPr>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1262"/>
        <w:gridCol w:w="1389"/>
        <w:gridCol w:w="1186"/>
        <w:gridCol w:w="3350"/>
        <w:gridCol w:w="6662"/>
        <w:gridCol w:w="2268"/>
        <w:gridCol w:w="3028"/>
      </w:tblGrid>
      <w:tr w14:paraId="7680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0" w:type="dxa"/>
            <w:vMerge w:val="restart"/>
            <w:vAlign w:val="center"/>
          </w:tcPr>
          <w:p w14:paraId="387FC5D8">
            <w:pPr>
              <w:spacing w:line="240" w:lineRule="exact"/>
              <w:jc w:val="center"/>
              <w:rPr>
                <w:rFonts w:ascii="宋体"/>
                <w:b/>
                <w:kern w:val="0"/>
              </w:rPr>
            </w:pPr>
            <w:r>
              <w:rPr>
                <w:rFonts w:hint="eastAsia" w:ascii="宋体"/>
                <w:b/>
                <w:kern w:val="0"/>
              </w:rPr>
              <w:t>案由10</w:t>
            </w:r>
          </w:p>
        </w:tc>
        <w:tc>
          <w:tcPr>
            <w:tcW w:w="2651" w:type="dxa"/>
            <w:gridSpan w:val="2"/>
            <w:vAlign w:val="center"/>
          </w:tcPr>
          <w:p w14:paraId="1B22EA3C">
            <w:pPr>
              <w:spacing w:line="240" w:lineRule="exact"/>
              <w:jc w:val="center"/>
              <w:rPr>
                <w:rFonts w:ascii="宋体"/>
                <w:b/>
                <w:kern w:val="0"/>
              </w:rPr>
            </w:pPr>
            <w:r>
              <w:rPr>
                <w:rFonts w:hint="eastAsia" w:ascii="宋体"/>
                <w:b/>
                <w:kern w:val="0"/>
              </w:rPr>
              <w:t>法律依据</w:t>
            </w:r>
          </w:p>
        </w:tc>
        <w:tc>
          <w:tcPr>
            <w:tcW w:w="1186" w:type="dxa"/>
            <w:vMerge w:val="restart"/>
            <w:vAlign w:val="center"/>
          </w:tcPr>
          <w:p w14:paraId="18A52954">
            <w:pPr>
              <w:spacing w:line="240" w:lineRule="exact"/>
              <w:jc w:val="center"/>
              <w:rPr>
                <w:rFonts w:ascii="宋体"/>
                <w:b/>
                <w:kern w:val="0"/>
              </w:rPr>
            </w:pPr>
            <w:r>
              <w:rPr>
                <w:rFonts w:hint="eastAsia" w:ascii="宋体"/>
                <w:b/>
                <w:kern w:val="0"/>
              </w:rPr>
              <w:t>违法情节</w:t>
            </w:r>
          </w:p>
        </w:tc>
        <w:tc>
          <w:tcPr>
            <w:tcW w:w="3350" w:type="dxa"/>
            <w:vMerge w:val="restart"/>
            <w:vAlign w:val="center"/>
          </w:tcPr>
          <w:p w14:paraId="0111C251">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4F1B473E">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61318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950" w:type="dxa"/>
            <w:vMerge w:val="continue"/>
            <w:vAlign w:val="center"/>
          </w:tcPr>
          <w:p w14:paraId="4CDA04DF">
            <w:pPr>
              <w:spacing w:line="240" w:lineRule="exact"/>
              <w:jc w:val="center"/>
              <w:rPr>
                <w:rFonts w:ascii="宋体"/>
                <w:b/>
                <w:kern w:val="0"/>
              </w:rPr>
            </w:pPr>
          </w:p>
        </w:tc>
        <w:tc>
          <w:tcPr>
            <w:tcW w:w="1262" w:type="dxa"/>
            <w:vAlign w:val="center"/>
          </w:tcPr>
          <w:p w14:paraId="7731B7CD">
            <w:pPr>
              <w:spacing w:line="240" w:lineRule="exact"/>
              <w:jc w:val="center"/>
              <w:rPr>
                <w:rFonts w:ascii="宋体"/>
                <w:b/>
                <w:kern w:val="0"/>
              </w:rPr>
            </w:pPr>
            <w:r>
              <w:rPr>
                <w:rFonts w:hint="eastAsia" w:ascii="宋体"/>
                <w:b/>
                <w:kern w:val="0"/>
              </w:rPr>
              <w:t>违反条款</w:t>
            </w:r>
          </w:p>
        </w:tc>
        <w:tc>
          <w:tcPr>
            <w:tcW w:w="1389" w:type="dxa"/>
            <w:vAlign w:val="center"/>
          </w:tcPr>
          <w:p w14:paraId="623AAA9F">
            <w:pPr>
              <w:spacing w:line="240" w:lineRule="exact"/>
              <w:jc w:val="center"/>
              <w:rPr>
                <w:rFonts w:ascii="宋体"/>
                <w:b/>
                <w:kern w:val="0"/>
              </w:rPr>
            </w:pPr>
            <w:r>
              <w:rPr>
                <w:rFonts w:hint="eastAsia" w:ascii="宋体"/>
                <w:b/>
                <w:kern w:val="0"/>
              </w:rPr>
              <w:t>处罚依据</w:t>
            </w:r>
          </w:p>
        </w:tc>
        <w:tc>
          <w:tcPr>
            <w:tcW w:w="1186" w:type="dxa"/>
            <w:vMerge w:val="continue"/>
            <w:vAlign w:val="center"/>
          </w:tcPr>
          <w:p w14:paraId="0706830E">
            <w:pPr>
              <w:spacing w:line="240" w:lineRule="exact"/>
              <w:jc w:val="center"/>
              <w:rPr>
                <w:rFonts w:ascii="宋体"/>
                <w:b/>
                <w:kern w:val="0"/>
              </w:rPr>
            </w:pPr>
          </w:p>
        </w:tc>
        <w:tc>
          <w:tcPr>
            <w:tcW w:w="3350" w:type="dxa"/>
            <w:vMerge w:val="continue"/>
            <w:vAlign w:val="center"/>
          </w:tcPr>
          <w:p w14:paraId="48E8A1B4">
            <w:pPr>
              <w:spacing w:line="240" w:lineRule="exact"/>
              <w:jc w:val="center"/>
              <w:rPr>
                <w:rFonts w:ascii="宋体"/>
                <w:b/>
                <w:kern w:val="0"/>
              </w:rPr>
            </w:pPr>
          </w:p>
        </w:tc>
        <w:tc>
          <w:tcPr>
            <w:tcW w:w="6662" w:type="dxa"/>
            <w:vAlign w:val="center"/>
          </w:tcPr>
          <w:p w14:paraId="1C4BAFFF">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5E7A489C">
            <w:pPr>
              <w:spacing w:line="240" w:lineRule="exact"/>
              <w:jc w:val="center"/>
              <w:rPr>
                <w:rFonts w:ascii="宋体"/>
                <w:b/>
                <w:kern w:val="0"/>
              </w:rPr>
            </w:pPr>
            <w:r>
              <w:rPr>
                <w:rFonts w:hint="eastAsia" w:ascii="宋体"/>
                <w:b/>
                <w:kern w:val="0"/>
              </w:rPr>
              <w:t>【对象】船长</w:t>
            </w:r>
          </w:p>
        </w:tc>
        <w:tc>
          <w:tcPr>
            <w:tcW w:w="3028" w:type="dxa"/>
            <w:vAlign w:val="center"/>
          </w:tcPr>
          <w:p w14:paraId="6C81BEAF">
            <w:pPr>
              <w:spacing w:line="240" w:lineRule="exact"/>
              <w:jc w:val="center"/>
              <w:rPr>
                <w:rFonts w:ascii="宋体"/>
                <w:b/>
                <w:kern w:val="0"/>
              </w:rPr>
            </w:pPr>
            <w:r>
              <w:rPr>
                <w:rFonts w:hint="eastAsia" w:ascii="宋体"/>
                <w:b/>
                <w:kern w:val="0"/>
              </w:rPr>
              <w:t>【对象】责任船员</w:t>
            </w:r>
          </w:p>
        </w:tc>
      </w:tr>
      <w:tr w14:paraId="4A023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0" w:type="dxa"/>
            <w:vMerge w:val="restart"/>
            <w:vAlign w:val="center"/>
          </w:tcPr>
          <w:p w14:paraId="2FBD780C">
            <w:pPr>
              <w:widowControl/>
              <w:spacing w:line="240" w:lineRule="exact"/>
              <w:jc w:val="left"/>
              <w:rPr>
                <w:rFonts w:ascii="宋体"/>
                <w:kern w:val="0"/>
              </w:rPr>
            </w:pPr>
            <w:r>
              <w:rPr>
                <w:rFonts w:hint="eastAsia" w:ascii="宋体"/>
                <w:kern w:val="0"/>
              </w:rPr>
              <w:t>船舶进出港口、锚地或者通过桥区水域、海峡、狭水道、重要渔业水域、通航船舶密集的区域、船舶定线区、交通管制区时未保持安全航速</w:t>
            </w:r>
          </w:p>
        </w:tc>
        <w:tc>
          <w:tcPr>
            <w:tcW w:w="1262" w:type="dxa"/>
            <w:vMerge w:val="restart"/>
            <w:vAlign w:val="center"/>
          </w:tcPr>
          <w:p w14:paraId="09A8E3C3">
            <w:pPr>
              <w:widowControl/>
              <w:spacing w:line="240" w:lineRule="atLeast"/>
              <w:jc w:val="left"/>
              <w:rPr>
                <w:rFonts w:ascii="宋体"/>
                <w:kern w:val="0"/>
              </w:rPr>
            </w:pPr>
            <w:r>
              <w:rPr>
                <w:rFonts w:hint="eastAsia" w:ascii="宋体"/>
                <w:kern w:val="0"/>
              </w:rPr>
              <w:t>1.《中华人民共和国海上交通安全法》第四十三条第一款；</w:t>
            </w:r>
          </w:p>
          <w:p w14:paraId="7085FF6F">
            <w:pPr>
              <w:widowControl/>
              <w:spacing w:line="240" w:lineRule="atLeast"/>
              <w:jc w:val="left"/>
              <w:rPr>
                <w:rFonts w:ascii="宋体"/>
              </w:rPr>
            </w:pPr>
            <w:r>
              <w:rPr>
                <w:rFonts w:hint="eastAsia" w:ascii="宋体"/>
              </w:rPr>
              <w:t>2.其他法律、法规、规章等。</w:t>
            </w:r>
          </w:p>
        </w:tc>
        <w:tc>
          <w:tcPr>
            <w:tcW w:w="1389" w:type="dxa"/>
            <w:vMerge w:val="restart"/>
            <w:vAlign w:val="center"/>
          </w:tcPr>
          <w:p w14:paraId="5E637016">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14:paraId="1DAC4A25">
            <w:pPr>
              <w:spacing w:line="240" w:lineRule="atLeast"/>
              <w:jc w:val="left"/>
              <w:rPr>
                <w:rFonts w:ascii="宋体"/>
                <w:kern w:val="0"/>
              </w:rPr>
            </w:pPr>
            <w:r>
              <w:rPr>
                <w:rFonts w:hint="eastAsia" w:ascii="宋体"/>
                <w:kern w:val="0"/>
              </w:rPr>
              <w:t>2.《中华人民共和国海上海事行政处罚规定》第七条。</w:t>
            </w:r>
          </w:p>
        </w:tc>
        <w:tc>
          <w:tcPr>
            <w:tcW w:w="1186" w:type="dxa"/>
            <w:vAlign w:val="center"/>
          </w:tcPr>
          <w:p w14:paraId="09918533">
            <w:pPr>
              <w:spacing w:line="240" w:lineRule="exact"/>
              <w:jc w:val="center"/>
              <w:rPr>
                <w:rFonts w:ascii="宋体"/>
                <w:kern w:val="0"/>
              </w:rPr>
            </w:pPr>
            <w:r>
              <w:rPr>
                <w:rFonts w:hint="eastAsia" w:ascii="宋体"/>
                <w:kern w:val="0"/>
              </w:rPr>
              <w:t>从轻</w:t>
            </w:r>
          </w:p>
        </w:tc>
        <w:tc>
          <w:tcPr>
            <w:tcW w:w="3350" w:type="dxa"/>
            <w:vAlign w:val="center"/>
          </w:tcPr>
          <w:p w14:paraId="7F464F1A">
            <w:pPr>
              <w:widowControl/>
              <w:spacing w:line="240" w:lineRule="exact"/>
              <w:jc w:val="left"/>
              <w:rPr>
                <w:rFonts w:ascii="宋体"/>
                <w:kern w:val="0"/>
              </w:rPr>
            </w:pPr>
            <w:r>
              <w:rPr>
                <w:rFonts w:hint="eastAsia" w:ascii="宋体"/>
                <w:kern w:val="0"/>
              </w:rPr>
              <w:t>1.具有法定从轻</w:t>
            </w:r>
            <w:r>
              <w:rPr>
                <w:rFonts w:hint="eastAsia" w:ascii="宋体"/>
              </w:rPr>
              <w:t>处罚</w:t>
            </w:r>
            <w:r>
              <w:rPr>
                <w:rFonts w:hint="eastAsia" w:ascii="宋体"/>
                <w:kern w:val="0"/>
              </w:rPr>
              <w:t>情节的</w:t>
            </w:r>
          </w:p>
          <w:p w14:paraId="547611DC">
            <w:pPr>
              <w:widowControl/>
              <w:spacing w:line="240" w:lineRule="exact"/>
              <w:jc w:val="left"/>
              <w:rPr>
                <w:rFonts w:ascii="宋体"/>
                <w:kern w:val="0"/>
              </w:rPr>
            </w:pPr>
            <w:r>
              <w:rPr>
                <w:rFonts w:hint="eastAsia" w:ascii="宋体"/>
                <w:kern w:val="0"/>
              </w:rPr>
              <w:t>2.超过或低于规定最高或最低航速20%以内的行为</w:t>
            </w:r>
          </w:p>
        </w:tc>
        <w:tc>
          <w:tcPr>
            <w:tcW w:w="6662" w:type="dxa"/>
            <w:vAlign w:val="center"/>
          </w:tcPr>
          <w:p w14:paraId="1F0BA6DF">
            <w:pPr>
              <w:spacing w:line="240" w:lineRule="atLeast"/>
              <w:jc w:val="center"/>
              <w:rPr>
                <w:rFonts w:ascii="宋体"/>
                <w:kern w:val="0"/>
              </w:rPr>
            </w:pPr>
            <w:r>
              <w:rPr>
                <w:rFonts w:hint="eastAsia" w:ascii="宋体"/>
                <w:kern w:val="0"/>
              </w:rPr>
              <w:t>2-3万元</w:t>
            </w:r>
          </w:p>
        </w:tc>
        <w:tc>
          <w:tcPr>
            <w:tcW w:w="2268" w:type="dxa"/>
            <w:vAlign w:val="center"/>
          </w:tcPr>
          <w:p w14:paraId="00C0ABCA">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4ACE577A">
            <w:pPr>
              <w:spacing w:line="240" w:lineRule="atLeast"/>
              <w:jc w:val="center"/>
              <w:rPr>
                <w:rFonts w:ascii="宋体"/>
                <w:kern w:val="0"/>
              </w:rPr>
            </w:pPr>
            <w:r>
              <w:rPr>
                <w:rFonts w:hint="eastAsia" w:ascii="宋体"/>
                <w:kern w:val="0"/>
              </w:rPr>
              <w:t>2000-4000元、并暂扣适任证书3个月至4个月</w:t>
            </w:r>
          </w:p>
        </w:tc>
      </w:tr>
      <w:tr w14:paraId="273D2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950" w:type="dxa"/>
            <w:vMerge w:val="continue"/>
          </w:tcPr>
          <w:p w14:paraId="2D319346">
            <w:pPr>
              <w:spacing w:line="240" w:lineRule="exact"/>
              <w:jc w:val="left"/>
              <w:rPr>
                <w:rFonts w:ascii="宋体"/>
                <w:kern w:val="0"/>
              </w:rPr>
            </w:pPr>
          </w:p>
        </w:tc>
        <w:tc>
          <w:tcPr>
            <w:tcW w:w="1262" w:type="dxa"/>
            <w:vMerge w:val="continue"/>
          </w:tcPr>
          <w:p w14:paraId="21CE5210">
            <w:pPr>
              <w:widowControl/>
              <w:spacing w:line="240" w:lineRule="exact"/>
              <w:jc w:val="left"/>
              <w:rPr>
                <w:rFonts w:ascii="宋体"/>
                <w:kern w:val="0"/>
              </w:rPr>
            </w:pPr>
          </w:p>
        </w:tc>
        <w:tc>
          <w:tcPr>
            <w:tcW w:w="1389" w:type="dxa"/>
            <w:vMerge w:val="continue"/>
          </w:tcPr>
          <w:p w14:paraId="09CA4865">
            <w:pPr>
              <w:spacing w:line="240" w:lineRule="exact"/>
              <w:jc w:val="left"/>
              <w:rPr>
                <w:rFonts w:ascii="宋体"/>
                <w:kern w:val="0"/>
              </w:rPr>
            </w:pPr>
          </w:p>
        </w:tc>
        <w:tc>
          <w:tcPr>
            <w:tcW w:w="1186" w:type="dxa"/>
            <w:vMerge w:val="restart"/>
            <w:vAlign w:val="center"/>
          </w:tcPr>
          <w:p w14:paraId="660C3C74">
            <w:pPr>
              <w:spacing w:line="240" w:lineRule="exact"/>
              <w:jc w:val="center"/>
              <w:rPr>
                <w:rFonts w:ascii="宋体"/>
                <w:kern w:val="0"/>
              </w:rPr>
            </w:pPr>
            <w:r>
              <w:rPr>
                <w:rFonts w:hint="eastAsia" w:ascii="宋体"/>
                <w:kern w:val="0"/>
              </w:rPr>
              <w:t>一般</w:t>
            </w:r>
          </w:p>
        </w:tc>
        <w:tc>
          <w:tcPr>
            <w:tcW w:w="3350" w:type="dxa"/>
            <w:vAlign w:val="center"/>
          </w:tcPr>
          <w:p w14:paraId="005B9641">
            <w:pPr>
              <w:widowControl/>
              <w:spacing w:line="240" w:lineRule="exact"/>
              <w:jc w:val="left"/>
              <w:rPr>
                <w:rFonts w:ascii="宋体"/>
              </w:rPr>
            </w:pPr>
            <w:r>
              <w:rPr>
                <w:rFonts w:hint="eastAsia" w:ascii="宋体"/>
                <w:kern w:val="0"/>
              </w:rPr>
              <w:t>超过或低于规定最高或最低航速30%以内的行为或其他未采用安全速度航行行为，且未造成事故或险情的</w:t>
            </w:r>
          </w:p>
        </w:tc>
        <w:tc>
          <w:tcPr>
            <w:tcW w:w="6662" w:type="dxa"/>
            <w:vAlign w:val="center"/>
          </w:tcPr>
          <w:p w14:paraId="40BEEED3">
            <w:pPr>
              <w:spacing w:line="240" w:lineRule="atLeast"/>
              <w:jc w:val="center"/>
              <w:rPr>
                <w:rFonts w:ascii="宋体"/>
                <w:kern w:val="0"/>
              </w:rPr>
            </w:pPr>
            <w:r>
              <w:rPr>
                <w:rFonts w:hint="eastAsia" w:ascii="宋体"/>
                <w:kern w:val="0"/>
              </w:rPr>
              <w:t>3-4万元</w:t>
            </w:r>
          </w:p>
        </w:tc>
        <w:tc>
          <w:tcPr>
            <w:tcW w:w="2268" w:type="dxa"/>
            <w:vAlign w:val="center"/>
          </w:tcPr>
          <w:p w14:paraId="73AD143A">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22CCE9B3">
            <w:pPr>
              <w:spacing w:line="240" w:lineRule="atLeast"/>
              <w:jc w:val="center"/>
              <w:rPr>
                <w:rFonts w:ascii="宋体"/>
                <w:b/>
                <w:kern w:val="0"/>
              </w:rPr>
            </w:pPr>
            <w:r>
              <w:rPr>
                <w:rFonts w:hint="eastAsia" w:ascii="宋体"/>
                <w:kern w:val="0"/>
              </w:rPr>
              <w:t>4000元-6000、并暂扣适任证书3个月至4个月</w:t>
            </w:r>
          </w:p>
        </w:tc>
      </w:tr>
      <w:tr w14:paraId="2FD86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3" w:hRule="atLeast"/>
        </w:trPr>
        <w:tc>
          <w:tcPr>
            <w:tcW w:w="950" w:type="dxa"/>
            <w:vMerge w:val="continue"/>
          </w:tcPr>
          <w:p w14:paraId="7C892E1A">
            <w:pPr>
              <w:spacing w:line="240" w:lineRule="exact"/>
              <w:jc w:val="left"/>
              <w:rPr>
                <w:rFonts w:ascii="宋体"/>
                <w:kern w:val="0"/>
              </w:rPr>
            </w:pPr>
          </w:p>
        </w:tc>
        <w:tc>
          <w:tcPr>
            <w:tcW w:w="1262" w:type="dxa"/>
            <w:vMerge w:val="continue"/>
          </w:tcPr>
          <w:p w14:paraId="397B6900">
            <w:pPr>
              <w:spacing w:line="240" w:lineRule="exact"/>
              <w:jc w:val="left"/>
              <w:rPr>
                <w:rFonts w:ascii="宋体"/>
                <w:kern w:val="0"/>
              </w:rPr>
            </w:pPr>
          </w:p>
        </w:tc>
        <w:tc>
          <w:tcPr>
            <w:tcW w:w="1389" w:type="dxa"/>
            <w:vMerge w:val="continue"/>
          </w:tcPr>
          <w:p w14:paraId="3166E2AF">
            <w:pPr>
              <w:spacing w:line="240" w:lineRule="exact"/>
              <w:jc w:val="left"/>
              <w:rPr>
                <w:rFonts w:ascii="宋体"/>
                <w:kern w:val="0"/>
              </w:rPr>
            </w:pPr>
          </w:p>
        </w:tc>
        <w:tc>
          <w:tcPr>
            <w:tcW w:w="1186" w:type="dxa"/>
            <w:vMerge w:val="continue"/>
            <w:vAlign w:val="center"/>
          </w:tcPr>
          <w:p w14:paraId="6AC1D805">
            <w:pPr>
              <w:spacing w:line="240" w:lineRule="exact"/>
              <w:jc w:val="center"/>
              <w:rPr>
                <w:rFonts w:ascii="宋体"/>
                <w:kern w:val="0"/>
              </w:rPr>
            </w:pPr>
          </w:p>
        </w:tc>
        <w:tc>
          <w:tcPr>
            <w:tcW w:w="3350" w:type="dxa"/>
            <w:vAlign w:val="center"/>
          </w:tcPr>
          <w:p w14:paraId="6DDFD3E4">
            <w:pPr>
              <w:widowControl/>
              <w:spacing w:line="240" w:lineRule="exact"/>
              <w:jc w:val="left"/>
              <w:rPr>
                <w:rFonts w:ascii="宋体"/>
                <w:kern w:val="0"/>
              </w:rPr>
            </w:pPr>
            <w:r>
              <w:rPr>
                <w:rFonts w:hint="eastAsia" w:ascii="宋体"/>
                <w:kern w:val="0"/>
              </w:rPr>
              <w:t>1. 客船、危险品船</w:t>
            </w:r>
            <w:r>
              <w:rPr>
                <w:rFonts w:hint="eastAsia" w:ascii="宋体"/>
                <w:bCs/>
                <w:kern w:val="0"/>
              </w:rPr>
              <w:t>超</w:t>
            </w:r>
            <w:r>
              <w:rPr>
                <w:rFonts w:hint="eastAsia" w:ascii="宋体"/>
                <w:kern w:val="0"/>
              </w:rPr>
              <w:t>过或低于规定最高或最低航速30%以内的行为或其他未采用安全速度航行行为，且未造成事故或险情的；</w:t>
            </w:r>
          </w:p>
          <w:p w14:paraId="0BE2C263">
            <w:pPr>
              <w:widowControl/>
              <w:spacing w:line="240" w:lineRule="exact"/>
              <w:jc w:val="left"/>
              <w:rPr>
                <w:rFonts w:ascii="宋体"/>
                <w:kern w:val="0"/>
              </w:rPr>
            </w:pPr>
            <w:r>
              <w:rPr>
                <w:rFonts w:hint="eastAsia" w:ascii="宋体"/>
                <w:kern w:val="0"/>
              </w:rPr>
              <w:t>2.超过或低于规定最高或最低航速30%以外的行为，且未造成事故或险情的。</w:t>
            </w:r>
          </w:p>
        </w:tc>
        <w:tc>
          <w:tcPr>
            <w:tcW w:w="6662" w:type="dxa"/>
            <w:vAlign w:val="center"/>
          </w:tcPr>
          <w:p w14:paraId="19ADA791">
            <w:pPr>
              <w:spacing w:line="240" w:lineRule="atLeast"/>
              <w:jc w:val="center"/>
              <w:rPr>
                <w:rFonts w:ascii="宋体"/>
                <w:kern w:val="0"/>
              </w:rPr>
            </w:pPr>
            <w:r>
              <w:rPr>
                <w:rFonts w:hint="eastAsia" w:ascii="宋体"/>
                <w:kern w:val="0"/>
              </w:rPr>
              <w:t>4-5万元</w:t>
            </w:r>
          </w:p>
        </w:tc>
        <w:tc>
          <w:tcPr>
            <w:tcW w:w="2268" w:type="dxa"/>
            <w:vAlign w:val="center"/>
          </w:tcPr>
          <w:p w14:paraId="1289EA7F">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61C78FE2">
            <w:pPr>
              <w:spacing w:line="240" w:lineRule="atLeast"/>
              <w:jc w:val="center"/>
              <w:rPr>
                <w:rFonts w:ascii="宋体"/>
                <w:kern w:val="0"/>
              </w:rPr>
            </w:pPr>
            <w:r>
              <w:rPr>
                <w:rFonts w:hint="eastAsia" w:ascii="宋体"/>
                <w:kern w:val="0"/>
              </w:rPr>
              <w:t>6000元-1万元、并暂扣适任证书4个月至5个月</w:t>
            </w:r>
          </w:p>
        </w:tc>
      </w:tr>
      <w:tr w14:paraId="5F9BD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trPr>
        <w:tc>
          <w:tcPr>
            <w:tcW w:w="950" w:type="dxa"/>
            <w:vMerge w:val="continue"/>
          </w:tcPr>
          <w:p w14:paraId="2FC20497">
            <w:pPr>
              <w:spacing w:line="240" w:lineRule="exact"/>
              <w:jc w:val="left"/>
              <w:rPr>
                <w:rFonts w:ascii="宋体"/>
                <w:kern w:val="0"/>
              </w:rPr>
            </w:pPr>
          </w:p>
        </w:tc>
        <w:tc>
          <w:tcPr>
            <w:tcW w:w="1262" w:type="dxa"/>
            <w:vMerge w:val="continue"/>
          </w:tcPr>
          <w:p w14:paraId="75574450">
            <w:pPr>
              <w:spacing w:line="240" w:lineRule="exact"/>
              <w:jc w:val="left"/>
              <w:rPr>
                <w:rFonts w:ascii="宋体"/>
                <w:kern w:val="0"/>
              </w:rPr>
            </w:pPr>
          </w:p>
        </w:tc>
        <w:tc>
          <w:tcPr>
            <w:tcW w:w="1389" w:type="dxa"/>
            <w:vMerge w:val="continue"/>
          </w:tcPr>
          <w:p w14:paraId="11BCEAA4">
            <w:pPr>
              <w:spacing w:line="240" w:lineRule="exact"/>
              <w:jc w:val="left"/>
              <w:rPr>
                <w:rFonts w:ascii="宋体"/>
                <w:kern w:val="0"/>
              </w:rPr>
            </w:pPr>
          </w:p>
        </w:tc>
        <w:tc>
          <w:tcPr>
            <w:tcW w:w="1186" w:type="dxa"/>
            <w:vMerge w:val="continue"/>
            <w:vAlign w:val="center"/>
          </w:tcPr>
          <w:p w14:paraId="0701DCC2">
            <w:pPr>
              <w:spacing w:line="240" w:lineRule="exact"/>
              <w:jc w:val="center"/>
              <w:rPr>
                <w:rFonts w:ascii="宋体"/>
                <w:kern w:val="0"/>
              </w:rPr>
            </w:pPr>
          </w:p>
        </w:tc>
        <w:tc>
          <w:tcPr>
            <w:tcW w:w="3350" w:type="dxa"/>
            <w:vAlign w:val="center"/>
          </w:tcPr>
          <w:p w14:paraId="61092AC8">
            <w:pPr>
              <w:spacing w:line="240" w:lineRule="atLeast"/>
              <w:jc w:val="left"/>
              <w:rPr>
                <w:rFonts w:ascii="宋体"/>
              </w:rPr>
            </w:pPr>
            <w:r>
              <w:rPr>
                <w:rFonts w:hint="eastAsia" w:ascii="宋体"/>
              </w:rPr>
              <w:t>1.造成一般事故或险情的；</w:t>
            </w:r>
          </w:p>
          <w:p w14:paraId="113DDE4C">
            <w:pPr>
              <w:spacing w:line="240" w:lineRule="atLeast"/>
              <w:jc w:val="left"/>
              <w:rPr>
                <w:rFonts w:ascii="宋体"/>
                <w:kern w:val="0"/>
              </w:rPr>
            </w:pPr>
            <w:r>
              <w:rPr>
                <w:rFonts w:hint="eastAsia" w:ascii="宋体"/>
              </w:rPr>
              <w:t>2.具有其他较重情节的。</w:t>
            </w:r>
          </w:p>
        </w:tc>
        <w:tc>
          <w:tcPr>
            <w:tcW w:w="6662" w:type="dxa"/>
            <w:vAlign w:val="center"/>
          </w:tcPr>
          <w:p w14:paraId="19445361">
            <w:pPr>
              <w:spacing w:line="240" w:lineRule="atLeast"/>
              <w:jc w:val="center"/>
              <w:rPr>
                <w:rFonts w:ascii="宋体"/>
                <w:kern w:val="0"/>
              </w:rPr>
            </w:pPr>
            <w:r>
              <w:rPr>
                <w:rFonts w:hint="eastAsia" w:ascii="宋体"/>
                <w:kern w:val="0"/>
              </w:rPr>
              <w:t>5-10万元</w:t>
            </w:r>
          </w:p>
        </w:tc>
        <w:tc>
          <w:tcPr>
            <w:tcW w:w="2268" w:type="dxa"/>
            <w:vAlign w:val="center"/>
          </w:tcPr>
          <w:p w14:paraId="07DFE3B9">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5B4ED1DB">
            <w:pPr>
              <w:spacing w:line="240" w:lineRule="atLeast"/>
              <w:jc w:val="center"/>
              <w:rPr>
                <w:rFonts w:ascii="宋体"/>
                <w:kern w:val="0"/>
              </w:rPr>
            </w:pPr>
            <w:r>
              <w:rPr>
                <w:rFonts w:hint="eastAsia" w:ascii="宋体"/>
                <w:kern w:val="0"/>
              </w:rPr>
              <w:t>1-2万元、并暂扣适任证书5个月至12个月</w:t>
            </w:r>
          </w:p>
        </w:tc>
      </w:tr>
      <w:tr w14:paraId="0300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950" w:type="dxa"/>
            <w:vMerge w:val="continue"/>
          </w:tcPr>
          <w:p w14:paraId="4A1EECB7">
            <w:pPr>
              <w:spacing w:line="240" w:lineRule="exact"/>
              <w:jc w:val="left"/>
              <w:rPr>
                <w:rFonts w:ascii="宋体"/>
                <w:kern w:val="0"/>
              </w:rPr>
            </w:pPr>
          </w:p>
        </w:tc>
        <w:tc>
          <w:tcPr>
            <w:tcW w:w="1262" w:type="dxa"/>
            <w:vMerge w:val="continue"/>
          </w:tcPr>
          <w:p w14:paraId="27732CC9">
            <w:pPr>
              <w:spacing w:line="240" w:lineRule="exact"/>
              <w:jc w:val="left"/>
              <w:rPr>
                <w:rFonts w:ascii="宋体"/>
                <w:kern w:val="0"/>
              </w:rPr>
            </w:pPr>
          </w:p>
        </w:tc>
        <w:tc>
          <w:tcPr>
            <w:tcW w:w="1389" w:type="dxa"/>
            <w:vMerge w:val="continue"/>
          </w:tcPr>
          <w:p w14:paraId="5D9AE3F9">
            <w:pPr>
              <w:spacing w:line="240" w:lineRule="exact"/>
              <w:jc w:val="left"/>
              <w:rPr>
                <w:rFonts w:ascii="宋体"/>
                <w:kern w:val="0"/>
              </w:rPr>
            </w:pPr>
          </w:p>
        </w:tc>
        <w:tc>
          <w:tcPr>
            <w:tcW w:w="1186" w:type="dxa"/>
            <w:vAlign w:val="center"/>
          </w:tcPr>
          <w:p w14:paraId="58D2377E">
            <w:pPr>
              <w:spacing w:line="240" w:lineRule="exact"/>
              <w:jc w:val="center"/>
              <w:rPr>
                <w:rFonts w:ascii="宋体"/>
                <w:kern w:val="0"/>
              </w:rPr>
            </w:pPr>
            <w:r>
              <w:rPr>
                <w:rFonts w:hint="eastAsia" w:ascii="宋体"/>
                <w:kern w:val="0"/>
              </w:rPr>
              <w:t>情节严重</w:t>
            </w:r>
          </w:p>
        </w:tc>
        <w:tc>
          <w:tcPr>
            <w:tcW w:w="3350" w:type="dxa"/>
            <w:vAlign w:val="center"/>
          </w:tcPr>
          <w:p w14:paraId="18DEA529">
            <w:pPr>
              <w:spacing w:line="240" w:lineRule="atLeast"/>
              <w:jc w:val="left"/>
              <w:rPr>
                <w:rFonts w:ascii="宋体"/>
              </w:rPr>
            </w:pPr>
            <w:r>
              <w:rPr>
                <w:rFonts w:hint="eastAsia" w:ascii="宋体"/>
              </w:rPr>
              <w:t>1.造成较大等级以上事故的；</w:t>
            </w:r>
          </w:p>
          <w:p w14:paraId="6258D501">
            <w:pPr>
              <w:spacing w:line="240" w:lineRule="atLeast"/>
              <w:jc w:val="left"/>
              <w:rPr>
                <w:rFonts w:ascii="宋体"/>
              </w:rPr>
            </w:pPr>
            <w:r>
              <w:rPr>
                <w:rFonts w:hint="eastAsia" w:ascii="宋体"/>
              </w:rPr>
              <w:t>2.具有其他严重情节的。</w:t>
            </w:r>
          </w:p>
        </w:tc>
        <w:tc>
          <w:tcPr>
            <w:tcW w:w="6662" w:type="dxa"/>
            <w:vAlign w:val="center"/>
          </w:tcPr>
          <w:p w14:paraId="6C8D7D8F">
            <w:pPr>
              <w:spacing w:line="240" w:lineRule="atLeast"/>
              <w:jc w:val="center"/>
              <w:rPr>
                <w:rFonts w:ascii="宋体"/>
                <w:kern w:val="0"/>
              </w:rPr>
            </w:pPr>
            <w:r>
              <w:rPr>
                <w:rFonts w:hint="eastAsia" w:ascii="宋体"/>
                <w:kern w:val="0"/>
              </w:rPr>
              <w:t>10-20万元</w:t>
            </w:r>
          </w:p>
        </w:tc>
        <w:tc>
          <w:tcPr>
            <w:tcW w:w="2268" w:type="dxa"/>
            <w:vAlign w:val="center"/>
          </w:tcPr>
          <w:p w14:paraId="234F4178">
            <w:pPr>
              <w:spacing w:line="240" w:lineRule="atLeast"/>
              <w:jc w:val="center"/>
              <w:rPr>
                <w:rFonts w:ascii="宋体"/>
                <w:kern w:val="0"/>
              </w:rPr>
            </w:pPr>
            <w:r>
              <w:rPr>
                <w:rFonts w:hint="eastAsia" w:ascii="宋体"/>
                <w:kern w:val="0"/>
              </w:rPr>
              <w:t>吊销适任证书</w:t>
            </w:r>
          </w:p>
        </w:tc>
        <w:tc>
          <w:tcPr>
            <w:tcW w:w="3028" w:type="dxa"/>
            <w:vAlign w:val="center"/>
          </w:tcPr>
          <w:p w14:paraId="432C12EC">
            <w:pPr>
              <w:spacing w:line="240" w:lineRule="atLeast"/>
              <w:jc w:val="center"/>
              <w:rPr>
                <w:rFonts w:ascii="宋体"/>
                <w:kern w:val="0"/>
              </w:rPr>
            </w:pPr>
            <w:r>
              <w:rPr>
                <w:rFonts w:hint="eastAsia" w:ascii="宋体"/>
                <w:kern w:val="0"/>
              </w:rPr>
              <w:t>吊销适任证书</w:t>
            </w:r>
          </w:p>
        </w:tc>
      </w:tr>
    </w:tbl>
    <w:p w14:paraId="0DC84A6F">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1263"/>
        <w:gridCol w:w="1450"/>
        <w:gridCol w:w="1187"/>
        <w:gridCol w:w="3232"/>
        <w:gridCol w:w="6662"/>
        <w:gridCol w:w="2268"/>
        <w:gridCol w:w="3028"/>
      </w:tblGrid>
      <w:tr w14:paraId="5ACF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05" w:type="dxa"/>
            <w:vMerge w:val="restart"/>
            <w:vAlign w:val="center"/>
          </w:tcPr>
          <w:p w14:paraId="762B8386">
            <w:pPr>
              <w:spacing w:line="240" w:lineRule="exact"/>
              <w:jc w:val="center"/>
              <w:rPr>
                <w:rFonts w:ascii="宋体"/>
                <w:b/>
                <w:kern w:val="0"/>
              </w:rPr>
            </w:pPr>
            <w:r>
              <w:rPr>
                <w:rFonts w:hint="eastAsia" w:ascii="宋体"/>
                <w:b/>
                <w:kern w:val="0"/>
              </w:rPr>
              <w:t>案由11</w:t>
            </w:r>
          </w:p>
        </w:tc>
        <w:tc>
          <w:tcPr>
            <w:tcW w:w="2713" w:type="dxa"/>
            <w:gridSpan w:val="2"/>
            <w:vAlign w:val="center"/>
          </w:tcPr>
          <w:p w14:paraId="3243C6B7">
            <w:pPr>
              <w:spacing w:line="240" w:lineRule="exact"/>
              <w:jc w:val="center"/>
              <w:rPr>
                <w:rFonts w:ascii="宋体"/>
                <w:b/>
                <w:kern w:val="0"/>
              </w:rPr>
            </w:pPr>
            <w:r>
              <w:rPr>
                <w:rFonts w:hint="eastAsia" w:ascii="宋体"/>
                <w:b/>
                <w:kern w:val="0"/>
              </w:rPr>
              <w:t>法律依据</w:t>
            </w:r>
          </w:p>
        </w:tc>
        <w:tc>
          <w:tcPr>
            <w:tcW w:w="1187" w:type="dxa"/>
            <w:vMerge w:val="restart"/>
            <w:vAlign w:val="center"/>
          </w:tcPr>
          <w:p w14:paraId="3BE37DDE">
            <w:pPr>
              <w:spacing w:line="240" w:lineRule="exact"/>
              <w:jc w:val="center"/>
              <w:rPr>
                <w:rFonts w:ascii="宋体"/>
                <w:b/>
                <w:kern w:val="0"/>
              </w:rPr>
            </w:pPr>
            <w:r>
              <w:rPr>
                <w:rFonts w:hint="eastAsia" w:ascii="宋体"/>
                <w:b/>
                <w:kern w:val="0"/>
              </w:rPr>
              <w:t>违法情节</w:t>
            </w:r>
          </w:p>
        </w:tc>
        <w:tc>
          <w:tcPr>
            <w:tcW w:w="3232" w:type="dxa"/>
            <w:vMerge w:val="restart"/>
            <w:vAlign w:val="center"/>
          </w:tcPr>
          <w:p w14:paraId="49EAF220">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7B2C1A51">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7C31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05" w:type="dxa"/>
            <w:vMerge w:val="continue"/>
            <w:vAlign w:val="center"/>
          </w:tcPr>
          <w:p w14:paraId="7BF32FCE">
            <w:pPr>
              <w:spacing w:line="240" w:lineRule="exact"/>
              <w:jc w:val="center"/>
              <w:rPr>
                <w:rFonts w:ascii="宋体"/>
                <w:b/>
                <w:kern w:val="0"/>
              </w:rPr>
            </w:pPr>
          </w:p>
        </w:tc>
        <w:tc>
          <w:tcPr>
            <w:tcW w:w="1263" w:type="dxa"/>
            <w:vAlign w:val="center"/>
          </w:tcPr>
          <w:p w14:paraId="66CB0B7B">
            <w:pPr>
              <w:spacing w:line="240" w:lineRule="exact"/>
              <w:jc w:val="center"/>
              <w:rPr>
                <w:rFonts w:ascii="宋体"/>
                <w:b/>
                <w:kern w:val="0"/>
              </w:rPr>
            </w:pPr>
            <w:r>
              <w:rPr>
                <w:rFonts w:hint="eastAsia" w:ascii="宋体"/>
                <w:b/>
                <w:kern w:val="0"/>
              </w:rPr>
              <w:t>违反条款</w:t>
            </w:r>
          </w:p>
        </w:tc>
        <w:tc>
          <w:tcPr>
            <w:tcW w:w="1450" w:type="dxa"/>
            <w:vAlign w:val="center"/>
          </w:tcPr>
          <w:p w14:paraId="7FF2CD97">
            <w:pPr>
              <w:spacing w:line="240" w:lineRule="exact"/>
              <w:jc w:val="center"/>
              <w:rPr>
                <w:rFonts w:ascii="宋体"/>
                <w:b/>
                <w:kern w:val="0"/>
              </w:rPr>
            </w:pPr>
            <w:r>
              <w:rPr>
                <w:rFonts w:hint="eastAsia" w:ascii="宋体"/>
                <w:b/>
                <w:kern w:val="0"/>
              </w:rPr>
              <w:t>处罚依据</w:t>
            </w:r>
          </w:p>
        </w:tc>
        <w:tc>
          <w:tcPr>
            <w:tcW w:w="1187" w:type="dxa"/>
            <w:vMerge w:val="continue"/>
            <w:vAlign w:val="center"/>
          </w:tcPr>
          <w:p w14:paraId="2451FEC6">
            <w:pPr>
              <w:spacing w:line="240" w:lineRule="exact"/>
              <w:jc w:val="center"/>
              <w:rPr>
                <w:rFonts w:ascii="宋体"/>
                <w:b/>
                <w:kern w:val="0"/>
              </w:rPr>
            </w:pPr>
          </w:p>
        </w:tc>
        <w:tc>
          <w:tcPr>
            <w:tcW w:w="3232" w:type="dxa"/>
            <w:vMerge w:val="continue"/>
            <w:vAlign w:val="center"/>
          </w:tcPr>
          <w:p w14:paraId="48D2FC7A">
            <w:pPr>
              <w:spacing w:line="240" w:lineRule="exact"/>
              <w:jc w:val="center"/>
              <w:rPr>
                <w:rFonts w:ascii="宋体"/>
                <w:b/>
                <w:kern w:val="0"/>
              </w:rPr>
            </w:pPr>
          </w:p>
        </w:tc>
        <w:tc>
          <w:tcPr>
            <w:tcW w:w="6662" w:type="dxa"/>
            <w:vAlign w:val="center"/>
          </w:tcPr>
          <w:p w14:paraId="646B3F3A">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1317EFA1">
            <w:pPr>
              <w:spacing w:line="240" w:lineRule="exact"/>
              <w:jc w:val="center"/>
              <w:rPr>
                <w:rFonts w:ascii="宋体"/>
                <w:b/>
                <w:kern w:val="0"/>
              </w:rPr>
            </w:pPr>
            <w:r>
              <w:rPr>
                <w:rFonts w:hint="eastAsia" w:ascii="宋体"/>
                <w:b/>
                <w:kern w:val="0"/>
              </w:rPr>
              <w:t>【对象】船长</w:t>
            </w:r>
          </w:p>
        </w:tc>
        <w:tc>
          <w:tcPr>
            <w:tcW w:w="3028" w:type="dxa"/>
            <w:vAlign w:val="center"/>
          </w:tcPr>
          <w:p w14:paraId="79345508">
            <w:pPr>
              <w:spacing w:line="240" w:lineRule="exact"/>
              <w:jc w:val="center"/>
              <w:rPr>
                <w:rFonts w:ascii="宋体"/>
                <w:b/>
                <w:kern w:val="0"/>
              </w:rPr>
            </w:pPr>
            <w:r>
              <w:rPr>
                <w:rFonts w:hint="eastAsia" w:ascii="宋体"/>
                <w:b/>
                <w:kern w:val="0"/>
              </w:rPr>
              <w:t>【对象】责任人员</w:t>
            </w:r>
          </w:p>
        </w:tc>
      </w:tr>
      <w:tr w14:paraId="334C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05" w:type="dxa"/>
            <w:vMerge w:val="restart"/>
            <w:vAlign w:val="center"/>
          </w:tcPr>
          <w:p w14:paraId="0970A920">
            <w:pPr>
              <w:widowControl/>
              <w:spacing w:line="240" w:lineRule="exact"/>
              <w:jc w:val="left"/>
              <w:rPr>
                <w:rFonts w:ascii="宋体"/>
                <w:kern w:val="0"/>
              </w:rPr>
            </w:pPr>
            <w:r>
              <w:rPr>
                <w:rFonts w:hint="eastAsia" w:ascii="宋体"/>
                <w:kern w:val="0"/>
              </w:rPr>
              <w:t>船舶进出港口、锚地或者通过桥区水域、海峡、狭水道、重要渔业水域、通航船舶密集的区域、船舶定线区、交通管制区时未遵守前述区域的特殊航行规则</w:t>
            </w:r>
          </w:p>
        </w:tc>
        <w:tc>
          <w:tcPr>
            <w:tcW w:w="1263" w:type="dxa"/>
            <w:vMerge w:val="restart"/>
            <w:vAlign w:val="center"/>
          </w:tcPr>
          <w:p w14:paraId="3DC3769E">
            <w:pPr>
              <w:widowControl/>
              <w:spacing w:line="240" w:lineRule="atLeast"/>
              <w:jc w:val="left"/>
              <w:rPr>
                <w:rFonts w:ascii="宋体"/>
                <w:kern w:val="0"/>
              </w:rPr>
            </w:pPr>
            <w:r>
              <w:rPr>
                <w:rFonts w:hint="eastAsia" w:ascii="宋体"/>
                <w:kern w:val="0"/>
              </w:rPr>
              <w:t>1.《中华人民共和国海上交通安全法》第四十三条第一款；</w:t>
            </w:r>
          </w:p>
          <w:p w14:paraId="2D4C5212">
            <w:pPr>
              <w:widowControl/>
              <w:spacing w:line="240" w:lineRule="atLeast"/>
              <w:jc w:val="left"/>
              <w:rPr>
                <w:rFonts w:ascii="宋体"/>
              </w:rPr>
            </w:pPr>
            <w:r>
              <w:rPr>
                <w:rFonts w:hint="eastAsia" w:ascii="宋体"/>
              </w:rPr>
              <w:t>2.其他法律、法规、规章等。</w:t>
            </w:r>
          </w:p>
        </w:tc>
        <w:tc>
          <w:tcPr>
            <w:tcW w:w="1450" w:type="dxa"/>
            <w:vMerge w:val="restart"/>
            <w:vAlign w:val="center"/>
          </w:tcPr>
          <w:p w14:paraId="6572D713">
            <w:pPr>
              <w:spacing w:line="240" w:lineRule="atLeast"/>
              <w:jc w:val="left"/>
              <w:rPr>
                <w:rFonts w:ascii="宋体"/>
                <w:kern w:val="0"/>
              </w:rPr>
            </w:pPr>
            <w:r>
              <w:rPr>
                <w:rFonts w:hint="eastAsia" w:ascii="宋体"/>
                <w:kern w:val="0"/>
              </w:rPr>
              <w:t>1.《中华人民共和国海上交通安全法》第一百零三条第（一）项、《中华人民共和国海上海事行政处罚规定》第十八条第（一）项；</w:t>
            </w:r>
          </w:p>
          <w:p w14:paraId="0FF07FFF">
            <w:pPr>
              <w:spacing w:line="240" w:lineRule="atLeast"/>
              <w:jc w:val="left"/>
              <w:rPr>
                <w:rFonts w:ascii="宋体"/>
                <w:kern w:val="0"/>
              </w:rPr>
            </w:pPr>
            <w:r>
              <w:rPr>
                <w:rFonts w:hint="eastAsia" w:ascii="宋体"/>
                <w:kern w:val="0"/>
              </w:rPr>
              <w:t>2.《中华人民共和国海上海事行政处罚规定》第七条。</w:t>
            </w:r>
          </w:p>
        </w:tc>
        <w:tc>
          <w:tcPr>
            <w:tcW w:w="1187" w:type="dxa"/>
            <w:vAlign w:val="center"/>
          </w:tcPr>
          <w:p w14:paraId="550A4C61">
            <w:pPr>
              <w:spacing w:line="240" w:lineRule="exact"/>
              <w:jc w:val="center"/>
              <w:rPr>
                <w:rFonts w:ascii="宋体"/>
                <w:kern w:val="0"/>
              </w:rPr>
            </w:pPr>
            <w:r>
              <w:rPr>
                <w:rFonts w:hint="eastAsia" w:ascii="宋体"/>
                <w:kern w:val="0"/>
              </w:rPr>
              <w:t>从轻</w:t>
            </w:r>
          </w:p>
        </w:tc>
        <w:tc>
          <w:tcPr>
            <w:tcW w:w="3232" w:type="dxa"/>
            <w:vAlign w:val="center"/>
          </w:tcPr>
          <w:p w14:paraId="43DF6DAD">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7E81F586">
            <w:pPr>
              <w:spacing w:line="240" w:lineRule="atLeast"/>
              <w:jc w:val="center"/>
              <w:rPr>
                <w:rFonts w:ascii="宋体"/>
                <w:kern w:val="0"/>
              </w:rPr>
            </w:pPr>
            <w:r>
              <w:rPr>
                <w:rFonts w:hint="eastAsia" w:ascii="宋体"/>
                <w:kern w:val="0"/>
              </w:rPr>
              <w:t>2-3万元</w:t>
            </w:r>
          </w:p>
        </w:tc>
        <w:tc>
          <w:tcPr>
            <w:tcW w:w="2268" w:type="dxa"/>
            <w:vAlign w:val="center"/>
          </w:tcPr>
          <w:p w14:paraId="55FACFE5">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3EA30FD3">
            <w:pPr>
              <w:spacing w:line="240" w:lineRule="atLeast"/>
              <w:jc w:val="center"/>
              <w:rPr>
                <w:rFonts w:ascii="宋体"/>
                <w:kern w:val="0"/>
              </w:rPr>
            </w:pPr>
            <w:r>
              <w:rPr>
                <w:rFonts w:hint="eastAsia" w:ascii="宋体"/>
                <w:kern w:val="0"/>
              </w:rPr>
              <w:t>2000-4000元、并暂扣适任证书3个月至4个月</w:t>
            </w:r>
          </w:p>
        </w:tc>
      </w:tr>
      <w:tr w14:paraId="2540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1005" w:type="dxa"/>
            <w:vMerge w:val="continue"/>
          </w:tcPr>
          <w:p w14:paraId="0FFE9107">
            <w:pPr>
              <w:spacing w:line="240" w:lineRule="exact"/>
              <w:jc w:val="left"/>
              <w:rPr>
                <w:rFonts w:ascii="宋体"/>
                <w:kern w:val="0"/>
              </w:rPr>
            </w:pPr>
          </w:p>
        </w:tc>
        <w:tc>
          <w:tcPr>
            <w:tcW w:w="1263" w:type="dxa"/>
            <w:vMerge w:val="continue"/>
          </w:tcPr>
          <w:p w14:paraId="766E6430">
            <w:pPr>
              <w:widowControl/>
              <w:spacing w:line="240" w:lineRule="exact"/>
              <w:jc w:val="left"/>
              <w:rPr>
                <w:rFonts w:ascii="宋体"/>
                <w:kern w:val="0"/>
              </w:rPr>
            </w:pPr>
          </w:p>
        </w:tc>
        <w:tc>
          <w:tcPr>
            <w:tcW w:w="1450" w:type="dxa"/>
            <w:vMerge w:val="continue"/>
          </w:tcPr>
          <w:p w14:paraId="14AA57C6">
            <w:pPr>
              <w:spacing w:line="240" w:lineRule="exact"/>
              <w:jc w:val="left"/>
              <w:rPr>
                <w:rFonts w:ascii="宋体"/>
                <w:kern w:val="0"/>
              </w:rPr>
            </w:pPr>
          </w:p>
        </w:tc>
        <w:tc>
          <w:tcPr>
            <w:tcW w:w="1187" w:type="dxa"/>
            <w:vMerge w:val="restart"/>
            <w:vAlign w:val="center"/>
          </w:tcPr>
          <w:p w14:paraId="6B4BCC33">
            <w:pPr>
              <w:spacing w:line="240" w:lineRule="exact"/>
              <w:jc w:val="center"/>
              <w:rPr>
                <w:rFonts w:ascii="宋体"/>
                <w:kern w:val="0"/>
              </w:rPr>
            </w:pPr>
            <w:r>
              <w:rPr>
                <w:rFonts w:hint="eastAsia" w:ascii="宋体"/>
                <w:kern w:val="0"/>
              </w:rPr>
              <w:t>一般</w:t>
            </w:r>
          </w:p>
        </w:tc>
        <w:tc>
          <w:tcPr>
            <w:tcW w:w="3232" w:type="dxa"/>
            <w:vAlign w:val="center"/>
          </w:tcPr>
          <w:p w14:paraId="48CE4B1A">
            <w:pPr>
              <w:widowControl/>
              <w:spacing w:line="240" w:lineRule="exact"/>
              <w:jc w:val="left"/>
              <w:rPr>
                <w:rFonts w:ascii="宋体"/>
                <w:kern w:val="0"/>
              </w:rPr>
            </w:pPr>
            <w:r>
              <w:rPr>
                <w:rFonts w:hint="eastAsia" w:ascii="宋体"/>
                <w:kern w:val="0"/>
              </w:rPr>
              <w:t>未造成事故或险情的</w:t>
            </w:r>
          </w:p>
        </w:tc>
        <w:tc>
          <w:tcPr>
            <w:tcW w:w="6662" w:type="dxa"/>
            <w:vAlign w:val="center"/>
          </w:tcPr>
          <w:p w14:paraId="00B47C5B">
            <w:pPr>
              <w:spacing w:line="240" w:lineRule="atLeast"/>
              <w:jc w:val="center"/>
              <w:rPr>
                <w:rFonts w:ascii="宋体"/>
                <w:kern w:val="0"/>
              </w:rPr>
            </w:pPr>
            <w:r>
              <w:rPr>
                <w:rFonts w:hint="eastAsia" w:ascii="宋体"/>
                <w:kern w:val="0"/>
              </w:rPr>
              <w:t>3-4万元</w:t>
            </w:r>
          </w:p>
        </w:tc>
        <w:tc>
          <w:tcPr>
            <w:tcW w:w="2268" w:type="dxa"/>
            <w:vAlign w:val="center"/>
          </w:tcPr>
          <w:p w14:paraId="58557103">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0730A6B8">
            <w:pPr>
              <w:spacing w:line="240" w:lineRule="atLeast"/>
              <w:jc w:val="center"/>
              <w:rPr>
                <w:rFonts w:ascii="宋体"/>
                <w:b/>
                <w:kern w:val="0"/>
              </w:rPr>
            </w:pPr>
            <w:r>
              <w:rPr>
                <w:rFonts w:hint="eastAsia" w:ascii="宋体"/>
                <w:kern w:val="0"/>
              </w:rPr>
              <w:t>4000元-6000、并暂扣适任证书3个月至4个月</w:t>
            </w:r>
          </w:p>
        </w:tc>
      </w:tr>
      <w:tr w14:paraId="1F7A6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1005" w:type="dxa"/>
            <w:vMerge w:val="continue"/>
          </w:tcPr>
          <w:p w14:paraId="49E2AA89">
            <w:pPr>
              <w:spacing w:line="240" w:lineRule="exact"/>
              <w:jc w:val="left"/>
              <w:rPr>
                <w:rFonts w:ascii="宋体"/>
                <w:kern w:val="0"/>
              </w:rPr>
            </w:pPr>
          </w:p>
        </w:tc>
        <w:tc>
          <w:tcPr>
            <w:tcW w:w="1263" w:type="dxa"/>
            <w:vMerge w:val="continue"/>
          </w:tcPr>
          <w:p w14:paraId="0651234D">
            <w:pPr>
              <w:widowControl/>
              <w:spacing w:line="240" w:lineRule="exact"/>
              <w:jc w:val="left"/>
              <w:rPr>
                <w:rFonts w:ascii="宋体"/>
                <w:kern w:val="0"/>
              </w:rPr>
            </w:pPr>
          </w:p>
        </w:tc>
        <w:tc>
          <w:tcPr>
            <w:tcW w:w="1450" w:type="dxa"/>
            <w:vMerge w:val="continue"/>
          </w:tcPr>
          <w:p w14:paraId="0B4E1831">
            <w:pPr>
              <w:spacing w:line="240" w:lineRule="exact"/>
              <w:jc w:val="left"/>
              <w:rPr>
                <w:rFonts w:ascii="宋体"/>
                <w:kern w:val="0"/>
              </w:rPr>
            </w:pPr>
          </w:p>
        </w:tc>
        <w:tc>
          <w:tcPr>
            <w:tcW w:w="1187" w:type="dxa"/>
            <w:vMerge w:val="continue"/>
            <w:vAlign w:val="center"/>
          </w:tcPr>
          <w:p w14:paraId="635E7979">
            <w:pPr>
              <w:spacing w:line="240" w:lineRule="exact"/>
              <w:jc w:val="center"/>
              <w:rPr>
                <w:rFonts w:ascii="宋体"/>
                <w:kern w:val="0"/>
              </w:rPr>
            </w:pPr>
          </w:p>
        </w:tc>
        <w:tc>
          <w:tcPr>
            <w:tcW w:w="3232" w:type="dxa"/>
            <w:vAlign w:val="center"/>
          </w:tcPr>
          <w:p w14:paraId="52C97A59">
            <w:pPr>
              <w:widowControl/>
              <w:spacing w:line="240" w:lineRule="exact"/>
              <w:jc w:val="left"/>
              <w:rPr>
                <w:rFonts w:ascii="宋体"/>
                <w:kern w:val="0"/>
              </w:rPr>
            </w:pPr>
            <w:r>
              <w:rPr>
                <w:rFonts w:hint="eastAsia" w:ascii="宋体"/>
                <w:kern w:val="0"/>
              </w:rPr>
              <w:t>客船、</w:t>
            </w:r>
            <w:r>
              <w:rPr>
                <w:rFonts w:hint="eastAsia" w:ascii="宋体"/>
                <w:bCs/>
                <w:kern w:val="0"/>
              </w:rPr>
              <w:t>危险品船未</w:t>
            </w:r>
            <w:r>
              <w:rPr>
                <w:rFonts w:hint="eastAsia" w:ascii="宋体"/>
                <w:kern w:val="0"/>
              </w:rPr>
              <w:t>遵守特殊航行规则，未造成事故或险情的</w:t>
            </w:r>
          </w:p>
        </w:tc>
        <w:tc>
          <w:tcPr>
            <w:tcW w:w="6662" w:type="dxa"/>
            <w:vAlign w:val="center"/>
          </w:tcPr>
          <w:p w14:paraId="02022F5B">
            <w:pPr>
              <w:spacing w:line="240" w:lineRule="atLeast"/>
              <w:jc w:val="center"/>
              <w:rPr>
                <w:rFonts w:ascii="宋体"/>
                <w:kern w:val="0"/>
              </w:rPr>
            </w:pPr>
            <w:r>
              <w:rPr>
                <w:rFonts w:hint="eastAsia" w:ascii="宋体"/>
                <w:kern w:val="0"/>
              </w:rPr>
              <w:t>4-5万元</w:t>
            </w:r>
          </w:p>
        </w:tc>
        <w:tc>
          <w:tcPr>
            <w:tcW w:w="2268" w:type="dxa"/>
            <w:vAlign w:val="center"/>
          </w:tcPr>
          <w:p w14:paraId="169E9D90">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6BAAE3BC">
            <w:pPr>
              <w:spacing w:line="240" w:lineRule="atLeast"/>
              <w:jc w:val="center"/>
              <w:rPr>
                <w:rFonts w:ascii="宋体"/>
                <w:b/>
                <w:kern w:val="0"/>
              </w:rPr>
            </w:pPr>
            <w:r>
              <w:rPr>
                <w:rFonts w:hint="eastAsia" w:ascii="宋体"/>
                <w:kern w:val="0"/>
              </w:rPr>
              <w:t>6000元-1万元、并暂扣适任证书4个月至5个月</w:t>
            </w:r>
          </w:p>
        </w:tc>
      </w:tr>
      <w:tr w14:paraId="560F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trPr>
        <w:tc>
          <w:tcPr>
            <w:tcW w:w="1005" w:type="dxa"/>
            <w:vMerge w:val="continue"/>
          </w:tcPr>
          <w:p w14:paraId="0DACC9F2">
            <w:pPr>
              <w:spacing w:line="240" w:lineRule="exact"/>
              <w:jc w:val="left"/>
              <w:rPr>
                <w:rFonts w:ascii="宋体"/>
                <w:kern w:val="0"/>
              </w:rPr>
            </w:pPr>
          </w:p>
        </w:tc>
        <w:tc>
          <w:tcPr>
            <w:tcW w:w="1263" w:type="dxa"/>
            <w:vMerge w:val="continue"/>
          </w:tcPr>
          <w:p w14:paraId="6CB9D196">
            <w:pPr>
              <w:widowControl/>
              <w:spacing w:line="240" w:lineRule="exact"/>
              <w:jc w:val="left"/>
              <w:rPr>
                <w:rFonts w:ascii="宋体"/>
                <w:kern w:val="0"/>
              </w:rPr>
            </w:pPr>
          </w:p>
        </w:tc>
        <w:tc>
          <w:tcPr>
            <w:tcW w:w="1450" w:type="dxa"/>
            <w:vMerge w:val="continue"/>
          </w:tcPr>
          <w:p w14:paraId="529713C6">
            <w:pPr>
              <w:spacing w:line="240" w:lineRule="exact"/>
              <w:jc w:val="left"/>
              <w:rPr>
                <w:rFonts w:ascii="宋体"/>
                <w:kern w:val="0"/>
              </w:rPr>
            </w:pPr>
          </w:p>
        </w:tc>
        <w:tc>
          <w:tcPr>
            <w:tcW w:w="1187" w:type="dxa"/>
            <w:vMerge w:val="continue"/>
            <w:vAlign w:val="center"/>
          </w:tcPr>
          <w:p w14:paraId="08B9ECF0">
            <w:pPr>
              <w:spacing w:line="240" w:lineRule="exact"/>
              <w:jc w:val="center"/>
              <w:rPr>
                <w:rFonts w:ascii="宋体"/>
                <w:kern w:val="0"/>
              </w:rPr>
            </w:pPr>
          </w:p>
        </w:tc>
        <w:tc>
          <w:tcPr>
            <w:tcW w:w="3232" w:type="dxa"/>
            <w:vAlign w:val="center"/>
          </w:tcPr>
          <w:p w14:paraId="15441589">
            <w:pPr>
              <w:spacing w:line="240" w:lineRule="atLeast"/>
              <w:jc w:val="left"/>
              <w:rPr>
                <w:rFonts w:ascii="宋体"/>
              </w:rPr>
            </w:pPr>
            <w:r>
              <w:rPr>
                <w:rFonts w:hint="eastAsia" w:ascii="宋体"/>
              </w:rPr>
              <w:t>1.造成一般事故或险情的；</w:t>
            </w:r>
          </w:p>
          <w:p w14:paraId="1192EA9F">
            <w:pPr>
              <w:spacing w:line="240" w:lineRule="atLeast"/>
              <w:jc w:val="left"/>
              <w:rPr>
                <w:rFonts w:ascii="宋体"/>
              </w:rPr>
            </w:pPr>
            <w:r>
              <w:rPr>
                <w:rFonts w:hint="eastAsia" w:ascii="宋体"/>
              </w:rPr>
              <w:t>2.具有其他较重情节的。</w:t>
            </w:r>
          </w:p>
        </w:tc>
        <w:tc>
          <w:tcPr>
            <w:tcW w:w="6662" w:type="dxa"/>
            <w:vAlign w:val="center"/>
          </w:tcPr>
          <w:p w14:paraId="276658BD">
            <w:pPr>
              <w:spacing w:line="240" w:lineRule="atLeast"/>
              <w:jc w:val="center"/>
              <w:rPr>
                <w:rFonts w:ascii="宋体"/>
                <w:kern w:val="0"/>
              </w:rPr>
            </w:pPr>
            <w:r>
              <w:rPr>
                <w:rFonts w:hint="eastAsia" w:ascii="宋体"/>
                <w:kern w:val="0"/>
              </w:rPr>
              <w:t>5-10万元</w:t>
            </w:r>
          </w:p>
        </w:tc>
        <w:tc>
          <w:tcPr>
            <w:tcW w:w="2268" w:type="dxa"/>
            <w:vAlign w:val="center"/>
          </w:tcPr>
          <w:p w14:paraId="1384C4EE">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548E9ACA">
            <w:pPr>
              <w:spacing w:line="240" w:lineRule="atLeast"/>
              <w:jc w:val="center"/>
              <w:rPr>
                <w:rFonts w:ascii="宋体"/>
                <w:kern w:val="0"/>
              </w:rPr>
            </w:pPr>
            <w:r>
              <w:rPr>
                <w:rFonts w:hint="eastAsia" w:ascii="宋体"/>
                <w:kern w:val="0"/>
              </w:rPr>
              <w:t>1-2万元、并暂扣适任证书5个月至12个月</w:t>
            </w:r>
          </w:p>
        </w:tc>
      </w:tr>
      <w:tr w14:paraId="20B4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9" w:hRule="atLeast"/>
        </w:trPr>
        <w:tc>
          <w:tcPr>
            <w:tcW w:w="1005" w:type="dxa"/>
            <w:vMerge w:val="continue"/>
          </w:tcPr>
          <w:p w14:paraId="71A3A155">
            <w:pPr>
              <w:spacing w:line="240" w:lineRule="exact"/>
              <w:jc w:val="left"/>
              <w:rPr>
                <w:rFonts w:ascii="宋体"/>
                <w:kern w:val="0"/>
              </w:rPr>
            </w:pPr>
          </w:p>
        </w:tc>
        <w:tc>
          <w:tcPr>
            <w:tcW w:w="1263" w:type="dxa"/>
            <w:vMerge w:val="continue"/>
          </w:tcPr>
          <w:p w14:paraId="176AA557">
            <w:pPr>
              <w:spacing w:line="240" w:lineRule="exact"/>
              <w:jc w:val="left"/>
              <w:rPr>
                <w:rFonts w:ascii="宋体"/>
                <w:kern w:val="0"/>
              </w:rPr>
            </w:pPr>
          </w:p>
        </w:tc>
        <w:tc>
          <w:tcPr>
            <w:tcW w:w="1450" w:type="dxa"/>
            <w:vMerge w:val="continue"/>
          </w:tcPr>
          <w:p w14:paraId="6A29832E">
            <w:pPr>
              <w:spacing w:line="240" w:lineRule="exact"/>
              <w:jc w:val="left"/>
              <w:rPr>
                <w:rFonts w:ascii="宋体"/>
                <w:kern w:val="0"/>
              </w:rPr>
            </w:pPr>
          </w:p>
        </w:tc>
        <w:tc>
          <w:tcPr>
            <w:tcW w:w="1187" w:type="dxa"/>
            <w:vAlign w:val="center"/>
          </w:tcPr>
          <w:p w14:paraId="310C4765">
            <w:pPr>
              <w:spacing w:line="240" w:lineRule="exact"/>
              <w:jc w:val="center"/>
              <w:rPr>
                <w:rFonts w:ascii="宋体"/>
                <w:kern w:val="0"/>
              </w:rPr>
            </w:pPr>
            <w:r>
              <w:rPr>
                <w:rFonts w:hint="eastAsia" w:ascii="宋体"/>
                <w:kern w:val="0"/>
              </w:rPr>
              <w:t>情节严重</w:t>
            </w:r>
          </w:p>
        </w:tc>
        <w:tc>
          <w:tcPr>
            <w:tcW w:w="3232" w:type="dxa"/>
            <w:vAlign w:val="center"/>
          </w:tcPr>
          <w:p w14:paraId="6F6B6CBD">
            <w:pPr>
              <w:spacing w:line="240" w:lineRule="atLeast"/>
              <w:jc w:val="left"/>
              <w:rPr>
                <w:rFonts w:ascii="宋体"/>
              </w:rPr>
            </w:pPr>
            <w:r>
              <w:rPr>
                <w:rFonts w:hint="eastAsia" w:ascii="宋体"/>
              </w:rPr>
              <w:t>1.造成较大等级以上事故的；</w:t>
            </w:r>
          </w:p>
          <w:p w14:paraId="2C269983">
            <w:pPr>
              <w:spacing w:line="240" w:lineRule="atLeast"/>
              <w:jc w:val="left"/>
              <w:rPr>
                <w:rFonts w:ascii="宋体"/>
              </w:rPr>
            </w:pPr>
            <w:r>
              <w:rPr>
                <w:rFonts w:hint="eastAsia" w:ascii="宋体"/>
              </w:rPr>
              <w:t>2.具有其他严重情节的。</w:t>
            </w:r>
          </w:p>
        </w:tc>
        <w:tc>
          <w:tcPr>
            <w:tcW w:w="6662" w:type="dxa"/>
            <w:vAlign w:val="center"/>
          </w:tcPr>
          <w:p w14:paraId="4249C5BE">
            <w:pPr>
              <w:spacing w:line="240" w:lineRule="atLeast"/>
              <w:jc w:val="center"/>
              <w:rPr>
                <w:rFonts w:ascii="宋体"/>
                <w:kern w:val="0"/>
              </w:rPr>
            </w:pPr>
            <w:r>
              <w:rPr>
                <w:rFonts w:hint="eastAsia" w:ascii="宋体"/>
                <w:kern w:val="0"/>
              </w:rPr>
              <w:t>10-20万元</w:t>
            </w:r>
          </w:p>
        </w:tc>
        <w:tc>
          <w:tcPr>
            <w:tcW w:w="2268" w:type="dxa"/>
            <w:vAlign w:val="center"/>
          </w:tcPr>
          <w:p w14:paraId="06DD1325">
            <w:pPr>
              <w:spacing w:line="240" w:lineRule="atLeast"/>
              <w:jc w:val="center"/>
              <w:rPr>
                <w:rFonts w:ascii="宋体"/>
                <w:kern w:val="0"/>
              </w:rPr>
            </w:pPr>
            <w:r>
              <w:rPr>
                <w:rFonts w:hint="eastAsia" w:ascii="宋体"/>
                <w:kern w:val="0"/>
              </w:rPr>
              <w:t>吊销适任证书</w:t>
            </w:r>
          </w:p>
        </w:tc>
        <w:tc>
          <w:tcPr>
            <w:tcW w:w="3028" w:type="dxa"/>
            <w:vAlign w:val="center"/>
          </w:tcPr>
          <w:p w14:paraId="0E68A318">
            <w:pPr>
              <w:spacing w:line="240" w:lineRule="atLeast"/>
              <w:jc w:val="center"/>
              <w:rPr>
                <w:rFonts w:ascii="宋体"/>
                <w:kern w:val="0"/>
              </w:rPr>
            </w:pPr>
            <w:r>
              <w:rPr>
                <w:rFonts w:hint="eastAsia" w:ascii="宋体"/>
                <w:kern w:val="0"/>
              </w:rPr>
              <w:t>吊销适任证书</w:t>
            </w:r>
          </w:p>
        </w:tc>
      </w:tr>
    </w:tbl>
    <w:p w14:paraId="6C82BC09">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
        <w:gridCol w:w="1149"/>
        <w:gridCol w:w="1559"/>
        <w:gridCol w:w="1090"/>
        <w:gridCol w:w="3446"/>
        <w:gridCol w:w="6662"/>
        <w:gridCol w:w="2268"/>
        <w:gridCol w:w="3028"/>
      </w:tblGrid>
      <w:tr w14:paraId="4A629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3" w:type="dxa"/>
            <w:vMerge w:val="restart"/>
            <w:vAlign w:val="center"/>
          </w:tcPr>
          <w:p w14:paraId="6EFA11F5">
            <w:pPr>
              <w:spacing w:line="240" w:lineRule="exact"/>
              <w:jc w:val="center"/>
              <w:rPr>
                <w:rFonts w:ascii="宋体"/>
                <w:b/>
                <w:kern w:val="0"/>
              </w:rPr>
            </w:pPr>
            <w:r>
              <w:rPr>
                <w:rFonts w:hint="eastAsia" w:ascii="宋体"/>
                <w:b/>
                <w:kern w:val="0"/>
              </w:rPr>
              <w:t>案由12</w:t>
            </w:r>
          </w:p>
        </w:tc>
        <w:tc>
          <w:tcPr>
            <w:tcW w:w="2708" w:type="dxa"/>
            <w:gridSpan w:val="2"/>
            <w:vAlign w:val="center"/>
          </w:tcPr>
          <w:p w14:paraId="7D9C6E0D">
            <w:pPr>
              <w:spacing w:line="240" w:lineRule="exact"/>
              <w:jc w:val="center"/>
              <w:rPr>
                <w:rFonts w:ascii="宋体"/>
                <w:b/>
                <w:kern w:val="0"/>
              </w:rPr>
            </w:pPr>
            <w:r>
              <w:rPr>
                <w:rFonts w:hint="eastAsia" w:ascii="宋体"/>
                <w:b/>
                <w:kern w:val="0"/>
              </w:rPr>
              <w:t>法律依据</w:t>
            </w:r>
          </w:p>
        </w:tc>
        <w:tc>
          <w:tcPr>
            <w:tcW w:w="1090" w:type="dxa"/>
            <w:vMerge w:val="restart"/>
            <w:vAlign w:val="center"/>
          </w:tcPr>
          <w:p w14:paraId="5C5F1160">
            <w:pPr>
              <w:spacing w:line="240" w:lineRule="exact"/>
              <w:jc w:val="center"/>
              <w:rPr>
                <w:rFonts w:ascii="宋体"/>
                <w:b/>
                <w:kern w:val="0"/>
              </w:rPr>
            </w:pPr>
            <w:r>
              <w:rPr>
                <w:rFonts w:hint="eastAsia" w:ascii="宋体"/>
                <w:b/>
                <w:kern w:val="0"/>
              </w:rPr>
              <w:t>违法情节</w:t>
            </w:r>
          </w:p>
        </w:tc>
        <w:tc>
          <w:tcPr>
            <w:tcW w:w="3446" w:type="dxa"/>
            <w:vMerge w:val="restart"/>
            <w:vAlign w:val="center"/>
          </w:tcPr>
          <w:p w14:paraId="2401CD6E">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241A4E7F">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37D7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3" w:type="dxa"/>
            <w:vMerge w:val="continue"/>
            <w:vAlign w:val="center"/>
          </w:tcPr>
          <w:p w14:paraId="30B8EDEF">
            <w:pPr>
              <w:spacing w:line="240" w:lineRule="exact"/>
              <w:jc w:val="center"/>
              <w:rPr>
                <w:rFonts w:ascii="宋体"/>
                <w:b/>
                <w:kern w:val="0"/>
              </w:rPr>
            </w:pPr>
          </w:p>
        </w:tc>
        <w:tc>
          <w:tcPr>
            <w:tcW w:w="1149" w:type="dxa"/>
            <w:vAlign w:val="center"/>
          </w:tcPr>
          <w:p w14:paraId="77A0220F">
            <w:pPr>
              <w:spacing w:line="240" w:lineRule="exact"/>
              <w:jc w:val="center"/>
              <w:rPr>
                <w:rFonts w:ascii="宋体"/>
                <w:b/>
                <w:kern w:val="0"/>
              </w:rPr>
            </w:pPr>
            <w:r>
              <w:rPr>
                <w:rFonts w:hint="eastAsia" w:ascii="宋体"/>
                <w:b/>
                <w:kern w:val="0"/>
              </w:rPr>
              <w:t>违反条款</w:t>
            </w:r>
          </w:p>
        </w:tc>
        <w:tc>
          <w:tcPr>
            <w:tcW w:w="1559" w:type="dxa"/>
            <w:vAlign w:val="center"/>
          </w:tcPr>
          <w:p w14:paraId="0ADC9878">
            <w:pPr>
              <w:spacing w:line="240" w:lineRule="exact"/>
              <w:jc w:val="center"/>
              <w:rPr>
                <w:rFonts w:ascii="宋体"/>
                <w:b/>
                <w:kern w:val="0"/>
              </w:rPr>
            </w:pPr>
            <w:r>
              <w:rPr>
                <w:rFonts w:hint="eastAsia" w:ascii="宋体"/>
                <w:b/>
                <w:kern w:val="0"/>
              </w:rPr>
              <w:t>处罚依据</w:t>
            </w:r>
          </w:p>
        </w:tc>
        <w:tc>
          <w:tcPr>
            <w:tcW w:w="1090" w:type="dxa"/>
            <w:vMerge w:val="continue"/>
            <w:vAlign w:val="center"/>
          </w:tcPr>
          <w:p w14:paraId="033B4745">
            <w:pPr>
              <w:spacing w:line="240" w:lineRule="exact"/>
              <w:jc w:val="center"/>
              <w:rPr>
                <w:rFonts w:ascii="宋体"/>
                <w:b/>
                <w:kern w:val="0"/>
              </w:rPr>
            </w:pPr>
          </w:p>
        </w:tc>
        <w:tc>
          <w:tcPr>
            <w:tcW w:w="3446" w:type="dxa"/>
            <w:vMerge w:val="continue"/>
            <w:vAlign w:val="center"/>
          </w:tcPr>
          <w:p w14:paraId="015AFBC7">
            <w:pPr>
              <w:spacing w:line="240" w:lineRule="exact"/>
              <w:jc w:val="center"/>
              <w:rPr>
                <w:rFonts w:ascii="宋体"/>
                <w:b/>
                <w:kern w:val="0"/>
              </w:rPr>
            </w:pPr>
          </w:p>
        </w:tc>
        <w:tc>
          <w:tcPr>
            <w:tcW w:w="6662" w:type="dxa"/>
            <w:vAlign w:val="center"/>
          </w:tcPr>
          <w:p w14:paraId="7450F020">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769DB418">
            <w:pPr>
              <w:spacing w:line="240" w:lineRule="exact"/>
              <w:jc w:val="center"/>
              <w:rPr>
                <w:rFonts w:ascii="宋体"/>
                <w:b/>
                <w:kern w:val="0"/>
              </w:rPr>
            </w:pPr>
            <w:r>
              <w:rPr>
                <w:rFonts w:hint="eastAsia" w:ascii="宋体"/>
                <w:b/>
                <w:kern w:val="0"/>
              </w:rPr>
              <w:t>【对象】船长</w:t>
            </w:r>
          </w:p>
        </w:tc>
        <w:tc>
          <w:tcPr>
            <w:tcW w:w="3028" w:type="dxa"/>
            <w:vAlign w:val="center"/>
          </w:tcPr>
          <w:p w14:paraId="25FEF22C">
            <w:pPr>
              <w:spacing w:line="240" w:lineRule="exact"/>
              <w:jc w:val="center"/>
              <w:rPr>
                <w:rFonts w:ascii="宋体"/>
                <w:b/>
                <w:kern w:val="0"/>
              </w:rPr>
            </w:pPr>
            <w:r>
              <w:rPr>
                <w:rFonts w:hint="eastAsia" w:ascii="宋体"/>
                <w:b/>
                <w:kern w:val="0"/>
              </w:rPr>
              <w:t>【对象】责任船员</w:t>
            </w:r>
          </w:p>
        </w:tc>
      </w:tr>
      <w:tr w14:paraId="0AA75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3" w:type="dxa"/>
            <w:vMerge w:val="restart"/>
            <w:vAlign w:val="center"/>
          </w:tcPr>
          <w:p w14:paraId="08CB7986">
            <w:pPr>
              <w:widowControl/>
              <w:spacing w:line="240" w:lineRule="exact"/>
              <w:jc w:val="left"/>
              <w:rPr>
                <w:rFonts w:ascii="宋体"/>
                <w:b/>
                <w:kern w:val="0"/>
              </w:rPr>
            </w:pPr>
            <w:r>
              <w:rPr>
                <w:rFonts w:hint="eastAsia" w:ascii="宋体"/>
                <w:bCs/>
                <w:kern w:val="0"/>
              </w:rPr>
              <w:t>未按照有关规定显示信号、悬挂标志</w:t>
            </w:r>
          </w:p>
        </w:tc>
        <w:tc>
          <w:tcPr>
            <w:tcW w:w="1149" w:type="dxa"/>
            <w:vMerge w:val="restart"/>
            <w:vAlign w:val="center"/>
          </w:tcPr>
          <w:p w14:paraId="3DB043E4">
            <w:pPr>
              <w:widowControl/>
              <w:spacing w:line="240" w:lineRule="exact"/>
              <w:jc w:val="left"/>
              <w:rPr>
                <w:rFonts w:ascii="宋体"/>
                <w:kern w:val="0"/>
              </w:rPr>
            </w:pPr>
            <w:r>
              <w:rPr>
                <w:rFonts w:hint="eastAsia" w:ascii="宋体"/>
                <w:kern w:val="0"/>
              </w:rPr>
              <w:t>1.《中华人民共和国海上交通安全法》第三十五条第二款；</w:t>
            </w:r>
          </w:p>
          <w:p w14:paraId="1333502F">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1F57C958">
            <w:pPr>
              <w:spacing w:line="240" w:lineRule="exact"/>
              <w:jc w:val="left"/>
              <w:rPr>
                <w:rFonts w:ascii="宋体"/>
                <w:kern w:val="0"/>
              </w:rPr>
            </w:pPr>
            <w:r>
              <w:rPr>
                <w:rFonts w:hint="eastAsia" w:ascii="宋体"/>
                <w:kern w:val="0"/>
              </w:rPr>
              <w:t>1.《中华人民共和国海上交通安全法》第一百零三条第（二）项、《中华人民共和国海上海事行政处罚规定》第十八条第（二）项；</w:t>
            </w:r>
          </w:p>
          <w:p w14:paraId="0EC07756">
            <w:pPr>
              <w:spacing w:line="240" w:lineRule="exact"/>
              <w:jc w:val="left"/>
              <w:rPr>
                <w:rFonts w:ascii="宋体"/>
                <w:kern w:val="0"/>
              </w:rPr>
            </w:pPr>
            <w:r>
              <w:rPr>
                <w:rFonts w:hint="eastAsia" w:ascii="宋体"/>
                <w:kern w:val="0"/>
              </w:rPr>
              <w:t>2. 《中华人民共和国海上海事行政处罚规定》第七条。</w:t>
            </w:r>
          </w:p>
        </w:tc>
        <w:tc>
          <w:tcPr>
            <w:tcW w:w="1090" w:type="dxa"/>
            <w:vAlign w:val="center"/>
          </w:tcPr>
          <w:p w14:paraId="2465B1B5">
            <w:pPr>
              <w:spacing w:line="240" w:lineRule="exact"/>
              <w:jc w:val="center"/>
              <w:rPr>
                <w:rFonts w:ascii="宋体"/>
                <w:kern w:val="0"/>
              </w:rPr>
            </w:pPr>
            <w:r>
              <w:rPr>
                <w:rFonts w:hint="eastAsia" w:ascii="宋体"/>
                <w:kern w:val="0"/>
              </w:rPr>
              <w:t>从轻</w:t>
            </w:r>
          </w:p>
        </w:tc>
        <w:tc>
          <w:tcPr>
            <w:tcW w:w="3446" w:type="dxa"/>
            <w:vAlign w:val="center"/>
          </w:tcPr>
          <w:p w14:paraId="1C906516">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7D5895F7">
            <w:pPr>
              <w:spacing w:line="240" w:lineRule="atLeast"/>
              <w:jc w:val="center"/>
              <w:rPr>
                <w:rFonts w:ascii="宋体"/>
                <w:kern w:val="0"/>
              </w:rPr>
            </w:pPr>
            <w:r>
              <w:rPr>
                <w:rFonts w:hint="eastAsia" w:ascii="宋体"/>
                <w:kern w:val="0"/>
              </w:rPr>
              <w:t>2-3万元</w:t>
            </w:r>
          </w:p>
        </w:tc>
        <w:tc>
          <w:tcPr>
            <w:tcW w:w="2268" w:type="dxa"/>
            <w:vAlign w:val="center"/>
          </w:tcPr>
          <w:p w14:paraId="242439A4">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6D765041">
            <w:pPr>
              <w:spacing w:line="240" w:lineRule="atLeast"/>
              <w:jc w:val="center"/>
              <w:rPr>
                <w:rFonts w:ascii="宋体"/>
                <w:kern w:val="0"/>
              </w:rPr>
            </w:pPr>
            <w:r>
              <w:rPr>
                <w:rFonts w:hint="eastAsia" w:ascii="宋体"/>
                <w:kern w:val="0"/>
              </w:rPr>
              <w:t>2000-4000元、并暂扣适任证书3个月至4个月</w:t>
            </w:r>
          </w:p>
        </w:tc>
      </w:tr>
      <w:tr w14:paraId="7F53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3" w:type="dxa"/>
            <w:vMerge w:val="continue"/>
          </w:tcPr>
          <w:p w14:paraId="621FC6B5">
            <w:pPr>
              <w:spacing w:line="240" w:lineRule="exact"/>
              <w:jc w:val="left"/>
              <w:rPr>
                <w:rFonts w:ascii="宋体"/>
                <w:kern w:val="0"/>
              </w:rPr>
            </w:pPr>
          </w:p>
        </w:tc>
        <w:tc>
          <w:tcPr>
            <w:tcW w:w="1149" w:type="dxa"/>
            <w:vMerge w:val="continue"/>
          </w:tcPr>
          <w:p w14:paraId="796FA38E">
            <w:pPr>
              <w:widowControl/>
              <w:spacing w:line="240" w:lineRule="exact"/>
              <w:jc w:val="left"/>
              <w:rPr>
                <w:rFonts w:ascii="宋体"/>
                <w:kern w:val="0"/>
              </w:rPr>
            </w:pPr>
          </w:p>
        </w:tc>
        <w:tc>
          <w:tcPr>
            <w:tcW w:w="1559" w:type="dxa"/>
            <w:vMerge w:val="continue"/>
          </w:tcPr>
          <w:p w14:paraId="3F38B87A">
            <w:pPr>
              <w:spacing w:line="240" w:lineRule="exact"/>
              <w:jc w:val="left"/>
              <w:rPr>
                <w:rFonts w:ascii="宋体"/>
                <w:kern w:val="0"/>
              </w:rPr>
            </w:pPr>
          </w:p>
        </w:tc>
        <w:tc>
          <w:tcPr>
            <w:tcW w:w="1090" w:type="dxa"/>
            <w:vMerge w:val="restart"/>
            <w:vAlign w:val="center"/>
          </w:tcPr>
          <w:p w14:paraId="002338ED">
            <w:pPr>
              <w:spacing w:line="240" w:lineRule="exact"/>
              <w:jc w:val="center"/>
              <w:rPr>
                <w:rFonts w:ascii="宋体"/>
                <w:kern w:val="0"/>
              </w:rPr>
            </w:pPr>
            <w:r>
              <w:rPr>
                <w:rFonts w:hint="eastAsia" w:ascii="宋体"/>
                <w:kern w:val="0"/>
              </w:rPr>
              <w:t>一般</w:t>
            </w:r>
          </w:p>
        </w:tc>
        <w:tc>
          <w:tcPr>
            <w:tcW w:w="3446" w:type="dxa"/>
            <w:vAlign w:val="center"/>
          </w:tcPr>
          <w:p w14:paraId="164A9E2C">
            <w:pPr>
              <w:widowControl/>
              <w:spacing w:line="240" w:lineRule="exact"/>
              <w:jc w:val="left"/>
              <w:rPr>
                <w:rFonts w:ascii="宋体"/>
                <w:kern w:val="0"/>
              </w:rPr>
            </w:pPr>
            <w:r>
              <w:rPr>
                <w:rFonts w:hint="eastAsia" w:ascii="宋体"/>
                <w:kern w:val="0"/>
              </w:rPr>
              <w:t>一般船舶不按规定显示信号、悬挂标志</w:t>
            </w:r>
          </w:p>
        </w:tc>
        <w:tc>
          <w:tcPr>
            <w:tcW w:w="6662" w:type="dxa"/>
            <w:vAlign w:val="center"/>
          </w:tcPr>
          <w:p w14:paraId="09939516">
            <w:pPr>
              <w:spacing w:line="240" w:lineRule="atLeast"/>
              <w:jc w:val="center"/>
              <w:rPr>
                <w:rFonts w:ascii="宋体"/>
                <w:kern w:val="0"/>
              </w:rPr>
            </w:pPr>
            <w:r>
              <w:rPr>
                <w:rFonts w:hint="eastAsia" w:ascii="宋体"/>
                <w:kern w:val="0"/>
              </w:rPr>
              <w:t>3-4万元</w:t>
            </w:r>
          </w:p>
        </w:tc>
        <w:tc>
          <w:tcPr>
            <w:tcW w:w="2268" w:type="dxa"/>
            <w:vAlign w:val="center"/>
          </w:tcPr>
          <w:p w14:paraId="38976F9D">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2CBE5641">
            <w:pPr>
              <w:spacing w:line="240" w:lineRule="atLeast"/>
              <w:jc w:val="center"/>
              <w:rPr>
                <w:rFonts w:ascii="宋体"/>
                <w:b/>
                <w:kern w:val="0"/>
              </w:rPr>
            </w:pPr>
            <w:r>
              <w:rPr>
                <w:rFonts w:hint="eastAsia" w:ascii="宋体"/>
                <w:kern w:val="0"/>
              </w:rPr>
              <w:t>4000元-6000、并暂扣适任证书3个月至4个月</w:t>
            </w:r>
          </w:p>
        </w:tc>
      </w:tr>
      <w:tr w14:paraId="3247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893" w:type="dxa"/>
            <w:vMerge w:val="continue"/>
          </w:tcPr>
          <w:p w14:paraId="7C3A786F">
            <w:pPr>
              <w:spacing w:line="240" w:lineRule="exact"/>
              <w:jc w:val="left"/>
              <w:rPr>
                <w:rFonts w:ascii="宋体"/>
                <w:kern w:val="0"/>
              </w:rPr>
            </w:pPr>
          </w:p>
        </w:tc>
        <w:tc>
          <w:tcPr>
            <w:tcW w:w="1149" w:type="dxa"/>
            <w:vMerge w:val="continue"/>
          </w:tcPr>
          <w:p w14:paraId="624E4DF9">
            <w:pPr>
              <w:widowControl/>
              <w:spacing w:line="240" w:lineRule="exact"/>
              <w:jc w:val="left"/>
              <w:rPr>
                <w:rFonts w:ascii="宋体"/>
                <w:kern w:val="0"/>
              </w:rPr>
            </w:pPr>
          </w:p>
        </w:tc>
        <w:tc>
          <w:tcPr>
            <w:tcW w:w="1559" w:type="dxa"/>
            <w:vMerge w:val="continue"/>
          </w:tcPr>
          <w:p w14:paraId="0DC78826">
            <w:pPr>
              <w:spacing w:line="240" w:lineRule="exact"/>
              <w:jc w:val="left"/>
              <w:rPr>
                <w:rFonts w:ascii="宋体"/>
                <w:kern w:val="0"/>
              </w:rPr>
            </w:pPr>
          </w:p>
        </w:tc>
        <w:tc>
          <w:tcPr>
            <w:tcW w:w="1090" w:type="dxa"/>
            <w:vMerge w:val="continue"/>
            <w:vAlign w:val="center"/>
          </w:tcPr>
          <w:p w14:paraId="25136632">
            <w:pPr>
              <w:spacing w:line="240" w:lineRule="exact"/>
              <w:jc w:val="center"/>
              <w:rPr>
                <w:rFonts w:ascii="宋体"/>
                <w:kern w:val="0"/>
              </w:rPr>
            </w:pPr>
          </w:p>
        </w:tc>
        <w:tc>
          <w:tcPr>
            <w:tcW w:w="3446" w:type="dxa"/>
            <w:vAlign w:val="center"/>
          </w:tcPr>
          <w:p w14:paraId="17361CAE">
            <w:pPr>
              <w:widowControl/>
              <w:spacing w:line="240" w:lineRule="exact"/>
              <w:jc w:val="left"/>
              <w:rPr>
                <w:rFonts w:ascii="宋体"/>
                <w:kern w:val="0"/>
              </w:rPr>
            </w:pPr>
            <w:r>
              <w:rPr>
                <w:rFonts w:hint="eastAsia" w:ascii="宋体"/>
                <w:kern w:val="0"/>
              </w:rPr>
              <w:t>失去控制或操纵能力受到限制的船舶、客船、</w:t>
            </w:r>
            <w:r>
              <w:rPr>
                <w:rFonts w:hint="eastAsia" w:ascii="宋体"/>
                <w:bCs/>
                <w:kern w:val="0"/>
              </w:rPr>
              <w:t>危险品船</w:t>
            </w:r>
            <w:r>
              <w:rPr>
                <w:rFonts w:hint="eastAsia" w:ascii="宋体"/>
                <w:kern w:val="0"/>
              </w:rPr>
              <w:t>、搁浅船舶不按规定显示信号、悬挂标志</w:t>
            </w:r>
          </w:p>
        </w:tc>
        <w:tc>
          <w:tcPr>
            <w:tcW w:w="6662" w:type="dxa"/>
            <w:vAlign w:val="center"/>
          </w:tcPr>
          <w:p w14:paraId="1AF11CD0">
            <w:pPr>
              <w:spacing w:line="240" w:lineRule="atLeast"/>
              <w:jc w:val="center"/>
              <w:rPr>
                <w:rFonts w:ascii="宋体"/>
                <w:kern w:val="0"/>
              </w:rPr>
            </w:pPr>
            <w:r>
              <w:rPr>
                <w:rFonts w:hint="eastAsia" w:ascii="宋体"/>
                <w:kern w:val="0"/>
              </w:rPr>
              <w:t>4-5万元</w:t>
            </w:r>
          </w:p>
        </w:tc>
        <w:tc>
          <w:tcPr>
            <w:tcW w:w="2268" w:type="dxa"/>
            <w:vAlign w:val="center"/>
          </w:tcPr>
          <w:p w14:paraId="406D2FC8">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375DD96B">
            <w:pPr>
              <w:spacing w:line="240" w:lineRule="atLeast"/>
              <w:jc w:val="center"/>
              <w:rPr>
                <w:rFonts w:ascii="宋体"/>
                <w:kern w:val="0"/>
              </w:rPr>
            </w:pPr>
            <w:r>
              <w:rPr>
                <w:rFonts w:hint="eastAsia" w:ascii="宋体"/>
                <w:kern w:val="0"/>
              </w:rPr>
              <w:t>6000元-1万元、并暂扣适任证书4个月至5个月</w:t>
            </w:r>
          </w:p>
        </w:tc>
      </w:tr>
      <w:tr w14:paraId="2D45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2" w:hRule="atLeast"/>
        </w:trPr>
        <w:tc>
          <w:tcPr>
            <w:tcW w:w="893" w:type="dxa"/>
            <w:vMerge w:val="continue"/>
          </w:tcPr>
          <w:p w14:paraId="3138136C">
            <w:pPr>
              <w:spacing w:line="240" w:lineRule="exact"/>
              <w:jc w:val="left"/>
              <w:rPr>
                <w:rFonts w:ascii="宋体"/>
                <w:kern w:val="0"/>
              </w:rPr>
            </w:pPr>
          </w:p>
        </w:tc>
        <w:tc>
          <w:tcPr>
            <w:tcW w:w="1149" w:type="dxa"/>
            <w:vMerge w:val="continue"/>
          </w:tcPr>
          <w:p w14:paraId="1FF54070">
            <w:pPr>
              <w:widowControl/>
              <w:spacing w:line="240" w:lineRule="exact"/>
              <w:jc w:val="left"/>
              <w:rPr>
                <w:rFonts w:ascii="宋体"/>
                <w:kern w:val="0"/>
              </w:rPr>
            </w:pPr>
          </w:p>
        </w:tc>
        <w:tc>
          <w:tcPr>
            <w:tcW w:w="1559" w:type="dxa"/>
            <w:vMerge w:val="continue"/>
          </w:tcPr>
          <w:p w14:paraId="343FE908">
            <w:pPr>
              <w:spacing w:line="240" w:lineRule="exact"/>
              <w:jc w:val="left"/>
              <w:rPr>
                <w:rFonts w:ascii="宋体"/>
                <w:kern w:val="0"/>
              </w:rPr>
            </w:pPr>
          </w:p>
        </w:tc>
        <w:tc>
          <w:tcPr>
            <w:tcW w:w="1090" w:type="dxa"/>
            <w:vMerge w:val="continue"/>
            <w:vAlign w:val="center"/>
          </w:tcPr>
          <w:p w14:paraId="264568F0">
            <w:pPr>
              <w:spacing w:line="240" w:lineRule="exact"/>
              <w:jc w:val="center"/>
              <w:rPr>
                <w:rFonts w:ascii="宋体"/>
                <w:kern w:val="0"/>
              </w:rPr>
            </w:pPr>
          </w:p>
        </w:tc>
        <w:tc>
          <w:tcPr>
            <w:tcW w:w="3446" w:type="dxa"/>
            <w:vAlign w:val="center"/>
          </w:tcPr>
          <w:p w14:paraId="53A83B7A">
            <w:pPr>
              <w:spacing w:line="240" w:lineRule="atLeast"/>
              <w:jc w:val="left"/>
              <w:rPr>
                <w:rFonts w:ascii="宋体"/>
              </w:rPr>
            </w:pPr>
            <w:r>
              <w:rPr>
                <w:rFonts w:hint="eastAsia" w:ascii="宋体"/>
              </w:rPr>
              <w:t>1.造成一般事故或险情的；</w:t>
            </w:r>
          </w:p>
          <w:p w14:paraId="3B318C8A">
            <w:pPr>
              <w:spacing w:line="240" w:lineRule="atLeast"/>
              <w:jc w:val="left"/>
              <w:rPr>
                <w:rFonts w:ascii="宋体"/>
              </w:rPr>
            </w:pPr>
            <w:r>
              <w:rPr>
                <w:rFonts w:hint="eastAsia" w:ascii="宋体"/>
              </w:rPr>
              <w:t>2.具有其他较重情节的。</w:t>
            </w:r>
          </w:p>
        </w:tc>
        <w:tc>
          <w:tcPr>
            <w:tcW w:w="6662" w:type="dxa"/>
            <w:vAlign w:val="center"/>
          </w:tcPr>
          <w:p w14:paraId="2E8288F7">
            <w:pPr>
              <w:spacing w:line="240" w:lineRule="atLeast"/>
              <w:jc w:val="center"/>
              <w:rPr>
                <w:rFonts w:ascii="宋体"/>
                <w:kern w:val="0"/>
              </w:rPr>
            </w:pPr>
            <w:r>
              <w:rPr>
                <w:rFonts w:hint="eastAsia" w:ascii="宋体"/>
                <w:kern w:val="0"/>
              </w:rPr>
              <w:t>5-10万元</w:t>
            </w:r>
          </w:p>
        </w:tc>
        <w:tc>
          <w:tcPr>
            <w:tcW w:w="2268" w:type="dxa"/>
            <w:vAlign w:val="center"/>
          </w:tcPr>
          <w:p w14:paraId="480B5394">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6C74329A">
            <w:pPr>
              <w:spacing w:line="240" w:lineRule="atLeast"/>
              <w:jc w:val="center"/>
              <w:rPr>
                <w:rFonts w:ascii="宋体"/>
                <w:kern w:val="0"/>
              </w:rPr>
            </w:pPr>
            <w:r>
              <w:rPr>
                <w:rFonts w:hint="eastAsia" w:ascii="宋体"/>
                <w:kern w:val="0"/>
              </w:rPr>
              <w:t>1-2万元、并暂扣适任证书5个月至12个月</w:t>
            </w:r>
          </w:p>
        </w:tc>
      </w:tr>
      <w:tr w14:paraId="32A3F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893" w:type="dxa"/>
            <w:vMerge w:val="continue"/>
          </w:tcPr>
          <w:p w14:paraId="5F6FB853">
            <w:pPr>
              <w:spacing w:line="240" w:lineRule="exact"/>
              <w:jc w:val="left"/>
              <w:rPr>
                <w:rFonts w:ascii="宋体"/>
                <w:kern w:val="0"/>
              </w:rPr>
            </w:pPr>
          </w:p>
        </w:tc>
        <w:tc>
          <w:tcPr>
            <w:tcW w:w="1149" w:type="dxa"/>
            <w:vMerge w:val="continue"/>
          </w:tcPr>
          <w:p w14:paraId="5D02BDE5">
            <w:pPr>
              <w:spacing w:line="240" w:lineRule="exact"/>
              <w:jc w:val="left"/>
              <w:rPr>
                <w:rFonts w:ascii="宋体"/>
                <w:kern w:val="0"/>
              </w:rPr>
            </w:pPr>
          </w:p>
        </w:tc>
        <w:tc>
          <w:tcPr>
            <w:tcW w:w="1559" w:type="dxa"/>
            <w:vMerge w:val="continue"/>
          </w:tcPr>
          <w:p w14:paraId="1845A113">
            <w:pPr>
              <w:spacing w:line="240" w:lineRule="exact"/>
              <w:jc w:val="left"/>
              <w:rPr>
                <w:rFonts w:ascii="宋体"/>
                <w:kern w:val="0"/>
              </w:rPr>
            </w:pPr>
          </w:p>
        </w:tc>
        <w:tc>
          <w:tcPr>
            <w:tcW w:w="1090" w:type="dxa"/>
            <w:vAlign w:val="center"/>
          </w:tcPr>
          <w:p w14:paraId="602E9680">
            <w:pPr>
              <w:spacing w:line="240" w:lineRule="exact"/>
              <w:jc w:val="center"/>
              <w:rPr>
                <w:rFonts w:ascii="宋体"/>
                <w:kern w:val="0"/>
              </w:rPr>
            </w:pPr>
            <w:r>
              <w:rPr>
                <w:rFonts w:hint="eastAsia" w:ascii="宋体"/>
                <w:kern w:val="0"/>
              </w:rPr>
              <w:t>情节严重</w:t>
            </w:r>
          </w:p>
        </w:tc>
        <w:tc>
          <w:tcPr>
            <w:tcW w:w="3446" w:type="dxa"/>
            <w:vAlign w:val="center"/>
          </w:tcPr>
          <w:p w14:paraId="29A94AF1">
            <w:pPr>
              <w:spacing w:line="240" w:lineRule="atLeast"/>
              <w:jc w:val="left"/>
              <w:rPr>
                <w:rFonts w:ascii="宋体"/>
              </w:rPr>
            </w:pPr>
            <w:r>
              <w:rPr>
                <w:rFonts w:hint="eastAsia" w:ascii="宋体"/>
              </w:rPr>
              <w:t>1.造成较大等级以上事故的；</w:t>
            </w:r>
          </w:p>
          <w:p w14:paraId="241B47A1">
            <w:pPr>
              <w:spacing w:line="240" w:lineRule="atLeast"/>
              <w:jc w:val="left"/>
              <w:rPr>
                <w:rFonts w:ascii="宋体"/>
              </w:rPr>
            </w:pPr>
            <w:r>
              <w:rPr>
                <w:rFonts w:hint="eastAsia" w:ascii="宋体"/>
              </w:rPr>
              <w:t>2.具有其他严重情节的。</w:t>
            </w:r>
          </w:p>
        </w:tc>
        <w:tc>
          <w:tcPr>
            <w:tcW w:w="6662" w:type="dxa"/>
            <w:vAlign w:val="center"/>
          </w:tcPr>
          <w:p w14:paraId="094D5437">
            <w:pPr>
              <w:spacing w:line="240" w:lineRule="atLeast"/>
              <w:jc w:val="center"/>
              <w:rPr>
                <w:rFonts w:ascii="宋体"/>
                <w:kern w:val="0"/>
              </w:rPr>
            </w:pPr>
            <w:r>
              <w:rPr>
                <w:rFonts w:hint="eastAsia" w:ascii="宋体"/>
                <w:kern w:val="0"/>
              </w:rPr>
              <w:t>10-20万元</w:t>
            </w:r>
          </w:p>
        </w:tc>
        <w:tc>
          <w:tcPr>
            <w:tcW w:w="2268" w:type="dxa"/>
            <w:vAlign w:val="center"/>
          </w:tcPr>
          <w:p w14:paraId="16B7EF13">
            <w:pPr>
              <w:spacing w:line="240" w:lineRule="atLeast"/>
              <w:jc w:val="center"/>
              <w:rPr>
                <w:rFonts w:ascii="宋体"/>
                <w:kern w:val="0"/>
              </w:rPr>
            </w:pPr>
            <w:r>
              <w:rPr>
                <w:rFonts w:hint="eastAsia" w:ascii="宋体"/>
                <w:kern w:val="0"/>
              </w:rPr>
              <w:t>吊销适任证书</w:t>
            </w:r>
          </w:p>
        </w:tc>
        <w:tc>
          <w:tcPr>
            <w:tcW w:w="3028" w:type="dxa"/>
            <w:vAlign w:val="center"/>
          </w:tcPr>
          <w:p w14:paraId="79F783BE">
            <w:pPr>
              <w:spacing w:line="240" w:lineRule="atLeast"/>
              <w:jc w:val="center"/>
              <w:rPr>
                <w:rFonts w:ascii="宋体"/>
                <w:kern w:val="0"/>
              </w:rPr>
            </w:pPr>
            <w:r>
              <w:rPr>
                <w:rFonts w:hint="eastAsia" w:ascii="宋体"/>
                <w:kern w:val="0"/>
              </w:rPr>
              <w:t>吊销适任证书</w:t>
            </w:r>
          </w:p>
        </w:tc>
      </w:tr>
    </w:tbl>
    <w:p w14:paraId="22D2B811">
      <w:pPr>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086"/>
        <w:gridCol w:w="1559"/>
        <w:gridCol w:w="1134"/>
        <w:gridCol w:w="3402"/>
        <w:gridCol w:w="6662"/>
        <w:gridCol w:w="2461"/>
        <w:gridCol w:w="2835"/>
      </w:tblGrid>
      <w:tr w14:paraId="61CA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6" w:type="dxa"/>
            <w:vMerge w:val="restart"/>
            <w:vAlign w:val="center"/>
          </w:tcPr>
          <w:p w14:paraId="527F5902">
            <w:pPr>
              <w:spacing w:line="240" w:lineRule="exact"/>
              <w:jc w:val="center"/>
              <w:rPr>
                <w:rFonts w:ascii="宋体"/>
                <w:b/>
                <w:kern w:val="0"/>
              </w:rPr>
            </w:pPr>
            <w:r>
              <w:rPr>
                <w:rFonts w:hint="eastAsia" w:ascii="宋体"/>
                <w:b/>
                <w:kern w:val="0"/>
              </w:rPr>
              <w:t>案由13</w:t>
            </w:r>
          </w:p>
        </w:tc>
        <w:tc>
          <w:tcPr>
            <w:tcW w:w="2645" w:type="dxa"/>
            <w:gridSpan w:val="2"/>
            <w:vAlign w:val="center"/>
          </w:tcPr>
          <w:p w14:paraId="3216B09F">
            <w:pPr>
              <w:spacing w:line="240" w:lineRule="exact"/>
              <w:jc w:val="center"/>
              <w:rPr>
                <w:rFonts w:ascii="宋体"/>
                <w:b/>
                <w:kern w:val="0"/>
              </w:rPr>
            </w:pPr>
            <w:r>
              <w:rPr>
                <w:rFonts w:hint="eastAsia" w:ascii="宋体"/>
                <w:b/>
                <w:kern w:val="0"/>
              </w:rPr>
              <w:t>法律依据</w:t>
            </w:r>
          </w:p>
        </w:tc>
        <w:tc>
          <w:tcPr>
            <w:tcW w:w="1134" w:type="dxa"/>
            <w:vMerge w:val="restart"/>
            <w:vAlign w:val="center"/>
          </w:tcPr>
          <w:p w14:paraId="7A472078">
            <w:pPr>
              <w:spacing w:line="240" w:lineRule="exact"/>
              <w:jc w:val="center"/>
              <w:rPr>
                <w:rFonts w:ascii="宋体"/>
                <w:b/>
                <w:kern w:val="0"/>
              </w:rPr>
            </w:pPr>
            <w:r>
              <w:rPr>
                <w:rFonts w:hint="eastAsia" w:ascii="宋体"/>
                <w:b/>
                <w:kern w:val="0"/>
              </w:rPr>
              <w:t>违法情节</w:t>
            </w:r>
          </w:p>
        </w:tc>
        <w:tc>
          <w:tcPr>
            <w:tcW w:w="3402" w:type="dxa"/>
            <w:vMerge w:val="restart"/>
            <w:vAlign w:val="center"/>
          </w:tcPr>
          <w:p w14:paraId="44375A04">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1112688D">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57F1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6" w:type="dxa"/>
            <w:vMerge w:val="continue"/>
            <w:vAlign w:val="center"/>
          </w:tcPr>
          <w:p w14:paraId="6132A127">
            <w:pPr>
              <w:spacing w:line="240" w:lineRule="exact"/>
              <w:jc w:val="center"/>
              <w:rPr>
                <w:rFonts w:ascii="宋体"/>
                <w:b/>
                <w:kern w:val="0"/>
              </w:rPr>
            </w:pPr>
          </w:p>
        </w:tc>
        <w:tc>
          <w:tcPr>
            <w:tcW w:w="1086" w:type="dxa"/>
            <w:vAlign w:val="center"/>
          </w:tcPr>
          <w:p w14:paraId="0FD9EA0E">
            <w:pPr>
              <w:spacing w:line="240" w:lineRule="exact"/>
              <w:jc w:val="center"/>
              <w:rPr>
                <w:rFonts w:ascii="宋体"/>
                <w:b/>
                <w:kern w:val="0"/>
              </w:rPr>
            </w:pPr>
            <w:r>
              <w:rPr>
                <w:rFonts w:hint="eastAsia" w:ascii="宋体"/>
                <w:b/>
                <w:kern w:val="0"/>
              </w:rPr>
              <w:t>违反条款</w:t>
            </w:r>
          </w:p>
        </w:tc>
        <w:tc>
          <w:tcPr>
            <w:tcW w:w="1559" w:type="dxa"/>
            <w:vAlign w:val="center"/>
          </w:tcPr>
          <w:p w14:paraId="6EC0C8C9">
            <w:pPr>
              <w:spacing w:line="240" w:lineRule="exact"/>
              <w:jc w:val="center"/>
              <w:rPr>
                <w:rFonts w:ascii="宋体"/>
                <w:b/>
                <w:kern w:val="0"/>
              </w:rPr>
            </w:pPr>
            <w:r>
              <w:rPr>
                <w:rFonts w:hint="eastAsia" w:ascii="宋体"/>
                <w:b/>
                <w:kern w:val="0"/>
              </w:rPr>
              <w:t>处罚依据</w:t>
            </w:r>
          </w:p>
        </w:tc>
        <w:tc>
          <w:tcPr>
            <w:tcW w:w="1134" w:type="dxa"/>
            <w:vMerge w:val="continue"/>
            <w:vAlign w:val="center"/>
          </w:tcPr>
          <w:p w14:paraId="34109678">
            <w:pPr>
              <w:spacing w:line="240" w:lineRule="exact"/>
              <w:jc w:val="center"/>
              <w:rPr>
                <w:rFonts w:ascii="宋体"/>
                <w:b/>
                <w:kern w:val="0"/>
              </w:rPr>
            </w:pPr>
          </w:p>
        </w:tc>
        <w:tc>
          <w:tcPr>
            <w:tcW w:w="3402" w:type="dxa"/>
            <w:vMerge w:val="continue"/>
            <w:vAlign w:val="center"/>
          </w:tcPr>
          <w:p w14:paraId="24DD5662">
            <w:pPr>
              <w:spacing w:line="240" w:lineRule="exact"/>
              <w:jc w:val="center"/>
              <w:rPr>
                <w:rFonts w:ascii="宋体"/>
                <w:b/>
                <w:kern w:val="0"/>
              </w:rPr>
            </w:pPr>
          </w:p>
        </w:tc>
        <w:tc>
          <w:tcPr>
            <w:tcW w:w="6662" w:type="dxa"/>
            <w:vAlign w:val="center"/>
          </w:tcPr>
          <w:p w14:paraId="2370CED9">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14:paraId="5C4113F2">
            <w:pPr>
              <w:spacing w:line="240" w:lineRule="exact"/>
              <w:jc w:val="center"/>
              <w:rPr>
                <w:rFonts w:ascii="宋体"/>
                <w:b/>
                <w:kern w:val="0"/>
              </w:rPr>
            </w:pPr>
            <w:r>
              <w:rPr>
                <w:rFonts w:hint="eastAsia" w:ascii="宋体"/>
                <w:b/>
                <w:kern w:val="0"/>
              </w:rPr>
              <w:t>【对象】船长</w:t>
            </w:r>
          </w:p>
        </w:tc>
        <w:tc>
          <w:tcPr>
            <w:tcW w:w="2835" w:type="dxa"/>
            <w:vAlign w:val="center"/>
          </w:tcPr>
          <w:p w14:paraId="2A69368F">
            <w:pPr>
              <w:spacing w:line="240" w:lineRule="exact"/>
              <w:jc w:val="center"/>
              <w:rPr>
                <w:rFonts w:ascii="宋体"/>
                <w:b/>
                <w:kern w:val="0"/>
              </w:rPr>
            </w:pPr>
            <w:r>
              <w:rPr>
                <w:rFonts w:hint="eastAsia" w:ascii="宋体"/>
                <w:b/>
                <w:kern w:val="0"/>
              </w:rPr>
              <w:t>【对象】责任船员</w:t>
            </w:r>
          </w:p>
        </w:tc>
      </w:tr>
      <w:tr w14:paraId="646C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6" w:type="dxa"/>
            <w:vMerge w:val="restart"/>
            <w:vAlign w:val="center"/>
          </w:tcPr>
          <w:p w14:paraId="023A676E">
            <w:pPr>
              <w:widowControl/>
              <w:spacing w:line="240" w:lineRule="exact"/>
              <w:jc w:val="left"/>
              <w:rPr>
                <w:rFonts w:ascii="宋体"/>
                <w:b/>
                <w:kern w:val="0"/>
              </w:rPr>
            </w:pPr>
            <w:r>
              <w:rPr>
                <w:rFonts w:hint="eastAsia" w:ascii="宋体"/>
                <w:bCs/>
                <w:kern w:val="0"/>
              </w:rPr>
              <w:t>未按照有关规定保持足够的富余水深</w:t>
            </w:r>
          </w:p>
        </w:tc>
        <w:tc>
          <w:tcPr>
            <w:tcW w:w="1086" w:type="dxa"/>
            <w:vMerge w:val="restart"/>
            <w:vAlign w:val="center"/>
          </w:tcPr>
          <w:p w14:paraId="12D615D3">
            <w:pPr>
              <w:widowControl/>
              <w:spacing w:line="240" w:lineRule="exact"/>
              <w:jc w:val="left"/>
              <w:rPr>
                <w:rFonts w:ascii="宋体"/>
                <w:kern w:val="0"/>
              </w:rPr>
            </w:pPr>
            <w:r>
              <w:rPr>
                <w:rFonts w:hint="eastAsia" w:ascii="宋体"/>
                <w:kern w:val="0"/>
              </w:rPr>
              <w:t>1.《中华人民共和国海上交通安全法》第三十五条第二款；</w:t>
            </w:r>
          </w:p>
          <w:p w14:paraId="5DC38B50">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0E50F44D">
            <w:pPr>
              <w:spacing w:line="240" w:lineRule="exact"/>
              <w:jc w:val="left"/>
              <w:rPr>
                <w:rFonts w:ascii="宋体"/>
                <w:kern w:val="0"/>
              </w:rPr>
            </w:pPr>
            <w:r>
              <w:rPr>
                <w:rFonts w:hint="eastAsia" w:ascii="宋体"/>
                <w:kern w:val="0"/>
              </w:rPr>
              <w:t>1.《中华人民共和国海上交通安全法》第一百零三条第（二）项、《中华人民共和国海上海事行政处罚规定》第十八条第（二）项；</w:t>
            </w:r>
          </w:p>
          <w:p w14:paraId="2EDC72A5">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14:paraId="45154F53">
            <w:pPr>
              <w:spacing w:line="240" w:lineRule="exact"/>
              <w:jc w:val="center"/>
              <w:rPr>
                <w:rFonts w:ascii="宋体"/>
                <w:kern w:val="0"/>
              </w:rPr>
            </w:pPr>
            <w:r>
              <w:rPr>
                <w:rFonts w:hint="eastAsia" w:ascii="宋体"/>
                <w:kern w:val="0"/>
              </w:rPr>
              <w:t>从轻</w:t>
            </w:r>
          </w:p>
        </w:tc>
        <w:tc>
          <w:tcPr>
            <w:tcW w:w="3402" w:type="dxa"/>
            <w:vAlign w:val="center"/>
          </w:tcPr>
          <w:p w14:paraId="6EDC8BE6">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134D25B9">
            <w:pPr>
              <w:spacing w:line="240" w:lineRule="atLeast"/>
              <w:jc w:val="center"/>
              <w:rPr>
                <w:rFonts w:ascii="宋体"/>
                <w:kern w:val="0"/>
              </w:rPr>
            </w:pPr>
            <w:r>
              <w:rPr>
                <w:rFonts w:hint="eastAsia" w:ascii="宋体"/>
                <w:kern w:val="0"/>
              </w:rPr>
              <w:t>2-3万元</w:t>
            </w:r>
          </w:p>
        </w:tc>
        <w:tc>
          <w:tcPr>
            <w:tcW w:w="2461" w:type="dxa"/>
            <w:vAlign w:val="center"/>
          </w:tcPr>
          <w:p w14:paraId="03153B33">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14:paraId="6C1E839F">
            <w:pPr>
              <w:spacing w:line="240" w:lineRule="atLeast"/>
              <w:jc w:val="center"/>
              <w:rPr>
                <w:rFonts w:ascii="宋体"/>
                <w:kern w:val="0"/>
              </w:rPr>
            </w:pPr>
            <w:r>
              <w:rPr>
                <w:rFonts w:hint="eastAsia" w:ascii="宋体"/>
                <w:kern w:val="0"/>
              </w:rPr>
              <w:t>2000-4000元、并暂扣适任证书3个月至4个月</w:t>
            </w:r>
          </w:p>
        </w:tc>
      </w:tr>
      <w:tr w14:paraId="777C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6" w:type="dxa"/>
            <w:vMerge w:val="continue"/>
          </w:tcPr>
          <w:p w14:paraId="0C3316B1">
            <w:pPr>
              <w:spacing w:line="240" w:lineRule="exact"/>
              <w:jc w:val="left"/>
              <w:rPr>
                <w:rFonts w:ascii="宋体"/>
                <w:kern w:val="0"/>
              </w:rPr>
            </w:pPr>
          </w:p>
        </w:tc>
        <w:tc>
          <w:tcPr>
            <w:tcW w:w="1086" w:type="dxa"/>
            <w:vMerge w:val="continue"/>
          </w:tcPr>
          <w:p w14:paraId="437EDC21">
            <w:pPr>
              <w:widowControl/>
              <w:spacing w:line="240" w:lineRule="exact"/>
              <w:jc w:val="left"/>
              <w:rPr>
                <w:rFonts w:ascii="宋体"/>
                <w:kern w:val="0"/>
              </w:rPr>
            </w:pPr>
          </w:p>
        </w:tc>
        <w:tc>
          <w:tcPr>
            <w:tcW w:w="1559" w:type="dxa"/>
            <w:vMerge w:val="continue"/>
          </w:tcPr>
          <w:p w14:paraId="2070D8C5">
            <w:pPr>
              <w:spacing w:line="240" w:lineRule="exact"/>
              <w:jc w:val="left"/>
              <w:rPr>
                <w:rFonts w:ascii="宋体"/>
                <w:kern w:val="0"/>
              </w:rPr>
            </w:pPr>
          </w:p>
        </w:tc>
        <w:tc>
          <w:tcPr>
            <w:tcW w:w="1134" w:type="dxa"/>
            <w:vMerge w:val="restart"/>
            <w:vAlign w:val="center"/>
          </w:tcPr>
          <w:p w14:paraId="4EF4A9CD">
            <w:pPr>
              <w:spacing w:line="240" w:lineRule="exact"/>
              <w:jc w:val="center"/>
              <w:rPr>
                <w:rFonts w:ascii="宋体"/>
                <w:kern w:val="0"/>
              </w:rPr>
            </w:pPr>
            <w:r>
              <w:rPr>
                <w:rFonts w:hint="eastAsia" w:ascii="宋体"/>
                <w:kern w:val="0"/>
              </w:rPr>
              <w:t>一般</w:t>
            </w:r>
          </w:p>
        </w:tc>
        <w:tc>
          <w:tcPr>
            <w:tcW w:w="3402" w:type="dxa"/>
            <w:vAlign w:val="center"/>
          </w:tcPr>
          <w:p w14:paraId="79E04502">
            <w:pPr>
              <w:widowControl/>
              <w:spacing w:line="240" w:lineRule="exact"/>
              <w:jc w:val="left"/>
              <w:rPr>
                <w:rFonts w:ascii="宋体"/>
                <w:kern w:val="0"/>
              </w:rPr>
            </w:pPr>
            <w:r>
              <w:rPr>
                <w:rFonts w:hint="eastAsia" w:ascii="宋体"/>
                <w:kern w:val="0"/>
              </w:rPr>
              <w:t>一般船舶未保持足够的富余水深</w:t>
            </w:r>
          </w:p>
        </w:tc>
        <w:tc>
          <w:tcPr>
            <w:tcW w:w="6662" w:type="dxa"/>
            <w:vAlign w:val="center"/>
          </w:tcPr>
          <w:p w14:paraId="33D09499">
            <w:pPr>
              <w:spacing w:line="240" w:lineRule="atLeast"/>
              <w:jc w:val="center"/>
              <w:rPr>
                <w:rFonts w:ascii="宋体"/>
                <w:kern w:val="0"/>
              </w:rPr>
            </w:pPr>
            <w:r>
              <w:rPr>
                <w:rFonts w:hint="eastAsia" w:ascii="宋体"/>
                <w:kern w:val="0"/>
              </w:rPr>
              <w:t>3-4万元</w:t>
            </w:r>
          </w:p>
        </w:tc>
        <w:tc>
          <w:tcPr>
            <w:tcW w:w="2461" w:type="dxa"/>
            <w:vAlign w:val="center"/>
          </w:tcPr>
          <w:p w14:paraId="368992E6">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14:paraId="04B0D997">
            <w:pPr>
              <w:spacing w:line="240" w:lineRule="atLeast"/>
              <w:jc w:val="center"/>
              <w:rPr>
                <w:rFonts w:ascii="宋体"/>
                <w:b/>
                <w:kern w:val="0"/>
              </w:rPr>
            </w:pPr>
            <w:r>
              <w:rPr>
                <w:rFonts w:hint="eastAsia" w:ascii="宋体"/>
                <w:kern w:val="0"/>
              </w:rPr>
              <w:t>4000元-6000、并暂扣适任证书3个月至4个月</w:t>
            </w:r>
          </w:p>
        </w:tc>
      </w:tr>
      <w:tr w14:paraId="789D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6" w:type="dxa"/>
            <w:vMerge w:val="continue"/>
          </w:tcPr>
          <w:p w14:paraId="0E6F44EF">
            <w:pPr>
              <w:spacing w:line="240" w:lineRule="exact"/>
              <w:jc w:val="left"/>
              <w:rPr>
                <w:rFonts w:ascii="宋体"/>
                <w:kern w:val="0"/>
              </w:rPr>
            </w:pPr>
          </w:p>
        </w:tc>
        <w:tc>
          <w:tcPr>
            <w:tcW w:w="1086" w:type="dxa"/>
            <w:vMerge w:val="continue"/>
          </w:tcPr>
          <w:p w14:paraId="3958B39C">
            <w:pPr>
              <w:widowControl/>
              <w:spacing w:line="240" w:lineRule="exact"/>
              <w:jc w:val="left"/>
              <w:rPr>
                <w:rFonts w:ascii="宋体"/>
                <w:kern w:val="0"/>
              </w:rPr>
            </w:pPr>
          </w:p>
        </w:tc>
        <w:tc>
          <w:tcPr>
            <w:tcW w:w="1559" w:type="dxa"/>
            <w:vMerge w:val="continue"/>
          </w:tcPr>
          <w:p w14:paraId="71ADF1BC">
            <w:pPr>
              <w:spacing w:line="240" w:lineRule="exact"/>
              <w:jc w:val="left"/>
              <w:rPr>
                <w:rFonts w:ascii="宋体"/>
                <w:kern w:val="0"/>
              </w:rPr>
            </w:pPr>
          </w:p>
        </w:tc>
        <w:tc>
          <w:tcPr>
            <w:tcW w:w="1134" w:type="dxa"/>
            <w:vMerge w:val="continue"/>
            <w:vAlign w:val="center"/>
          </w:tcPr>
          <w:p w14:paraId="62973F7A">
            <w:pPr>
              <w:spacing w:line="240" w:lineRule="exact"/>
              <w:jc w:val="center"/>
              <w:rPr>
                <w:rFonts w:ascii="宋体"/>
                <w:kern w:val="0"/>
              </w:rPr>
            </w:pPr>
          </w:p>
        </w:tc>
        <w:tc>
          <w:tcPr>
            <w:tcW w:w="3402" w:type="dxa"/>
            <w:vAlign w:val="center"/>
          </w:tcPr>
          <w:p w14:paraId="619875C5">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 xml:space="preserve">未保持足够的富余水深 </w:t>
            </w:r>
          </w:p>
        </w:tc>
        <w:tc>
          <w:tcPr>
            <w:tcW w:w="6662" w:type="dxa"/>
            <w:vAlign w:val="center"/>
          </w:tcPr>
          <w:p w14:paraId="30A40A46">
            <w:pPr>
              <w:spacing w:line="240" w:lineRule="atLeast"/>
              <w:jc w:val="center"/>
              <w:rPr>
                <w:rFonts w:ascii="宋体"/>
                <w:kern w:val="0"/>
              </w:rPr>
            </w:pPr>
            <w:r>
              <w:rPr>
                <w:rFonts w:hint="eastAsia" w:ascii="宋体"/>
                <w:kern w:val="0"/>
              </w:rPr>
              <w:t>4-5万元</w:t>
            </w:r>
          </w:p>
        </w:tc>
        <w:tc>
          <w:tcPr>
            <w:tcW w:w="2461" w:type="dxa"/>
            <w:vAlign w:val="center"/>
          </w:tcPr>
          <w:p w14:paraId="761481DA">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14:paraId="22F142A0">
            <w:pPr>
              <w:spacing w:line="240" w:lineRule="atLeast"/>
              <w:jc w:val="center"/>
              <w:rPr>
                <w:rFonts w:ascii="宋体"/>
                <w:kern w:val="0"/>
              </w:rPr>
            </w:pPr>
            <w:r>
              <w:rPr>
                <w:rFonts w:hint="eastAsia" w:ascii="宋体"/>
                <w:kern w:val="0"/>
              </w:rPr>
              <w:t>6000元-1万元、并暂扣适任证书4个月至5个月</w:t>
            </w:r>
          </w:p>
        </w:tc>
      </w:tr>
      <w:tr w14:paraId="2DB13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956" w:type="dxa"/>
            <w:vMerge w:val="continue"/>
          </w:tcPr>
          <w:p w14:paraId="65EE99BA">
            <w:pPr>
              <w:spacing w:line="240" w:lineRule="exact"/>
              <w:jc w:val="left"/>
              <w:rPr>
                <w:rFonts w:ascii="宋体"/>
                <w:kern w:val="0"/>
              </w:rPr>
            </w:pPr>
          </w:p>
        </w:tc>
        <w:tc>
          <w:tcPr>
            <w:tcW w:w="1086" w:type="dxa"/>
            <w:vMerge w:val="continue"/>
          </w:tcPr>
          <w:p w14:paraId="6B4C3ED7">
            <w:pPr>
              <w:widowControl/>
              <w:spacing w:line="240" w:lineRule="exact"/>
              <w:jc w:val="left"/>
              <w:rPr>
                <w:rFonts w:ascii="宋体"/>
                <w:kern w:val="0"/>
              </w:rPr>
            </w:pPr>
          </w:p>
        </w:tc>
        <w:tc>
          <w:tcPr>
            <w:tcW w:w="1559" w:type="dxa"/>
            <w:vMerge w:val="continue"/>
          </w:tcPr>
          <w:p w14:paraId="24FB0E70">
            <w:pPr>
              <w:spacing w:line="240" w:lineRule="exact"/>
              <w:jc w:val="left"/>
              <w:rPr>
                <w:rFonts w:ascii="宋体"/>
                <w:kern w:val="0"/>
              </w:rPr>
            </w:pPr>
          </w:p>
        </w:tc>
        <w:tc>
          <w:tcPr>
            <w:tcW w:w="1134" w:type="dxa"/>
            <w:vMerge w:val="continue"/>
            <w:vAlign w:val="center"/>
          </w:tcPr>
          <w:p w14:paraId="06AA71DF">
            <w:pPr>
              <w:spacing w:line="240" w:lineRule="exact"/>
              <w:jc w:val="center"/>
              <w:rPr>
                <w:rFonts w:ascii="宋体"/>
                <w:kern w:val="0"/>
              </w:rPr>
            </w:pPr>
          </w:p>
        </w:tc>
        <w:tc>
          <w:tcPr>
            <w:tcW w:w="3402" w:type="dxa"/>
            <w:vAlign w:val="center"/>
          </w:tcPr>
          <w:p w14:paraId="62617763">
            <w:pPr>
              <w:spacing w:line="240" w:lineRule="atLeast"/>
              <w:jc w:val="left"/>
              <w:rPr>
                <w:rFonts w:ascii="宋体"/>
              </w:rPr>
            </w:pPr>
            <w:r>
              <w:rPr>
                <w:rFonts w:hint="eastAsia" w:ascii="宋体"/>
              </w:rPr>
              <w:t>1.造成一般事故或险情的；</w:t>
            </w:r>
          </w:p>
          <w:p w14:paraId="1BB1601F">
            <w:pPr>
              <w:spacing w:line="240" w:lineRule="atLeast"/>
              <w:jc w:val="left"/>
              <w:rPr>
                <w:rFonts w:ascii="宋体"/>
                <w:kern w:val="0"/>
              </w:rPr>
            </w:pPr>
            <w:r>
              <w:rPr>
                <w:rFonts w:hint="eastAsia" w:ascii="宋体"/>
              </w:rPr>
              <w:t>2.具有其他较重情节的。</w:t>
            </w:r>
          </w:p>
        </w:tc>
        <w:tc>
          <w:tcPr>
            <w:tcW w:w="6662" w:type="dxa"/>
            <w:vAlign w:val="center"/>
          </w:tcPr>
          <w:p w14:paraId="00FC1C4B">
            <w:pPr>
              <w:spacing w:line="240" w:lineRule="atLeast"/>
              <w:jc w:val="center"/>
              <w:rPr>
                <w:rFonts w:ascii="宋体"/>
                <w:kern w:val="0"/>
              </w:rPr>
            </w:pPr>
            <w:r>
              <w:rPr>
                <w:rFonts w:hint="eastAsia" w:ascii="宋体"/>
                <w:kern w:val="0"/>
              </w:rPr>
              <w:t>5-10万元</w:t>
            </w:r>
          </w:p>
        </w:tc>
        <w:tc>
          <w:tcPr>
            <w:tcW w:w="2461" w:type="dxa"/>
            <w:vAlign w:val="center"/>
          </w:tcPr>
          <w:p w14:paraId="62788C1A">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14:paraId="6DD4D9D0">
            <w:pPr>
              <w:spacing w:line="240" w:lineRule="atLeast"/>
              <w:jc w:val="center"/>
              <w:rPr>
                <w:rFonts w:ascii="宋体"/>
                <w:kern w:val="0"/>
              </w:rPr>
            </w:pPr>
            <w:r>
              <w:rPr>
                <w:rFonts w:hint="eastAsia" w:ascii="宋体"/>
                <w:kern w:val="0"/>
              </w:rPr>
              <w:t>1-2万元、并暂扣适任证书5个月至12个月</w:t>
            </w:r>
          </w:p>
        </w:tc>
      </w:tr>
      <w:tr w14:paraId="5185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6" w:type="dxa"/>
            <w:vMerge w:val="continue"/>
          </w:tcPr>
          <w:p w14:paraId="006E59E1">
            <w:pPr>
              <w:spacing w:line="240" w:lineRule="exact"/>
              <w:jc w:val="left"/>
              <w:rPr>
                <w:rFonts w:ascii="宋体"/>
                <w:kern w:val="0"/>
              </w:rPr>
            </w:pPr>
          </w:p>
        </w:tc>
        <w:tc>
          <w:tcPr>
            <w:tcW w:w="1086" w:type="dxa"/>
            <w:vMerge w:val="continue"/>
          </w:tcPr>
          <w:p w14:paraId="43B96F12">
            <w:pPr>
              <w:spacing w:line="240" w:lineRule="exact"/>
              <w:jc w:val="left"/>
              <w:rPr>
                <w:rFonts w:ascii="宋体"/>
                <w:kern w:val="0"/>
              </w:rPr>
            </w:pPr>
          </w:p>
        </w:tc>
        <w:tc>
          <w:tcPr>
            <w:tcW w:w="1559" w:type="dxa"/>
            <w:vMerge w:val="continue"/>
          </w:tcPr>
          <w:p w14:paraId="7905F6C7">
            <w:pPr>
              <w:spacing w:line="240" w:lineRule="exact"/>
              <w:jc w:val="left"/>
              <w:rPr>
                <w:rFonts w:ascii="宋体"/>
                <w:kern w:val="0"/>
              </w:rPr>
            </w:pPr>
          </w:p>
        </w:tc>
        <w:tc>
          <w:tcPr>
            <w:tcW w:w="1134" w:type="dxa"/>
            <w:vAlign w:val="center"/>
          </w:tcPr>
          <w:p w14:paraId="5B36347E">
            <w:pPr>
              <w:spacing w:line="240" w:lineRule="exact"/>
              <w:jc w:val="center"/>
              <w:rPr>
                <w:rFonts w:ascii="宋体"/>
                <w:kern w:val="0"/>
              </w:rPr>
            </w:pPr>
            <w:r>
              <w:rPr>
                <w:rFonts w:hint="eastAsia" w:ascii="宋体"/>
                <w:kern w:val="0"/>
              </w:rPr>
              <w:t>情节严重</w:t>
            </w:r>
          </w:p>
        </w:tc>
        <w:tc>
          <w:tcPr>
            <w:tcW w:w="3402" w:type="dxa"/>
            <w:vAlign w:val="center"/>
          </w:tcPr>
          <w:p w14:paraId="7E087C04">
            <w:pPr>
              <w:spacing w:line="240" w:lineRule="atLeast"/>
              <w:jc w:val="left"/>
              <w:rPr>
                <w:rFonts w:ascii="宋体"/>
              </w:rPr>
            </w:pPr>
            <w:r>
              <w:rPr>
                <w:rFonts w:hint="eastAsia" w:ascii="宋体"/>
              </w:rPr>
              <w:t>1.造成较大等级以上事故的；</w:t>
            </w:r>
          </w:p>
          <w:p w14:paraId="194094F8">
            <w:pPr>
              <w:spacing w:line="240" w:lineRule="atLeast"/>
              <w:jc w:val="left"/>
              <w:rPr>
                <w:rFonts w:ascii="宋体"/>
              </w:rPr>
            </w:pPr>
            <w:r>
              <w:rPr>
                <w:rFonts w:hint="eastAsia" w:ascii="宋体"/>
              </w:rPr>
              <w:t>2.具有其他严重情节的。</w:t>
            </w:r>
          </w:p>
        </w:tc>
        <w:tc>
          <w:tcPr>
            <w:tcW w:w="6662" w:type="dxa"/>
            <w:vAlign w:val="center"/>
          </w:tcPr>
          <w:p w14:paraId="4AA13F6D">
            <w:pPr>
              <w:spacing w:line="240" w:lineRule="atLeast"/>
              <w:jc w:val="center"/>
              <w:rPr>
                <w:rFonts w:ascii="宋体"/>
                <w:kern w:val="0"/>
              </w:rPr>
            </w:pPr>
            <w:r>
              <w:rPr>
                <w:rFonts w:hint="eastAsia" w:ascii="宋体"/>
                <w:kern w:val="0"/>
              </w:rPr>
              <w:t>10-20万元</w:t>
            </w:r>
          </w:p>
        </w:tc>
        <w:tc>
          <w:tcPr>
            <w:tcW w:w="2461" w:type="dxa"/>
            <w:vAlign w:val="center"/>
          </w:tcPr>
          <w:p w14:paraId="1B98D98B">
            <w:pPr>
              <w:spacing w:line="240" w:lineRule="atLeast"/>
              <w:jc w:val="center"/>
              <w:rPr>
                <w:rFonts w:ascii="宋体"/>
                <w:kern w:val="0"/>
              </w:rPr>
            </w:pPr>
            <w:r>
              <w:rPr>
                <w:rFonts w:hint="eastAsia" w:ascii="宋体"/>
                <w:kern w:val="0"/>
              </w:rPr>
              <w:t>吊销适任证书</w:t>
            </w:r>
          </w:p>
        </w:tc>
        <w:tc>
          <w:tcPr>
            <w:tcW w:w="2835" w:type="dxa"/>
            <w:vAlign w:val="center"/>
          </w:tcPr>
          <w:p w14:paraId="4CF71161">
            <w:pPr>
              <w:spacing w:line="240" w:lineRule="atLeast"/>
              <w:jc w:val="center"/>
              <w:rPr>
                <w:rFonts w:ascii="宋体"/>
                <w:kern w:val="0"/>
              </w:rPr>
            </w:pPr>
            <w:r>
              <w:rPr>
                <w:rFonts w:hint="eastAsia" w:ascii="宋体"/>
                <w:kern w:val="0"/>
              </w:rPr>
              <w:t>吊销适任证书</w:t>
            </w:r>
          </w:p>
        </w:tc>
      </w:tr>
    </w:tbl>
    <w:p w14:paraId="43A26C4D">
      <w:pPr>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1071"/>
        <w:gridCol w:w="1559"/>
        <w:gridCol w:w="1090"/>
        <w:gridCol w:w="3446"/>
        <w:gridCol w:w="6662"/>
        <w:gridCol w:w="2319"/>
        <w:gridCol w:w="2977"/>
      </w:tblGrid>
      <w:tr w14:paraId="2C50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71" w:type="dxa"/>
            <w:vMerge w:val="restart"/>
            <w:vAlign w:val="center"/>
          </w:tcPr>
          <w:p w14:paraId="5C9E9847">
            <w:pPr>
              <w:spacing w:line="240" w:lineRule="exact"/>
              <w:jc w:val="center"/>
              <w:rPr>
                <w:rFonts w:ascii="宋体"/>
                <w:b/>
                <w:kern w:val="0"/>
              </w:rPr>
            </w:pPr>
            <w:r>
              <w:rPr>
                <w:rFonts w:hint="eastAsia" w:ascii="宋体"/>
                <w:b/>
                <w:kern w:val="0"/>
              </w:rPr>
              <w:t>案由14</w:t>
            </w:r>
          </w:p>
        </w:tc>
        <w:tc>
          <w:tcPr>
            <w:tcW w:w="2630" w:type="dxa"/>
            <w:gridSpan w:val="2"/>
            <w:vAlign w:val="center"/>
          </w:tcPr>
          <w:p w14:paraId="31EDA856">
            <w:pPr>
              <w:spacing w:line="240" w:lineRule="exact"/>
              <w:jc w:val="center"/>
              <w:rPr>
                <w:rFonts w:ascii="宋体"/>
                <w:b/>
                <w:kern w:val="0"/>
              </w:rPr>
            </w:pPr>
            <w:r>
              <w:rPr>
                <w:rFonts w:hint="eastAsia" w:ascii="宋体"/>
                <w:b/>
                <w:kern w:val="0"/>
              </w:rPr>
              <w:t>法律依据</w:t>
            </w:r>
          </w:p>
        </w:tc>
        <w:tc>
          <w:tcPr>
            <w:tcW w:w="1090" w:type="dxa"/>
            <w:vMerge w:val="restart"/>
            <w:vAlign w:val="center"/>
          </w:tcPr>
          <w:p w14:paraId="022B70FB">
            <w:pPr>
              <w:spacing w:line="240" w:lineRule="exact"/>
              <w:jc w:val="center"/>
              <w:rPr>
                <w:rFonts w:ascii="宋体"/>
                <w:b/>
                <w:kern w:val="0"/>
              </w:rPr>
            </w:pPr>
            <w:r>
              <w:rPr>
                <w:rFonts w:hint="eastAsia" w:ascii="宋体"/>
                <w:b/>
                <w:kern w:val="0"/>
              </w:rPr>
              <w:t>违法情节</w:t>
            </w:r>
          </w:p>
        </w:tc>
        <w:tc>
          <w:tcPr>
            <w:tcW w:w="3446" w:type="dxa"/>
            <w:vMerge w:val="restart"/>
            <w:vAlign w:val="center"/>
          </w:tcPr>
          <w:p w14:paraId="63CE8E9B">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22406665">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4086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71" w:type="dxa"/>
            <w:vMerge w:val="continue"/>
            <w:vAlign w:val="center"/>
          </w:tcPr>
          <w:p w14:paraId="43E4489E">
            <w:pPr>
              <w:spacing w:line="240" w:lineRule="exact"/>
              <w:jc w:val="center"/>
              <w:rPr>
                <w:rFonts w:ascii="宋体"/>
                <w:b/>
                <w:kern w:val="0"/>
              </w:rPr>
            </w:pPr>
          </w:p>
        </w:tc>
        <w:tc>
          <w:tcPr>
            <w:tcW w:w="1071" w:type="dxa"/>
            <w:vAlign w:val="center"/>
          </w:tcPr>
          <w:p w14:paraId="186AD5DE">
            <w:pPr>
              <w:spacing w:line="240" w:lineRule="exact"/>
              <w:jc w:val="center"/>
              <w:rPr>
                <w:rFonts w:ascii="宋体"/>
                <w:b/>
                <w:kern w:val="0"/>
              </w:rPr>
            </w:pPr>
            <w:r>
              <w:rPr>
                <w:rFonts w:hint="eastAsia" w:ascii="宋体"/>
                <w:b/>
                <w:kern w:val="0"/>
              </w:rPr>
              <w:t>违反条款</w:t>
            </w:r>
          </w:p>
        </w:tc>
        <w:tc>
          <w:tcPr>
            <w:tcW w:w="1559" w:type="dxa"/>
            <w:vAlign w:val="center"/>
          </w:tcPr>
          <w:p w14:paraId="1BEA916F">
            <w:pPr>
              <w:spacing w:line="240" w:lineRule="exact"/>
              <w:jc w:val="center"/>
              <w:rPr>
                <w:rFonts w:ascii="宋体"/>
                <w:b/>
                <w:kern w:val="0"/>
              </w:rPr>
            </w:pPr>
            <w:r>
              <w:rPr>
                <w:rFonts w:hint="eastAsia" w:ascii="宋体"/>
                <w:b/>
                <w:kern w:val="0"/>
              </w:rPr>
              <w:t>处罚依据</w:t>
            </w:r>
          </w:p>
        </w:tc>
        <w:tc>
          <w:tcPr>
            <w:tcW w:w="1090" w:type="dxa"/>
            <w:vMerge w:val="continue"/>
            <w:vAlign w:val="center"/>
          </w:tcPr>
          <w:p w14:paraId="51210841">
            <w:pPr>
              <w:spacing w:line="240" w:lineRule="exact"/>
              <w:jc w:val="center"/>
              <w:rPr>
                <w:rFonts w:ascii="宋体"/>
                <w:b/>
                <w:kern w:val="0"/>
              </w:rPr>
            </w:pPr>
          </w:p>
        </w:tc>
        <w:tc>
          <w:tcPr>
            <w:tcW w:w="3446" w:type="dxa"/>
            <w:vMerge w:val="continue"/>
            <w:vAlign w:val="center"/>
          </w:tcPr>
          <w:p w14:paraId="40AF0614">
            <w:pPr>
              <w:spacing w:line="240" w:lineRule="exact"/>
              <w:jc w:val="center"/>
              <w:rPr>
                <w:rFonts w:ascii="宋体"/>
                <w:b/>
                <w:kern w:val="0"/>
              </w:rPr>
            </w:pPr>
          </w:p>
        </w:tc>
        <w:tc>
          <w:tcPr>
            <w:tcW w:w="6662" w:type="dxa"/>
            <w:vAlign w:val="center"/>
          </w:tcPr>
          <w:p w14:paraId="5B301BFE">
            <w:pPr>
              <w:spacing w:line="240" w:lineRule="exact"/>
              <w:jc w:val="center"/>
              <w:rPr>
                <w:rFonts w:ascii="宋体"/>
                <w:b/>
                <w:kern w:val="0"/>
              </w:rPr>
            </w:pPr>
            <w:r>
              <w:rPr>
                <w:rFonts w:hint="eastAsia" w:ascii="宋体"/>
                <w:b/>
                <w:kern w:val="0"/>
              </w:rPr>
              <w:t>【对象】对船舶的所有人、经营人或者管理人</w:t>
            </w:r>
          </w:p>
        </w:tc>
        <w:tc>
          <w:tcPr>
            <w:tcW w:w="2319" w:type="dxa"/>
            <w:vAlign w:val="center"/>
          </w:tcPr>
          <w:p w14:paraId="132A9212">
            <w:pPr>
              <w:spacing w:line="240" w:lineRule="exact"/>
              <w:jc w:val="center"/>
              <w:rPr>
                <w:rFonts w:ascii="宋体"/>
                <w:b/>
                <w:kern w:val="0"/>
              </w:rPr>
            </w:pPr>
            <w:r>
              <w:rPr>
                <w:rFonts w:hint="eastAsia" w:ascii="宋体"/>
                <w:b/>
                <w:kern w:val="0"/>
              </w:rPr>
              <w:t>【对象】船长</w:t>
            </w:r>
          </w:p>
        </w:tc>
        <w:tc>
          <w:tcPr>
            <w:tcW w:w="2977" w:type="dxa"/>
            <w:vAlign w:val="center"/>
          </w:tcPr>
          <w:p w14:paraId="6F5651CE">
            <w:pPr>
              <w:spacing w:line="240" w:lineRule="exact"/>
              <w:jc w:val="center"/>
              <w:rPr>
                <w:rFonts w:ascii="宋体"/>
                <w:b/>
                <w:kern w:val="0"/>
              </w:rPr>
            </w:pPr>
            <w:r>
              <w:rPr>
                <w:rFonts w:hint="eastAsia" w:ascii="宋体"/>
                <w:b/>
                <w:kern w:val="0"/>
              </w:rPr>
              <w:t>【对象】责任船员</w:t>
            </w:r>
          </w:p>
        </w:tc>
      </w:tr>
      <w:tr w14:paraId="5CB5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71" w:type="dxa"/>
            <w:vMerge w:val="restart"/>
            <w:vAlign w:val="center"/>
          </w:tcPr>
          <w:p w14:paraId="363475C4">
            <w:pPr>
              <w:widowControl/>
              <w:spacing w:line="240" w:lineRule="exact"/>
              <w:jc w:val="left"/>
              <w:rPr>
                <w:rFonts w:ascii="宋体"/>
                <w:b/>
                <w:kern w:val="0"/>
              </w:rPr>
            </w:pPr>
            <w:r>
              <w:rPr>
                <w:rFonts w:hint="eastAsia" w:ascii="宋体"/>
                <w:bCs/>
                <w:kern w:val="0"/>
              </w:rPr>
              <w:t>不符合安全开航条件冒险开航</w:t>
            </w:r>
          </w:p>
        </w:tc>
        <w:tc>
          <w:tcPr>
            <w:tcW w:w="1071" w:type="dxa"/>
            <w:vMerge w:val="restart"/>
            <w:vAlign w:val="center"/>
          </w:tcPr>
          <w:p w14:paraId="44078944">
            <w:pPr>
              <w:widowControl/>
              <w:spacing w:line="240" w:lineRule="exact"/>
              <w:jc w:val="left"/>
              <w:rPr>
                <w:rFonts w:ascii="宋体"/>
                <w:kern w:val="0"/>
              </w:rPr>
            </w:pPr>
            <w:r>
              <w:rPr>
                <w:rFonts w:hint="eastAsia" w:ascii="宋体"/>
                <w:kern w:val="0"/>
              </w:rPr>
              <w:t>1.《中华人民共和国海上交通安全法》第三十四条第一款；</w:t>
            </w:r>
          </w:p>
          <w:p w14:paraId="0BA37887">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4EC84510">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14:paraId="3D63D385">
            <w:pPr>
              <w:spacing w:line="240" w:lineRule="exact"/>
              <w:jc w:val="left"/>
              <w:rPr>
                <w:rFonts w:ascii="宋体"/>
                <w:kern w:val="0"/>
              </w:rPr>
            </w:pPr>
            <w:r>
              <w:rPr>
                <w:rFonts w:hint="eastAsia" w:ascii="宋体"/>
                <w:kern w:val="0"/>
              </w:rPr>
              <w:t>2.《中华人民共和国海上海事行政处罚规定》第七条。</w:t>
            </w:r>
          </w:p>
        </w:tc>
        <w:tc>
          <w:tcPr>
            <w:tcW w:w="1090" w:type="dxa"/>
            <w:vAlign w:val="center"/>
          </w:tcPr>
          <w:p w14:paraId="1B9BF03F">
            <w:pPr>
              <w:spacing w:line="240" w:lineRule="exact"/>
              <w:jc w:val="center"/>
              <w:rPr>
                <w:rFonts w:ascii="宋体"/>
                <w:kern w:val="0"/>
              </w:rPr>
            </w:pPr>
            <w:r>
              <w:rPr>
                <w:rFonts w:hint="eastAsia" w:ascii="宋体"/>
                <w:kern w:val="0"/>
              </w:rPr>
              <w:t>从轻</w:t>
            </w:r>
          </w:p>
        </w:tc>
        <w:tc>
          <w:tcPr>
            <w:tcW w:w="3446" w:type="dxa"/>
            <w:vAlign w:val="center"/>
          </w:tcPr>
          <w:p w14:paraId="2217B6A8">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2AF9FBA2">
            <w:pPr>
              <w:spacing w:line="240" w:lineRule="atLeast"/>
              <w:jc w:val="center"/>
              <w:rPr>
                <w:rFonts w:ascii="宋体"/>
                <w:kern w:val="0"/>
              </w:rPr>
            </w:pPr>
            <w:r>
              <w:rPr>
                <w:rFonts w:hint="eastAsia" w:ascii="宋体"/>
                <w:kern w:val="0"/>
              </w:rPr>
              <w:t>2-3万元</w:t>
            </w:r>
          </w:p>
        </w:tc>
        <w:tc>
          <w:tcPr>
            <w:tcW w:w="2319" w:type="dxa"/>
            <w:vAlign w:val="center"/>
          </w:tcPr>
          <w:p w14:paraId="32375948">
            <w:pPr>
              <w:spacing w:line="240" w:lineRule="atLeast"/>
              <w:jc w:val="center"/>
              <w:rPr>
                <w:rFonts w:ascii="宋体"/>
                <w:kern w:val="0"/>
              </w:rPr>
            </w:pPr>
            <w:r>
              <w:rPr>
                <w:rFonts w:hint="eastAsia" w:ascii="宋体"/>
                <w:kern w:val="0"/>
              </w:rPr>
              <w:t>2000-5000元、并暂扣适任证书3个月至4个月</w:t>
            </w:r>
          </w:p>
        </w:tc>
        <w:tc>
          <w:tcPr>
            <w:tcW w:w="2977" w:type="dxa"/>
            <w:vAlign w:val="center"/>
          </w:tcPr>
          <w:p w14:paraId="0C1742EB">
            <w:pPr>
              <w:spacing w:line="240" w:lineRule="atLeast"/>
              <w:jc w:val="center"/>
              <w:rPr>
                <w:rFonts w:ascii="宋体"/>
                <w:kern w:val="0"/>
              </w:rPr>
            </w:pPr>
            <w:r>
              <w:rPr>
                <w:rFonts w:hint="eastAsia" w:ascii="宋体"/>
                <w:kern w:val="0"/>
              </w:rPr>
              <w:t>2000-4000元、并暂扣适任证书3个月至4个月</w:t>
            </w:r>
          </w:p>
        </w:tc>
      </w:tr>
      <w:tr w14:paraId="74F1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71" w:type="dxa"/>
            <w:vMerge w:val="continue"/>
            <w:vAlign w:val="center"/>
          </w:tcPr>
          <w:p w14:paraId="115DEF16">
            <w:pPr>
              <w:spacing w:line="240" w:lineRule="exact"/>
              <w:jc w:val="center"/>
              <w:rPr>
                <w:rFonts w:ascii="宋体"/>
                <w:kern w:val="0"/>
              </w:rPr>
            </w:pPr>
          </w:p>
        </w:tc>
        <w:tc>
          <w:tcPr>
            <w:tcW w:w="1071" w:type="dxa"/>
            <w:vMerge w:val="continue"/>
            <w:vAlign w:val="center"/>
          </w:tcPr>
          <w:p w14:paraId="537C9F25">
            <w:pPr>
              <w:widowControl/>
              <w:spacing w:line="240" w:lineRule="exact"/>
              <w:jc w:val="center"/>
              <w:rPr>
                <w:rFonts w:ascii="宋体"/>
                <w:kern w:val="0"/>
              </w:rPr>
            </w:pPr>
          </w:p>
        </w:tc>
        <w:tc>
          <w:tcPr>
            <w:tcW w:w="1559" w:type="dxa"/>
            <w:vMerge w:val="continue"/>
            <w:vAlign w:val="center"/>
          </w:tcPr>
          <w:p w14:paraId="1CEA41B6">
            <w:pPr>
              <w:spacing w:line="240" w:lineRule="exact"/>
              <w:jc w:val="center"/>
              <w:rPr>
                <w:rFonts w:ascii="宋体"/>
                <w:kern w:val="0"/>
              </w:rPr>
            </w:pPr>
          </w:p>
        </w:tc>
        <w:tc>
          <w:tcPr>
            <w:tcW w:w="1090" w:type="dxa"/>
            <w:vMerge w:val="restart"/>
            <w:vAlign w:val="center"/>
          </w:tcPr>
          <w:p w14:paraId="1EE3A14D">
            <w:pPr>
              <w:spacing w:line="240" w:lineRule="exact"/>
              <w:jc w:val="center"/>
              <w:rPr>
                <w:rFonts w:ascii="宋体"/>
                <w:kern w:val="0"/>
              </w:rPr>
            </w:pPr>
            <w:r>
              <w:rPr>
                <w:rFonts w:hint="eastAsia" w:ascii="宋体"/>
                <w:kern w:val="0"/>
              </w:rPr>
              <w:t>一般</w:t>
            </w:r>
          </w:p>
        </w:tc>
        <w:tc>
          <w:tcPr>
            <w:tcW w:w="3446" w:type="dxa"/>
            <w:vAlign w:val="center"/>
          </w:tcPr>
          <w:p w14:paraId="436EB4DD">
            <w:pPr>
              <w:widowControl/>
              <w:spacing w:line="240" w:lineRule="exact"/>
              <w:jc w:val="left"/>
              <w:rPr>
                <w:rFonts w:ascii="宋体"/>
                <w:kern w:val="0"/>
              </w:rPr>
            </w:pPr>
            <w:r>
              <w:rPr>
                <w:rFonts w:hint="eastAsia" w:ascii="宋体"/>
                <w:kern w:val="0"/>
              </w:rPr>
              <w:t>一般船舶不符合安全开航条件冒险开航</w:t>
            </w:r>
          </w:p>
        </w:tc>
        <w:tc>
          <w:tcPr>
            <w:tcW w:w="6662" w:type="dxa"/>
            <w:vAlign w:val="center"/>
          </w:tcPr>
          <w:p w14:paraId="61B5E2E3">
            <w:pPr>
              <w:spacing w:line="240" w:lineRule="atLeast"/>
              <w:jc w:val="center"/>
              <w:rPr>
                <w:rFonts w:ascii="宋体"/>
                <w:kern w:val="0"/>
              </w:rPr>
            </w:pPr>
            <w:r>
              <w:rPr>
                <w:rFonts w:hint="eastAsia" w:ascii="宋体"/>
                <w:kern w:val="0"/>
              </w:rPr>
              <w:t>3-4万元</w:t>
            </w:r>
          </w:p>
        </w:tc>
        <w:tc>
          <w:tcPr>
            <w:tcW w:w="2319" w:type="dxa"/>
            <w:vAlign w:val="center"/>
          </w:tcPr>
          <w:p w14:paraId="5AD0DFBF">
            <w:pPr>
              <w:spacing w:line="240" w:lineRule="atLeast"/>
              <w:jc w:val="center"/>
              <w:rPr>
                <w:rFonts w:ascii="宋体"/>
                <w:kern w:val="0"/>
              </w:rPr>
            </w:pPr>
            <w:r>
              <w:rPr>
                <w:rFonts w:hint="eastAsia" w:ascii="宋体"/>
                <w:kern w:val="0"/>
              </w:rPr>
              <w:t>5000-8000元、并暂扣适任证书3个月至5个月</w:t>
            </w:r>
          </w:p>
        </w:tc>
        <w:tc>
          <w:tcPr>
            <w:tcW w:w="2977" w:type="dxa"/>
            <w:vAlign w:val="center"/>
          </w:tcPr>
          <w:p w14:paraId="5E4CC864">
            <w:pPr>
              <w:spacing w:line="240" w:lineRule="atLeast"/>
              <w:jc w:val="center"/>
              <w:rPr>
                <w:rFonts w:ascii="宋体"/>
                <w:b/>
                <w:kern w:val="0"/>
              </w:rPr>
            </w:pPr>
            <w:r>
              <w:rPr>
                <w:rFonts w:hint="eastAsia" w:ascii="宋体"/>
                <w:kern w:val="0"/>
              </w:rPr>
              <w:t>4000元-6000、并暂扣适任证书3个月至4个月</w:t>
            </w:r>
          </w:p>
        </w:tc>
      </w:tr>
      <w:tr w14:paraId="10412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1" w:type="dxa"/>
            <w:vMerge w:val="continue"/>
            <w:vAlign w:val="center"/>
          </w:tcPr>
          <w:p w14:paraId="40EF9F57">
            <w:pPr>
              <w:spacing w:line="240" w:lineRule="exact"/>
              <w:jc w:val="center"/>
              <w:rPr>
                <w:rFonts w:ascii="宋体"/>
                <w:kern w:val="0"/>
              </w:rPr>
            </w:pPr>
          </w:p>
        </w:tc>
        <w:tc>
          <w:tcPr>
            <w:tcW w:w="1071" w:type="dxa"/>
            <w:vMerge w:val="continue"/>
            <w:vAlign w:val="center"/>
          </w:tcPr>
          <w:p w14:paraId="3C293BB2">
            <w:pPr>
              <w:widowControl/>
              <w:spacing w:line="240" w:lineRule="exact"/>
              <w:jc w:val="center"/>
              <w:rPr>
                <w:rFonts w:ascii="宋体"/>
                <w:kern w:val="0"/>
              </w:rPr>
            </w:pPr>
          </w:p>
        </w:tc>
        <w:tc>
          <w:tcPr>
            <w:tcW w:w="1559" w:type="dxa"/>
            <w:vMerge w:val="continue"/>
            <w:vAlign w:val="center"/>
          </w:tcPr>
          <w:p w14:paraId="2CCD5384">
            <w:pPr>
              <w:spacing w:line="240" w:lineRule="exact"/>
              <w:jc w:val="center"/>
              <w:rPr>
                <w:rFonts w:ascii="宋体"/>
                <w:kern w:val="0"/>
              </w:rPr>
            </w:pPr>
          </w:p>
        </w:tc>
        <w:tc>
          <w:tcPr>
            <w:tcW w:w="1090" w:type="dxa"/>
            <w:vMerge w:val="continue"/>
            <w:vAlign w:val="center"/>
          </w:tcPr>
          <w:p w14:paraId="4AC6AC3C">
            <w:pPr>
              <w:spacing w:line="240" w:lineRule="exact"/>
              <w:jc w:val="center"/>
              <w:rPr>
                <w:rFonts w:ascii="宋体"/>
                <w:kern w:val="0"/>
              </w:rPr>
            </w:pPr>
          </w:p>
        </w:tc>
        <w:tc>
          <w:tcPr>
            <w:tcW w:w="3446" w:type="dxa"/>
            <w:vAlign w:val="center"/>
          </w:tcPr>
          <w:p w14:paraId="707A0303">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不符合安全开航条件冒险开航</w:t>
            </w:r>
          </w:p>
        </w:tc>
        <w:tc>
          <w:tcPr>
            <w:tcW w:w="6662" w:type="dxa"/>
            <w:vAlign w:val="center"/>
          </w:tcPr>
          <w:p w14:paraId="2763154A">
            <w:pPr>
              <w:spacing w:line="240" w:lineRule="atLeast"/>
              <w:jc w:val="center"/>
              <w:rPr>
                <w:rFonts w:ascii="宋体"/>
                <w:kern w:val="0"/>
              </w:rPr>
            </w:pPr>
            <w:r>
              <w:rPr>
                <w:rFonts w:hint="eastAsia" w:ascii="宋体"/>
                <w:kern w:val="0"/>
              </w:rPr>
              <w:t>4-5万元</w:t>
            </w:r>
          </w:p>
        </w:tc>
        <w:tc>
          <w:tcPr>
            <w:tcW w:w="2319" w:type="dxa"/>
            <w:vAlign w:val="center"/>
          </w:tcPr>
          <w:p w14:paraId="4C744638">
            <w:pPr>
              <w:spacing w:line="240" w:lineRule="atLeast"/>
              <w:jc w:val="center"/>
              <w:rPr>
                <w:rFonts w:ascii="宋体"/>
                <w:kern w:val="0"/>
              </w:rPr>
            </w:pPr>
            <w:r>
              <w:rPr>
                <w:rFonts w:hint="eastAsia" w:ascii="宋体"/>
                <w:kern w:val="0"/>
              </w:rPr>
              <w:t>8000元-1万元、并暂扣适任证书4个月至6个月</w:t>
            </w:r>
          </w:p>
        </w:tc>
        <w:tc>
          <w:tcPr>
            <w:tcW w:w="2977" w:type="dxa"/>
            <w:vAlign w:val="center"/>
          </w:tcPr>
          <w:p w14:paraId="25BC7D7F">
            <w:pPr>
              <w:spacing w:line="240" w:lineRule="atLeast"/>
              <w:jc w:val="center"/>
              <w:rPr>
                <w:rFonts w:ascii="宋体"/>
                <w:kern w:val="0"/>
              </w:rPr>
            </w:pPr>
            <w:r>
              <w:rPr>
                <w:rFonts w:hint="eastAsia" w:ascii="宋体"/>
                <w:kern w:val="0"/>
              </w:rPr>
              <w:t>6000元-1万元、并暂扣适任证书4个月至5个月</w:t>
            </w:r>
          </w:p>
        </w:tc>
      </w:tr>
      <w:tr w14:paraId="4A40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1" w:type="dxa"/>
            <w:vMerge w:val="continue"/>
            <w:vAlign w:val="center"/>
          </w:tcPr>
          <w:p w14:paraId="76B11F5D">
            <w:pPr>
              <w:spacing w:line="240" w:lineRule="exact"/>
              <w:jc w:val="center"/>
              <w:rPr>
                <w:rFonts w:ascii="宋体"/>
                <w:kern w:val="0"/>
              </w:rPr>
            </w:pPr>
          </w:p>
        </w:tc>
        <w:tc>
          <w:tcPr>
            <w:tcW w:w="1071" w:type="dxa"/>
            <w:vMerge w:val="continue"/>
            <w:vAlign w:val="center"/>
          </w:tcPr>
          <w:p w14:paraId="0F062716">
            <w:pPr>
              <w:spacing w:line="240" w:lineRule="exact"/>
              <w:jc w:val="center"/>
              <w:rPr>
                <w:rFonts w:ascii="宋体"/>
                <w:kern w:val="0"/>
              </w:rPr>
            </w:pPr>
          </w:p>
        </w:tc>
        <w:tc>
          <w:tcPr>
            <w:tcW w:w="1559" w:type="dxa"/>
            <w:vMerge w:val="continue"/>
            <w:vAlign w:val="center"/>
          </w:tcPr>
          <w:p w14:paraId="1B42816C">
            <w:pPr>
              <w:spacing w:line="240" w:lineRule="exact"/>
              <w:jc w:val="center"/>
              <w:rPr>
                <w:rFonts w:ascii="宋体"/>
                <w:kern w:val="0"/>
              </w:rPr>
            </w:pPr>
          </w:p>
        </w:tc>
        <w:tc>
          <w:tcPr>
            <w:tcW w:w="1090" w:type="dxa"/>
            <w:vMerge w:val="continue"/>
            <w:vAlign w:val="center"/>
          </w:tcPr>
          <w:p w14:paraId="5A07CF28">
            <w:pPr>
              <w:spacing w:line="240" w:lineRule="exact"/>
              <w:jc w:val="center"/>
              <w:rPr>
                <w:rFonts w:ascii="宋体"/>
                <w:kern w:val="0"/>
              </w:rPr>
            </w:pPr>
          </w:p>
        </w:tc>
        <w:tc>
          <w:tcPr>
            <w:tcW w:w="3446" w:type="dxa"/>
            <w:vAlign w:val="center"/>
          </w:tcPr>
          <w:p w14:paraId="3DF0C569">
            <w:pPr>
              <w:spacing w:line="240" w:lineRule="atLeast"/>
              <w:jc w:val="left"/>
              <w:rPr>
                <w:rFonts w:ascii="宋体"/>
              </w:rPr>
            </w:pPr>
            <w:r>
              <w:rPr>
                <w:rFonts w:hint="eastAsia" w:ascii="宋体"/>
              </w:rPr>
              <w:t>1.造成一般事故或险情的；</w:t>
            </w:r>
          </w:p>
          <w:p w14:paraId="0191E07A">
            <w:pPr>
              <w:spacing w:line="240" w:lineRule="atLeast"/>
              <w:jc w:val="left"/>
              <w:rPr>
                <w:rFonts w:ascii="宋体"/>
                <w:kern w:val="0"/>
              </w:rPr>
            </w:pPr>
            <w:r>
              <w:rPr>
                <w:rFonts w:hint="eastAsia" w:ascii="宋体"/>
              </w:rPr>
              <w:t>2.具有其他较重情节的。</w:t>
            </w:r>
          </w:p>
        </w:tc>
        <w:tc>
          <w:tcPr>
            <w:tcW w:w="6662" w:type="dxa"/>
            <w:vAlign w:val="center"/>
          </w:tcPr>
          <w:p w14:paraId="61130CA6">
            <w:pPr>
              <w:spacing w:line="240" w:lineRule="atLeast"/>
              <w:jc w:val="center"/>
              <w:rPr>
                <w:rFonts w:ascii="宋体"/>
                <w:kern w:val="0"/>
              </w:rPr>
            </w:pPr>
            <w:r>
              <w:rPr>
                <w:rFonts w:hint="eastAsia" w:ascii="宋体"/>
                <w:kern w:val="0"/>
              </w:rPr>
              <w:t>5-10万元</w:t>
            </w:r>
          </w:p>
        </w:tc>
        <w:tc>
          <w:tcPr>
            <w:tcW w:w="2319" w:type="dxa"/>
            <w:vAlign w:val="center"/>
          </w:tcPr>
          <w:p w14:paraId="6E6C9024">
            <w:pPr>
              <w:spacing w:line="240" w:lineRule="atLeast"/>
              <w:jc w:val="center"/>
              <w:rPr>
                <w:rFonts w:ascii="宋体"/>
                <w:kern w:val="0"/>
              </w:rPr>
            </w:pPr>
            <w:r>
              <w:rPr>
                <w:rFonts w:hint="eastAsia" w:ascii="宋体"/>
                <w:kern w:val="0"/>
              </w:rPr>
              <w:t>1-2万元、并暂扣适任证书6个月至12个月</w:t>
            </w:r>
          </w:p>
        </w:tc>
        <w:tc>
          <w:tcPr>
            <w:tcW w:w="2977" w:type="dxa"/>
            <w:vAlign w:val="center"/>
          </w:tcPr>
          <w:p w14:paraId="044C140D">
            <w:pPr>
              <w:spacing w:line="240" w:lineRule="atLeast"/>
              <w:jc w:val="center"/>
              <w:rPr>
                <w:rFonts w:ascii="宋体"/>
                <w:kern w:val="0"/>
              </w:rPr>
            </w:pPr>
            <w:r>
              <w:rPr>
                <w:rFonts w:hint="eastAsia" w:ascii="宋体"/>
                <w:kern w:val="0"/>
              </w:rPr>
              <w:t>1-2万元、并暂扣适任证书5个月至12个月</w:t>
            </w:r>
          </w:p>
        </w:tc>
      </w:tr>
      <w:tr w14:paraId="4B1C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71" w:type="dxa"/>
            <w:vMerge w:val="continue"/>
            <w:vAlign w:val="center"/>
          </w:tcPr>
          <w:p w14:paraId="1D3E0B9B">
            <w:pPr>
              <w:spacing w:line="240" w:lineRule="exact"/>
              <w:jc w:val="center"/>
              <w:rPr>
                <w:rFonts w:ascii="宋体"/>
                <w:kern w:val="0"/>
              </w:rPr>
            </w:pPr>
          </w:p>
        </w:tc>
        <w:tc>
          <w:tcPr>
            <w:tcW w:w="1071" w:type="dxa"/>
            <w:vMerge w:val="continue"/>
            <w:vAlign w:val="center"/>
          </w:tcPr>
          <w:p w14:paraId="5DB64501">
            <w:pPr>
              <w:spacing w:line="240" w:lineRule="exact"/>
              <w:jc w:val="center"/>
              <w:rPr>
                <w:rFonts w:ascii="宋体"/>
                <w:kern w:val="0"/>
              </w:rPr>
            </w:pPr>
          </w:p>
        </w:tc>
        <w:tc>
          <w:tcPr>
            <w:tcW w:w="1559" w:type="dxa"/>
            <w:vMerge w:val="continue"/>
            <w:vAlign w:val="center"/>
          </w:tcPr>
          <w:p w14:paraId="562E4B34">
            <w:pPr>
              <w:spacing w:line="240" w:lineRule="exact"/>
              <w:jc w:val="center"/>
              <w:rPr>
                <w:rFonts w:ascii="宋体"/>
                <w:kern w:val="0"/>
              </w:rPr>
            </w:pPr>
          </w:p>
        </w:tc>
        <w:tc>
          <w:tcPr>
            <w:tcW w:w="1090" w:type="dxa"/>
            <w:vAlign w:val="center"/>
          </w:tcPr>
          <w:p w14:paraId="5585893C">
            <w:pPr>
              <w:spacing w:line="240" w:lineRule="exact"/>
              <w:jc w:val="center"/>
              <w:rPr>
                <w:rFonts w:ascii="宋体"/>
                <w:kern w:val="0"/>
              </w:rPr>
            </w:pPr>
            <w:r>
              <w:rPr>
                <w:rFonts w:hint="eastAsia" w:ascii="宋体"/>
                <w:kern w:val="0"/>
              </w:rPr>
              <w:t>情节严重</w:t>
            </w:r>
          </w:p>
        </w:tc>
        <w:tc>
          <w:tcPr>
            <w:tcW w:w="3446" w:type="dxa"/>
            <w:vAlign w:val="center"/>
          </w:tcPr>
          <w:p w14:paraId="1E21CD4E">
            <w:pPr>
              <w:spacing w:line="240" w:lineRule="atLeast"/>
              <w:jc w:val="left"/>
              <w:rPr>
                <w:rFonts w:ascii="宋体"/>
              </w:rPr>
            </w:pPr>
            <w:r>
              <w:rPr>
                <w:rFonts w:hint="eastAsia" w:ascii="宋体"/>
              </w:rPr>
              <w:t>1.造成较大等级以上事故的；</w:t>
            </w:r>
          </w:p>
          <w:p w14:paraId="571D09FF">
            <w:pPr>
              <w:spacing w:line="240" w:lineRule="atLeast"/>
              <w:jc w:val="left"/>
              <w:rPr>
                <w:rFonts w:ascii="宋体"/>
              </w:rPr>
            </w:pPr>
            <w:r>
              <w:rPr>
                <w:rFonts w:hint="eastAsia" w:ascii="宋体"/>
              </w:rPr>
              <w:t>2.具有其他严重情节的。</w:t>
            </w:r>
          </w:p>
        </w:tc>
        <w:tc>
          <w:tcPr>
            <w:tcW w:w="6662" w:type="dxa"/>
            <w:vAlign w:val="center"/>
          </w:tcPr>
          <w:p w14:paraId="42B991A3">
            <w:pPr>
              <w:spacing w:line="240" w:lineRule="atLeast"/>
              <w:jc w:val="center"/>
              <w:rPr>
                <w:rFonts w:ascii="宋体"/>
                <w:kern w:val="0"/>
              </w:rPr>
            </w:pPr>
            <w:r>
              <w:rPr>
                <w:rFonts w:hint="eastAsia" w:ascii="宋体"/>
                <w:kern w:val="0"/>
              </w:rPr>
              <w:t>10-20万元</w:t>
            </w:r>
          </w:p>
        </w:tc>
        <w:tc>
          <w:tcPr>
            <w:tcW w:w="2319" w:type="dxa"/>
            <w:vAlign w:val="center"/>
          </w:tcPr>
          <w:p w14:paraId="2B276C69">
            <w:pPr>
              <w:spacing w:line="240" w:lineRule="atLeast"/>
              <w:jc w:val="center"/>
              <w:rPr>
                <w:rFonts w:ascii="宋体"/>
                <w:kern w:val="0"/>
              </w:rPr>
            </w:pPr>
            <w:r>
              <w:rPr>
                <w:rFonts w:hint="eastAsia" w:ascii="宋体"/>
                <w:kern w:val="0"/>
              </w:rPr>
              <w:t>吊销适任证书</w:t>
            </w:r>
          </w:p>
        </w:tc>
        <w:tc>
          <w:tcPr>
            <w:tcW w:w="2977" w:type="dxa"/>
            <w:vAlign w:val="center"/>
          </w:tcPr>
          <w:p w14:paraId="6370BF29">
            <w:pPr>
              <w:spacing w:line="240" w:lineRule="atLeast"/>
              <w:jc w:val="center"/>
              <w:rPr>
                <w:rFonts w:ascii="宋体"/>
                <w:kern w:val="0"/>
              </w:rPr>
            </w:pPr>
            <w:r>
              <w:rPr>
                <w:rFonts w:hint="eastAsia" w:ascii="宋体"/>
                <w:kern w:val="0"/>
              </w:rPr>
              <w:t>吊销适任证书</w:t>
            </w:r>
          </w:p>
        </w:tc>
      </w:tr>
    </w:tbl>
    <w:p w14:paraId="09FC9C90">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1111"/>
        <w:gridCol w:w="1559"/>
        <w:gridCol w:w="1185"/>
        <w:gridCol w:w="3350"/>
        <w:gridCol w:w="6660"/>
        <w:gridCol w:w="2606"/>
        <w:gridCol w:w="2693"/>
      </w:tblGrid>
      <w:tr w14:paraId="4D3E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restart"/>
            <w:vAlign w:val="center"/>
          </w:tcPr>
          <w:p w14:paraId="251F2D18">
            <w:pPr>
              <w:spacing w:line="240" w:lineRule="exact"/>
              <w:jc w:val="center"/>
              <w:rPr>
                <w:rFonts w:ascii="宋体"/>
                <w:b/>
                <w:kern w:val="0"/>
              </w:rPr>
            </w:pPr>
            <w:r>
              <w:rPr>
                <w:rFonts w:hint="eastAsia" w:ascii="宋体"/>
                <w:b/>
                <w:kern w:val="0"/>
              </w:rPr>
              <w:t>案由15</w:t>
            </w:r>
          </w:p>
        </w:tc>
        <w:tc>
          <w:tcPr>
            <w:tcW w:w="2670" w:type="dxa"/>
            <w:gridSpan w:val="2"/>
            <w:vAlign w:val="center"/>
          </w:tcPr>
          <w:p w14:paraId="428C270E">
            <w:pPr>
              <w:spacing w:line="240" w:lineRule="exact"/>
              <w:jc w:val="center"/>
              <w:rPr>
                <w:rFonts w:ascii="宋体"/>
                <w:b/>
                <w:kern w:val="0"/>
              </w:rPr>
            </w:pPr>
            <w:r>
              <w:rPr>
                <w:rFonts w:hint="eastAsia" w:ascii="宋体"/>
                <w:b/>
                <w:kern w:val="0"/>
              </w:rPr>
              <w:t>法律依据</w:t>
            </w:r>
          </w:p>
        </w:tc>
        <w:tc>
          <w:tcPr>
            <w:tcW w:w="1185" w:type="dxa"/>
            <w:vMerge w:val="restart"/>
            <w:vAlign w:val="center"/>
          </w:tcPr>
          <w:p w14:paraId="4EF20E23">
            <w:pPr>
              <w:spacing w:line="240" w:lineRule="exact"/>
              <w:jc w:val="center"/>
              <w:rPr>
                <w:rFonts w:ascii="宋体"/>
                <w:b/>
                <w:kern w:val="0"/>
              </w:rPr>
            </w:pPr>
            <w:r>
              <w:rPr>
                <w:rFonts w:hint="eastAsia" w:ascii="宋体"/>
                <w:b/>
                <w:kern w:val="0"/>
              </w:rPr>
              <w:t>违法情节</w:t>
            </w:r>
          </w:p>
        </w:tc>
        <w:tc>
          <w:tcPr>
            <w:tcW w:w="3350" w:type="dxa"/>
            <w:vMerge w:val="restart"/>
            <w:vAlign w:val="center"/>
          </w:tcPr>
          <w:p w14:paraId="2DA18032">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3C9D198F">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226D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31" w:type="dxa"/>
            <w:vMerge w:val="continue"/>
            <w:vAlign w:val="center"/>
          </w:tcPr>
          <w:p w14:paraId="49D90A61">
            <w:pPr>
              <w:spacing w:line="240" w:lineRule="exact"/>
              <w:jc w:val="center"/>
              <w:rPr>
                <w:rFonts w:ascii="宋体"/>
                <w:b/>
                <w:kern w:val="0"/>
              </w:rPr>
            </w:pPr>
          </w:p>
        </w:tc>
        <w:tc>
          <w:tcPr>
            <w:tcW w:w="1111" w:type="dxa"/>
            <w:vAlign w:val="center"/>
          </w:tcPr>
          <w:p w14:paraId="5563592C">
            <w:pPr>
              <w:spacing w:line="240" w:lineRule="exact"/>
              <w:jc w:val="center"/>
              <w:rPr>
                <w:rFonts w:ascii="宋体"/>
                <w:b/>
                <w:kern w:val="0"/>
              </w:rPr>
            </w:pPr>
            <w:r>
              <w:rPr>
                <w:rFonts w:hint="eastAsia" w:ascii="宋体"/>
                <w:b/>
                <w:kern w:val="0"/>
              </w:rPr>
              <w:t>违反条款</w:t>
            </w:r>
          </w:p>
        </w:tc>
        <w:tc>
          <w:tcPr>
            <w:tcW w:w="1559" w:type="dxa"/>
            <w:vAlign w:val="center"/>
          </w:tcPr>
          <w:p w14:paraId="3211FB1E">
            <w:pPr>
              <w:spacing w:line="240" w:lineRule="exact"/>
              <w:jc w:val="center"/>
              <w:rPr>
                <w:rFonts w:ascii="宋体"/>
                <w:b/>
                <w:kern w:val="0"/>
              </w:rPr>
            </w:pPr>
            <w:r>
              <w:rPr>
                <w:rFonts w:hint="eastAsia" w:ascii="宋体"/>
                <w:b/>
                <w:kern w:val="0"/>
              </w:rPr>
              <w:t>处罚依据</w:t>
            </w:r>
          </w:p>
        </w:tc>
        <w:tc>
          <w:tcPr>
            <w:tcW w:w="1185" w:type="dxa"/>
            <w:vMerge w:val="continue"/>
            <w:vAlign w:val="center"/>
          </w:tcPr>
          <w:p w14:paraId="4E3C7C33">
            <w:pPr>
              <w:spacing w:line="240" w:lineRule="exact"/>
              <w:jc w:val="center"/>
              <w:rPr>
                <w:rFonts w:ascii="宋体"/>
                <w:b/>
                <w:kern w:val="0"/>
              </w:rPr>
            </w:pPr>
          </w:p>
        </w:tc>
        <w:tc>
          <w:tcPr>
            <w:tcW w:w="3350" w:type="dxa"/>
            <w:vMerge w:val="continue"/>
            <w:vAlign w:val="center"/>
          </w:tcPr>
          <w:p w14:paraId="5568ACFD">
            <w:pPr>
              <w:spacing w:line="240" w:lineRule="exact"/>
              <w:jc w:val="center"/>
              <w:rPr>
                <w:rFonts w:ascii="宋体"/>
                <w:b/>
                <w:kern w:val="0"/>
              </w:rPr>
            </w:pPr>
          </w:p>
        </w:tc>
        <w:tc>
          <w:tcPr>
            <w:tcW w:w="6660" w:type="dxa"/>
            <w:vAlign w:val="center"/>
          </w:tcPr>
          <w:p w14:paraId="18CD1C62">
            <w:pPr>
              <w:spacing w:line="240" w:lineRule="exact"/>
              <w:jc w:val="center"/>
              <w:rPr>
                <w:rFonts w:ascii="宋体"/>
                <w:b/>
                <w:kern w:val="0"/>
              </w:rPr>
            </w:pPr>
            <w:r>
              <w:rPr>
                <w:rFonts w:hint="eastAsia" w:ascii="宋体"/>
                <w:b/>
                <w:kern w:val="0"/>
              </w:rPr>
              <w:t>【对象】对船舶的所有人、经营人或者管理人</w:t>
            </w:r>
          </w:p>
        </w:tc>
        <w:tc>
          <w:tcPr>
            <w:tcW w:w="2606" w:type="dxa"/>
            <w:vAlign w:val="center"/>
          </w:tcPr>
          <w:p w14:paraId="1D19CD91">
            <w:pPr>
              <w:spacing w:line="240" w:lineRule="exact"/>
              <w:jc w:val="center"/>
              <w:rPr>
                <w:rFonts w:ascii="宋体"/>
                <w:b/>
                <w:kern w:val="0"/>
              </w:rPr>
            </w:pPr>
            <w:r>
              <w:rPr>
                <w:rFonts w:hint="eastAsia" w:ascii="宋体"/>
                <w:b/>
                <w:kern w:val="0"/>
              </w:rPr>
              <w:t>【对象】船长</w:t>
            </w:r>
          </w:p>
        </w:tc>
        <w:tc>
          <w:tcPr>
            <w:tcW w:w="2693" w:type="dxa"/>
            <w:vAlign w:val="center"/>
          </w:tcPr>
          <w:p w14:paraId="2BBD9FE3">
            <w:pPr>
              <w:spacing w:line="240" w:lineRule="exact"/>
              <w:jc w:val="center"/>
              <w:rPr>
                <w:rFonts w:ascii="宋体"/>
                <w:b/>
                <w:kern w:val="0"/>
              </w:rPr>
            </w:pPr>
            <w:r>
              <w:rPr>
                <w:rFonts w:hint="eastAsia" w:ascii="宋体"/>
                <w:b/>
                <w:kern w:val="0"/>
              </w:rPr>
              <w:t>【对象】责任船员</w:t>
            </w:r>
          </w:p>
        </w:tc>
      </w:tr>
      <w:tr w14:paraId="6381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1" w:type="dxa"/>
            <w:vMerge w:val="restart"/>
            <w:vAlign w:val="center"/>
          </w:tcPr>
          <w:p w14:paraId="73FB352F">
            <w:pPr>
              <w:widowControl/>
              <w:spacing w:line="240" w:lineRule="exact"/>
              <w:jc w:val="left"/>
              <w:rPr>
                <w:rFonts w:ascii="宋体"/>
                <w:b/>
                <w:kern w:val="0"/>
              </w:rPr>
            </w:pPr>
            <w:r>
              <w:rPr>
                <w:rFonts w:hint="eastAsia" w:ascii="宋体"/>
                <w:bCs/>
                <w:kern w:val="0"/>
              </w:rPr>
              <w:t>未按照船舶检验证书载明的航区航行、停泊、作业</w:t>
            </w:r>
          </w:p>
        </w:tc>
        <w:tc>
          <w:tcPr>
            <w:tcW w:w="1111" w:type="dxa"/>
            <w:vMerge w:val="restart"/>
            <w:vAlign w:val="center"/>
          </w:tcPr>
          <w:p w14:paraId="655E62E0">
            <w:pPr>
              <w:widowControl/>
              <w:spacing w:line="240" w:lineRule="exact"/>
              <w:jc w:val="left"/>
              <w:rPr>
                <w:rFonts w:ascii="宋体"/>
                <w:kern w:val="0"/>
              </w:rPr>
            </w:pPr>
            <w:r>
              <w:rPr>
                <w:rFonts w:hint="eastAsia" w:ascii="宋体"/>
                <w:kern w:val="0"/>
              </w:rPr>
              <w:t>1.《中华人民共和国海上交通安全法》第三十五条第一款；</w:t>
            </w:r>
          </w:p>
          <w:p w14:paraId="3AB27E08">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2724E60B">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14:paraId="08825729">
            <w:pPr>
              <w:spacing w:line="240" w:lineRule="exact"/>
              <w:jc w:val="left"/>
              <w:rPr>
                <w:rFonts w:ascii="宋体"/>
                <w:kern w:val="0"/>
              </w:rPr>
            </w:pPr>
            <w:r>
              <w:rPr>
                <w:rFonts w:hint="eastAsia" w:ascii="宋体"/>
                <w:kern w:val="0"/>
              </w:rPr>
              <w:t>2. 《中华人民共和国海上海事行政处罚规定》第七条。</w:t>
            </w:r>
          </w:p>
        </w:tc>
        <w:tc>
          <w:tcPr>
            <w:tcW w:w="1185" w:type="dxa"/>
            <w:vAlign w:val="center"/>
          </w:tcPr>
          <w:p w14:paraId="72CB6C65">
            <w:pPr>
              <w:spacing w:line="240" w:lineRule="exact"/>
              <w:jc w:val="center"/>
              <w:rPr>
                <w:rFonts w:ascii="宋体"/>
                <w:kern w:val="0"/>
              </w:rPr>
            </w:pPr>
            <w:r>
              <w:rPr>
                <w:rFonts w:hint="eastAsia" w:ascii="宋体"/>
                <w:kern w:val="0"/>
              </w:rPr>
              <w:t>从轻</w:t>
            </w:r>
          </w:p>
        </w:tc>
        <w:tc>
          <w:tcPr>
            <w:tcW w:w="3350" w:type="dxa"/>
            <w:vAlign w:val="center"/>
          </w:tcPr>
          <w:p w14:paraId="729920D3">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23D6BD27">
            <w:pPr>
              <w:spacing w:line="240" w:lineRule="atLeast"/>
              <w:jc w:val="center"/>
              <w:rPr>
                <w:rFonts w:ascii="宋体"/>
                <w:kern w:val="0"/>
              </w:rPr>
            </w:pPr>
            <w:r>
              <w:rPr>
                <w:rFonts w:hint="eastAsia" w:ascii="宋体"/>
                <w:kern w:val="0"/>
              </w:rPr>
              <w:t>2-3万元</w:t>
            </w:r>
          </w:p>
        </w:tc>
        <w:tc>
          <w:tcPr>
            <w:tcW w:w="2606" w:type="dxa"/>
            <w:vAlign w:val="center"/>
          </w:tcPr>
          <w:p w14:paraId="6267AE85">
            <w:pPr>
              <w:spacing w:line="240" w:lineRule="atLeast"/>
              <w:jc w:val="center"/>
              <w:rPr>
                <w:rFonts w:ascii="宋体"/>
                <w:kern w:val="0"/>
              </w:rPr>
            </w:pPr>
            <w:r>
              <w:rPr>
                <w:rFonts w:hint="eastAsia" w:ascii="宋体"/>
                <w:kern w:val="0"/>
              </w:rPr>
              <w:t>2000-5000元、并暂扣适任证书3个月至4个月</w:t>
            </w:r>
          </w:p>
        </w:tc>
        <w:tc>
          <w:tcPr>
            <w:tcW w:w="2693" w:type="dxa"/>
            <w:vAlign w:val="center"/>
          </w:tcPr>
          <w:p w14:paraId="5567E97C">
            <w:pPr>
              <w:spacing w:line="240" w:lineRule="atLeast"/>
              <w:jc w:val="center"/>
              <w:rPr>
                <w:rFonts w:ascii="宋体"/>
                <w:kern w:val="0"/>
              </w:rPr>
            </w:pPr>
            <w:r>
              <w:rPr>
                <w:rFonts w:hint="eastAsia" w:ascii="宋体"/>
                <w:kern w:val="0"/>
              </w:rPr>
              <w:t>2000-4000元、并暂扣适任证书3个月至4个月</w:t>
            </w:r>
          </w:p>
        </w:tc>
      </w:tr>
      <w:tr w14:paraId="7844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931" w:type="dxa"/>
            <w:vMerge w:val="continue"/>
            <w:vAlign w:val="center"/>
          </w:tcPr>
          <w:p w14:paraId="55A79140">
            <w:pPr>
              <w:spacing w:line="240" w:lineRule="exact"/>
              <w:jc w:val="center"/>
              <w:rPr>
                <w:rFonts w:ascii="宋体"/>
                <w:kern w:val="0"/>
              </w:rPr>
            </w:pPr>
          </w:p>
        </w:tc>
        <w:tc>
          <w:tcPr>
            <w:tcW w:w="1111" w:type="dxa"/>
            <w:vMerge w:val="continue"/>
            <w:vAlign w:val="center"/>
          </w:tcPr>
          <w:p w14:paraId="293442DE">
            <w:pPr>
              <w:widowControl/>
              <w:spacing w:line="240" w:lineRule="exact"/>
              <w:jc w:val="center"/>
              <w:rPr>
                <w:rFonts w:ascii="宋体"/>
                <w:kern w:val="0"/>
              </w:rPr>
            </w:pPr>
          </w:p>
        </w:tc>
        <w:tc>
          <w:tcPr>
            <w:tcW w:w="1559" w:type="dxa"/>
            <w:vMerge w:val="continue"/>
            <w:vAlign w:val="center"/>
          </w:tcPr>
          <w:p w14:paraId="6ED02FF9">
            <w:pPr>
              <w:spacing w:line="240" w:lineRule="exact"/>
              <w:jc w:val="center"/>
              <w:rPr>
                <w:rFonts w:ascii="宋体"/>
                <w:kern w:val="0"/>
              </w:rPr>
            </w:pPr>
          </w:p>
        </w:tc>
        <w:tc>
          <w:tcPr>
            <w:tcW w:w="1185" w:type="dxa"/>
            <w:vMerge w:val="restart"/>
            <w:vAlign w:val="center"/>
          </w:tcPr>
          <w:p w14:paraId="669AE085">
            <w:pPr>
              <w:spacing w:line="240" w:lineRule="exact"/>
              <w:jc w:val="center"/>
              <w:rPr>
                <w:rFonts w:ascii="宋体"/>
                <w:kern w:val="0"/>
              </w:rPr>
            </w:pPr>
            <w:r>
              <w:rPr>
                <w:rFonts w:hint="eastAsia" w:ascii="宋体"/>
                <w:kern w:val="0"/>
              </w:rPr>
              <w:t>一般</w:t>
            </w:r>
          </w:p>
        </w:tc>
        <w:tc>
          <w:tcPr>
            <w:tcW w:w="3350" w:type="dxa"/>
            <w:vAlign w:val="center"/>
          </w:tcPr>
          <w:p w14:paraId="5477B086">
            <w:pPr>
              <w:widowControl/>
              <w:spacing w:line="240" w:lineRule="exact"/>
              <w:jc w:val="left"/>
              <w:rPr>
                <w:rFonts w:ascii="宋体"/>
                <w:kern w:val="0"/>
              </w:rPr>
            </w:pPr>
            <w:r>
              <w:rPr>
                <w:rFonts w:hint="eastAsia" w:ascii="宋体"/>
                <w:kern w:val="0"/>
              </w:rPr>
              <w:t xml:space="preserve">一般船舶 </w:t>
            </w:r>
          </w:p>
        </w:tc>
        <w:tc>
          <w:tcPr>
            <w:tcW w:w="6660" w:type="dxa"/>
            <w:vAlign w:val="center"/>
          </w:tcPr>
          <w:p w14:paraId="42737EFA">
            <w:pPr>
              <w:spacing w:line="240" w:lineRule="atLeast"/>
              <w:jc w:val="center"/>
              <w:rPr>
                <w:rFonts w:ascii="宋体"/>
                <w:kern w:val="0"/>
              </w:rPr>
            </w:pPr>
            <w:r>
              <w:rPr>
                <w:rFonts w:hint="eastAsia" w:ascii="宋体"/>
                <w:kern w:val="0"/>
              </w:rPr>
              <w:t>3-4万元</w:t>
            </w:r>
          </w:p>
        </w:tc>
        <w:tc>
          <w:tcPr>
            <w:tcW w:w="2606" w:type="dxa"/>
            <w:vAlign w:val="center"/>
          </w:tcPr>
          <w:p w14:paraId="59CD4168">
            <w:pPr>
              <w:spacing w:line="240" w:lineRule="atLeast"/>
              <w:jc w:val="center"/>
              <w:rPr>
                <w:rFonts w:ascii="宋体"/>
                <w:kern w:val="0"/>
              </w:rPr>
            </w:pPr>
            <w:r>
              <w:rPr>
                <w:rFonts w:hint="eastAsia" w:ascii="宋体"/>
                <w:kern w:val="0"/>
              </w:rPr>
              <w:t>5000-8000元、并暂扣适任证书3个月至5个月</w:t>
            </w:r>
          </w:p>
        </w:tc>
        <w:tc>
          <w:tcPr>
            <w:tcW w:w="2693" w:type="dxa"/>
            <w:vAlign w:val="center"/>
          </w:tcPr>
          <w:p w14:paraId="2E1C4C45">
            <w:pPr>
              <w:spacing w:line="240" w:lineRule="atLeast"/>
              <w:jc w:val="center"/>
              <w:rPr>
                <w:rFonts w:ascii="宋体"/>
                <w:b/>
                <w:kern w:val="0"/>
              </w:rPr>
            </w:pPr>
            <w:r>
              <w:rPr>
                <w:rFonts w:hint="eastAsia" w:ascii="宋体"/>
                <w:kern w:val="0"/>
              </w:rPr>
              <w:t>4000元-6000、并暂扣适任证书3个月至4个月</w:t>
            </w:r>
          </w:p>
        </w:tc>
      </w:tr>
      <w:tr w14:paraId="6A65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931" w:type="dxa"/>
            <w:vMerge w:val="continue"/>
            <w:vAlign w:val="center"/>
          </w:tcPr>
          <w:p w14:paraId="2179C17D">
            <w:pPr>
              <w:spacing w:line="240" w:lineRule="exact"/>
              <w:jc w:val="center"/>
              <w:rPr>
                <w:rFonts w:ascii="宋体"/>
                <w:kern w:val="0"/>
              </w:rPr>
            </w:pPr>
          </w:p>
        </w:tc>
        <w:tc>
          <w:tcPr>
            <w:tcW w:w="1111" w:type="dxa"/>
            <w:vMerge w:val="continue"/>
            <w:vAlign w:val="center"/>
          </w:tcPr>
          <w:p w14:paraId="789A421E">
            <w:pPr>
              <w:widowControl/>
              <w:spacing w:line="240" w:lineRule="exact"/>
              <w:jc w:val="center"/>
              <w:rPr>
                <w:rFonts w:ascii="宋体"/>
                <w:kern w:val="0"/>
              </w:rPr>
            </w:pPr>
          </w:p>
        </w:tc>
        <w:tc>
          <w:tcPr>
            <w:tcW w:w="1559" w:type="dxa"/>
            <w:vMerge w:val="continue"/>
            <w:vAlign w:val="center"/>
          </w:tcPr>
          <w:p w14:paraId="75C120E1">
            <w:pPr>
              <w:spacing w:line="240" w:lineRule="exact"/>
              <w:jc w:val="center"/>
              <w:rPr>
                <w:rFonts w:ascii="宋体"/>
                <w:kern w:val="0"/>
              </w:rPr>
            </w:pPr>
          </w:p>
        </w:tc>
        <w:tc>
          <w:tcPr>
            <w:tcW w:w="1185" w:type="dxa"/>
            <w:vMerge w:val="continue"/>
            <w:vAlign w:val="center"/>
          </w:tcPr>
          <w:p w14:paraId="474031A8">
            <w:pPr>
              <w:spacing w:line="240" w:lineRule="exact"/>
              <w:jc w:val="center"/>
              <w:rPr>
                <w:rFonts w:ascii="宋体"/>
                <w:kern w:val="0"/>
              </w:rPr>
            </w:pPr>
          </w:p>
        </w:tc>
        <w:tc>
          <w:tcPr>
            <w:tcW w:w="3350" w:type="dxa"/>
            <w:vAlign w:val="center"/>
          </w:tcPr>
          <w:p w14:paraId="31F03CE1">
            <w:pPr>
              <w:widowControl/>
              <w:spacing w:line="240" w:lineRule="exact"/>
              <w:jc w:val="left"/>
              <w:rPr>
                <w:rFonts w:ascii="宋体"/>
                <w:kern w:val="0"/>
              </w:rPr>
            </w:pPr>
            <w:r>
              <w:rPr>
                <w:rFonts w:hint="eastAsia" w:ascii="宋体"/>
                <w:kern w:val="0"/>
              </w:rPr>
              <w:t>客船、</w:t>
            </w:r>
            <w:r>
              <w:rPr>
                <w:rFonts w:hint="eastAsia" w:ascii="宋体"/>
                <w:bCs/>
                <w:kern w:val="0"/>
              </w:rPr>
              <w:t>危险品船舶</w:t>
            </w:r>
          </w:p>
        </w:tc>
        <w:tc>
          <w:tcPr>
            <w:tcW w:w="6660" w:type="dxa"/>
            <w:vAlign w:val="center"/>
          </w:tcPr>
          <w:p w14:paraId="785765C0">
            <w:pPr>
              <w:spacing w:line="240" w:lineRule="atLeast"/>
              <w:jc w:val="center"/>
              <w:rPr>
                <w:rFonts w:ascii="宋体"/>
                <w:kern w:val="0"/>
              </w:rPr>
            </w:pPr>
            <w:r>
              <w:rPr>
                <w:rFonts w:hint="eastAsia" w:ascii="宋体"/>
                <w:kern w:val="0"/>
              </w:rPr>
              <w:t>4-5万元</w:t>
            </w:r>
          </w:p>
        </w:tc>
        <w:tc>
          <w:tcPr>
            <w:tcW w:w="2606" w:type="dxa"/>
            <w:vAlign w:val="center"/>
          </w:tcPr>
          <w:p w14:paraId="343C0684">
            <w:pPr>
              <w:spacing w:line="240" w:lineRule="atLeast"/>
              <w:jc w:val="center"/>
              <w:rPr>
                <w:rFonts w:ascii="宋体"/>
                <w:kern w:val="0"/>
              </w:rPr>
            </w:pPr>
            <w:r>
              <w:rPr>
                <w:rFonts w:hint="eastAsia" w:ascii="宋体"/>
                <w:kern w:val="0"/>
              </w:rPr>
              <w:t>8000元-1万元、并暂扣适任证书4个月至6个月</w:t>
            </w:r>
          </w:p>
        </w:tc>
        <w:tc>
          <w:tcPr>
            <w:tcW w:w="2693" w:type="dxa"/>
            <w:vAlign w:val="center"/>
          </w:tcPr>
          <w:p w14:paraId="16DBF14A">
            <w:pPr>
              <w:spacing w:line="240" w:lineRule="atLeast"/>
              <w:jc w:val="center"/>
              <w:rPr>
                <w:rFonts w:ascii="宋体"/>
                <w:kern w:val="0"/>
              </w:rPr>
            </w:pPr>
            <w:r>
              <w:rPr>
                <w:rFonts w:hint="eastAsia" w:ascii="宋体"/>
                <w:kern w:val="0"/>
              </w:rPr>
              <w:t>6000元-1万元、并暂扣适任证书4个月至5个月</w:t>
            </w:r>
          </w:p>
        </w:tc>
      </w:tr>
      <w:tr w14:paraId="4B8C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3" w:hRule="atLeast"/>
        </w:trPr>
        <w:tc>
          <w:tcPr>
            <w:tcW w:w="931" w:type="dxa"/>
            <w:vMerge w:val="continue"/>
            <w:vAlign w:val="center"/>
          </w:tcPr>
          <w:p w14:paraId="2456F941">
            <w:pPr>
              <w:spacing w:line="240" w:lineRule="exact"/>
              <w:jc w:val="center"/>
              <w:rPr>
                <w:rFonts w:ascii="宋体"/>
                <w:kern w:val="0"/>
              </w:rPr>
            </w:pPr>
          </w:p>
        </w:tc>
        <w:tc>
          <w:tcPr>
            <w:tcW w:w="1111" w:type="dxa"/>
            <w:vMerge w:val="continue"/>
            <w:vAlign w:val="center"/>
          </w:tcPr>
          <w:p w14:paraId="7172018F">
            <w:pPr>
              <w:widowControl/>
              <w:spacing w:line="240" w:lineRule="exact"/>
              <w:jc w:val="center"/>
              <w:rPr>
                <w:rFonts w:ascii="宋体"/>
                <w:kern w:val="0"/>
              </w:rPr>
            </w:pPr>
          </w:p>
        </w:tc>
        <w:tc>
          <w:tcPr>
            <w:tcW w:w="1559" w:type="dxa"/>
            <w:vMerge w:val="continue"/>
            <w:vAlign w:val="center"/>
          </w:tcPr>
          <w:p w14:paraId="3B81A6EA">
            <w:pPr>
              <w:spacing w:line="240" w:lineRule="exact"/>
              <w:jc w:val="center"/>
              <w:rPr>
                <w:rFonts w:ascii="宋体"/>
                <w:kern w:val="0"/>
              </w:rPr>
            </w:pPr>
          </w:p>
        </w:tc>
        <w:tc>
          <w:tcPr>
            <w:tcW w:w="1185" w:type="dxa"/>
            <w:vMerge w:val="continue"/>
            <w:vAlign w:val="center"/>
          </w:tcPr>
          <w:p w14:paraId="61D4CA70">
            <w:pPr>
              <w:spacing w:line="240" w:lineRule="exact"/>
              <w:jc w:val="center"/>
              <w:rPr>
                <w:rFonts w:ascii="宋体"/>
                <w:kern w:val="0"/>
              </w:rPr>
            </w:pPr>
          </w:p>
        </w:tc>
        <w:tc>
          <w:tcPr>
            <w:tcW w:w="3350" w:type="dxa"/>
            <w:vAlign w:val="center"/>
          </w:tcPr>
          <w:p w14:paraId="445E5677">
            <w:pPr>
              <w:spacing w:line="240" w:lineRule="exact"/>
              <w:jc w:val="left"/>
              <w:rPr>
                <w:rFonts w:ascii="宋体"/>
              </w:rPr>
            </w:pPr>
            <w:r>
              <w:rPr>
                <w:rFonts w:hint="eastAsia" w:ascii="宋体"/>
              </w:rPr>
              <w:t>1.内河船从事海上运输的（当事人首次）；</w:t>
            </w:r>
          </w:p>
          <w:p w14:paraId="4DAB4009">
            <w:pPr>
              <w:spacing w:line="240" w:lineRule="exact"/>
              <w:jc w:val="left"/>
              <w:rPr>
                <w:rFonts w:ascii="宋体"/>
              </w:rPr>
            </w:pPr>
            <w:r>
              <w:rPr>
                <w:rFonts w:hint="eastAsia" w:ascii="宋体"/>
              </w:rPr>
              <w:t>2.造成一般事故或险情的；</w:t>
            </w:r>
          </w:p>
          <w:p w14:paraId="4F720C06">
            <w:pPr>
              <w:spacing w:line="240" w:lineRule="exact"/>
              <w:jc w:val="left"/>
              <w:rPr>
                <w:rFonts w:ascii="宋体"/>
                <w:kern w:val="0"/>
              </w:rPr>
            </w:pPr>
            <w:r>
              <w:rPr>
                <w:rFonts w:hint="eastAsia" w:ascii="宋体"/>
              </w:rPr>
              <w:t>3.具有其他较重情节的。</w:t>
            </w:r>
          </w:p>
        </w:tc>
        <w:tc>
          <w:tcPr>
            <w:tcW w:w="6660" w:type="dxa"/>
            <w:vAlign w:val="center"/>
          </w:tcPr>
          <w:p w14:paraId="0957ACA9">
            <w:pPr>
              <w:spacing w:line="240" w:lineRule="atLeast"/>
              <w:jc w:val="center"/>
              <w:rPr>
                <w:rFonts w:ascii="宋体"/>
                <w:kern w:val="0"/>
              </w:rPr>
            </w:pPr>
            <w:r>
              <w:rPr>
                <w:rFonts w:hint="eastAsia" w:ascii="宋体"/>
                <w:kern w:val="0"/>
              </w:rPr>
              <w:t>5-10万元</w:t>
            </w:r>
          </w:p>
        </w:tc>
        <w:tc>
          <w:tcPr>
            <w:tcW w:w="2606" w:type="dxa"/>
            <w:vAlign w:val="center"/>
          </w:tcPr>
          <w:p w14:paraId="1CCCB135">
            <w:pPr>
              <w:spacing w:line="240" w:lineRule="atLeast"/>
              <w:jc w:val="center"/>
              <w:rPr>
                <w:rFonts w:ascii="宋体"/>
                <w:kern w:val="0"/>
              </w:rPr>
            </w:pPr>
            <w:r>
              <w:rPr>
                <w:rFonts w:hint="eastAsia" w:ascii="宋体"/>
                <w:kern w:val="0"/>
              </w:rPr>
              <w:t>1-2万元、并暂扣适任证书6个月至12个月</w:t>
            </w:r>
          </w:p>
        </w:tc>
        <w:tc>
          <w:tcPr>
            <w:tcW w:w="2693" w:type="dxa"/>
            <w:vAlign w:val="center"/>
          </w:tcPr>
          <w:p w14:paraId="357356E4">
            <w:pPr>
              <w:spacing w:line="240" w:lineRule="atLeast"/>
              <w:jc w:val="center"/>
              <w:rPr>
                <w:rFonts w:ascii="宋体"/>
                <w:kern w:val="0"/>
              </w:rPr>
            </w:pPr>
            <w:r>
              <w:rPr>
                <w:rFonts w:hint="eastAsia" w:ascii="宋体"/>
                <w:kern w:val="0"/>
              </w:rPr>
              <w:t>1-2万元、并暂扣适任证书5个月至12个月</w:t>
            </w:r>
          </w:p>
        </w:tc>
      </w:tr>
      <w:tr w14:paraId="48D31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trPr>
        <w:tc>
          <w:tcPr>
            <w:tcW w:w="931" w:type="dxa"/>
            <w:vMerge w:val="continue"/>
            <w:vAlign w:val="center"/>
          </w:tcPr>
          <w:p w14:paraId="48E602D2">
            <w:pPr>
              <w:spacing w:line="240" w:lineRule="exact"/>
              <w:jc w:val="center"/>
              <w:rPr>
                <w:rFonts w:ascii="宋体"/>
                <w:kern w:val="0"/>
              </w:rPr>
            </w:pPr>
          </w:p>
        </w:tc>
        <w:tc>
          <w:tcPr>
            <w:tcW w:w="1111" w:type="dxa"/>
            <w:vMerge w:val="continue"/>
            <w:vAlign w:val="center"/>
          </w:tcPr>
          <w:p w14:paraId="1980D241">
            <w:pPr>
              <w:spacing w:line="240" w:lineRule="exact"/>
              <w:jc w:val="center"/>
              <w:rPr>
                <w:rFonts w:ascii="宋体"/>
                <w:kern w:val="0"/>
              </w:rPr>
            </w:pPr>
          </w:p>
        </w:tc>
        <w:tc>
          <w:tcPr>
            <w:tcW w:w="1559" w:type="dxa"/>
            <w:vMerge w:val="continue"/>
            <w:vAlign w:val="center"/>
          </w:tcPr>
          <w:p w14:paraId="262735A5">
            <w:pPr>
              <w:spacing w:line="240" w:lineRule="exact"/>
              <w:jc w:val="center"/>
              <w:rPr>
                <w:rFonts w:ascii="宋体"/>
                <w:kern w:val="0"/>
              </w:rPr>
            </w:pPr>
          </w:p>
        </w:tc>
        <w:tc>
          <w:tcPr>
            <w:tcW w:w="1185" w:type="dxa"/>
            <w:vAlign w:val="center"/>
          </w:tcPr>
          <w:p w14:paraId="5C7ED470">
            <w:pPr>
              <w:spacing w:line="240" w:lineRule="exact"/>
              <w:jc w:val="center"/>
              <w:rPr>
                <w:rFonts w:ascii="宋体"/>
                <w:kern w:val="0"/>
              </w:rPr>
            </w:pPr>
            <w:r>
              <w:rPr>
                <w:rFonts w:hint="eastAsia" w:ascii="宋体"/>
                <w:kern w:val="0"/>
              </w:rPr>
              <w:t>情节严重</w:t>
            </w:r>
          </w:p>
        </w:tc>
        <w:tc>
          <w:tcPr>
            <w:tcW w:w="3350" w:type="dxa"/>
            <w:vAlign w:val="center"/>
          </w:tcPr>
          <w:p w14:paraId="291196F6">
            <w:pPr>
              <w:spacing w:line="240" w:lineRule="exact"/>
              <w:jc w:val="left"/>
              <w:rPr>
                <w:rFonts w:ascii="宋体"/>
              </w:rPr>
            </w:pPr>
            <w:r>
              <w:rPr>
                <w:rFonts w:hint="eastAsia" w:ascii="宋体"/>
              </w:rPr>
              <w:t>1.内河船从事海上运输的（当事人非首次）；</w:t>
            </w:r>
          </w:p>
          <w:p w14:paraId="5BB6250C">
            <w:pPr>
              <w:spacing w:line="240" w:lineRule="exact"/>
              <w:jc w:val="left"/>
              <w:rPr>
                <w:rFonts w:ascii="宋体"/>
              </w:rPr>
            </w:pPr>
            <w:r>
              <w:rPr>
                <w:rFonts w:hint="eastAsia" w:ascii="宋体"/>
              </w:rPr>
              <w:t>2.造成较大等级以上事故的；</w:t>
            </w:r>
          </w:p>
          <w:p w14:paraId="4CEB51AA">
            <w:pPr>
              <w:spacing w:line="240" w:lineRule="exact"/>
              <w:jc w:val="left"/>
              <w:rPr>
                <w:rFonts w:ascii="宋体"/>
              </w:rPr>
            </w:pPr>
            <w:r>
              <w:rPr>
                <w:rFonts w:hint="eastAsia" w:ascii="宋体"/>
              </w:rPr>
              <w:t>3.具有其他严重情节的。</w:t>
            </w:r>
          </w:p>
        </w:tc>
        <w:tc>
          <w:tcPr>
            <w:tcW w:w="6660" w:type="dxa"/>
            <w:vAlign w:val="center"/>
          </w:tcPr>
          <w:p w14:paraId="2D0EF071">
            <w:pPr>
              <w:spacing w:line="240" w:lineRule="atLeast"/>
              <w:jc w:val="center"/>
              <w:rPr>
                <w:rFonts w:ascii="宋体"/>
                <w:kern w:val="0"/>
              </w:rPr>
            </w:pPr>
            <w:r>
              <w:rPr>
                <w:rFonts w:hint="eastAsia" w:ascii="宋体"/>
                <w:kern w:val="0"/>
              </w:rPr>
              <w:t>10-20万元</w:t>
            </w:r>
          </w:p>
        </w:tc>
        <w:tc>
          <w:tcPr>
            <w:tcW w:w="2606" w:type="dxa"/>
            <w:vAlign w:val="center"/>
          </w:tcPr>
          <w:p w14:paraId="1E480686">
            <w:pPr>
              <w:spacing w:line="240" w:lineRule="atLeast"/>
              <w:jc w:val="center"/>
              <w:rPr>
                <w:rFonts w:ascii="宋体"/>
                <w:kern w:val="0"/>
              </w:rPr>
            </w:pPr>
            <w:r>
              <w:rPr>
                <w:rFonts w:hint="eastAsia" w:ascii="宋体"/>
                <w:kern w:val="0"/>
              </w:rPr>
              <w:t>吊销适任证书</w:t>
            </w:r>
          </w:p>
        </w:tc>
        <w:tc>
          <w:tcPr>
            <w:tcW w:w="2693" w:type="dxa"/>
            <w:vAlign w:val="center"/>
          </w:tcPr>
          <w:p w14:paraId="3D64A40C">
            <w:pPr>
              <w:spacing w:line="240" w:lineRule="atLeast"/>
              <w:jc w:val="center"/>
              <w:rPr>
                <w:rFonts w:ascii="宋体"/>
                <w:kern w:val="0"/>
              </w:rPr>
            </w:pPr>
            <w:r>
              <w:rPr>
                <w:rFonts w:hint="eastAsia" w:ascii="宋体"/>
                <w:kern w:val="0"/>
              </w:rPr>
              <w:t>吊销适任证书</w:t>
            </w:r>
          </w:p>
        </w:tc>
      </w:tr>
    </w:tbl>
    <w:p w14:paraId="12FB8BE8">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83"/>
        <w:gridCol w:w="1559"/>
        <w:gridCol w:w="1080"/>
        <w:gridCol w:w="3456"/>
        <w:gridCol w:w="6662"/>
        <w:gridCol w:w="2461"/>
        <w:gridCol w:w="2835"/>
      </w:tblGrid>
      <w:tr w14:paraId="32E4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14:paraId="30763BF0">
            <w:pPr>
              <w:spacing w:line="240" w:lineRule="exact"/>
              <w:jc w:val="center"/>
              <w:rPr>
                <w:rFonts w:ascii="宋体"/>
                <w:b/>
                <w:kern w:val="0"/>
              </w:rPr>
            </w:pPr>
            <w:r>
              <w:rPr>
                <w:rFonts w:hint="eastAsia" w:ascii="宋体"/>
                <w:b/>
                <w:kern w:val="0"/>
              </w:rPr>
              <w:t>案由16</w:t>
            </w:r>
          </w:p>
        </w:tc>
        <w:tc>
          <w:tcPr>
            <w:tcW w:w="2642" w:type="dxa"/>
            <w:gridSpan w:val="2"/>
            <w:vAlign w:val="center"/>
          </w:tcPr>
          <w:p w14:paraId="51859F77">
            <w:pPr>
              <w:spacing w:line="240" w:lineRule="exact"/>
              <w:jc w:val="center"/>
              <w:rPr>
                <w:rFonts w:ascii="宋体"/>
                <w:b/>
                <w:kern w:val="0"/>
              </w:rPr>
            </w:pPr>
            <w:r>
              <w:rPr>
                <w:rFonts w:hint="eastAsia" w:ascii="宋体"/>
                <w:b/>
                <w:kern w:val="0"/>
              </w:rPr>
              <w:t>法律依据</w:t>
            </w:r>
          </w:p>
        </w:tc>
        <w:tc>
          <w:tcPr>
            <w:tcW w:w="1080" w:type="dxa"/>
            <w:vMerge w:val="restart"/>
            <w:vAlign w:val="center"/>
          </w:tcPr>
          <w:p w14:paraId="652A155B">
            <w:pPr>
              <w:spacing w:line="240" w:lineRule="exact"/>
              <w:jc w:val="center"/>
              <w:rPr>
                <w:rFonts w:ascii="宋体"/>
                <w:b/>
                <w:kern w:val="0"/>
              </w:rPr>
            </w:pPr>
            <w:r>
              <w:rPr>
                <w:rFonts w:hint="eastAsia" w:ascii="宋体"/>
                <w:b/>
                <w:kern w:val="0"/>
              </w:rPr>
              <w:t>违法情节</w:t>
            </w:r>
          </w:p>
        </w:tc>
        <w:tc>
          <w:tcPr>
            <w:tcW w:w="3456" w:type="dxa"/>
            <w:vMerge w:val="restart"/>
            <w:vAlign w:val="center"/>
          </w:tcPr>
          <w:p w14:paraId="78AE78C2">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6908B040">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44B9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959" w:type="dxa"/>
            <w:vMerge w:val="continue"/>
            <w:vAlign w:val="center"/>
          </w:tcPr>
          <w:p w14:paraId="02E1C7BD">
            <w:pPr>
              <w:spacing w:line="240" w:lineRule="exact"/>
              <w:jc w:val="center"/>
              <w:rPr>
                <w:rFonts w:ascii="宋体"/>
                <w:b/>
                <w:kern w:val="0"/>
              </w:rPr>
            </w:pPr>
          </w:p>
        </w:tc>
        <w:tc>
          <w:tcPr>
            <w:tcW w:w="1083" w:type="dxa"/>
            <w:vAlign w:val="center"/>
          </w:tcPr>
          <w:p w14:paraId="0FA77BBF">
            <w:pPr>
              <w:spacing w:line="240" w:lineRule="exact"/>
              <w:jc w:val="center"/>
              <w:rPr>
                <w:rFonts w:ascii="宋体"/>
                <w:b/>
                <w:kern w:val="0"/>
              </w:rPr>
            </w:pPr>
            <w:r>
              <w:rPr>
                <w:rFonts w:hint="eastAsia" w:ascii="宋体"/>
                <w:b/>
                <w:kern w:val="0"/>
              </w:rPr>
              <w:t>违反条款</w:t>
            </w:r>
          </w:p>
        </w:tc>
        <w:tc>
          <w:tcPr>
            <w:tcW w:w="1559" w:type="dxa"/>
            <w:vAlign w:val="center"/>
          </w:tcPr>
          <w:p w14:paraId="028E97CF">
            <w:pPr>
              <w:spacing w:line="240" w:lineRule="exact"/>
              <w:jc w:val="center"/>
              <w:rPr>
                <w:rFonts w:ascii="宋体"/>
                <w:b/>
                <w:kern w:val="0"/>
              </w:rPr>
            </w:pPr>
            <w:r>
              <w:rPr>
                <w:rFonts w:hint="eastAsia" w:ascii="宋体"/>
                <w:b/>
                <w:kern w:val="0"/>
              </w:rPr>
              <w:t>处罚依据</w:t>
            </w:r>
          </w:p>
        </w:tc>
        <w:tc>
          <w:tcPr>
            <w:tcW w:w="1080" w:type="dxa"/>
            <w:vMerge w:val="continue"/>
            <w:vAlign w:val="center"/>
          </w:tcPr>
          <w:p w14:paraId="2A706AA0">
            <w:pPr>
              <w:spacing w:line="240" w:lineRule="exact"/>
              <w:jc w:val="center"/>
              <w:rPr>
                <w:rFonts w:ascii="宋体"/>
                <w:b/>
                <w:kern w:val="0"/>
              </w:rPr>
            </w:pPr>
          </w:p>
        </w:tc>
        <w:tc>
          <w:tcPr>
            <w:tcW w:w="3456" w:type="dxa"/>
            <w:vMerge w:val="continue"/>
            <w:vAlign w:val="center"/>
          </w:tcPr>
          <w:p w14:paraId="682E1242">
            <w:pPr>
              <w:spacing w:line="240" w:lineRule="exact"/>
              <w:jc w:val="center"/>
              <w:rPr>
                <w:rFonts w:ascii="宋体"/>
                <w:b/>
                <w:kern w:val="0"/>
              </w:rPr>
            </w:pPr>
          </w:p>
        </w:tc>
        <w:tc>
          <w:tcPr>
            <w:tcW w:w="6662" w:type="dxa"/>
            <w:vAlign w:val="center"/>
          </w:tcPr>
          <w:p w14:paraId="01FD6AA2">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14:paraId="1DCF7148">
            <w:pPr>
              <w:spacing w:line="240" w:lineRule="exact"/>
              <w:jc w:val="center"/>
              <w:rPr>
                <w:rFonts w:ascii="宋体"/>
                <w:b/>
                <w:kern w:val="0"/>
              </w:rPr>
            </w:pPr>
            <w:r>
              <w:rPr>
                <w:rFonts w:hint="eastAsia" w:ascii="宋体"/>
                <w:b/>
                <w:kern w:val="0"/>
              </w:rPr>
              <w:t>【对象】船长</w:t>
            </w:r>
          </w:p>
        </w:tc>
        <w:tc>
          <w:tcPr>
            <w:tcW w:w="2835" w:type="dxa"/>
            <w:vAlign w:val="center"/>
          </w:tcPr>
          <w:p w14:paraId="146451CC">
            <w:pPr>
              <w:spacing w:line="240" w:lineRule="exact"/>
              <w:jc w:val="center"/>
              <w:rPr>
                <w:rFonts w:ascii="宋体"/>
                <w:b/>
                <w:kern w:val="0"/>
              </w:rPr>
            </w:pPr>
            <w:r>
              <w:rPr>
                <w:rFonts w:hint="eastAsia" w:ascii="宋体"/>
                <w:b/>
                <w:kern w:val="0"/>
              </w:rPr>
              <w:t>【对象】责任船员</w:t>
            </w:r>
          </w:p>
        </w:tc>
      </w:tr>
      <w:tr w14:paraId="18DC2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14:paraId="1DD86901">
            <w:pPr>
              <w:widowControl/>
              <w:spacing w:line="240" w:lineRule="exact"/>
              <w:jc w:val="left"/>
              <w:rPr>
                <w:rFonts w:ascii="宋体"/>
                <w:b/>
                <w:kern w:val="0"/>
              </w:rPr>
            </w:pPr>
            <w:r>
              <w:rPr>
                <w:rFonts w:hint="eastAsia" w:ascii="宋体"/>
                <w:bCs/>
                <w:kern w:val="0"/>
              </w:rPr>
              <w:t>未按照有关规定开启船舶自动识别、船舶航行数据记录、船舶远程识别与跟踪、通信等与航行安全、保安、船舶防污染相关的装置，并持续进行显示和记录</w:t>
            </w:r>
          </w:p>
        </w:tc>
        <w:tc>
          <w:tcPr>
            <w:tcW w:w="1083" w:type="dxa"/>
            <w:vMerge w:val="restart"/>
            <w:vAlign w:val="center"/>
          </w:tcPr>
          <w:p w14:paraId="3721D964">
            <w:pPr>
              <w:widowControl/>
              <w:spacing w:line="240" w:lineRule="exact"/>
              <w:jc w:val="left"/>
              <w:rPr>
                <w:rFonts w:ascii="宋体"/>
                <w:kern w:val="0"/>
              </w:rPr>
            </w:pPr>
            <w:r>
              <w:rPr>
                <w:rFonts w:hint="eastAsia" w:ascii="宋体"/>
                <w:kern w:val="0"/>
              </w:rPr>
              <w:t>1.《中华人民共和国海上交通安全法》第三十六条第一款；</w:t>
            </w:r>
          </w:p>
          <w:p w14:paraId="2B6E9C43">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556EDC98">
            <w:pPr>
              <w:spacing w:line="240" w:lineRule="exact"/>
              <w:jc w:val="left"/>
              <w:rPr>
                <w:rFonts w:ascii="宋体"/>
                <w:kern w:val="0"/>
              </w:rPr>
            </w:pPr>
            <w:r>
              <w:rPr>
                <w:rFonts w:hint="eastAsia" w:ascii="宋体"/>
                <w:kern w:val="0"/>
              </w:rPr>
              <w:t>1.《中华人民共和国海上交通安全法》第一百零三条第（四）项、《中华人民共和国海上海事行政处罚规定》第十八条第（四）项；</w:t>
            </w:r>
          </w:p>
          <w:p w14:paraId="0ECDEC35">
            <w:pPr>
              <w:spacing w:line="240" w:lineRule="exact"/>
              <w:jc w:val="left"/>
              <w:rPr>
                <w:rFonts w:ascii="宋体"/>
                <w:kern w:val="0"/>
              </w:rPr>
            </w:pPr>
            <w:r>
              <w:rPr>
                <w:rFonts w:hint="eastAsia" w:ascii="宋体"/>
                <w:kern w:val="0"/>
              </w:rPr>
              <w:t>2. 《中华人民共和国海上海事行政处罚规定》第七条。</w:t>
            </w:r>
          </w:p>
        </w:tc>
        <w:tc>
          <w:tcPr>
            <w:tcW w:w="1080" w:type="dxa"/>
            <w:vAlign w:val="center"/>
          </w:tcPr>
          <w:p w14:paraId="6A7567F5">
            <w:pPr>
              <w:spacing w:line="240" w:lineRule="exact"/>
              <w:jc w:val="center"/>
              <w:rPr>
                <w:rFonts w:ascii="宋体"/>
                <w:kern w:val="0"/>
              </w:rPr>
            </w:pPr>
            <w:r>
              <w:rPr>
                <w:rFonts w:hint="eastAsia" w:ascii="宋体"/>
                <w:kern w:val="0"/>
              </w:rPr>
              <w:t>从轻</w:t>
            </w:r>
          </w:p>
        </w:tc>
        <w:tc>
          <w:tcPr>
            <w:tcW w:w="3456" w:type="dxa"/>
            <w:vAlign w:val="center"/>
          </w:tcPr>
          <w:p w14:paraId="666DBC2D">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140D3C41">
            <w:pPr>
              <w:spacing w:line="240" w:lineRule="atLeast"/>
              <w:jc w:val="center"/>
              <w:rPr>
                <w:rFonts w:ascii="宋体"/>
                <w:kern w:val="0"/>
              </w:rPr>
            </w:pPr>
            <w:r>
              <w:rPr>
                <w:rFonts w:hint="eastAsia" w:ascii="宋体"/>
                <w:kern w:val="0"/>
              </w:rPr>
              <w:t>2-3万元</w:t>
            </w:r>
          </w:p>
        </w:tc>
        <w:tc>
          <w:tcPr>
            <w:tcW w:w="2461" w:type="dxa"/>
            <w:vAlign w:val="center"/>
          </w:tcPr>
          <w:p w14:paraId="1B7473EA">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14:paraId="6C0D4551">
            <w:pPr>
              <w:spacing w:line="240" w:lineRule="atLeast"/>
              <w:jc w:val="center"/>
              <w:rPr>
                <w:rFonts w:ascii="宋体"/>
                <w:kern w:val="0"/>
              </w:rPr>
            </w:pPr>
            <w:r>
              <w:rPr>
                <w:rFonts w:hint="eastAsia" w:ascii="宋体"/>
                <w:kern w:val="0"/>
              </w:rPr>
              <w:t>2000-4000元、并暂扣适任证书3个月至4个月</w:t>
            </w:r>
          </w:p>
        </w:tc>
      </w:tr>
      <w:tr w14:paraId="63C2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8" w:hRule="atLeast"/>
        </w:trPr>
        <w:tc>
          <w:tcPr>
            <w:tcW w:w="959" w:type="dxa"/>
            <w:vMerge w:val="continue"/>
            <w:vAlign w:val="center"/>
          </w:tcPr>
          <w:p w14:paraId="3B94B764">
            <w:pPr>
              <w:spacing w:line="240" w:lineRule="exact"/>
              <w:jc w:val="center"/>
              <w:rPr>
                <w:rFonts w:ascii="宋体"/>
                <w:kern w:val="0"/>
              </w:rPr>
            </w:pPr>
          </w:p>
        </w:tc>
        <w:tc>
          <w:tcPr>
            <w:tcW w:w="1083" w:type="dxa"/>
            <w:vMerge w:val="continue"/>
            <w:vAlign w:val="center"/>
          </w:tcPr>
          <w:p w14:paraId="46FC59AA">
            <w:pPr>
              <w:widowControl/>
              <w:spacing w:line="240" w:lineRule="exact"/>
              <w:jc w:val="center"/>
              <w:rPr>
                <w:rFonts w:ascii="宋体"/>
                <w:kern w:val="0"/>
              </w:rPr>
            </w:pPr>
          </w:p>
        </w:tc>
        <w:tc>
          <w:tcPr>
            <w:tcW w:w="1559" w:type="dxa"/>
            <w:vMerge w:val="continue"/>
            <w:vAlign w:val="center"/>
          </w:tcPr>
          <w:p w14:paraId="71111567">
            <w:pPr>
              <w:spacing w:line="240" w:lineRule="exact"/>
              <w:jc w:val="center"/>
              <w:rPr>
                <w:rFonts w:ascii="宋体"/>
                <w:kern w:val="0"/>
              </w:rPr>
            </w:pPr>
          </w:p>
        </w:tc>
        <w:tc>
          <w:tcPr>
            <w:tcW w:w="1080" w:type="dxa"/>
            <w:vMerge w:val="restart"/>
            <w:vAlign w:val="center"/>
          </w:tcPr>
          <w:p w14:paraId="138C8795">
            <w:pPr>
              <w:spacing w:line="240" w:lineRule="exact"/>
              <w:jc w:val="center"/>
              <w:rPr>
                <w:rFonts w:ascii="宋体"/>
                <w:kern w:val="0"/>
              </w:rPr>
            </w:pPr>
            <w:r>
              <w:rPr>
                <w:rFonts w:hint="eastAsia" w:ascii="宋体"/>
                <w:kern w:val="0"/>
              </w:rPr>
              <w:t>一般</w:t>
            </w:r>
          </w:p>
        </w:tc>
        <w:tc>
          <w:tcPr>
            <w:tcW w:w="3456" w:type="dxa"/>
            <w:vAlign w:val="center"/>
          </w:tcPr>
          <w:p w14:paraId="5C2E6C1B">
            <w:pPr>
              <w:widowControl/>
              <w:spacing w:line="240" w:lineRule="exact"/>
              <w:jc w:val="left"/>
              <w:rPr>
                <w:rFonts w:ascii="宋体"/>
                <w:kern w:val="0"/>
              </w:rPr>
            </w:pPr>
            <w:r>
              <w:rPr>
                <w:rFonts w:hint="eastAsia" w:ascii="宋体"/>
                <w:kern w:val="0"/>
              </w:rPr>
              <w:t>未造成事故或险情的</w:t>
            </w:r>
          </w:p>
        </w:tc>
        <w:tc>
          <w:tcPr>
            <w:tcW w:w="6662" w:type="dxa"/>
            <w:vAlign w:val="center"/>
          </w:tcPr>
          <w:p w14:paraId="752D5B96">
            <w:pPr>
              <w:spacing w:line="240" w:lineRule="atLeast"/>
              <w:jc w:val="center"/>
              <w:rPr>
                <w:rFonts w:ascii="宋体"/>
                <w:kern w:val="0"/>
              </w:rPr>
            </w:pPr>
            <w:r>
              <w:rPr>
                <w:rFonts w:hint="eastAsia" w:ascii="宋体"/>
                <w:kern w:val="0"/>
              </w:rPr>
              <w:t>3-4万元</w:t>
            </w:r>
          </w:p>
        </w:tc>
        <w:tc>
          <w:tcPr>
            <w:tcW w:w="2461" w:type="dxa"/>
            <w:vAlign w:val="center"/>
          </w:tcPr>
          <w:p w14:paraId="3313A8CA">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14:paraId="1ECCD1EA">
            <w:pPr>
              <w:spacing w:line="240" w:lineRule="atLeast"/>
              <w:jc w:val="center"/>
              <w:rPr>
                <w:rFonts w:ascii="宋体"/>
                <w:b/>
                <w:kern w:val="0"/>
              </w:rPr>
            </w:pPr>
            <w:r>
              <w:rPr>
                <w:rFonts w:hint="eastAsia" w:ascii="宋体"/>
                <w:kern w:val="0"/>
              </w:rPr>
              <w:t>4000元-6000、并暂扣适任证书3个月至4个月</w:t>
            </w:r>
          </w:p>
        </w:tc>
      </w:tr>
      <w:tr w14:paraId="07F2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9" w:type="dxa"/>
            <w:vMerge w:val="continue"/>
            <w:vAlign w:val="center"/>
          </w:tcPr>
          <w:p w14:paraId="7085B0A7">
            <w:pPr>
              <w:spacing w:line="240" w:lineRule="exact"/>
              <w:jc w:val="center"/>
              <w:rPr>
                <w:rFonts w:ascii="宋体"/>
                <w:kern w:val="0"/>
              </w:rPr>
            </w:pPr>
          </w:p>
        </w:tc>
        <w:tc>
          <w:tcPr>
            <w:tcW w:w="1083" w:type="dxa"/>
            <w:vMerge w:val="continue"/>
            <w:vAlign w:val="center"/>
          </w:tcPr>
          <w:p w14:paraId="6671C192">
            <w:pPr>
              <w:widowControl/>
              <w:spacing w:line="240" w:lineRule="exact"/>
              <w:jc w:val="center"/>
              <w:rPr>
                <w:rFonts w:ascii="宋体"/>
                <w:kern w:val="0"/>
              </w:rPr>
            </w:pPr>
          </w:p>
        </w:tc>
        <w:tc>
          <w:tcPr>
            <w:tcW w:w="1559" w:type="dxa"/>
            <w:vMerge w:val="continue"/>
            <w:vAlign w:val="center"/>
          </w:tcPr>
          <w:p w14:paraId="738A0CE2">
            <w:pPr>
              <w:spacing w:line="240" w:lineRule="exact"/>
              <w:jc w:val="center"/>
              <w:rPr>
                <w:rFonts w:ascii="宋体"/>
                <w:kern w:val="0"/>
              </w:rPr>
            </w:pPr>
          </w:p>
        </w:tc>
        <w:tc>
          <w:tcPr>
            <w:tcW w:w="1080" w:type="dxa"/>
            <w:vMerge w:val="continue"/>
            <w:vAlign w:val="center"/>
          </w:tcPr>
          <w:p w14:paraId="0F7E525C">
            <w:pPr>
              <w:widowControl/>
              <w:spacing w:line="240" w:lineRule="exact"/>
              <w:jc w:val="center"/>
              <w:rPr>
                <w:rFonts w:ascii="宋体"/>
                <w:kern w:val="0"/>
              </w:rPr>
            </w:pPr>
          </w:p>
        </w:tc>
        <w:tc>
          <w:tcPr>
            <w:tcW w:w="3456" w:type="dxa"/>
            <w:vAlign w:val="center"/>
          </w:tcPr>
          <w:p w14:paraId="23F592BD">
            <w:pPr>
              <w:widowControl/>
              <w:spacing w:line="240" w:lineRule="exact"/>
              <w:jc w:val="left"/>
              <w:rPr>
                <w:rFonts w:ascii="宋体"/>
                <w:kern w:val="0"/>
              </w:rPr>
            </w:pPr>
            <w:r>
              <w:rPr>
                <w:rFonts w:hint="eastAsia" w:ascii="宋体"/>
                <w:kern w:val="0"/>
              </w:rPr>
              <w:t>未造成事故或险情，但影响海事现场监督检查或调查取证的</w:t>
            </w:r>
          </w:p>
        </w:tc>
        <w:tc>
          <w:tcPr>
            <w:tcW w:w="6662" w:type="dxa"/>
            <w:vAlign w:val="center"/>
          </w:tcPr>
          <w:p w14:paraId="5C90B1C5">
            <w:pPr>
              <w:spacing w:line="240" w:lineRule="atLeast"/>
              <w:jc w:val="center"/>
              <w:rPr>
                <w:rFonts w:ascii="宋体"/>
                <w:kern w:val="0"/>
              </w:rPr>
            </w:pPr>
            <w:r>
              <w:rPr>
                <w:rFonts w:hint="eastAsia" w:ascii="宋体"/>
                <w:kern w:val="0"/>
              </w:rPr>
              <w:t>4-5万元</w:t>
            </w:r>
          </w:p>
        </w:tc>
        <w:tc>
          <w:tcPr>
            <w:tcW w:w="2461" w:type="dxa"/>
            <w:vAlign w:val="center"/>
          </w:tcPr>
          <w:p w14:paraId="32C268E2">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14:paraId="77EBB013">
            <w:pPr>
              <w:spacing w:line="240" w:lineRule="atLeast"/>
              <w:jc w:val="center"/>
              <w:rPr>
                <w:rFonts w:ascii="宋体"/>
                <w:kern w:val="0"/>
              </w:rPr>
            </w:pPr>
            <w:r>
              <w:rPr>
                <w:rFonts w:hint="eastAsia" w:ascii="宋体"/>
                <w:kern w:val="0"/>
              </w:rPr>
              <w:t>6000元-1万元、并暂扣适任证书4个月至5个月</w:t>
            </w:r>
          </w:p>
        </w:tc>
      </w:tr>
      <w:tr w14:paraId="4118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959" w:type="dxa"/>
            <w:vMerge w:val="continue"/>
            <w:vAlign w:val="center"/>
          </w:tcPr>
          <w:p w14:paraId="66FD8539">
            <w:pPr>
              <w:spacing w:line="240" w:lineRule="exact"/>
              <w:jc w:val="center"/>
              <w:rPr>
                <w:rFonts w:ascii="宋体"/>
                <w:kern w:val="0"/>
              </w:rPr>
            </w:pPr>
          </w:p>
        </w:tc>
        <w:tc>
          <w:tcPr>
            <w:tcW w:w="1083" w:type="dxa"/>
            <w:vMerge w:val="continue"/>
            <w:vAlign w:val="center"/>
          </w:tcPr>
          <w:p w14:paraId="0C0AC07C">
            <w:pPr>
              <w:widowControl/>
              <w:spacing w:line="240" w:lineRule="exact"/>
              <w:jc w:val="center"/>
              <w:rPr>
                <w:rFonts w:ascii="宋体"/>
                <w:kern w:val="0"/>
              </w:rPr>
            </w:pPr>
          </w:p>
        </w:tc>
        <w:tc>
          <w:tcPr>
            <w:tcW w:w="1559" w:type="dxa"/>
            <w:vMerge w:val="continue"/>
            <w:vAlign w:val="center"/>
          </w:tcPr>
          <w:p w14:paraId="1A63D655">
            <w:pPr>
              <w:spacing w:line="240" w:lineRule="exact"/>
              <w:jc w:val="center"/>
              <w:rPr>
                <w:rFonts w:ascii="宋体"/>
                <w:kern w:val="0"/>
              </w:rPr>
            </w:pPr>
          </w:p>
        </w:tc>
        <w:tc>
          <w:tcPr>
            <w:tcW w:w="1080" w:type="dxa"/>
            <w:vMerge w:val="continue"/>
            <w:vAlign w:val="center"/>
          </w:tcPr>
          <w:p w14:paraId="3A3377EC">
            <w:pPr>
              <w:widowControl/>
              <w:spacing w:line="240" w:lineRule="exact"/>
              <w:jc w:val="center"/>
              <w:rPr>
                <w:rFonts w:ascii="宋体"/>
                <w:kern w:val="0"/>
              </w:rPr>
            </w:pPr>
          </w:p>
        </w:tc>
        <w:tc>
          <w:tcPr>
            <w:tcW w:w="3456" w:type="dxa"/>
            <w:vAlign w:val="center"/>
          </w:tcPr>
          <w:p w14:paraId="17A8D6FB">
            <w:pPr>
              <w:spacing w:line="240" w:lineRule="atLeast"/>
              <w:jc w:val="left"/>
              <w:rPr>
                <w:rFonts w:ascii="宋体"/>
              </w:rPr>
            </w:pPr>
            <w:r>
              <w:rPr>
                <w:rFonts w:hint="eastAsia" w:ascii="宋体"/>
              </w:rPr>
              <w:t>1.造成一般事故或险情的；</w:t>
            </w:r>
          </w:p>
          <w:p w14:paraId="72428AFB">
            <w:pPr>
              <w:spacing w:line="240" w:lineRule="atLeast"/>
              <w:jc w:val="left"/>
              <w:rPr>
                <w:rFonts w:ascii="宋体"/>
                <w:kern w:val="0"/>
              </w:rPr>
            </w:pPr>
            <w:r>
              <w:rPr>
                <w:rFonts w:hint="eastAsia" w:ascii="宋体"/>
              </w:rPr>
              <w:t>2.具有其他较重情节的。</w:t>
            </w:r>
          </w:p>
        </w:tc>
        <w:tc>
          <w:tcPr>
            <w:tcW w:w="6662" w:type="dxa"/>
            <w:vAlign w:val="center"/>
          </w:tcPr>
          <w:p w14:paraId="34A25DC2">
            <w:pPr>
              <w:spacing w:line="240" w:lineRule="atLeast"/>
              <w:jc w:val="center"/>
              <w:rPr>
                <w:rFonts w:ascii="宋体"/>
                <w:kern w:val="0"/>
              </w:rPr>
            </w:pPr>
            <w:r>
              <w:rPr>
                <w:rFonts w:hint="eastAsia" w:ascii="宋体"/>
                <w:kern w:val="0"/>
              </w:rPr>
              <w:t>5-10万元</w:t>
            </w:r>
          </w:p>
        </w:tc>
        <w:tc>
          <w:tcPr>
            <w:tcW w:w="2461" w:type="dxa"/>
            <w:vAlign w:val="center"/>
          </w:tcPr>
          <w:p w14:paraId="7D644572">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14:paraId="5F4AE5DD">
            <w:pPr>
              <w:spacing w:line="240" w:lineRule="atLeast"/>
              <w:jc w:val="center"/>
              <w:rPr>
                <w:rFonts w:ascii="宋体"/>
                <w:kern w:val="0"/>
              </w:rPr>
            </w:pPr>
            <w:r>
              <w:rPr>
                <w:rFonts w:hint="eastAsia" w:ascii="宋体"/>
                <w:kern w:val="0"/>
              </w:rPr>
              <w:t>1-2万元、并暂扣适任证书5个月至12个月</w:t>
            </w:r>
          </w:p>
        </w:tc>
      </w:tr>
      <w:tr w14:paraId="11F1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5" w:hRule="atLeast"/>
        </w:trPr>
        <w:tc>
          <w:tcPr>
            <w:tcW w:w="959" w:type="dxa"/>
            <w:vMerge w:val="continue"/>
            <w:vAlign w:val="center"/>
          </w:tcPr>
          <w:p w14:paraId="1E86DA42">
            <w:pPr>
              <w:spacing w:line="240" w:lineRule="exact"/>
              <w:jc w:val="center"/>
              <w:rPr>
                <w:rFonts w:ascii="宋体"/>
                <w:kern w:val="0"/>
              </w:rPr>
            </w:pPr>
          </w:p>
        </w:tc>
        <w:tc>
          <w:tcPr>
            <w:tcW w:w="1083" w:type="dxa"/>
            <w:vMerge w:val="continue"/>
            <w:vAlign w:val="center"/>
          </w:tcPr>
          <w:p w14:paraId="7ED63114">
            <w:pPr>
              <w:spacing w:line="240" w:lineRule="exact"/>
              <w:jc w:val="center"/>
              <w:rPr>
                <w:rFonts w:ascii="宋体"/>
                <w:kern w:val="0"/>
              </w:rPr>
            </w:pPr>
          </w:p>
        </w:tc>
        <w:tc>
          <w:tcPr>
            <w:tcW w:w="1559" w:type="dxa"/>
            <w:vMerge w:val="continue"/>
            <w:vAlign w:val="center"/>
          </w:tcPr>
          <w:p w14:paraId="4ADF126F">
            <w:pPr>
              <w:spacing w:line="240" w:lineRule="exact"/>
              <w:jc w:val="center"/>
              <w:rPr>
                <w:rFonts w:ascii="宋体"/>
                <w:kern w:val="0"/>
              </w:rPr>
            </w:pPr>
          </w:p>
        </w:tc>
        <w:tc>
          <w:tcPr>
            <w:tcW w:w="1080" w:type="dxa"/>
            <w:vAlign w:val="center"/>
          </w:tcPr>
          <w:p w14:paraId="17F65EA3">
            <w:pPr>
              <w:spacing w:line="240" w:lineRule="exact"/>
              <w:jc w:val="center"/>
              <w:rPr>
                <w:rFonts w:ascii="宋体"/>
                <w:kern w:val="0"/>
              </w:rPr>
            </w:pPr>
            <w:r>
              <w:rPr>
                <w:rFonts w:hint="eastAsia" w:ascii="宋体"/>
                <w:kern w:val="0"/>
              </w:rPr>
              <w:t>情节严重</w:t>
            </w:r>
          </w:p>
        </w:tc>
        <w:tc>
          <w:tcPr>
            <w:tcW w:w="3456" w:type="dxa"/>
            <w:vAlign w:val="center"/>
          </w:tcPr>
          <w:p w14:paraId="5BA1D2ED">
            <w:pPr>
              <w:spacing w:line="240" w:lineRule="atLeast"/>
              <w:jc w:val="left"/>
              <w:rPr>
                <w:rFonts w:ascii="宋体"/>
              </w:rPr>
            </w:pPr>
            <w:r>
              <w:rPr>
                <w:rFonts w:hint="eastAsia" w:ascii="宋体"/>
              </w:rPr>
              <w:t>1.造成较大等级以上事故的；</w:t>
            </w:r>
          </w:p>
          <w:p w14:paraId="771CF55C">
            <w:pPr>
              <w:spacing w:line="240" w:lineRule="atLeast"/>
              <w:jc w:val="left"/>
              <w:rPr>
                <w:rFonts w:ascii="宋体"/>
              </w:rPr>
            </w:pPr>
            <w:r>
              <w:rPr>
                <w:rFonts w:hint="eastAsia" w:ascii="宋体"/>
              </w:rPr>
              <w:t>2.具有其他严重情节的。</w:t>
            </w:r>
          </w:p>
        </w:tc>
        <w:tc>
          <w:tcPr>
            <w:tcW w:w="6662" w:type="dxa"/>
            <w:vAlign w:val="center"/>
          </w:tcPr>
          <w:p w14:paraId="1BE8B159">
            <w:pPr>
              <w:spacing w:line="240" w:lineRule="atLeast"/>
              <w:jc w:val="center"/>
              <w:rPr>
                <w:rFonts w:ascii="宋体"/>
                <w:kern w:val="0"/>
              </w:rPr>
            </w:pPr>
            <w:r>
              <w:rPr>
                <w:rFonts w:hint="eastAsia" w:ascii="宋体"/>
                <w:kern w:val="0"/>
              </w:rPr>
              <w:t>10-20万元</w:t>
            </w:r>
          </w:p>
        </w:tc>
        <w:tc>
          <w:tcPr>
            <w:tcW w:w="2461" w:type="dxa"/>
            <w:vAlign w:val="center"/>
          </w:tcPr>
          <w:p w14:paraId="7C0DBDBE">
            <w:pPr>
              <w:spacing w:line="240" w:lineRule="atLeast"/>
              <w:jc w:val="center"/>
              <w:rPr>
                <w:rFonts w:ascii="宋体"/>
                <w:kern w:val="0"/>
              </w:rPr>
            </w:pPr>
            <w:r>
              <w:rPr>
                <w:rFonts w:hint="eastAsia" w:ascii="宋体"/>
                <w:kern w:val="0"/>
              </w:rPr>
              <w:t>吊销适任证书</w:t>
            </w:r>
          </w:p>
        </w:tc>
        <w:tc>
          <w:tcPr>
            <w:tcW w:w="2835" w:type="dxa"/>
            <w:vAlign w:val="center"/>
          </w:tcPr>
          <w:p w14:paraId="46E375B0">
            <w:pPr>
              <w:spacing w:line="240" w:lineRule="atLeast"/>
              <w:jc w:val="center"/>
              <w:rPr>
                <w:rFonts w:ascii="宋体"/>
                <w:kern w:val="0"/>
              </w:rPr>
            </w:pPr>
            <w:r>
              <w:rPr>
                <w:rFonts w:hint="eastAsia" w:ascii="宋体"/>
                <w:kern w:val="0"/>
              </w:rPr>
              <w:t>吊销适任证书</w:t>
            </w:r>
          </w:p>
        </w:tc>
      </w:tr>
    </w:tbl>
    <w:p w14:paraId="5B58A1C9">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1125"/>
        <w:gridCol w:w="1455"/>
        <w:gridCol w:w="1155"/>
        <w:gridCol w:w="3380"/>
        <w:gridCol w:w="6660"/>
        <w:gridCol w:w="2470"/>
        <w:gridCol w:w="2829"/>
      </w:tblGrid>
      <w:tr w14:paraId="22A5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21" w:type="dxa"/>
            <w:vMerge w:val="restart"/>
            <w:vAlign w:val="center"/>
          </w:tcPr>
          <w:p w14:paraId="41A60DF4">
            <w:pPr>
              <w:spacing w:line="240" w:lineRule="exact"/>
              <w:jc w:val="center"/>
              <w:rPr>
                <w:rFonts w:ascii="宋体"/>
                <w:b/>
                <w:kern w:val="0"/>
              </w:rPr>
            </w:pPr>
            <w:r>
              <w:rPr>
                <w:rFonts w:hint="eastAsia" w:ascii="宋体"/>
                <w:b/>
                <w:kern w:val="0"/>
              </w:rPr>
              <w:t>案由17</w:t>
            </w:r>
          </w:p>
        </w:tc>
        <w:tc>
          <w:tcPr>
            <w:tcW w:w="2580" w:type="dxa"/>
            <w:gridSpan w:val="2"/>
            <w:vAlign w:val="center"/>
          </w:tcPr>
          <w:p w14:paraId="6934EB92">
            <w:pPr>
              <w:spacing w:line="240" w:lineRule="exact"/>
              <w:jc w:val="center"/>
              <w:rPr>
                <w:rFonts w:ascii="宋体"/>
                <w:b/>
                <w:kern w:val="0"/>
              </w:rPr>
            </w:pPr>
            <w:r>
              <w:rPr>
                <w:rFonts w:hint="eastAsia" w:ascii="宋体"/>
                <w:b/>
                <w:kern w:val="0"/>
              </w:rPr>
              <w:t>法律依据</w:t>
            </w:r>
          </w:p>
        </w:tc>
        <w:tc>
          <w:tcPr>
            <w:tcW w:w="1155" w:type="dxa"/>
            <w:vMerge w:val="restart"/>
            <w:vAlign w:val="center"/>
          </w:tcPr>
          <w:p w14:paraId="55244CA9">
            <w:pPr>
              <w:spacing w:line="240" w:lineRule="exact"/>
              <w:jc w:val="center"/>
              <w:rPr>
                <w:rFonts w:ascii="宋体"/>
                <w:b/>
                <w:kern w:val="0"/>
              </w:rPr>
            </w:pPr>
            <w:r>
              <w:rPr>
                <w:rFonts w:hint="eastAsia" w:ascii="宋体"/>
                <w:b/>
                <w:kern w:val="0"/>
              </w:rPr>
              <w:t>违法情节</w:t>
            </w:r>
          </w:p>
        </w:tc>
        <w:tc>
          <w:tcPr>
            <w:tcW w:w="3380" w:type="dxa"/>
            <w:vMerge w:val="restart"/>
            <w:vAlign w:val="center"/>
          </w:tcPr>
          <w:p w14:paraId="44447A04">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335E8A3D">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1406F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021" w:type="dxa"/>
            <w:vMerge w:val="continue"/>
            <w:vAlign w:val="center"/>
          </w:tcPr>
          <w:p w14:paraId="3C1CB128">
            <w:pPr>
              <w:spacing w:line="240" w:lineRule="exact"/>
              <w:jc w:val="center"/>
              <w:rPr>
                <w:rFonts w:ascii="宋体"/>
                <w:b/>
                <w:kern w:val="0"/>
              </w:rPr>
            </w:pPr>
          </w:p>
        </w:tc>
        <w:tc>
          <w:tcPr>
            <w:tcW w:w="1125" w:type="dxa"/>
            <w:vAlign w:val="center"/>
          </w:tcPr>
          <w:p w14:paraId="134FEB92">
            <w:pPr>
              <w:spacing w:line="240" w:lineRule="exact"/>
              <w:jc w:val="center"/>
              <w:rPr>
                <w:rFonts w:ascii="宋体"/>
                <w:b/>
                <w:kern w:val="0"/>
              </w:rPr>
            </w:pPr>
            <w:r>
              <w:rPr>
                <w:rFonts w:hint="eastAsia" w:ascii="宋体"/>
                <w:b/>
                <w:kern w:val="0"/>
              </w:rPr>
              <w:t>违反条款</w:t>
            </w:r>
          </w:p>
        </w:tc>
        <w:tc>
          <w:tcPr>
            <w:tcW w:w="1455" w:type="dxa"/>
            <w:vAlign w:val="center"/>
          </w:tcPr>
          <w:p w14:paraId="3B1C89B5">
            <w:pPr>
              <w:spacing w:line="240" w:lineRule="exact"/>
              <w:jc w:val="center"/>
              <w:rPr>
                <w:rFonts w:ascii="宋体"/>
                <w:b/>
                <w:kern w:val="0"/>
              </w:rPr>
            </w:pPr>
            <w:r>
              <w:rPr>
                <w:rFonts w:hint="eastAsia" w:ascii="宋体"/>
                <w:b/>
                <w:kern w:val="0"/>
              </w:rPr>
              <w:t>处罚依据</w:t>
            </w:r>
          </w:p>
        </w:tc>
        <w:tc>
          <w:tcPr>
            <w:tcW w:w="1155" w:type="dxa"/>
            <w:vMerge w:val="continue"/>
            <w:vAlign w:val="center"/>
          </w:tcPr>
          <w:p w14:paraId="5C877DC5">
            <w:pPr>
              <w:spacing w:line="240" w:lineRule="exact"/>
              <w:jc w:val="center"/>
              <w:rPr>
                <w:rFonts w:ascii="宋体"/>
                <w:b/>
                <w:kern w:val="0"/>
              </w:rPr>
            </w:pPr>
          </w:p>
        </w:tc>
        <w:tc>
          <w:tcPr>
            <w:tcW w:w="3380" w:type="dxa"/>
            <w:vMerge w:val="continue"/>
            <w:vAlign w:val="center"/>
          </w:tcPr>
          <w:p w14:paraId="53BB018B">
            <w:pPr>
              <w:spacing w:line="240" w:lineRule="exact"/>
              <w:jc w:val="center"/>
              <w:rPr>
                <w:rFonts w:ascii="宋体"/>
                <w:b/>
                <w:kern w:val="0"/>
              </w:rPr>
            </w:pPr>
          </w:p>
        </w:tc>
        <w:tc>
          <w:tcPr>
            <w:tcW w:w="6660" w:type="dxa"/>
            <w:vAlign w:val="center"/>
          </w:tcPr>
          <w:p w14:paraId="0FBE5FA8">
            <w:pPr>
              <w:spacing w:line="240" w:lineRule="exact"/>
              <w:jc w:val="center"/>
              <w:rPr>
                <w:rFonts w:ascii="宋体"/>
                <w:b/>
                <w:kern w:val="0"/>
              </w:rPr>
            </w:pPr>
            <w:r>
              <w:rPr>
                <w:rFonts w:hint="eastAsia" w:ascii="宋体"/>
                <w:b/>
                <w:kern w:val="0"/>
              </w:rPr>
              <w:t>【对象】对船舶的所有人、经营人或者管理人</w:t>
            </w:r>
          </w:p>
          <w:p w14:paraId="1768064A">
            <w:pPr>
              <w:spacing w:line="240" w:lineRule="exact"/>
              <w:jc w:val="center"/>
              <w:rPr>
                <w:rFonts w:ascii="宋体"/>
                <w:b/>
                <w:kern w:val="0"/>
              </w:rPr>
            </w:pPr>
          </w:p>
        </w:tc>
        <w:tc>
          <w:tcPr>
            <w:tcW w:w="2470" w:type="dxa"/>
            <w:vAlign w:val="center"/>
          </w:tcPr>
          <w:p w14:paraId="1C6C48B2">
            <w:pPr>
              <w:spacing w:line="240" w:lineRule="exact"/>
              <w:jc w:val="center"/>
              <w:rPr>
                <w:rFonts w:ascii="宋体"/>
                <w:b/>
                <w:kern w:val="0"/>
              </w:rPr>
            </w:pPr>
            <w:r>
              <w:rPr>
                <w:rFonts w:hint="eastAsia" w:ascii="宋体"/>
                <w:b/>
                <w:kern w:val="0"/>
              </w:rPr>
              <w:t>【对象】船长</w:t>
            </w:r>
          </w:p>
        </w:tc>
        <w:tc>
          <w:tcPr>
            <w:tcW w:w="2829" w:type="dxa"/>
            <w:vAlign w:val="center"/>
          </w:tcPr>
          <w:p w14:paraId="24AE2B88">
            <w:pPr>
              <w:spacing w:line="240" w:lineRule="exact"/>
              <w:jc w:val="center"/>
              <w:rPr>
                <w:rFonts w:ascii="宋体"/>
                <w:b/>
                <w:kern w:val="0"/>
              </w:rPr>
            </w:pPr>
            <w:r>
              <w:rPr>
                <w:rFonts w:hint="eastAsia" w:ascii="宋体"/>
                <w:b/>
                <w:kern w:val="0"/>
              </w:rPr>
              <w:t>【对象】责任船员</w:t>
            </w:r>
          </w:p>
        </w:tc>
      </w:tr>
      <w:tr w14:paraId="597D2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21" w:type="dxa"/>
            <w:vMerge w:val="restart"/>
            <w:vAlign w:val="center"/>
          </w:tcPr>
          <w:p w14:paraId="2F8E05B8">
            <w:pPr>
              <w:widowControl/>
              <w:spacing w:line="240" w:lineRule="exact"/>
              <w:jc w:val="left"/>
              <w:rPr>
                <w:rFonts w:ascii="宋体"/>
                <w:b/>
                <w:kern w:val="0"/>
              </w:rPr>
            </w:pPr>
            <w:r>
              <w:rPr>
                <w:rFonts w:hint="eastAsia" w:ascii="宋体"/>
                <w:bCs/>
                <w:kern w:val="0"/>
              </w:rPr>
              <w:t>船舶穿越航道妨碍航道内船舶的正常航行</w:t>
            </w:r>
          </w:p>
        </w:tc>
        <w:tc>
          <w:tcPr>
            <w:tcW w:w="1125" w:type="dxa"/>
            <w:vMerge w:val="restart"/>
            <w:vAlign w:val="center"/>
          </w:tcPr>
          <w:p w14:paraId="50B9E5B2">
            <w:pPr>
              <w:widowControl/>
              <w:spacing w:line="240" w:lineRule="exact"/>
              <w:jc w:val="left"/>
              <w:rPr>
                <w:rFonts w:ascii="宋体"/>
                <w:kern w:val="0"/>
              </w:rPr>
            </w:pPr>
            <w:r>
              <w:rPr>
                <w:rFonts w:hint="eastAsia" w:ascii="宋体"/>
                <w:kern w:val="0"/>
              </w:rPr>
              <w:t>1.《中华人民共和国海上交通安全法》第四十三条第三款。</w:t>
            </w:r>
          </w:p>
          <w:p w14:paraId="1F31F607">
            <w:pPr>
              <w:widowControl/>
              <w:spacing w:line="240" w:lineRule="exact"/>
              <w:jc w:val="left"/>
              <w:rPr>
                <w:rFonts w:ascii="宋体"/>
              </w:rPr>
            </w:pPr>
            <w:r>
              <w:rPr>
                <w:rFonts w:hint="eastAsia" w:ascii="宋体"/>
              </w:rPr>
              <w:t>2.其他法律、法规、规章等</w:t>
            </w:r>
          </w:p>
        </w:tc>
        <w:tc>
          <w:tcPr>
            <w:tcW w:w="1455" w:type="dxa"/>
            <w:vMerge w:val="restart"/>
            <w:vAlign w:val="center"/>
          </w:tcPr>
          <w:p w14:paraId="3FE403BB">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14:paraId="1C3D70BF">
            <w:pPr>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14:paraId="41A12DF0">
            <w:pPr>
              <w:spacing w:line="240" w:lineRule="exact"/>
              <w:jc w:val="center"/>
              <w:rPr>
                <w:rFonts w:ascii="宋体"/>
                <w:kern w:val="0"/>
              </w:rPr>
            </w:pPr>
            <w:r>
              <w:rPr>
                <w:rFonts w:hint="eastAsia" w:ascii="宋体"/>
                <w:kern w:val="0"/>
              </w:rPr>
              <w:t>从轻</w:t>
            </w:r>
          </w:p>
        </w:tc>
        <w:tc>
          <w:tcPr>
            <w:tcW w:w="3380" w:type="dxa"/>
            <w:vAlign w:val="center"/>
          </w:tcPr>
          <w:p w14:paraId="09752BA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706443A8">
            <w:pPr>
              <w:spacing w:line="240" w:lineRule="atLeast"/>
              <w:jc w:val="center"/>
              <w:rPr>
                <w:rFonts w:ascii="宋体"/>
                <w:kern w:val="0"/>
              </w:rPr>
            </w:pPr>
            <w:r>
              <w:rPr>
                <w:rFonts w:hint="eastAsia" w:ascii="宋体"/>
                <w:kern w:val="0"/>
              </w:rPr>
              <w:t>2-3万元</w:t>
            </w:r>
          </w:p>
        </w:tc>
        <w:tc>
          <w:tcPr>
            <w:tcW w:w="2470" w:type="dxa"/>
            <w:vAlign w:val="center"/>
          </w:tcPr>
          <w:p w14:paraId="5C0DBBAA">
            <w:pPr>
              <w:spacing w:line="240" w:lineRule="atLeast"/>
              <w:jc w:val="center"/>
              <w:rPr>
                <w:rFonts w:ascii="宋体"/>
                <w:kern w:val="0"/>
              </w:rPr>
            </w:pPr>
            <w:r>
              <w:rPr>
                <w:rFonts w:hint="eastAsia" w:ascii="宋体"/>
                <w:kern w:val="0"/>
              </w:rPr>
              <w:t>2000-5000元、并暂扣适任证书3个月至4个月</w:t>
            </w:r>
          </w:p>
        </w:tc>
        <w:tc>
          <w:tcPr>
            <w:tcW w:w="2829" w:type="dxa"/>
            <w:vAlign w:val="center"/>
          </w:tcPr>
          <w:p w14:paraId="0A52C5A0">
            <w:pPr>
              <w:spacing w:line="240" w:lineRule="atLeast"/>
              <w:jc w:val="center"/>
              <w:rPr>
                <w:rFonts w:ascii="宋体"/>
                <w:kern w:val="0"/>
              </w:rPr>
            </w:pPr>
            <w:r>
              <w:rPr>
                <w:rFonts w:hint="eastAsia" w:ascii="宋体"/>
                <w:kern w:val="0"/>
              </w:rPr>
              <w:t>2000-4000元、并暂扣适任证书3个月至4个月</w:t>
            </w:r>
          </w:p>
        </w:tc>
      </w:tr>
      <w:tr w14:paraId="1BBE5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21" w:type="dxa"/>
            <w:vMerge w:val="continue"/>
            <w:vAlign w:val="center"/>
          </w:tcPr>
          <w:p w14:paraId="01529124">
            <w:pPr>
              <w:spacing w:line="240" w:lineRule="exact"/>
              <w:jc w:val="center"/>
              <w:rPr>
                <w:rFonts w:ascii="宋体"/>
                <w:kern w:val="0"/>
              </w:rPr>
            </w:pPr>
          </w:p>
        </w:tc>
        <w:tc>
          <w:tcPr>
            <w:tcW w:w="1125" w:type="dxa"/>
            <w:vMerge w:val="continue"/>
            <w:vAlign w:val="center"/>
          </w:tcPr>
          <w:p w14:paraId="4930F627">
            <w:pPr>
              <w:widowControl/>
              <w:spacing w:line="240" w:lineRule="exact"/>
              <w:jc w:val="center"/>
              <w:rPr>
                <w:rFonts w:ascii="宋体"/>
                <w:kern w:val="0"/>
              </w:rPr>
            </w:pPr>
          </w:p>
        </w:tc>
        <w:tc>
          <w:tcPr>
            <w:tcW w:w="1455" w:type="dxa"/>
            <w:vMerge w:val="continue"/>
            <w:vAlign w:val="center"/>
          </w:tcPr>
          <w:p w14:paraId="0C5612B9">
            <w:pPr>
              <w:spacing w:line="240" w:lineRule="exact"/>
              <w:jc w:val="center"/>
              <w:rPr>
                <w:rFonts w:ascii="宋体"/>
                <w:kern w:val="0"/>
              </w:rPr>
            </w:pPr>
          </w:p>
        </w:tc>
        <w:tc>
          <w:tcPr>
            <w:tcW w:w="1155" w:type="dxa"/>
            <w:vMerge w:val="restart"/>
            <w:vAlign w:val="center"/>
          </w:tcPr>
          <w:p w14:paraId="5F881629">
            <w:pPr>
              <w:spacing w:line="240" w:lineRule="exact"/>
              <w:jc w:val="center"/>
              <w:rPr>
                <w:rFonts w:ascii="宋体"/>
                <w:kern w:val="0"/>
              </w:rPr>
            </w:pPr>
            <w:r>
              <w:rPr>
                <w:rFonts w:hint="eastAsia" w:ascii="宋体"/>
                <w:kern w:val="0"/>
              </w:rPr>
              <w:t>一般</w:t>
            </w:r>
          </w:p>
        </w:tc>
        <w:tc>
          <w:tcPr>
            <w:tcW w:w="3380" w:type="dxa"/>
            <w:vAlign w:val="center"/>
          </w:tcPr>
          <w:p w14:paraId="14DFBAE9">
            <w:pPr>
              <w:widowControl/>
              <w:spacing w:line="240" w:lineRule="exact"/>
              <w:jc w:val="left"/>
              <w:rPr>
                <w:rFonts w:ascii="宋体"/>
                <w:kern w:val="0"/>
              </w:rPr>
            </w:pPr>
            <w:r>
              <w:rPr>
                <w:rFonts w:hint="eastAsia" w:ascii="宋体"/>
                <w:kern w:val="0"/>
              </w:rPr>
              <w:t>一般船舶</w:t>
            </w:r>
          </w:p>
        </w:tc>
        <w:tc>
          <w:tcPr>
            <w:tcW w:w="6660" w:type="dxa"/>
            <w:vAlign w:val="center"/>
          </w:tcPr>
          <w:p w14:paraId="216C32E1">
            <w:pPr>
              <w:spacing w:line="240" w:lineRule="atLeast"/>
              <w:jc w:val="center"/>
              <w:rPr>
                <w:rFonts w:ascii="宋体"/>
                <w:kern w:val="0"/>
              </w:rPr>
            </w:pPr>
            <w:r>
              <w:rPr>
                <w:rFonts w:hint="eastAsia" w:ascii="宋体"/>
                <w:kern w:val="0"/>
              </w:rPr>
              <w:t>3-4万元</w:t>
            </w:r>
          </w:p>
        </w:tc>
        <w:tc>
          <w:tcPr>
            <w:tcW w:w="2470" w:type="dxa"/>
            <w:vAlign w:val="center"/>
          </w:tcPr>
          <w:p w14:paraId="2637A10A">
            <w:pPr>
              <w:spacing w:line="240" w:lineRule="atLeast"/>
              <w:jc w:val="center"/>
              <w:rPr>
                <w:rFonts w:ascii="宋体"/>
                <w:kern w:val="0"/>
              </w:rPr>
            </w:pPr>
            <w:r>
              <w:rPr>
                <w:rFonts w:hint="eastAsia" w:ascii="宋体"/>
                <w:kern w:val="0"/>
              </w:rPr>
              <w:t>5000-8000元、并暂扣适任证书3个月至5个月</w:t>
            </w:r>
          </w:p>
        </w:tc>
        <w:tc>
          <w:tcPr>
            <w:tcW w:w="2829" w:type="dxa"/>
            <w:vAlign w:val="center"/>
          </w:tcPr>
          <w:p w14:paraId="61132085">
            <w:pPr>
              <w:spacing w:line="240" w:lineRule="atLeast"/>
              <w:jc w:val="center"/>
              <w:rPr>
                <w:rFonts w:ascii="宋体"/>
                <w:b/>
                <w:kern w:val="0"/>
              </w:rPr>
            </w:pPr>
            <w:r>
              <w:rPr>
                <w:rFonts w:hint="eastAsia" w:ascii="宋体"/>
                <w:kern w:val="0"/>
              </w:rPr>
              <w:t>4000元-6000、并暂扣适任证书3个月至4个月</w:t>
            </w:r>
          </w:p>
        </w:tc>
      </w:tr>
      <w:tr w14:paraId="2A31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21" w:type="dxa"/>
            <w:vMerge w:val="continue"/>
            <w:vAlign w:val="center"/>
          </w:tcPr>
          <w:p w14:paraId="12B76126">
            <w:pPr>
              <w:spacing w:line="240" w:lineRule="exact"/>
              <w:jc w:val="center"/>
              <w:rPr>
                <w:rFonts w:ascii="宋体"/>
                <w:kern w:val="0"/>
              </w:rPr>
            </w:pPr>
          </w:p>
        </w:tc>
        <w:tc>
          <w:tcPr>
            <w:tcW w:w="1125" w:type="dxa"/>
            <w:vMerge w:val="continue"/>
            <w:vAlign w:val="center"/>
          </w:tcPr>
          <w:p w14:paraId="64FACAD8">
            <w:pPr>
              <w:widowControl/>
              <w:spacing w:line="240" w:lineRule="exact"/>
              <w:jc w:val="center"/>
              <w:rPr>
                <w:rFonts w:ascii="宋体"/>
                <w:kern w:val="0"/>
              </w:rPr>
            </w:pPr>
          </w:p>
        </w:tc>
        <w:tc>
          <w:tcPr>
            <w:tcW w:w="1455" w:type="dxa"/>
            <w:vMerge w:val="continue"/>
            <w:vAlign w:val="center"/>
          </w:tcPr>
          <w:p w14:paraId="51DA9357">
            <w:pPr>
              <w:spacing w:line="240" w:lineRule="exact"/>
              <w:jc w:val="center"/>
              <w:rPr>
                <w:rFonts w:ascii="宋体"/>
                <w:kern w:val="0"/>
              </w:rPr>
            </w:pPr>
          </w:p>
        </w:tc>
        <w:tc>
          <w:tcPr>
            <w:tcW w:w="1155" w:type="dxa"/>
            <w:vMerge w:val="continue"/>
            <w:vAlign w:val="center"/>
          </w:tcPr>
          <w:p w14:paraId="2A32F891">
            <w:pPr>
              <w:spacing w:line="240" w:lineRule="exact"/>
              <w:jc w:val="center"/>
              <w:rPr>
                <w:rFonts w:ascii="宋体"/>
                <w:kern w:val="0"/>
              </w:rPr>
            </w:pPr>
          </w:p>
        </w:tc>
        <w:tc>
          <w:tcPr>
            <w:tcW w:w="3380" w:type="dxa"/>
            <w:vAlign w:val="center"/>
          </w:tcPr>
          <w:p w14:paraId="6A4DC23E">
            <w:pPr>
              <w:widowControl/>
              <w:spacing w:line="240" w:lineRule="exact"/>
              <w:jc w:val="left"/>
              <w:rPr>
                <w:rFonts w:ascii="宋体"/>
                <w:kern w:val="0"/>
              </w:rPr>
            </w:pPr>
            <w:r>
              <w:rPr>
                <w:rFonts w:hint="eastAsia" w:ascii="宋体"/>
                <w:kern w:val="0"/>
              </w:rPr>
              <w:t>客船、</w:t>
            </w:r>
            <w:r>
              <w:rPr>
                <w:rFonts w:hint="eastAsia" w:ascii="宋体"/>
                <w:bCs/>
                <w:kern w:val="0"/>
              </w:rPr>
              <w:t>危险品船</w:t>
            </w:r>
          </w:p>
        </w:tc>
        <w:tc>
          <w:tcPr>
            <w:tcW w:w="6660" w:type="dxa"/>
            <w:vAlign w:val="center"/>
          </w:tcPr>
          <w:p w14:paraId="4702D6BA">
            <w:pPr>
              <w:spacing w:line="240" w:lineRule="atLeast"/>
              <w:jc w:val="center"/>
              <w:rPr>
                <w:rFonts w:ascii="宋体"/>
                <w:kern w:val="0"/>
              </w:rPr>
            </w:pPr>
            <w:r>
              <w:rPr>
                <w:rFonts w:hint="eastAsia" w:ascii="宋体"/>
                <w:kern w:val="0"/>
              </w:rPr>
              <w:t>4-5万元</w:t>
            </w:r>
          </w:p>
        </w:tc>
        <w:tc>
          <w:tcPr>
            <w:tcW w:w="2470" w:type="dxa"/>
            <w:vAlign w:val="center"/>
          </w:tcPr>
          <w:p w14:paraId="499EA6F8">
            <w:pPr>
              <w:spacing w:line="240" w:lineRule="atLeast"/>
              <w:jc w:val="center"/>
              <w:rPr>
                <w:rFonts w:ascii="宋体"/>
                <w:kern w:val="0"/>
              </w:rPr>
            </w:pPr>
            <w:r>
              <w:rPr>
                <w:rFonts w:hint="eastAsia" w:ascii="宋体"/>
                <w:kern w:val="0"/>
              </w:rPr>
              <w:t>8000元-1万元、并暂扣适任证书4个月至6个月</w:t>
            </w:r>
          </w:p>
        </w:tc>
        <w:tc>
          <w:tcPr>
            <w:tcW w:w="2829" w:type="dxa"/>
            <w:vAlign w:val="center"/>
          </w:tcPr>
          <w:p w14:paraId="11A68842">
            <w:pPr>
              <w:spacing w:line="240" w:lineRule="atLeast"/>
              <w:jc w:val="center"/>
              <w:rPr>
                <w:rFonts w:ascii="宋体"/>
                <w:kern w:val="0"/>
              </w:rPr>
            </w:pPr>
            <w:r>
              <w:rPr>
                <w:rFonts w:hint="eastAsia" w:ascii="宋体"/>
                <w:kern w:val="0"/>
              </w:rPr>
              <w:t>6000元-1万元、并暂扣适任证书4个月至5个月</w:t>
            </w:r>
          </w:p>
        </w:tc>
      </w:tr>
      <w:tr w14:paraId="0296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021" w:type="dxa"/>
            <w:vMerge w:val="continue"/>
            <w:vAlign w:val="center"/>
          </w:tcPr>
          <w:p w14:paraId="34AA5646">
            <w:pPr>
              <w:spacing w:line="240" w:lineRule="exact"/>
              <w:jc w:val="center"/>
              <w:rPr>
                <w:rFonts w:ascii="宋体"/>
                <w:kern w:val="0"/>
              </w:rPr>
            </w:pPr>
          </w:p>
        </w:tc>
        <w:tc>
          <w:tcPr>
            <w:tcW w:w="1125" w:type="dxa"/>
            <w:vMerge w:val="continue"/>
            <w:vAlign w:val="center"/>
          </w:tcPr>
          <w:p w14:paraId="0D744690">
            <w:pPr>
              <w:spacing w:line="240" w:lineRule="exact"/>
              <w:jc w:val="center"/>
              <w:rPr>
                <w:rFonts w:ascii="宋体"/>
                <w:kern w:val="0"/>
              </w:rPr>
            </w:pPr>
          </w:p>
        </w:tc>
        <w:tc>
          <w:tcPr>
            <w:tcW w:w="1455" w:type="dxa"/>
            <w:vMerge w:val="continue"/>
            <w:vAlign w:val="center"/>
          </w:tcPr>
          <w:p w14:paraId="24B246E9">
            <w:pPr>
              <w:spacing w:line="240" w:lineRule="exact"/>
              <w:jc w:val="center"/>
              <w:rPr>
                <w:rFonts w:ascii="宋体"/>
                <w:kern w:val="0"/>
              </w:rPr>
            </w:pPr>
          </w:p>
        </w:tc>
        <w:tc>
          <w:tcPr>
            <w:tcW w:w="1155" w:type="dxa"/>
            <w:vMerge w:val="continue"/>
            <w:vAlign w:val="center"/>
          </w:tcPr>
          <w:p w14:paraId="037726EC">
            <w:pPr>
              <w:spacing w:line="240" w:lineRule="exact"/>
              <w:jc w:val="center"/>
              <w:rPr>
                <w:rFonts w:ascii="宋体"/>
                <w:kern w:val="0"/>
              </w:rPr>
            </w:pPr>
          </w:p>
        </w:tc>
        <w:tc>
          <w:tcPr>
            <w:tcW w:w="3380" w:type="dxa"/>
            <w:vAlign w:val="center"/>
          </w:tcPr>
          <w:p w14:paraId="6676E019">
            <w:pPr>
              <w:spacing w:line="240" w:lineRule="atLeast"/>
              <w:jc w:val="left"/>
              <w:rPr>
                <w:rFonts w:ascii="宋体"/>
              </w:rPr>
            </w:pPr>
            <w:r>
              <w:rPr>
                <w:rFonts w:hint="eastAsia" w:ascii="宋体"/>
              </w:rPr>
              <w:t>1.造成一般事故或险情的；</w:t>
            </w:r>
          </w:p>
          <w:p w14:paraId="5AF628EE">
            <w:pPr>
              <w:spacing w:line="240" w:lineRule="atLeast"/>
              <w:jc w:val="left"/>
              <w:rPr>
                <w:rFonts w:ascii="宋体"/>
                <w:kern w:val="0"/>
              </w:rPr>
            </w:pPr>
            <w:r>
              <w:rPr>
                <w:rFonts w:hint="eastAsia" w:ascii="宋体"/>
              </w:rPr>
              <w:t>2.具有其他较重情节的。</w:t>
            </w:r>
          </w:p>
        </w:tc>
        <w:tc>
          <w:tcPr>
            <w:tcW w:w="6660" w:type="dxa"/>
            <w:vAlign w:val="center"/>
          </w:tcPr>
          <w:p w14:paraId="5316B194">
            <w:pPr>
              <w:spacing w:line="240" w:lineRule="atLeast"/>
              <w:jc w:val="center"/>
              <w:rPr>
                <w:rFonts w:ascii="宋体"/>
                <w:kern w:val="0"/>
              </w:rPr>
            </w:pPr>
            <w:r>
              <w:rPr>
                <w:rFonts w:hint="eastAsia" w:ascii="宋体"/>
                <w:kern w:val="0"/>
              </w:rPr>
              <w:t>5-10万元</w:t>
            </w:r>
          </w:p>
        </w:tc>
        <w:tc>
          <w:tcPr>
            <w:tcW w:w="2470" w:type="dxa"/>
            <w:vAlign w:val="center"/>
          </w:tcPr>
          <w:p w14:paraId="746584F6">
            <w:pPr>
              <w:spacing w:line="240" w:lineRule="atLeast"/>
              <w:jc w:val="center"/>
              <w:rPr>
                <w:rFonts w:ascii="宋体"/>
                <w:kern w:val="0"/>
              </w:rPr>
            </w:pPr>
            <w:r>
              <w:rPr>
                <w:rFonts w:hint="eastAsia" w:ascii="宋体"/>
                <w:kern w:val="0"/>
              </w:rPr>
              <w:t>1-2万元、并暂扣适任证书6个月至12个月</w:t>
            </w:r>
          </w:p>
        </w:tc>
        <w:tc>
          <w:tcPr>
            <w:tcW w:w="2829" w:type="dxa"/>
            <w:vAlign w:val="center"/>
          </w:tcPr>
          <w:p w14:paraId="55014ACD">
            <w:pPr>
              <w:spacing w:line="240" w:lineRule="atLeast"/>
              <w:jc w:val="center"/>
              <w:rPr>
                <w:rFonts w:ascii="宋体"/>
                <w:kern w:val="0"/>
              </w:rPr>
            </w:pPr>
            <w:r>
              <w:rPr>
                <w:rFonts w:hint="eastAsia" w:ascii="宋体"/>
                <w:kern w:val="0"/>
              </w:rPr>
              <w:t>1-2万元、并暂扣适任证书5个月至12个月</w:t>
            </w:r>
          </w:p>
        </w:tc>
      </w:tr>
      <w:tr w14:paraId="7163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021" w:type="dxa"/>
            <w:vMerge w:val="continue"/>
            <w:vAlign w:val="center"/>
          </w:tcPr>
          <w:p w14:paraId="4D992018">
            <w:pPr>
              <w:spacing w:line="240" w:lineRule="exact"/>
              <w:jc w:val="center"/>
              <w:rPr>
                <w:rFonts w:ascii="宋体"/>
                <w:kern w:val="0"/>
              </w:rPr>
            </w:pPr>
          </w:p>
        </w:tc>
        <w:tc>
          <w:tcPr>
            <w:tcW w:w="1125" w:type="dxa"/>
            <w:vMerge w:val="continue"/>
            <w:vAlign w:val="center"/>
          </w:tcPr>
          <w:p w14:paraId="74542CB8">
            <w:pPr>
              <w:spacing w:line="240" w:lineRule="exact"/>
              <w:jc w:val="center"/>
              <w:rPr>
                <w:rFonts w:ascii="宋体"/>
                <w:kern w:val="0"/>
              </w:rPr>
            </w:pPr>
          </w:p>
        </w:tc>
        <w:tc>
          <w:tcPr>
            <w:tcW w:w="1455" w:type="dxa"/>
            <w:vMerge w:val="continue"/>
            <w:vAlign w:val="center"/>
          </w:tcPr>
          <w:p w14:paraId="42750E22">
            <w:pPr>
              <w:spacing w:line="240" w:lineRule="exact"/>
              <w:jc w:val="center"/>
              <w:rPr>
                <w:rFonts w:ascii="宋体"/>
                <w:kern w:val="0"/>
              </w:rPr>
            </w:pPr>
          </w:p>
        </w:tc>
        <w:tc>
          <w:tcPr>
            <w:tcW w:w="1155" w:type="dxa"/>
            <w:vAlign w:val="center"/>
          </w:tcPr>
          <w:p w14:paraId="318DE3EF">
            <w:pPr>
              <w:spacing w:line="240" w:lineRule="exact"/>
              <w:jc w:val="center"/>
              <w:rPr>
                <w:rFonts w:ascii="宋体"/>
                <w:kern w:val="0"/>
              </w:rPr>
            </w:pPr>
            <w:r>
              <w:rPr>
                <w:rFonts w:hint="eastAsia" w:ascii="宋体"/>
                <w:kern w:val="0"/>
              </w:rPr>
              <w:t>情节严重</w:t>
            </w:r>
          </w:p>
        </w:tc>
        <w:tc>
          <w:tcPr>
            <w:tcW w:w="3380" w:type="dxa"/>
            <w:vAlign w:val="center"/>
          </w:tcPr>
          <w:p w14:paraId="05257D41">
            <w:pPr>
              <w:spacing w:line="240" w:lineRule="atLeast"/>
              <w:jc w:val="left"/>
              <w:rPr>
                <w:rFonts w:ascii="宋体"/>
              </w:rPr>
            </w:pPr>
            <w:r>
              <w:rPr>
                <w:rFonts w:hint="eastAsia" w:ascii="宋体"/>
              </w:rPr>
              <w:t>1.造成较大等级以上事故的；</w:t>
            </w:r>
          </w:p>
          <w:p w14:paraId="4BB03F41">
            <w:pPr>
              <w:spacing w:line="240" w:lineRule="atLeast"/>
              <w:jc w:val="left"/>
              <w:rPr>
                <w:rFonts w:ascii="宋体"/>
              </w:rPr>
            </w:pPr>
            <w:r>
              <w:rPr>
                <w:rFonts w:hint="eastAsia" w:ascii="宋体"/>
              </w:rPr>
              <w:t>2.具有其他严重情节的。</w:t>
            </w:r>
          </w:p>
        </w:tc>
        <w:tc>
          <w:tcPr>
            <w:tcW w:w="6660" w:type="dxa"/>
            <w:vAlign w:val="center"/>
          </w:tcPr>
          <w:p w14:paraId="45BF7F03">
            <w:pPr>
              <w:spacing w:line="240" w:lineRule="atLeast"/>
              <w:jc w:val="center"/>
              <w:rPr>
                <w:rFonts w:ascii="宋体"/>
                <w:kern w:val="0"/>
              </w:rPr>
            </w:pPr>
            <w:r>
              <w:rPr>
                <w:rFonts w:hint="eastAsia" w:ascii="宋体"/>
                <w:kern w:val="0"/>
              </w:rPr>
              <w:t>10-20万元</w:t>
            </w:r>
          </w:p>
        </w:tc>
        <w:tc>
          <w:tcPr>
            <w:tcW w:w="2470" w:type="dxa"/>
            <w:vAlign w:val="center"/>
          </w:tcPr>
          <w:p w14:paraId="10A86C94">
            <w:pPr>
              <w:spacing w:line="240" w:lineRule="atLeast"/>
              <w:jc w:val="center"/>
              <w:rPr>
                <w:rFonts w:ascii="宋体"/>
                <w:kern w:val="0"/>
              </w:rPr>
            </w:pPr>
            <w:r>
              <w:rPr>
                <w:rFonts w:hint="eastAsia" w:ascii="宋体"/>
                <w:kern w:val="0"/>
              </w:rPr>
              <w:t>吊销适任证书</w:t>
            </w:r>
          </w:p>
        </w:tc>
        <w:tc>
          <w:tcPr>
            <w:tcW w:w="2829" w:type="dxa"/>
            <w:vAlign w:val="center"/>
          </w:tcPr>
          <w:p w14:paraId="685B6471">
            <w:pPr>
              <w:spacing w:line="240" w:lineRule="atLeast"/>
              <w:jc w:val="center"/>
              <w:rPr>
                <w:rFonts w:ascii="宋体"/>
                <w:kern w:val="0"/>
              </w:rPr>
            </w:pPr>
            <w:r>
              <w:rPr>
                <w:rFonts w:hint="eastAsia" w:ascii="宋体"/>
                <w:kern w:val="0"/>
              </w:rPr>
              <w:t>吊销适任证书</w:t>
            </w:r>
          </w:p>
        </w:tc>
      </w:tr>
    </w:tbl>
    <w:p w14:paraId="71635520">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156"/>
        <w:gridCol w:w="1559"/>
        <w:gridCol w:w="1095"/>
        <w:gridCol w:w="3441"/>
        <w:gridCol w:w="6662"/>
        <w:gridCol w:w="2268"/>
        <w:gridCol w:w="3028"/>
      </w:tblGrid>
      <w:tr w14:paraId="6CD6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86" w:type="dxa"/>
            <w:vMerge w:val="restart"/>
            <w:vAlign w:val="center"/>
          </w:tcPr>
          <w:p w14:paraId="29584F39">
            <w:pPr>
              <w:spacing w:line="240" w:lineRule="exact"/>
              <w:jc w:val="center"/>
              <w:rPr>
                <w:rFonts w:ascii="宋体"/>
                <w:b/>
                <w:kern w:val="0"/>
              </w:rPr>
            </w:pPr>
            <w:r>
              <w:rPr>
                <w:rFonts w:hint="eastAsia" w:ascii="宋体"/>
                <w:b/>
                <w:kern w:val="0"/>
              </w:rPr>
              <w:t>案由18</w:t>
            </w:r>
          </w:p>
        </w:tc>
        <w:tc>
          <w:tcPr>
            <w:tcW w:w="2715" w:type="dxa"/>
            <w:gridSpan w:val="2"/>
            <w:vAlign w:val="center"/>
          </w:tcPr>
          <w:p w14:paraId="53738A04">
            <w:pPr>
              <w:spacing w:line="240" w:lineRule="exact"/>
              <w:jc w:val="center"/>
              <w:rPr>
                <w:rFonts w:ascii="宋体"/>
                <w:b/>
                <w:kern w:val="0"/>
              </w:rPr>
            </w:pPr>
            <w:r>
              <w:rPr>
                <w:rFonts w:hint="eastAsia" w:ascii="宋体"/>
                <w:b/>
                <w:kern w:val="0"/>
              </w:rPr>
              <w:t>法律依据</w:t>
            </w:r>
          </w:p>
        </w:tc>
        <w:tc>
          <w:tcPr>
            <w:tcW w:w="1095" w:type="dxa"/>
            <w:vMerge w:val="restart"/>
            <w:vAlign w:val="center"/>
          </w:tcPr>
          <w:p w14:paraId="0DCAE7D7">
            <w:pPr>
              <w:spacing w:line="240" w:lineRule="exact"/>
              <w:jc w:val="center"/>
              <w:rPr>
                <w:rFonts w:ascii="宋体"/>
                <w:b/>
                <w:kern w:val="0"/>
              </w:rPr>
            </w:pPr>
            <w:r>
              <w:rPr>
                <w:rFonts w:hint="eastAsia" w:ascii="宋体"/>
                <w:b/>
                <w:kern w:val="0"/>
              </w:rPr>
              <w:t>违法情节</w:t>
            </w:r>
          </w:p>
        </w:tc>
        <w:tc>
          <w:tcPr>
            <w:tcW w:w="3441" w:type="dxa"/>
            <w:vMerge w:val="restart"/>
            <w:vAlign w:val="center"/>
          </w:tcPr>
          <w:p w14:paraId="349A6CF9">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730628EE">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596B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886" w:type="dxa"/>
            <w:vMerge w:val="continue"/>
            <w:vAlign w:val="center"/>
          </w:tcPr>
          <w:p w14:paraId="32544CAE">
            <w:pPr>
              <w:spacing w:line="240" w:lineRule="exact"/>
              <w:jc w:val="center"/>
              <w:rPr>
                <w:rFonts w:ascii="宋体"/>
                <w:b/>
                <w:kern w:val="0"/>
              </w:rPr>
            </w:pPr>
          </w:p>
        </w:tc>
        <w:tc>
          <w:tcPr>
            <w:tcW w:w="1156" w:type="dxa"/>
            <w:vAlign w:val="center"/>
          </w:tcPr>
          <w:p w14:paraId="4B59C95D">
            <w:pPr>
              <w:spacing w:line="240" w:lineRule="exact"/>
              <w:jc w:val="center"/>
              <w:rPr>
                <w:rFonts w:ascii="宋体"/>
                <w:b/>
                <w:kern w:val="0"/>
              </w:rPr>
            </w:pPr>
            <w:r>
              <w:rPr>
                <w:rFonts w:hint="eastAsia" w:ascii="宋体"/>
                <w:b/>
                <w:kern w:val="0"/>
              </w:rPr>
              <w:t>违反条款</w:t>
            </w:r>
          </w:p>
        </w:tc>
        <w:tc>
          <w:tcPr>
            <w:tcW w:w="1559" w:type="dxa"/>
            <w:vAlign w:val="center"/>
          </w:tcPr>
          <w:p w14:paraId="562A9CD7">
            <w:pPr>
              <w:spacing w:line="240" w:lineRule="exact"/>
              <w:jc w:val="center"/>
              <w:rPr>
                <w:rFonts w:ascii="宋体"/>
                <w:b/>
                <w:kern w:val="0"/>
              </w:rPr>
            </w:pPr>
            <w:r>
              <w:rPr>
                <w:rFonts w:hint="eastAsia" w:ascii="宋体"/>
                <w:b/>
                <w:kern w:val="0"/>
              </w:rPr>
              <w:t>处罚依据</w:t>
            </w:r>
          </w:p>
        </w:tc>
        <w:tc>
          <w:tcPr>
            <w:tcW w:w="1095" w:type="dxa"/>
            <w:vMerge w:val="continue"/>
            <w:vAlign w:val="center"/>
          </w:tcPr>
          <w:p w14:paraId="2221B184">
            <w:pPr>
              <w:spacing w:line="240" w:lineRule="exact"/>
              <w:jc w:val="center"/>
              <w:rPr>
                <w:rFonts w:ascii="宋体"/>
                <w:b/>
                <w:kern w:val="0"/>
              </w:rPr>
            </w:pPr>
          </w:p>
        </w:tc>
        <w:tc>
          <w:tcPr>
            <w:tcW w:w="3441" w:type="dxa"/>
            <w:vMerge w:val="continue"/>
            <w:vAlign w:val="center"/>
          </w:tcPr>
          <w:p w14:paraId="711B0914">
            <w:pPr>
              <w:spacing w:line="240" w:lineRule="exact"/>
              <w:jc w:val="center"/>
              <w:rPr>
                <w:rFonts w:ascii="宋体"/>
                <w:b/>
                <w:kern w:val="0"/>
              </w:rPr>
            </w:pPr>
          </w:p>
        </w:tc>
        <w:tc>
          <w:tcPr>
            <w:tcW w:w="6662" w:type="dxa"/>
            <w:vAlign w:val="center"/>
          </w:tcPr>
          <w:p w14:paraId="6C8EADF4">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777EB636">
            <w:pPr>
              <w:spacing w:line="240" w:lineRule="exact"/>
              <w:jc w:val="center"/>
              <w:rPr>
                <w:rFonts w:ascii="宋体"/>
                <w:b/>
                <w:kern w:val="0"/>
              </w:rPr>
            </w:pPr>
            <w:r>
              <w:rPr>
                <w:rFonts w:hint="eastAsia" w:ascii="宋体"/>
                <w:b/>
                <w:kern w:val="0"/>
              </w:rPr>
              <w:t>【对象】船长</w:t>
            </w:r>
          </w:p>
        </w:tc>
        <w:tc>
          <w:tcPr>
            <w:tcW w:w="3028" w:type="dxa"/>
            <w:vAlign w:val="center"/>
          </w:tcPr>
          <w:p w14:paraId="64D3508F">
            <w:pPr>
              <w:spacing w:line="240" w:lineRule="exact"/>
              <w:jc w:val="center"/>
              <w:rPr>
                <w:rFonts w:ascii="宋体"/>
                <w:b/>
                <w:kern w:val="0"/>
              </w:rPr>
            </w:pPr>
            <w:r>
              <w:rPr>
                <w:rFonts w:hint="eastAsia" w:ascii="宋体"/>
                <w:b/>
                <w:kern w:val="0"/>
              </w:rPr>
              <w:t>【对象】责任船员</w:t>
            </w:r>
          </w:p>
        </w:tc>
      </w:tr>
      <w:tr w14:paraId="4C7E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86" w:type="dxa"/>
            <w:vMerge w:val="restart"/>
            <w:vAlign w:val="center"/>
          </w:tcPr>
          <w:p w14:paraId="45634623">
            <w:pPr>
              <w:widowControl/>
              <w:spacing w:line="240" w:lineRule="exact"/>
              <w:jc w:val="left"/>
              <w:rPr>
                <w:rFonts w:ascii="宋体"/>
                <w:b/>
                <w:kern w:val="0"/>
              </w:rPr>
            </w:pPr>
            <w:r>
              <w:rPr>
                <w:rFonts w:hint="eastAsia" w:ascii="宋体"/>
                <w:bCs/>
                <w:kern w:val="0"/>
              </w:rPr>
              <w:t>船舶抢越他船船艏</w:t>
            </w:r>
          </w:p>
        </w:tc>
        <w:tc>
          <w:tcPr>
            <w:tcW w:w="1156" w:type="dxa"/>
            <w:vMerge w:val="restart"/>
            <w:vAlign w:val="center"/>
          </w:tcPr>
          <w:p w14:paraId="1D6A3840">
            <w:pPr>
              <w:widowControl/>
              <w:spacing w:line="240" w:lineRule="exact"/>
              <w:jc w:val="left"/>
              <w:rPr>
                <w:rFonts w:ascii="宋体"/>
                <w:kern w:val="0"/>
              </w:rPr>
            </w:pPr>
            <w:r>
              <w:rPr>
                <w:rFonts w:hint="eastAsia" w:ascii="宋体"/>
                <w:kern w:val="0"/>
              </w:rPr>
              <w:t>1.《中华人民共和国海上交通安全法》第四十三条第三款。</w:t>
            </w:r>
          </w:p>
          <w:p w14:paraId="5BACB519">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6D53EAE3">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14:paraId="0EB82CD9">
            <w:pPr>
              <w:spacing w:line="240" w:lineRule="exact"/>
              <w:jc w:val="left"/>
              <w:rPr>
                <w:rFonts w:ascii="宋体"/>
                <w:kern w:val="0"/>
              </w:rPr>
            </w:pPr>
            <w:r>
              <w:rPr>
                <w:rFonts w:hint="eastAsia" w:ascii="宋体"/>
                <w:kern w:val="0"/>
              </w:rPr>
              <w:t>2. 《中华人民共和国海上海事行政处罚规定》第七条。</w:t>
            </w:r>
          </w:p>
        </w:tc>
        <w:tc>
          <w:tcPr>
            <w:tcW w:w="1095" w:type="dxa"/>
            <w:vAlign w:val="center"/>
          </w:tcPr>
          <w:p w14:paraId="57CA5F8E">
            <w:pPr>
              <w:spacing w:line="240" w:lineRule="exact"/>
              <w:jc w:val="center"/>
              <w:rPr>
                <w:rFonts w:ascii="宋体"/>
                <w:kern w:val="0"/>
              </w:rPr>
            </w:pPr>
            <w:r>
              <w:rPr>
                <w:rFonts w:hint="eastAsia" w:ascii="宋体"/>
                <w:kern w:val="0"/>
              </w:rPr>
              <w:t>从轻</w:t>
            </w:r>
          </w:p>
        </w:tc>
        <w:tc>
          <w:tcPr>
            <w:tcW w:w="3441" w:type="dxa"/>
            <w:vAlign w:val="center"/>
          </w:tcPr>
          <w:p w14:paraId="679A667C">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544F1BDD">
            <w:pPr>
              <w:spacing w:line="240" w:lineRule="atLeast"/>
              <w:jc w:val="center"/>
              <w:rPr>
                <w:rFonts w:ascii="宋体"/>
                <w:kern w:val="0"/>
              </w:rPr>
            </w:pPr>
            <w:r>
              <w:rPr>
                <w:rFonts w:hint="eastAsia" w:ascii="宋体"/>
                <w:kern w:val="0"/>
              </w:rPr>
              <w:t>2-3万元</w:t>
            </w:r>
          </w:p>
        </w:tc>
        <w:tc>
          <w:tcPr>
            <w:tcW w:w="2268" w:type="dxa"/>
            <w:vAlign w:val="center"/>
          </w:tcPr>
          <w:p w14:paraId="7D27620D">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7E9E94D5">
            <w:pPr>
              <w:spacing w:line="240" w:lineRule="atLeast"/>
              <w:jc w:val="center"/>
              <w:rPr>
                <w:rFonts w:ascii="宋体"/>
                <w:kern w:val="0"/>
              </w:rPr>
            </w:pPr>
            <w:r>
              <w:rPr>
                <w:rFonts w:hint="eastAsia" w:ascii="宋体"/>
                <w:kern w:val="0"/>
              </w:rPr>
              <w:t>2000-4000元、并暂扣适任证书3个月至4个月</w:t>
            </w:r>
          </w:p>
        </w:tc>
      </w:tr>
      <w:tr w14:paraId="6F2F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86" w:type="dxa"/>
            <w:vMerge w:val="continue"/>
            <w:vAlign w:val="center"/>
          </w:tcPr>
          <w:p w14:paraId="78DCE043">
            <w:pPr>
              <w:spacing w:line="240" w:lineRule="exact"/>
              <w:jc w:val="center"/>
              <w:rPr>
                <w:rFonts w:ascii="宋体"/>
                <w:kern w:val="0"/>
              </w:rPr>
            </w:pPr>
          </w:p>
        </w:tc>
        <w:tc>
          <w:tcPr>
            <w:tcW w:w="1156" w:type="dxa"/>
            <w:vMerge w:val="continue"/>
            <w:vAlign w:val="center"/>
          </w:tcPr>
          <w:p w14:paraId="03523E21">
            <w:pPr>
              <w:widowControl/>
              <w:spacing w:line="240" w:lineRule="exact"/>
              <w:jc w:val="center"/>
              <w:rPr>
                <w:rFonts w:ascii="宋体"/>
                <w:kern w:val="0"/>
              </w:rPr>
            </w:pPr>
          </w:p>
        </w:tc>
        <w:tc>
          <w:tcPr>
            <w:tcW w:w="1559" w:type="dxa"/>
            <w:vMerge w:val="continue"/>
            <w:vAlign w:val="center"/>
          </w:tcPr>
          <w:p w14:paraId="055E3C61">
            <w:pPr>
              <w:spacing w:line="240" w:lineRule="exact"/>
              <w:jc w:val="center"/>
              <w:rPr>
                <w:rFonts w:ascii="宋体"/>
                <w:kern w:val="0"/>
              </w:rPr>
            </w:pPr>
          </w:p>
        </w:tc>
        <w:tc>
          <w:tcPr>
            <w:tcW w:w="1095" w:type="dxa"/>
            <w:vMerge w:val="restart"/>
            <w:vAlign w:val="center"/>
          </w:tcPr>
          <w:p w14:paraId="3D328D1F">
            <w:pPr>
              <w:spacing w:line="240" w:lineRule="exact"/>
              <w:jc w:val="center"/>
              <w:rPr>
                <w:rFonts w:ascii="宋体"/>
                <w:kern w:val="0"/>
              </w:rPr>
            </w:pPr>
            <w:r>
              <w:rPr>
                <w:rFonts w:hint="eastAsia" w:ascii="宋体"/>
                <w:kern w:val="0"/>
              </w:rPr>
              <w:t>一般</w:t>
            </w:r>
          </w:p>
        </w:tc>
        <w:tc>
          <w:tcPr>
            <w:tcW w:w="3441" w:type="dxa"/>
            <w:vAlign w:val="center"/>
          </w:tcPr>
          <w:p w14:paraId="546111F8">
            <w:pPr>
              <w:widowControl/>
              <w:spacing w:line="240" w:lineRule="exact"/>
              <w:jc w:val="left"/>
              <w:rPr>
                <w:rFonts w:ascii="宋体"/>
                <w:kern w:val="0"/>
              </w:rPr>
            </w:pPr>
            <w:r>
              <w:rPr>
                <w:rFonts w:hint="eastAsia" w:ascii="宋体"/>
                <w:kern w:val="0"/>
              </w:rPr>
              <w:t>一般船舶抢越他船船首</w:t>
            </w:r>
          </w:p>
        </w:tc>
        <w:tc>
          <w:tcPr>
            <w:tcW w:w="6662" w:type="dxa"/>
            <w:vAlign w:val="center"/>
          </w:tcPr>
          <w:p w14:paraId="1F2F4BBC">
            <w:pPr>
              <w:spacing w:line="240" w:lineRule="atLeast"/>
              <w:jc w:val="center"/>
              <w:rPr>
                <w:rFonts w:ascii="宋体"/>
                <w:kern w:val="0"/>
              </w:rPr>
            </w:pPr>
            <w:r>
              <w:rPr>
                <w:rFonts w:hint="eastAsia" w:ascii="宋体"/>
                <w:kern w:val="0"/>
              </w:rPr>
              <w:t>3-4万元</w:t>
            </w:r>
          </w:p>
        </w:tc>
        <w:tc>
          <w:tcPr>
            <w:tcW w:w="2268" w:type="dxa"/>
            <w:vAlign w:val="center"/>
          </w:tcPr>
          <w:p w14:paraId="0BE50F34">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16735C76">
            <w:pPr>
              <w:spacing w:line="240" w:lineRule="atLeast"/>
              <w:jc w:val="center"/>
              <w:rPr>
                <w:rFonts w:ascii="宋体"/>
                <w:b/>
                <w:kern w:val="0"/>
              </w:rPr>
            </w:pPr>
            <w:r>
              <w:rPr>
                <w:rFonts w:hint="eastAsia" w:ascii="宋体"/>
                <w:kern w:val="0"/>
              </w:rPr>
              <w:t>4000元-6000、并暂扣适任证书3个月至4个月</w:t>
            </w:r>
          </w:p>
        </w:tc>
      </w:tr>
      <w:tr w14:paraId="4E66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6" w:type="dxa"/>
            <w:vMerge w:val="continue"/>
            <w:vAlign w:val="center"/>
          </w:tcPr>
          <w:p w14:paraId="494D17D4">
            <w:pPr>
              <w:spacing w:line="240" w:lineRule="exact"/>
              <w:jc w:val="center"/>
              <w:rPr>
                <w:rFonts w:ascii="宋体"/>
                <w:kern w:val="0"/>
              </w:rPr>
            </w:pPr>
          </w:p>
        </w:tc>
        <w:tc>
          <w:tcPr>
            <w:tcW w:w="1156" w:type="dxa"/>
            <w:vMerge w:val="continue"/>
            <w:vAlign w:val="center"/>
          </w:tcPr>
          <w:p w14:paraId="2979CA48">
            <w:pPr>
              <w:widowControl/>
              <w:spacing w:line="240" w:lineRule="exact"/>
              <w:jc w:val="center"/>
              <w:rPr>
                <w:rFonts w:ascii="宋体"/>
                <w:kern w:val="0"/>
              </w:rPr>
            </w:pPr>
          </w:p>
        </w:tc>
        <w:tc>
          <w:tcPr>
            <w:tcW w:w="1559" w:type="dxa"/>
            <w:vMerge w:val="continue"/>
            <w:vAlign w:val="center"/>
          </w:tcPr>
          <w:p w14:paraId="1DC27E34">
            <w:pPr>
              <w:spacing w:line="240" w:lineRule="exact"/>
              <w:jc w:val="center"/>
              <w:rPr>
                <w:rFonts w:ascii="宋体"/>
                <w:kern w:val="0"/>
              </w:rPr>
            </w:pPr>
          </w:p>
        </w:tc>
        <w:tc>
          <w:tcPr>
            <w:tcW w:w="1095" w:type="dxa"/>
            <w:vMerge w:val="continue"/>
            <w:vAlign w:val="center"/>
          </w:tcPr>
          <w:p w14:paraId="0DD66FC9">
            <w:pPr>
              <w:spacing w:line="240" w:lineRule="exact"/>
              <w:jc w:val="center"/>
              <w:rPr>
                <w:rFonts w:ascii="宋体"/>
                <w:kern w:val="0"/>
              </w:rPr>
            </w:pPr>
          </w:p>
        </w:tc>
        <w:tc>
          <w:tcPr>
            <w:tcW w:w="3441" w:type="dxa"/>
            <w:vAlign w:val="center"/>
          </w:tcPr>
          <w:p w14:paraId="2A00F334">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抢越他船船首</w:t>
            </w:r>
          </w:p>
        </w:tc>
        <w:tc>
          <w:tcPr>
            <w:tcW w:w="6662" w:type="dxa"/>
            <w:vAlign w:val="center"/>
          </w:tcPr>
          <w:p w14:paraId="035DA7FA">
            <w:pPr>
              <w:spacing w:line="240" w:lineRule="atLeast"/>
              <w:jc w:val="center"/>
              <w:rPr>
                <w:rFonts w:ascii="宋体"/>
                <w:kern w:val="0"/>
              </w:rPr>
            </w:pPr>
            <w:r>
              <w:rPr>
                <w:rFonts w:hint="eastAsia" w:ascii="宋体"/>
                <w:kern w:val="0"/>
              </w:rPr>
              <w:t>4-5万元</w:t>
            </w:r>
          </w:p>
        </w:tc>
        <w:tc>
          <w:tcPr>
            <w:tcW w:w="2268" w:type="dxa"/>
            <w:vAlign w:val="center"/>
          </w:tcPr>
          <w:p w14:paraId="00232291">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4D25F92E">
            <w:pPr>
              <w:spacing w:line="240" w:lineRule="atLeast"/>
              <w:jc w:val="center"/>
              <w:rPr>
                <w:rFonts w:ascii="宋体"/>
                <w:kern w:val="0"/>
              </w:rPr>
            </w:pPr>
            <w:r>
              <w:rPr>
                <w:rFonts w:hint="eastAsia" w:ascii="宋体"/>
                <w:kern w:val="0"/>
              </w:rPr>
              <w:t>6000元-1万元、并暂扣适任证书4个月至5个月</w:t>
            </w:r>
          </w:p>
        </w:tc>
      </w:tr>
      <w:tr w14:paraId="2F05F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886" w:type="dxa"/>
            <w:vMerge w:val="continue"/>
            <w:vAlign w:val="center"/>
          </w:tcPr>
          <w:p w14:paraId="3D047A5B">
            <w:pPr>
              <w:spacing w:line="240" w:lineRule="exact"/>
              <w:jc w:val="center"/>
              <w:rPr>
                <w:rFonts w:ascii="宋体"/>
                <w:kern w:val="0"/>
              </w:rPr>
            </w:pPr>
          </w:p>
        </w:tc>
        <w:tc>
          <w:tcPr>
            <w:tcW w:w="1156" w:type="dxa"/>
            <w:vMerge w:val="continue"/>
            <w:vAlign w:val="center"/>
          </w:tcPr>
          <w:p w14:paraId="20EAFFEF">
            <w:pPr>
              <w:spacing w:line="240" w:lineRule="exact"/>
              <w:jc w:val="center"/>
              <w:rPr>
                <w:rFonts w:ascii="宋体"/>
                <w:kern w:val="0"/>
              </w:rPr>
            </w:pPr>
          </w:p>
        </w:tc>
        <w:tc>
          <w:tcPr>
            <w:tcW w:w="1559" w:type="dxa"/>
            <w:vMerge w:val="continue"/>
            <w:vAlign w:val="center"/>
          </w:tcPr>
          <w:p w14:paraId="0EEC7571">
            <w:pPr>
              <w:spacing w:line="240" w:lineRule="exact"/>
              <w:jc w:val="center"/>
              <w:rPr>
                <w:rFonts w:ascii="宋体"/>
                <w:kern w:val="0"/>
              </w:rPr>
            </w:pPr>
          </w:p>
        </w:tc>
        <w:tc>
          <w:tcPr>
            <w:tcW w:w="1095" w:type="dxa"/>
            <w:vMerge w:val="continue"/>
            <w:vAlign w:val="center"/>
          </w:tcPr>
          <w:p w14:paraId="0A01175A">
            <w:pPr>
              <w:spacing w:line="240" w:lineRule="exact"/>
              <w:jc w:val="center"/>
              <w:rPr>
                <w:rFonts w:ascii="宋体"/>
                <w:kern w:val="0"/>
              </w:rPr>
            </w:pPr>
          </w:p>
        </w:tc>
        <w:tc>
          <w:tcPr>
            <w:tcW w:w="3441" w:type="dxa"/>
            <w:vAlign w:val="center"/>
          </w:tcPr>
          <w:p w14:paraId="53FAD441">
            <w:pPr>
              <w:spacing w:line="240" w:lineRule="atLeast"/>
              <w:jc w:val="left"/>
              <w:rPr>
                <w:rFonts w:ascii="宋体"/>
              </w:rPr>
            </w:pPr>
            <w:r>
              <w:rPr>
                <w:rFonts w:hint="eastAsia" w:ascii="宋体"/>
              </w:rPr>
              <w:t>1.造成一般事故或险情的；</w:t>
            </w:r>
          </w:p>
          <w:p w14:paraId="7F071438">
            <w:pPr>
              <w:spacing w:line="240" w:lineRule="atLeast"/>
              <w:jc w:val="left"/>
              <w:rPr>
                <w:rFonts w:ascii="宋体"/>
                <w:kern w:val="0"/>
              </w:rPr>
            </w:pPr>
            <w:r>
              <w:rPr>
                <w:rFonts w:hint="eastAsia" w:ascii="宋体"/>
              </w:rPr>
              <w:t>2.具有其他较重情节的。</w:t>
            </w:r>
          </w:p>
        </w:tc>
        <w:tc>
          <w:tcPr>
            <w:tcW w:w="6662" w:type="dxa"/>
            <w:vAlign w:val="center"/>
          </w:tcPr>
          <w:p w14:paraId="1E386D0C">
            <w:pPr>
              <w:spacing w:line="240" w:lineRule="atLeast"/>
              <w:jc w:val="center"/>
              <w:rPr>
                <w:rFonts w:ascii="宋体"/>
                <w:kern w:val="0"/>
              </w:rPr>
            </w:pPr>
            <w:r>
              <w:rPr>
                <w:rFonts w:hint="eastAsia" w:ascii="宋体"/>
                <w:kern w:val="0"/>
              </w:rPr>
              <w:t>5-10万元</w:t>
            </w:r>
          </w:p>
        </w:tc>
        <w:tc>
          <w:tcPr>
            <w:tcW w:w="2268" w:type="dxa"/>
            <w:vAlign w:val="center"/>
          </w:tcPr>
          <w:p w14:paraId="15B290FF">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71178662">
            <w:pPr>
              <w:spacing w:line="240" w:lineRule="atLeast"/>
              <w:jc w:val="center"/>
              <w:rPr>
                <w:rFonts w:ascii="宋体"/>
                <w:kern w:val="0"/>
              </w:rPr>
            </w:pPr>
            <w:r>
              <w:rPr>
                <w:rFonts w:hint="eastAsia" w:ascii="宋体"/>
                <w:kern w:val="0"/>
              </w:rPr>
              <w:t>1-2万元、并暂扣适任证书5个月至12个月</w:t>
            </w:r>
          </w:p>
        </w:tc>
      </w:tr>
      <w:tr w14:paraId="4546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886" w:type="dxa"/>
            <w:vMerge w:val="continue"/>
            <w:vAlign w:val="center"/>
          </w:tcPr>
          <w:p w14:paraId="162BEBF1">
            <w:pPr>
              <w:spacing w:line="240" w:lineRule="exact"/>
              <w:jc w:val="center"/>
              <w:rPr>
                <w:rFonts w:ascii="宋体"/>
                <w:kern w:val="0"/>
              </w:rPr>
            </w:pPr>
          </w:p>
        </w:tc>
        <w:tc>
          <w:tcPr>
            <w:tcW w:w="1156" w:type="dxa"/>
            <w:vMerge w:val="continue"/>
            <w:vAlign w:val="center"/>
          </w:tcPr>
          <w:p w14:paraId="70ED9D02">
            <w:pPr>
              <w:spacing w:line="240" w:lineRule="exact"/>
              <w:jc w:val="center"/>
              <w:rPr>
                <w:rFonts w:ascii="宋体"/>
                <w:kern w:val="0"/>
              </w:rPr>
            </w:pPr>
          </w:p>
        </w:tc>
        <w:tc>
          <w:tcPr>
            <w:tcW w:w="1559" w:type="dxa"/>
            <w:vMerge w:val="continue"/>
            <w:vAlign w:val="center"/>
          </w:tcPr>
          <w:p w14:paraId="4B6F408E">
            <w:pPr>
              <w:spacing w:line="240" w:lineRule="exact"/>
              <w:jc w:val="center"/>
              <w:rPr>
                <w:rFonts w:ascii="宋体"/>
                <w:kern w:val="0"/>
              </w:rPr>
            </w:pPr>
          </w:p>
        </w:tc>
        <w:tc>
          <w:tcPr>
            <w:tcW w:w="1095" w:type="dxa"/>
            <w:vAlign w:val="center"/>
          </w:tcPr>
          <w:p w14:paraId="4E5CC8FE">
            <w:pPr>
              <w:spacing w:line="240" w:lineRule="exact"/>
              <w:jc w:val="center"/>
              <w:rPr>
                <w:rFonts w:ascii="宋体"/>
                <w:kern w:val="0"/>
              </w:rPr>
            </w:pPr>
            <w:r>
              <w:rPr>
                <w:rFonts w:hint="eastAsia" w:ascii="宋体"/>
                <w:kern w:val="0"/>
              </w:rPr>
              <w:t>情节严重</w:t>
            </w:r>
          </w:p>
        </w:tc>
        <w:tc>
          <w:tcPr>
            <w:tcW w:w="3441" w:type="dxa"/>
            <w:vAlign w:val="center"/>
          </w:tcPr>
          <w:p w14:paraId="20937422">
            <w:pPr>
              <w:spacing w:line="240" w:lineRule="atLeast"/>
              <w:jc w:val="left"/>
              <w:rPr>
                <w:rFonts w:ascii="宋体"/>
              </w:rPr>
            </w:pPr>
            <w:r>
              <w:rPr>
                <w:rFonts w:hint="eastAsia" w:ascii="宋体"/>
              </w:rPr>
              <w:t>1.造成较大等级以上事故的；</w:t>
            </w:r>
          </w:p>
          <w:p w14:paraId="2A2CC44F">
            <w:pPr>
              <w:spacing w:line="240" w:lineRule="atLeast"/>
              <w:jc w:val="left"/>
              <w:rPr>
                <w:rFonts w:ascii="宋体"/>
              </w:rPr>
            </w:pPr>
            <w:r>
              <w:rPr>
                <w:rFonts w:hint="eastAsia" w:ascii="宋体"/>
              </w:rPr>
              <w:t>2.具有其他严重情节的。</w:t>
            </w:r>
          </w:p>
        </w:tc>
        <w:tc>
          <w:tcPr>
            <w:tcW w:w="6662" w:type="dxa"/>
            <w:vAlign w:val="center"/>
          </w:tcPr>
          <w:p w14:paraId="7BD09348">
            <w:pPr>
              <w:spacing w:line="240" w:lineRule="atLeast"/>
              <w:jc w:val="center"/>
              <w:rPr>
                <w:rFonts w:ascii="宋体"/>
                <w:kern w:val="0"/>
              </w:rPr>
            </w:pPr>
            <w:r>
              <w:rPr>
                <w:rFonts w:hint="eastAsia" w:ascii="宋体"/>
                <w:kern w:val="0"/>
              </w:rPr>
              <w:t>10-20万元</w:t>
            </w:r>
          </w:p>
        </w:tc>
        <w:tc>
          <w:tcPr>
            <w:tcW w:w="2268" w:type="dxa"/>
            <w:vAlign w:val="center"/>
          </w:tcPr>
          <w:p w14:paraId="31889C1C">
            <w:pPr>
              <w:spacing w:line="240" w:lineRule="atLeast"/>
              <w:jc w:val="center"/>
              <w:rPr>
                <w:rFonts w:ascii="宋体"/>
                <w:kern w:val="0"/>
              </w:rPr>
            </w:pPr>
            <w:r>
              <w:rPr>
                <w:rFonts w:hint="eastAsia" w:ascii="宋体"/>
                <w:kern w:val="0"/>
              </w:rPr>
              <w:t>吊销适任证书</w:t>
            </w:r>
          </w:p>
        </w:tc>
        <w:tc>
          <w:tcPr>
            <w:tcW w:w="3028" w:type="dxa"/>
            <w:vAlign w:val="center"/>
          </w:tcPr>
          <w:p w14:paraId="2040147B">
            <w:pPr>
              <w:spacing w:line="240" w:lineRule="atLeast"/>
              <w:jc w:val="center"/>
              <w:rPr>
                <w:rFonts w:ascii="宋体"/>
                <w:kern w:val="0"/>
              </w:rPr>
            </w:pPr>
            <w:r>
              <w:rPr>
                <w:rFonts w:hint="eastAsia" w:ascii="宋体"/>
                <w:kern w:val="0"/>
              </w:rPr>
              <w:t>吊销适任证书</w:t>
            </w:r>
          </w:p>
        </w:tc>
      </w:tr>
    </w:tbl>
    <w:p w14:paraId="241832CF">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1207"/>
        <w:gridCol w:w="1403"/>
        <w:gridCol w:w="1140"/>
        <w:gridCol w:w="3395"/>
        <w:gridCol w:w="6660"/>
        <w:gridCol w:w="2267"/>
        <w:gridCol w:w="3032"/>
      </w:tblGrid>
      <w:tr w14:paraId="38F1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91" w:type="dxa"/>
            <w:vMerge w:val="restart"/>
            <w:vAlign w:val="center"/>
          </w:tcPr>
          <w:p w14:paraId="0D486727">
            <w:pPr>
              <w:spacing w:line="240" w:lineRule="exact"/>
              <w:jc w:val="center"/>
              <w:rPr>
                <w:rFonts w:ascii="宋体"/>
                <w:b/>
                <w:kern w:val="0"/>
              </w:rPr>
            </w:pPr>
            <w:r>
              <w:rPr>
                <w:rFonts w:hint="eastAsia" w:ascii="宋体"/>
                <w:b/>
                <w:kern w:val="0"/>
              </w:rPr>
              <w:t>案由19</w:t>
            </w:r>
          </w:p>
        </w:tc>
        <w:tc>
          <w:tcPr>
            <w:tcW w:w="2610" w:type="dxa"/>
            <w:gridSpan w:val="2"/>
            <w:vAlign w:val="center"/>
          </w:tcPr>
          <w:p w14:paraId="54B8C5BD">
            <w:pPr>
              <w:spacing w:line="240" w:lineRule="exact"/>
              <w:jc w:val="center"/>
              <w:rPr>
                <w:rFonts w:ascii="宋体"/>
                <w:b/>
                <w:kern w:val="0"/>
              </w:rPr>
            </w:pPr>
            <w:r>
              <w:rPr>
                <w:rFonts w:hint="eastAsia" w:ascii="宋体"/>
                <w:b/>
                <w:kern w:val="0"/>
              </w:rPr>
              <w:t>法律依据</w:t>
            </w:r>
          </w:p>
        </w:tc>
        <w:tc>
          <w:tcPr>
            <w:tcW w:w="1140" w:type="dxa"/>
            <w:vMerge w:val="restart"/>
            <w:vAlign w:val="center"/>
          </w:tcPr>
          <w:p w14:paraId="75AFC8AD">
            <w:pPr>
              <w:spacing w:line="240" w:lineRule="exact"/>
              <w:jc w:val="center"/>
              <w:rPr>
                <w:rFonts w:ascii="宋体"/>
                <w:b/>
                <w:kern w:val="0"/>
              </w:rPr>
            </w:pPr>
            <w:r>
              <w:rPr>
                <w:rFonts w:hint="eastAsia" w:ascii="宋体"/>
                <w:b/>
                <w:kern w:val="0"/>
              </w:rPr>
              <w:t>违法情节</w:t>
            </w:r>
          </w:p>
        </w:tc>
        <w:tc>
          <w:tcPr>
            <w:tcW w:w="3395" w:type="dxa"/>
            <w:vMerge w:val="restart"/>
            <w:vAlign w:val="center"/>
          </w:tcPr>
          <w:p w14:paraId="2EB5E9A8">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1C1A71FC">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71A4A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991" w:type="dxa"/>
            <w:vMerge w:val="continue"/>
            <w:vAlign w:val="center"/>
          </w:tcPr>
          <w:p w14:paraId="2C92A090">
            <w:pPr>
              <w:spacing w:line="240" w:lineRule="exact"/>
              <w:jc w:val="center"/>
              <w:rPr>
                <w:rFonts w:ascii="宋体"/>
                <w:b/>
                <w:kern w:val="0"/>
              </w:rPr>
            </w:pPr>
          </w:p>
        </w:tc>
        <w:tc>
          <w:tcPr>
            <w:tcW w:w="1207" w:type="dxa"/>
            <w:vAlign w:val="center"/>
          </w:tcPr>
          <w:p w14:paraId="337CFE61">
            <w:pPr>
              <w:spacing w:line="240" w:lineRule="exact"/>
              <w:jc w:val="center"/>
              <w:rPr>
                <w:rFonts w:ascii="宋体"/>
                <w:b/>
                <w:kern w:val="0"/>
              </w:rPr>
            </w:pPr>
            <w:r>
              <w:rPr>
                <w:rFonts w:hint="eastAsia" w:ascii="宋体"/>
                <w:b/>
                <w:kern w:val="0"/>
              </w:rPr>
              <w:t>违反条款</w:t>
            </w:r>
          </w:p>
        </w:tc>
        <w:tc>
          <w:tcPr>
            <w:tcW w:w="1403" w:type="dxa"/>
            <w:vAlign w:val="center"/>
          </w:tcPr>
          <w:p w14:paraId="402D0934">
            <w:pPr>
              <w:spacing w:line="240" w:lineRule="exact"/>
              <w:jc w:val="center"/>
              <w:rPr>
                <w:rFonts w:ascii="宋体"/>
                <w:b/>
                <w:kern w:val="0"/>
              </w:rPr>
            </w:pPr>
            <w:r>
              <w:rPr>
                <w:rFonts w:hint="eastAsia" w:ascii="宋体"/>
                <w:b/>
                <w:kern w:val="0"/>
              </w:rPr>
              <w:t>处罚依据</w:t>
            </w:r>
          </w:p>
        </w:tc>
        <w:tc>
          <w:tcPr>
            <w:tcW w:w="1140" w:type="dxa"/>
            <w:vMerge w:val="continue"/>
            <w:vAlign w:val="center"/>
          </w:tcPr>
          <w:p w14:paraId="326EC878">
            <w:pPr>
              <w:spacing w:line="240" w:lineRule="exact"/>
              <w:jc w:val="center"/>
              <w:rPr>
                <w:rFonts w:ascii="宋体"/>
                <w:b/>
                <w:kern w:val="0"/>
              </w:rPr>
            </w:pPr>
          </w:p>
        </w:tc>
        <w:tc>
          <w:tcPr>
            <w:tcW w:w="3395" w:type="dxa"/>
            <w:vMerge w:val="continue"/>
            <w:vAlign w:val="center"/>
          </w:tcPr>
          <w:p w14:paraId="0072A164">
            <w:pPr>
              <w:spacing w:line="240" w:lineRule="exact"/>
              <w:jc w:val="center"/>
              <w:rPr>
                <w:rFonts w:ascii="宋体"/>
                <w:b/>
                <w:kern w:val="0"/>
              </w:rPr>
            </w:pPr>
          </w:p>
        </w:tc>
        <w:tc>
          <w:tcPr>
            <w:tcW w:w="6660" w:type="dxa"/>
            <w:vAlign w:val="center"/>
          </w:tcPr>
          <w:p w14:paraId="5540067D">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14:paraId="35580AE2">
            <w:pPr>
              <w:spacing w:line="240" w:lineRule="exact"/>
              <w:jc w:val="center"/>
              <w:rPr>
                <w:rFonts w:ascii="宋体"/>
                <w:b/>
                <w:kern w:val="0"/>
              </w:rPr>
            </w:pPr>
            <w:r>
              <w:rPr>
                <w:rFonts w:hint="eastAsia" w:ascii="宋体"/>
                <w:b/>
                <w:kern w:val="0"/>
              </w:rPr>
              <w:t>【对象】船长</w:t>
            </w:r>
          </w:p>
        </w:tc>
        <w:tc>
          <w:tcPr>
            <w:tcW w:w="3032" w:type="dxa"/>
            <w:vAlign w:val="center"/>
          </w:tcPr>
          <w:p w14:paraId="4DCCE0C1">
            <w:pPr>
              <w:spacing w:line="240" w:lineRule="exact"/>
              <w:jc w:val="center"/>
              <w:rPr>
                <w:rFonts w:ascii="宋体"/>
                <w:b/>
                <w:kern w:val="0"/>
              </w:rPr>
            </w:pPr>
            <w:r>
              <w:rPr>
                <w:rFonts w:hint="eastAsia" w:ascii="宋体"/>
                <w:b/>
                <w:kern w:val="0"/>
              </w:rPr>
              <w:t>【对象】责任船员</w:t>
            </w:r>
          </w:p>
        </w:tc>
      </w:tr>
      <w:tr w14:paraId="6E52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91" w:type="dxa"/>
            <w:vMerge w:val="restart"/>
            <w:vAlign w:val="center"/>
          </w:tcPr>
          <w:p w14:paraId="1F499335">
            <w:pPr>
              <w:widowControl/>
              <w:spacing w:line="240" w:lineRule="exact"/>
              <w:jc w:val="left"/>
              <w:rPr>
                <w:rFonts w:ascii="宋体"/>
                <w:b/>
                <w:kern w:val="0"/>
              </w:rPr>
            </w:pPr>
            <w:r>
              <w:rPr>
                <w:rFonts w:hint="eastAsia" w:ascii="宋体"/>
                <w:bCs/>
                <w:kern w:val="0"/>
              </w:rPr>
              <w:t>船舶超过桥梁通航尺度进入桥区水域</w:t>
            </w:r>
          </w:p>
        </w:tc>
        <w:tc>
          <w:tcPr>
            <w:tcW w:w="1207" w:type="dxa"/>
            <w:vMerge w:val="restart"/>
            <w:vAlign w:val="center"/>
          </w:tcPr>
          <w:p w14:paraId="50AC6ADF">
            <w:pPr>
              <w:widowControl/>
              <w:spacing w:line="240" w:lineRule="exact"/>
              <w:jc w:val="left"/>
              <w:rPr>
                <w:rFonts w:ascii="宋体"/>
                <w:kern w:val="0"/>
              </w:rPr>
            </w:pPr>
            <w:r>
              <w:rPr>
                <w:rFonts w:hint="eastAsia" w:ascii="宋体"/>
                <w:kern w:val="0"/>
              </w:rPr>
              <w:t>1.《中华人民共和国海上交通安全法》第四十三条第三款。</w:t>
            </w:r>
          </w:p>
          <w:p w14:paraId="0B788F3F">
            <w:pPr>
              <w:widowControl/>
              <w:spacing w:line="240" w:lineRule="exact"/>
              <w:jc w:val="left"/>
              <w:rPr>
                <w:rFonts w:ascii="宋体"/>
              </w:rPr>
            </w:pPr>
            <w:r>
              <w:rPr>
                <w:rFonts w:hint="eastAsia" w:ascii="宋体"/>
              </w:rPr>
              <w:t>2.其他法律、法规、规章等。</w:t>
            </w:r>
          </w:p>
        </w:tc>
        <w:tc>
          <w:tcPr>
            <w:tcW w:w="1403" w:type="dxa"/>
            <w:vMerge w:val="restart"/>
            <w:vAlign w:val="center"/>
          </w:tcPr>
          <w:p w14:paraId="062C31D7">
            <w:pPr>
              <w:spacing w:line="240" w:lineRule="exact"/>
              <w:jc w:val="left"/>
              <w:rPr>
                <w:rFonts w:ascii="宋体"/>
                <w:kern w:val="0"/>
              </w:rPr>
            </w:pPr>
            <w:r>
              <w:rPr>
                <w:rFonts w:hint="eastAsia" w:ascii="宋体"/>
                <w:kern w:val="0"/>
              </w:rPr>
              <w:t>1.《中华人民共和国海上交通安全法》第一百零三条第（六）项、《中华人民共和国海上海事行政处罚规定》第十八条第（六）项。</w:t>
            </w:r>
          </w:p>
          <w:p w14:paraId="0943A4A2">
            <w:pPr>
              <w:spacing w:line="240" w:lineRule="exact"/>
              <w:jc w:val="left"/>
              <w:rPr>
                <w:rFonts w:ascii="宋体"/>
                <w:kern w:val="0"/>
              </w:rPr>
            </w:pPr>
            <w:r>
              <w:rPr>
                <w:rFonts w:hint="eastAsia" w:ascii="宋体"/>
                <w:kern w:val="0"/>
              </w:rPr>
              <w:t>2. 《中华人民共和国海上海事行政处罚规定》第七条。</w:t>
            </w:r>
          </w:p>
        </w:tc>
        <w:tc>
          <w:tcPr>
            <w:tcW w:w="1140" w:type="dxa"/>
            <w:vAlign w:val="center"/>
          </w:tcPr>
          <w:p w14:paraId="0134BC6A">
            <w:pPr>
              <w:spacing w:line="240" w:lineRule="exact"/>
              <w:jc w:val="center"/>
              <w:rPr>
                <w:rFonts w:ascii="宋体"/>
                <w:kern w:val="0"/>
              </w:rPr>
            </w:pPr>
            <w:r>
              <w:rPr>
                <w:rFonts w:hint="eastAsia" w:ascii="宋体"/>
                <w:kern w:val="0"/>
              </w:rPr>
              <w:t>从轻</w:t>
            </w:r>
          </w:p>
        </w:tc>
        <w:tc>
          <w:tcPr>
            <w:tcW w:w="3395" w:type="dxa"/>
            <w:vAlign w:val="center"/>
          </w:tcPr>
          <w:p w14:paraId="4CF8BFE8">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73751DBA">
            <w:pPr>
              <w:spacing w:line="240" w:lineRule="atLeast"/>
              <w:jc w:val="center"/>
              <w:rPr>
                <w:rFonts w:ascii="宋体"/>
                <w:kern w:val="0"/>
              </w:rPr>
            </w:pPr>
            <w:r>
              <w:rPr>
                <w:rFonts w:hint="eastAsia" w:ascii="宋体"/>
                <w:kern w:val="0"/>
              </w:rPr>
              <w:t>2-3万元</w:t>
            </w:r>
          </w:p>
        </w:tc>
        <w:tc>
          <w:tcPr>
            <w:tcW w:w="2267" w:type="dxa"/>
            <w:vAlign w:val="center"/>
          </w:tcPr>
          <w:p w14:paraId="542AB869">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546606D6">
            <w:pPr>
              <w:spacing w:line="240" w:lineRule="atLeast"/>
              <w:jc w:val="center"/>
              <w:rPr>
                <w:rFonts w:ascii="宋体"/>
                <w:kern w:val="0"/>
              </w:rPr>
            </w:pPr>
            <w:r>
              <w:rPr>
                <w:rFonts w:hint="eastAsia" w:ascii="宋体"/>
                <w:kern w:val="0"/>
              </w:rPr>
              <w:t>2000-4000元、并暂扣适任证书3个月至4个月</w:t>
            </w:r>
          </w:p>
        </w:tc>
      </w:tr>
      <w:tr w14:paraId="63E31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991" w:type="dxa"/>
            <w:vMerge w:val="continue"/>
            <w:vAlign w:val="center"/>
          </w:tcPr>
          <w:p w14:paraId="5F75FC36">
            <w:pPr>
              <w:spacing w:line="240" w:lineRule="exact"/>
              <w:jc w:val="center"/>
              <w:rPr>
                <w:rFonts w:ascii="宋体"/>
                <w:kern w:val="0"/>
              </w:rPr>
            </w:pPr>
          </w:p>
        </w:tc>
        <w:tc>
          <w:tcPr>
            <w:tcW w:w="1207" w:type="dxa"/>
            <w:vMerge w:val="continue"/>
            <w:vAlign w:val="center"/>
          </w:tcPr>
          <w:p w14:paraId="13D2DC84">
            <w:pPr>
              <w:widowControl/>
              <w:spacing w:line="240" w:lineRule="exact"/>
              <w:jc w:val="center"/>
              <w:rPr>
                <w:rFonts w:ascii="宋体"/>
                <w:kern w:val="0"/>
              </w:rPr>
            </w:pPr>
          </w:p>
        </w:tc>
        <w:tc>
          <w:tcPr>
            <w:tcW w:w="1403" w:type="dxa"/>
            <w:vMerge w:val="continue"/>
            <w:vAlign w:val="center"/>
          </w:tcPr>
          <w:p w14:paraId="125B9482">
            <w:pPr>
              <w:spacing w:line="240" w:lineRule="exact"/>
              <w:jc w:val="center"/>
              <w:rPr>
                <w:rFonts w:ascii="宋体"/>
                <w:kern w:val="0"/>
              </w:rPr>
            </w:pPr>
          </w:p>
        </w:tc>
        <w:tc>
          <w:tcPr>
            <w:tcW w:w="1140" w:type="dxa"/>
            <w:vMerge w:val="restart"/>
            <w:vAlign w:val="center"/>
          </w:tcPr>
          <w:p w14:paraId="63289CB1">
            <w:pPr>
              <w:spacing w:line="240" w:lineRule="exact"/>
              <w:jc w:val="center"/>
              <w:rPr>
                <w:rFonts w:ascii="宋体"/>
                <w:kern w:val="0"/>
              </w:rPr>
            </w:pPr>
            <w:r>
              <w:rPr>
                <w:rFonts w:hint="eastAsia" w:ascii="宋体"/>
                <w:kern w:val="0"/>
              </w:rPr>
              <w:t>一般</w:t>
            </w:r>
          </w:p>
        </w:tc>
        <w:tc>
          <w:tcPr>
            <w:tcW w:w="3395" w:type="dxa"/>
            <w:vAlign w:val="center"/>
          </w:tcPr>
          <w:p w14:paraId="3BB1CAE0">
            <w:pPr>
              <w:spacing w:line="240" w:lineRule="exact"/>
              <w:jc w:val="left"/>
              <w:rPr>
                <w:rFonts w:ascii="宋体"/>
              </w:rPr>
            </w:pPr>
            <w:r>
              <w:rPr>
                <w:rFonts w:hint="eastAsia" w:ascii="宋体"/>
              </w:rPr>
              <w:t>船舶超过桥梁通航水深、通航宽度、通航水位、净空高度</w:t>
            </w:r>
          </w:p>
        </w:tc>
        <w:tc>
          <w:tcPr>
            <w:tcW w:w="6660" w:type="dxa"/>
            <w:vAlign w:val="center"/>
          </w:tcPr>
          <w:p w14:paraId="153A360E">
            <w:pPr>
              <w:spacing w:line="240" w:lineRule="atLeast"/>
              <w:jc w:val="center"/>
              <w:rPr>
                <w:rFonts w:ascii="宋体"/>
                <w:kern w:val="0"/>
              </w:rPr>
            </w:pPr>
            <w:r>
              <w:rPr>
                <w:rFonts w:hint="eastAsia" w:ascii="宋体"/>
                <w:kern w:val="0"/>
              </w:rPr>
              <w:t>3-4万元</w:t>
            </w:r>
          </w:p>
        </w:tc>
        <w:tc>
          <w:tcPr>
            <w:tcW w:w="2267" w:type="dxa"/>
            <w:vAlign w:val="center"/>
          </w:tcPr>
          <w:p w14:paraId="1B9EC25E">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6C9910E2">
            <w:pPr>
              <w:spacing w:line="240" w:lineRule="atLeast"/>
              <w:jc w:val="center"/>
              <w:rPr>
                <w:rFonts w:ascii="宋体"/>
                <w:b/>
                <w:kern w:val="0"/>
              </w:rPr>
            </w:pPr>
            <w:r>
              <w:rPr>
                <w:rFonts w:hint="eastAsia" w:ascii="宋体"/>
                <w:kern w:val="0"/>
              </w:rPr>
              <w:t>4000元-6000、并暂扣适任证书3个月至4个月</w:t>
            </w:r>
          </w:p>
        </w:tc>
      </w:tr>
      <w:tr w14:paraId="31B6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1" w:type="dxa"/>
            <w:vMerge w:val="continue"/>
            <w:vAlign w:val="center"/>
          </w:tcPr>
          <w:p w14:paraId="18B9B4E5">
            <w:pPr>
              <w:spacing w:line="240" w:lineRule="exact"/>
              <w:jc w:val="center"/>
              <w:rPr>
                <w:rFonts w:ascii="宋体"/>
                <w:kern w:val="0"/>
              </w:rPr>
            </w:pPr>
          </w:p>
        </w:tc>
        <w:tc>
          <w:tcPr>
            <w:tcW w:w="1207" w:type="dxa"/>
            <w:vMerge w:val="continue"/>
            <w:vAlign w:val="center"/>
          </w:tcPr>
          <w:p w14:paraId="41956C18">
            <w:pPr>
              <w:widowControl/>
              <w:spacing w:line="240" w:lineRule="exact"/>
              <w:jc w:val="center"/>
              <w:rPr>
                <w:rFonts w:ascii="宋体"/>
                <w:kern w:val="0"/>
              </w:rPr>
            </w:pPr>
          </w:p>
        </w:tc>
        <w:tc>
          <w:tcPr>
            <w:tcW w:w="1403" w:type="dxa"/>
            <w:vMerge w:val="continue"/>
            <w:vAlign w:val="center"/>
          </w:tcPr>
          <w:p w14:paraId="558270E0">
            <w:pPr>
              <w:spacing w:line="240" w:lineRule="exact"/>
              <w:jc w:val="center"/>
              <w:rPr>
                <w:rFonts w:ascii="宋体"/>
                <w:kern w:val="0"/>
              </w:rPr>
            </w:pPr>
          </w:p>
        </w:tc>
        <w:tc>
          <w:tcPr>
            <w:tcW w:w="1140" w:type="dxa"/>
            <w:vMerge w:val="continue"/>
            <w:vAlign w:val="center"/>
          </w:tcPr>
          <w:p w14:paraId="1A22D299">
            <w:pPr>
              <w:spacing w:line="240" w:lineRule="exact"/>
              <w:jc w:val="center"/>
              <w:rPr>
                <w:rFonts w:ascii="宋体"/>
                <w:kern w:val="0"/>
              </w:rPr>
            </w:pPr>
          </w:p>
        </w:tc>
        <w:tc>
          <w:tcPr>
            <w:tcW w:w="3395" w:type="dxa"/>
            <w:vAlign w:val="center"/>
          </w:tcPr>
          <w:p w14:paraId="5C9B89A7">
            <w:pPr>
              <w:spacing w:line="240" w:lineRule="exact"/>
              <w:jc w:val="left"/>
              <w:rPr>
                <w:rFonts w:ascii="宋体"/>
              </w:rPr>
            </w:pPr>
            <w:r>
              <w:rPr>
                <w:rFonts w:hint="eastAsia" w:ascii="宋体"/>
                <w:kern w:val="0"/>
              </w:rPr>
              <w:t>客船、</w:t>
            </w:r>
            <w:r>
              <w:rPr>
                <w:rFonts w:hint="eastAsia" w:ascii="宋体"/>
                <w:bCs/>
                <w:kern w:val="0"/>
              </w:rPr>
              <w:t>危险品船</w:t>
            </w:r>
            <w:r>
              <w:rPr>
                <w:rFonts w:hint="eastAsia" w:ascii="宋体"/>
              </w:rPr>
              <w:t>过桥梁通航水深、通航宽度、通航水位、净空高度</w:t>
            </w:r>
          </w:p>
        </w:tc>
        <w:tc>
          <w:tcPr>
            <w:tcW w:w="6660" w:type="dxa"/>
            <w:vAlign w:val="center"/>
          </w:tcPr>
          <w:p w14:paraId="15B09B69">
            <w:pPr>
              <w:spacing w:line="240" w:lineRule="atLeast"/>
              <w:jc w:val="center"/>
              <w:rPr>
                <w:rFonts w:ascii="宋体"/>
                <w:kern w:val="0"/>
              </w:rPr>
            </w:pPr>
            <w:r>
              <w:rPr>
                <w:rFonts w:hint="eastAsia" w:ascii="宋体"/>
                <w:kern w:val="0"/>
              </w:rPr>
              <w:t>4-5万元</w:t>
            </w:r>
          </w:p>
        </w:tc>
        <w:tc>
          <w:tcPr>
            <w:tcW w:w="2267" w:type="dxa"/>
            <w:vAlign w:val="center"/>
          </w:tcPr>
          <w:p w14:paraId="31C4C075">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2ABE5A91">
            <w:pPr>
              <w:spacing w:line="240" w:lineRule="atLeast"/>
              <w:jc w:val="center"/>
              <w:rPr>
                <w:rFonts w:ascii="宋体"/>
                <w:kern w:val="0"/>
              </w:rPr>
            </w:pPr>
            <w:r>
              <w:rPr>
                <w:rFonts w:hint="eastAsia" w:ascii="宋体"/>
                <w:kern w:val="0"/>
              </w:rPr>
              <w:t>6000元-1万元、并暂扣适任证书4个月至5个月</w:t>
            </w:r>
          </w:p>
        </w:tc>
      </w:tr>
      <w:tr w14:paraId="1588F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91" w:type="dxa"/>
            <w:vMerge w:val="continue"/>
            <w:vAlign w:val="center"/>
          </w:tcPr>
          <w:p w14:paraId="7496708E">
            <w:pPr>
              <w:spacing w:line="240" w:lineRule="exact"/>
              <w:jc w:val="center"/>
              <w:rPr>
                <w:rFonts w:ascii="宋体"/>
                <w:kern w:val="0"/>
              </w:rPr>
            </w:pPr>
          </w:p>
        </w:tc>
        <w:tc>
          <w:tcPr>
            <w:tcW w:w="1207" w:type="dxa"/>
            <w:vMerge w:val="continue"/>
            <w:vAlign w:val="center"/>
          </w:tcPr>
          <w:p w14:paraId="22302046">
            <w:pPr>
              <w:spacing w:line="240" w:lineRule="exact"/>
              <w:jc w:val="center"/>
              <w:rPr>
                <w:rFonts w:ascii="宋体"/>
                <w:kern w:val="0"/>
              </w:rPr>
            </w:pPr>
          </w:p>
        </w:tc>
        <w:tc>
          <w:tcPr>
            <w:tcW w:w="1403" w:type="dxa"/>
            <w:vMerge w:val="continue"/>
            <w:vAlign w:val="center"/>
          </w:tcPr>
          <w:p w14:paraId="6449023A">
            <w:pPr>
              <w:spacing w:line="240" w:lineRule="exact"/>
              <w:jc w:val="center"/>
              <w:rPr>
                <w:rFonts w:ascii="宋体"/>
                <w:kern w:val="0"/>
              </w:rPr>
            </w:pPr>
          </w:p>
        </w:tc>
        <w:tc>
          <w:tcPr>
            <w:tcW w:w="1140" w:type="dxa"/>
            <w:vMerge w:val="continue"/>
            <w:vAlign w:val="center"/>
          </w:tcPr>
          <w:p w14:paraId="21207CA9">
            <w:pPr>
              <w:spacing w:line="240" w:lineRule="exact"/>
              <w:jc w:val="center"/>
              <w:rPr>
                <w:rFonts w:ascii="宋体"/>
                <w:kern w:val="0"/>
              </w:rPr>
            </w:pPr>
          </w:p>
        </w:tc>
        <w:tc>
          <w:tcPr>
            <w:tcW w:w="3395" w:type="dxa"/>
            <w:vAlign w:val="center"/>
          </w:tcPr>
          <w:p w14:paraId="725CC67B">
            <w:pPr>
              <w:spacing w:line="240" w:lineRule="atLeast"/>
              <w:jc w:val="left"/>
              <w:rPr>
                <w:rFonts w:ascii="宋体"/>
              </w:rPr>
            </w:pPr>
            <w:r>
              <w:rPr>
                <w:rFonts w:hint="eastAsia" w:ascii="宋体"/>
              </w:rPr>
              <w:t>1.造成一般事故或险情的；</w:t>
            </w:r>
          </w:p>
          <w:p w14:paraId="4920599D">
            <w:pPr>
              <w:spacing w:line="240" w:lineRule="atLeast"/>
              <w:jc w:val="left"/>
              <w:rPr>
                <w:rFonts w:ascii="宋体"/>
                <w:kern w:val="0"/>
              </w:rPr>
            </w:pPr>
            <w:r>
              <w:rPr>
                <w:rFonts w:hint="eastAsia" w:ascii="宋体"/>
              </w:rPr>
              <w:t>2.具有其他较重情节的。</w:t>
            </w:r>
          </w:p>
        </w:tc>
        <w:tc>
          <w:tcPr>
            <w:tcW w:w="6660" w:type="dxa"/>
            <w:vAlign w:val="center"/>
          </w:tcPr>
          <w:p w14:paraId="2F8D969C">
            <w:pPr>
              <w:spacing w:line="240" w:lineRule="atLeast"/>
              <w:jc w:val="center"/>
              <w:rPr>
                <w:rFonts w:ascii="宋体"/>
                <w:kern w:val="0"/>
              </w:rPr>
            </w:pPr>
            <w:r>
              <w:rPr>
                <w:rFonts w:hint="eastAsia" w:ascii="宋体"/>
                <w:kern w:val="0"/>
              </w:rPr>
              <w:t>5-10万元</w:t>
            </w:r>
          </w:p>
        </w:tc>
        <w:tc>
          <w:tcPr>
            <w:tcW w:w="2267" w:type="dxa"/>
            <w:vAlign w:val="center"/>
          </w:tcPr>
          <w:p w14:paraId="14E8A6B8">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2F5C5451">
            <w:pPr>
              <w:spacing w:line="240" w:lineRule="atLeast"/>
              <w:jc w:val="center"/>
              <w:rPr>
                <w:rFonts w:ascii="宋体"/>
                <w:kern w:val="0"/>
              </w:rPr>
            </w:pPr>
            <w:r>
              <w:rPr>
                <w:rFonts w:hint="eastAsia" w:ascii="宋体"/>
                <w:kern w:val="0"/>
              </w:rPr>
              <w:t>1-2万元、并暂扣适任证书5个月至12个月</w:t>
            </w:r>
          </w:p>
        </w:tc>
      </w:tr>
      <w:tr w14:paraId="266A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91" w:type="dxa"/>
            <w:vMerge w:val="continue"/>
            <w:vAlign w:val="center"/>
          </w:tcPr>
          <w:p w14:paraId="56A8BECB">
            <w:pPr>
              <w:spacing w:line="240" w:lineRule="exact"/>
              <w:jc w:val="center"/>
              <w:rPr>
                <w:rFonts w:ascii="宋体"/>
                <w:kern w:val="0"/>
              </w:rPr>
            </w:pPr>
          </w:p>
        </w:tc>
        <w:tc>
          <w:tcPr>
            <w:tcW w:w="1207" w:type="dxa"/>
            <w:vMerge w:val="continue"/>
            <w:vAlign w:val="center"/>
          </w:tcPr>
          <w:p w14:paraId="5C502978">
            <w:pPr>
              <w:spacing w:line="240" w:lineRule="exact"/>
              <w:jc w:val="center"/>
              <w:rPr>
                <w:rFonts w:ascii="宋体"/>
                <w:kern w:val="0"/>
              </w:rPr>
            </w:pPr>
          </w:p>
        </w:tc>
        <w:tc>
          <w:tcPr>
            <w:tcW w:w="1403" w:type="dxa"/>
            <w:vMerge w:val="continue"/>
            <w:vAlign w:val="center"/>
          </w:tcPr>
          <w:p w14:paraId="6F7D375B">
            <w:pPr>
              <w:spacing w:line="240" w:lineRule="exact"/>
              <w:jc w:val="center"/>
              <w:rPr>
                <w:rFonts w:ascii="宋体"/>
                <w:kern w:val="0"/>
              </w:rPr>
            </w:pPr>
          </w:p>
        </w:tc>
        <w:tc>
          <w:tcPr>
            <w:tcW w:w="1140" w:type="dxa"/>
            <w:vAlign w:val="center"/>
          </w:tcPr>
          <w:p w14:paraId="3162EE93">
            <w:pPr>
              <w:spacing w:line="240" w:lineRule="exact"/>
              <w:jc w:val="center"/>
              <w:rPr>
                <w:rFonts w:ascii="宋体"/>
                <w:kern w:val="0"/>
              </w:rPr>
            </w:pPr>
            <w:r>
              <w:rPr>
                <w:rFonts w:hint="eastAsia" w:ascii="宋体"/>
                <w:kern w:val="0"/>
              </w:rPr>
              <w:t>情节严重</w:t>
            </w:r>
          </w:p>
        </w:tc>
        <w:tc>
          <w:tcPr>
            <w:tcW w:w="3395" w:type="dxa"/>
            <w:vAlign w:val="center"/>
          </w:tcPr>
          <w:p w14:paraId="7A3EEC16">
            <w:pPr>
              <w:spacing w:line="240" w:lineRule="atLeast"/>
              <w:jc w:val="left"/>
              <w:rPr>
                <w:rFonts w:ascii="宋体"/>
              </w:rPr>
            </w:pPr>
            <w:r>
              <w:rPr>
                <w:rFonts w:hint="eastAsia" w:ascii="宋体"/>
              </w:rPr>
              <w:t>1.造成较大等级以上事故的；</w:t>
            </w:r>
          </w:p>
          <w:p w14:paraId="2CF82267">
            <w:pPr>
              <w:spacing w:line="240" w:lineRule="atLeast"/>
              <w:jc w:val="left"/>
              <w:rPr>
                <w:rFonts w:ascii="宋体"/>
              </w:rPr>
            </w:pPr>
            <w:r>
              <w:rPr>
                <w:rFonts w:hint="eastAsia" w:ascii="宋体"/>
              </w:rPr>
              <w:t>2.具有其他严重情节的。</w:t>
            </w:r>
          </w:p>
        </w:tc>
        <w:tc>
          <w:tcPr>
            <w:tcW w:w="6660" w:type="dxa"/>
            <w:vAlign w:val="center"/>
          </w:tcPr>
          <w:p w14:paraId="14C691E4">
            <w:pPr>
              <w:spacing w:line="240" w:lineRule="atLeast"/>
              <w:jc w:val="center"/>
              <w:rPr>
                <w:rFonts w:ascii="宋体"/>
                <w:kern w:val="0"/>
              </w:rPr>
            </w:pPr>
            <w:r>
              <w:rPr>
                <w:rFonts w:hint="eastAsia" w:ascii="宋体"/>
                <w:kern w:val="0"/>
              </w:rPr>
              <w:t>10-20万元</w:t>
            </w:r>
          </w:p>
        </w:tc>
        <w:tc>
          <w:tcPr>
            <w:tcW w:w="2267" w:type="dxa"/>
            <w:vAlign w:val="center"/>
          </w:tcPr>
          <w:p w14:paraId="291F20D2">
            <w:pPr>
              <w:spacing w:line="240" w:lineRule="atLeast"/>
              <w:jc w:val="center"/>
              <w:rPr>
                <w:rFonts w:ascii="宋体"/>
                <w:kern w:val="0"/>
              </w:rPr>
            </w:pPr>
            <w:r>
              <w:rPr>
                <w:rFonts w:hint="eastAsia" w:ascii="宋体"/>
                <w:kern w:val="0"/>
              </w:rPr>
              <w:t>吊销适任证书</w:t>
            </w:r>
          </w:p>
        </w:tc>
        <w:tc>
          <w:tcPr>
            <w:tcW w:w="3032" w:type="dxa"/>
            <w:vAlign w:val="center"/>
          </w:tcPr>
          <w:p w14:paraId="669B5503">
            <w:pPr>
              <w:spacing w:line="240" w:lineRule="atLeast"/>
              <w:jc w:val="center"/>
              <w:rPr>
                <w:rFonts w:ascii="宋体"/>
                <w:kern w:val="0"/>
              </w:rPr>
            </w:pPr>
            <w:r>
              <w:rPr>
                <w:rFonts w:hint="eastAsia" w:ascii="宋体"/>
                <w:kern w:val="0"/>
              </w:rPr>
              <w:t>吊销适任证书</w:t>
            </w:r>
          </w:p>
        </w:tc>
      </w:tr>
    </w:tbl>
    <w:p w14:paraId="1A4C6164">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1111"/>
        <w:gridCol w:w="1559"/>
        <w:gridCol w:w="992"/>
        <w:gridCol w:w="3544"/>
        <w:gridCol w:w="5661"/>
        <w:gridCol w:w="3269"/>
        <w:gridCol w:w="3028"/>
      </w:tblGrid>
      <w:tr w14:paraId="4411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restart"/>
            <w:vAlign w:val="center"/>
          </w:tcPr>
          <w:p w14:paraId="45F5C1B2">
            <w:pPr>
              <w:spacing w:line="240" w:lineRule="exact"/>
              <w:jc w:val="center"/>
              <w:rPr>
                <w:rFonts w:ascii="宋体"/>
                <w:b/>
                <w:kern w:val="0"/>
              </w:rPr>
            </w:pPr>
            <w:r>
              <w:rPr>
                <w:rFonts w:hint="eastAsia" w:ascii="宋体"/>
                <w:b/>
                <w:kern w:val="0"/>
              </w:rPr>
              <w:t>案由20</w:t>
            </w:r>
          </w:p>
        </w:tc>
        <w:tc>
          <w:tcPr>
            <w:tcW w:w="2670" w:type="dxa"/>
            <w:gridSpan w:val="2"/>
            <w:vAlign w:val="center"/>
          </w:tcPr>
          <w:p w14:paraId="2D121350">
            <w:pPr>
              <w:spacing w:line="240" w:lineRule="exact"/>
              <w:jc w:val="center"/>
              <w:rPr>
                <w:rFonts w:ascii="宋体"/>
                <w:b/>
                <w:kern w:val="0"/>
              </w:rPr>
            </w:pPr>
            <w:r>
              <w:rPr>
                <w:rFonts w:hint="eastAsia" w:ascii="宋体"/>
                <w:b/>
                <w:kern w:val="0"/>
              </w:rPr>
              <w:t>法律依据</w:t>
            </w:r>
          </w:p>
        </w:tc>
        <w:tc>
          <w:tcPr>
            <w:tcW w:w="992" w:type="dxa"/>
            <w:vMerge w:val="restart"/>
            <w:vAlign w:val="center"/>
          </w:tcPr>
          <w:p w14:paraId="17FEA452">
            <w:pPr>
              <w:spacing w:line="240" w:lineRule="exact"/>
              <w:jc w:val="center"/>
              <w:rPr>
                <w:rFonts w:ascii="宋体"/>
                <w:b/>
                <w:kern w:val="0"/>
              </w:rPr>
            </w:pPr>
            <w:r>
              <w:rPr>
                <w:rFonts w:hint="eastAsia" w:ascii="宋体"/>
                <w:b/>
                <w:kern w:val="0"/>
              </w:rPr>
              <w:t>违法情节</w:t>
            </w:r>
          </w:p>
        </w:tc>
        <w:tc>
          <w:tcPr>
            <w:tcW w:w="3544" w:type="dxa"/>
            <w:vMerge w:val="restart"/>
            <w:vAlign w:val="center"/>
          </w:tcPr>
          <w:p w14:paraId="19B8E367">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491DD882">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65291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931" w:type="dxa"/>
            <w:vMerge w:val="continue"/>
            <w:vAlign w:val="center"/>
          </w:tcPr>
          <w:p w14:paraId="3C4C505B">
            <w:pPr>
              <w:spacing w:line="240" w:lineRule="exact"/>
              <w:jc w:val="center"/>
              <w:rPr>
                <w:rFonts w:ascii="宋体"/>
                <w:b/>
                <w:kern w:val="0"/>
              </w:rPr>
            </w:pPr>
          </w:p>
        </w:tc>
        <w:tc>
          <w:tcPr>
            <w:tcW w:w="1111" w:type="dxa"/>
            <w:vAlign w:val="center"/>
          </w:tcPr>
          <w:p w14:paraId="0A8E7FBE">
            <w:pPr>
              <w:spacing w:line="240" w:lineRule="exact"/>
              <w:jc w:val="center"/>
              <w:rPr>
                <w:rFonts w:ascii="宋体"/>
                <w:b/>
                <w:kern w:val="0"/>
              </w:rPr>
            </w:pPr>
            <w:r>
              <w:rPr>
                <w:rFonts w:hint="eastAsia" w:ascii="宋体"/>
                <w:b/>
                <w:kern w:val="0"/>
              </w:rPr>
              <w:t>违反条款</w:t>
            </w:r>
          </w:p>
        </w:tc>
        <w:tc>
          <w:tcPr>
            <w:tcW w:w="1559" w:type="dxa"/>
            <w:vAlign w:val="center"/>
          </w:tcPr>
          <w:p w14:paraId="655E2713">
            <w:pPr>
              <w:spacing w:line="240" w:lineRule="exact"/>
              <w:jc w:val="center"/>
              <w:rPr>
                <w:rFonts w:ascii="宋体"/>
                <w:b/>
                <w:kern w:val="0"/>
              </w:rPr>
            </w:pPr>
            <w:r>
              <w:rPr>
                <w:rFonts w:hint="eastAsia" w:ascii="宋体"/>
                <w:b/>
                <w:kern w:val="0"/>
              </w:rPr>
              <w:t>处罚依据</w:t>
            </w:r>
          </w:p>
        </w:tc>
        <w:tc>
          <w:tcPr>
            <w:tcW w:w="992" w:type="dxa"/>
            <w:vMerge w:val="continue"/>
            <w:vAlign w:val="center"/>
          </w:tcPr>
          <w:p w14:paraId="5CA7CD8F">
            <w:pPr>
              <w:spacing w:line="240" w:lineRule="exact"/>
              <w:jc w:val="center"/>
              <w:rPr>
                <w:rFonts w:ascii="宋体"/>
                <w:b/>
                <w:kern w:val="0"/>
              </w:rPr>
            </w:pPr>
          </w:p>
        </w:tc>
        <w:tc>
          <w:tcPr>
            <w:tcW w:w="3544" w:type="dxa"/>
            <w:vMerge w:val="continue"/>
            <w:vAlign w:val="center"/>
          </w:tcPr>
          <w:p w14:paraId="11214C69">
            <w:pPr>
              <w:spacing w:line="240" w:lineRule="exact"/>
              <w:jc w:val="center"/>
              <w:rPr>
                <w:rFonts w:ascii="宋体"/>
                <w:b/>
                <w:kern w:val="0"/>
              </w:rPr>
            </w:pPr>
          </w:p>
        </w:tc>
        <w:tc>
          <w:tcPr>
            <w:tcW w:w="5661" w:type="dxa"/>
            <w:vAlign w:val="center"/>
          </w:tcPr>
          <w:p w14:paraId="7FE06D29">
            <w:pPr>
              <w:spacing w:line="240" w:lineRule="exact"/>
              <w:jc w:val="center"/>
              <w:rPr>
                <w:rFonts w:ascii="宋体"/>
                <w:b/>
                <w:kern w:val="0"/>
              </w:rPr>
            </w:pPr>
            <w:r>
              <w:rPr>
                <w:rFonts w:hint="eastAsia" w:ascii="宋体"/>
                <w:b/>
                <w:kern w:val="0"/>
              </w:rPr>
              <w:t>【对象】对船舶的所有人、经营人或者管理人</w:t>
            </w:r>
          </w:p>
        </w:tc>
        <w:tc>
          <w:tcPr>
            <w:tcW w:w="3269" w:type="dxa"/>
            <w:vAlign w:val="center"/>
          </w:tcPr>
          <w:p w14:paraId="1877B8F1">
            <w:pPr>
              <w:spacing w:line="240" w:lineRule="exact"/>
              <w:jc w:val="center"/>
              <w:rPr>
                <w:rFonts w:ascii="宋体"/>
                <w:b/>
                <w:kern w:val="0"/>
              </w:rPr>
            </w:pPr>
            <w:r>
              <w:rPr>
                <w:rFonts w:hint="eastAsia" w:ascii="宋体"/>
                <w:b/>
                <w:kern w:val="0"/>
              </w:rPr>
              <w:t>【对象】船长</w:t>
            </w:r>
          </w:p>
        </w:tc>
        <w:tc>
          <w:tcPr>
            <w:tcW w:w="3028" w:type="dxa"/>
            <w:vAlign w:val="center"/>
          </w:tcPr>
          <w:p w14:paraId="442448A8">
            <w:pPr>
              <w:spacing w:line="240" w:lineRule="exact"/>
              <w:jc w:val="center"/>
              <w:rPr>
                <w:rFonts w:ascii="宋体"/>
                <w:b/>
                <w:kern w:val="0"/>
              </w:rPr>
            </w:pPr>
            <w:r>
              <w:rPr>
                <w:rFonts w:hint="eastAsia" w:ascii="宋体"/>
                <w:b/>
                <w:kern w:val="0"/>
              </w:rPr>
              <w:t>【对象】责任船员</w:t>
            </w:r>
          </w:p>
        </w:tc>
      </w:tr>
      <w:tr w14:paraId="2356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1" w:type="dxa"/>
            <w:vMerge w:val="restart"/>
            <w:vAlign w:val="center"/>
          </w:tcPr>
          <w:p w14:paraId="60771601">
            <w:pPr>
              <w:widowControl/>
              <w:spacing w:line="240" w:lineRule="exact"/>
              <w:jc w:val="center"/>
              <w:rPr>
                <w:rFonts w:ascii="宋体"/>
                <w:b/>
                <w:kern w:val="0"/>
              </w:rPr>
            </w:pPr>
            <w:r>
              <w:rPr>
                <w:rFonts w:hint="eastAsia" w:ascii="宋体"/>
                <w:bCs/>
                <w:kern w:val="0"/>
              </w:rPr>
              <w:t>船舶违反规定进入或者穿越禁航区</w:t>
            </w:r>
          </w:p>
        </w:tc>
        <w:tc>
          <w:tcPr>
            <w:tcW w:w="1111" w:type="dxa"/>
            <w:vMerge w:val="restart"/>
            <w:vAlign w:val="center"/>
          </w:tcPr>
          <w:p w14:paraId="76BE7247">
            <w:pPr>
              <w:widowControl/>
              <w:spacing w:line="240" w:lineRule="exact"/>
              <w:jc w:val="left"/>
              <w:rPr>
                <w:rFonts w:ascii="宋体"/>
                <w:kern w:val="0"/>
              </w:rPr>
            </w:pPr>
            <w:r>
              <w:rPr>
                <w:rFonts w:hint="eastAsia" w:ascii="宋体"/>
                <w:kern w:val="0"/>
              </w:rPr>
              <w:t>1.《中华人民共和国海上交通安全法》第四十四条第一款；</w:t>
            </w:r>
          </w:p>
          <w:p w14:paraId="5BF928B2">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5123673E">
            <w:pPr>
              <w:spacing w:line="240" w:lineRule="exact"/>
              <w:jc w:val="left"/>
              <w:rPr>
                <w:rFonts w:ascii="宋体"/>
                <w:kern w:val="0"/>
              </w:rPr>
            </w:pPr>
            <w:r>
              <w:rPr>
                <w:rFonts w:hint="eastAsia" w:ascii="宋体"/>
                <w:kern w:val="0"/>
              </w:rPr>
              <w:t>1.《中华人民共和国海上交通安全法》第一百零三条第（七）项、《中华人民共和国海上海事行政处罚规定》第十八条第（七）项</w:t>
            </w:r>
          </w:p>
          <w:p w14:paraId="63651140">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14:paraId="655718AD">
            <w:pPr>
              <w:spacing w:line="240" w:lineRule="exact"/>
              <w:jc w:val="center"/>
              <w:rPr>
                <w:rFonts w:ascii="宋体"/>
                <w:kern w:val="0"/>
              </w:rPr>
            </w:pPr>
            <w:r>
              <w:rPr>
                <w:rFonts w:hint="eastAsia" w:ascii="宋体"/>
                <w:kern w:val="0"/>
              </w:rPr>
              <w:t>从轻</w:t>
            </w:r>
          </w:p>
        </w:tc>
        <w:tc>
          <w:tcPr>
            <w:tcW w:w="3544" w:type="dxa"/>
            <w:vAlign w:val="center"/>
          </w:tcPr>
          <w:p w14:paraId="150CD03B">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61" w:type="dxa"/>
            <w:vAlign w:val="center"/>
          </w:tcPr>
          <w:p w14:paraId="6E2361A2">
            <w:pPr>
              <w:spacing w:line="240" w:lineRule="atLeast"/>
              <w:jc w:val="center"/>
              <w:rPr>
                <w:rFonts w:ascii="宋体"/>
                <w:kern w:val="0"/>
              </w:rPr>
            </w:pPr>
            <w:r>
              <w:rPr>
                <w:rFonts w:hint="eastAsia" w:ascii="宋体"/>
                <w:kern w:val="0"/>
              </w:rPr>
              <w:t>2-3万元</w:t>
            </w:r>
          </w:p>
        </w:tc>
        <w:tc>
          <w:tcPr>
            <w:tcW w:w="3269" w:type="dxa"/>
            <w:vAlign w:val="center"/>
          </w:tcPr>
          <w:p w14:paraId="707E6C1B">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01DFBBD1">
            <w:pPr>
              <w:spacing w:line="240" w:lineRule="atLeast"/>
              <w:jc w:val="center"/>
              <w:rPr>
                <w:rFonts w:ascii="宋体"/>
                <w:kern w:val="0"/>
              </w:rPr>
            </w:pPr>
            <w:r>
              <w:rPr>
                <w:rFonts w:hint="eastAsia" w:ascii="宋体"/>
                <w:kern w:val="0"/>
              </w:rPr>
              <w:t>2000-4000元、并暂扣适任证书3个月至4个月</w:t>
            </w:r>
          </w:p>
        </w:tc>
      </w:tr>
      <w:tr w14:paraId="24F8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1" w:type="dxa"/>
            <w:vMerge w:val="continue"/>
            <w:vAlign w:val="center"/>
          </w:tcPr>
          <w:p w14:paraId="399752EE">
            <w:pPr>
              <w:spacing w:line="240" w:lineRule="exact"/>
              <w:jc w:val="center"/>
              <w:rPr>
                <w:rFonts w:ascii="宋体"/>
                <w:kern w:val="0"/>
              </w:rPr>
            </w:pPr>
          </w:p>
        </w:tc>
        <w:tc>
          <w:tcPr>
            <w:tcW w:w="1111" w:type="dxa"/>
            <w:vMerge w:val="continue"/>
            <w:vAlign w:val="center"/>
          </w:tcPr>
          <w:p w14:paraId="04569DE4">
            <w:pPr>
              <w:widowControl/>
              <w:spacing w:line="240" w:lineRule="exact"/>
              <w:jc w:val="center"/>
              <w:rPr>
                <w:rFonts w:ascii="宋体"/>
                <w:kern w:val="0"/>
              </w:rPr>
            </w:pPr>
          </w:p>
        </w:tc>
        <w:tc>
          <w:tcPr>
            <w:tcW w:w="1559" w:type="dxa"/>
            <w:vMerge w:val="continue"/>
            <w:vAlign w:val="center"/>
          </w:tcPr>
          <w:p w14:paraId="308EBCD3">
            <w:pPr>
              <w:spacing w:line="240" w:lineRule="exact"/>
              <w:jc w:val="center"/>
              <w:rPr>
                <w:rFonts w:ascii="宋体"/>
                <w:kern w:val="0"/>
              </w:rPr>
            </w:pPr>
          </w:p>
        </w:tc>
        <w:tc>
          <w:tcPr>
            <w:tcW w:w="992" w:type="dxa"/>
            <w:vMerge w:val="restart"/>
            <w:vAlign w:val="center"/>
          </w:tcPr>
          <w:p w14:paraId="4BAA0EB2">
            <w:pPr>
              <w:spacing w:line="240" w:lineRule="exact"/>
              <w:jc w:val="center"/>
              <w:rPr>
                <w:rFonts w:ascii="宋体"/>
                <w:kern w:val="0"/>
              </w:rPr>
            </w:pPr>
            <w:r>
              <w:rPr>
                <w:rFonts w:hint="eastAsia" w:ascii="宋体"/>
                <w:kern w:val="0"/>
              </w:rPr>
              <w:t>一般</w:t>
            </w:r>
          </w:p>
        </w:tc>
        <w:tc>
          <w:tcPr>
            <w:tcW w:w="3544" w:type="dxa"/>
            <w:vAlign w:val="center"/>
          </w:tcPr>
          <w:p w14:paraId="604CA444">
            <w:pPr>
              <w:widowControl/>
              <w:spacing w:line="240" w:lineRule="exact"/>
              <w:jc w:val="left"/>
              <w:rPr>
                <w:rFonts w:ascii="宋体"/>
                <w:kern w:val="0"/>
              </w:rPr>
            </w:pPr>
            <w:r>
              <w:rPr>
                <w:rFonts w:hint="eastAsia" w:ascii="宋体"/>
                <w:kern w:val="0"/>
              </w:rPr>
              <w:t>一般船舶违反规定进入或者穿越禁航区</w:t>
            </w:r>
          </w:p>
        </w:tc>
        <w:tc>
          <w:tcPr>
            <w:tcW w:w="5661" w:type="dxa"/>
            <w:vAlign w:val="center"/>
          </w:tcPr>
          <w:p w14:paraId="2078CDBD">
            <w:pPr>
              <w:spacing w:line="240" w:lineRule="atLeast"/>
              <w:jc w:val="center"/>
              <w:rPr>
                <w:rFonts w:ascii="宋体"/>
                <w:kern w:val="0"/>
              </w:rPr>
            </w:pPr>
            <w:r>
              <w:rPr>
                <w:rFonts w:hint="eastAsia" w:ascii="宋体"/>
                <w:kern w:val="0"/>
              </w:rPr>
              <w:t>3-4万元</w:t>
            </w:r>
          </w:p>
        </w:tc>
        <w:tc>
          <w:tcPr>
            <w:tcW w:w="3269" w:type="dxa"/>
            <w:vAlign w:val="center"/>
          </w:tcPr>
          <w:p w14:paraId="682F4F64">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76D91E5D">
            <w:pPr>
              <w:spacing w:line="240" w:lineRule="atLeast"/>
              <w:jc w:val="center"/>
              <w:rPr>
                <w:rFonts w:ascii="宋体"/>
                <w:b/>
                <w:kern w:val="0"/>
              </w:rPr>
            </w:pPr>
            <w:r>
              <w:rPr>
                <w:rFonts w:hint="eastAsia" w:ascii="宋体"/>
                <w:kern w:val="0"/>
              </w:rPr>
              <w:t>4000元-6000、并暂扣适任证书3个月至4个月</w:t>
            </w:r>
          </w:p>
        </w:tc>
      </w:tr>
      <w:tr w14:paraId="7B0F1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1" w:type="dxa"/>
            <w:vMerge w:val="continue"/>
            <w:vAlign w:val="center"/>
          </w:tcPr>
          <w:p w14:paraId="4C446067">
            <w:pPr>
              <w:spacing w:line="240" w:lineRule="exact"/>
              <w:jc w:val="center"/>
              <w:rPr>
                <w:rFonts w:ascii="宋体"/>
                <w:kern w:val="0"/>
              </w:rPr>
            </w:pPr>
          </w:p>
        </w:tc>
        <w:tc>
          <w:tcPr>
            <w:tcW w:w="1111" w:type="dxa"/>
            <w:vMerge w:val="continue"/>
            <w:vAlign w:val="center"/>
          </w:tcPr>
          <w:p w14:paraId="55B3A80E">
            <w:pPr>
              <w:widowControl/>
              <w:spacing w:line="240" w:lineRule="exact"/>
              <w:jc w:val="center"/>
              <w:rPr>
                <w:rFonts w:ascii="宋体"/>
                <w:kern w:val="0"/>
              </w:rPr>
            </w:pPr>
          </w:p>
        </w:tc>
        <w:tc>
          <w:tcPr>
            <w:tcW w:w="1559" w:type="dxa"/>
            <w:vMerge w:val="continue"/>
            <w:vAlign w:val="center"/>
          </w:tcPr>
          <w:p w14:paraId="1BEB5FCC">
            <w:pPr>
              <w:spacing w:line="240" w:lineRule="exact"/>
              <w:jc w:val="center"/>
              <w:rPr>
                <w:rFonts w:ascii="宋体"/>
                <w:kern w:val="0"/>
              </w:rPr>
            </w:pPr>
          </w:p>
        </w:tc>
        <w:tc>
          <w:tcPr>
            <w:tcW w:w="992" w:type="dxa"/>
            <w:vMerge w:val="continue"/>
            <w:vAlign w:val="center"/>
          </w:tcPr>
          <w:p w14:paraId="61FF2D8E">
            <w:pPr>
              <w:spacing w:line="240" w:lineRule="exact"/>
              <w:jc w:val="center"/>
              <w:rPr>
                <w:rFonts w:ascii="宋体"/>
                <w:kern w:val="0"/>
              </w:rPr>
            </w:pPr>
          </w:p>
        </w:tc>
        <w:tc>
          <w:tcPr>
            <w:tcW w:w="3544" w:type="dxa"/>
            <w:vAlign w:val="center"/>
          </w:tcPr>
          <w:p w14:paraId="78A1E674">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违反规定进入或者穿越禁航区</w:t>
            </w:r>
          </w:p>
        </w:tc>
        <w:tc>
          <w:tcPr>
            <w:tcW w:w="5661" w:type="dxa"/>
            <w:vAlign w:val="center"/>
          </w:tcPr>
          <w:p w14:paraId="09824F30">
            <w:pPr>
              <w:spacing w:line="240" w:lineRule="atLeast"/>
              <w:jc w:val="center"/>
              <w:rPr>
                <w:rFonts w:ascii="宋体"/>
                <w:kern w:val="0"/>
              </w:rPr>
            </w:pPr>
            <w:r>
              <w:rPr>
                <w:rFonts w:hint="eastAsia" w:ascii="宋体"/>
                <w:kern w:val="0"/>
              </w:rPr>
              <w:t>4-5万元</w:t>
            </w:r>
          </w:p>
        </w:tc>
        <w:tc>
          <w:tcPr>
            <w:tcW w:w="3269" w:type="dxa"/>
            <w:vAlign w:val="center"/>
          </w:tcPr>
          <w:p w14:paraId="5F8759E9">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7A593EC1">
            <w:pPr>
              <w:spacing w:line="240" w:lineRule="atLeast"/>
              <w:jc w:val="center"/>
              <w:rPr>
                <w:rFonts w:ascii="宋体"/>
                <w:kern w:val="0"/>
              </w:rPr>
            </w:pPr>
            <w:r>
              <w:rPr>
                <w:rFonts w:hint="eastAsia" w:ascii="宋体"/>
                <w:kern w:val="0"/>
              </w:rPr>
              <w:t>6000元-1万元、并暂扣适任证书4个月至5个月</w:t>
            </w:r>
          </w:p>
        </w:tc>
      </w:tr>
      <w:tr w14:paraId="0520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1" w:type="dxa"/>
            <w:vMerge w:val="continue"/>
            <w:vAlign w:val="center"/>
          </w:tcPr>
          <w:p w14:paraId="153A95C1">
            <w:pPr>
              <w:spacing w:line="240" w:lineRule="exact"/>
              <w:jc w:val="center"/>
              <w:rPr>
                <w:rFonts w:ascii="宋体"/>
                <w:kern w:val="0"/>
              </w:rPr>
            </w:pPr>
          </w:p>
        </w:tc>
        <w:tc>
          <w:tcPr>
            <w:tcW w:w="1111" w:type="dxa"/>
            <w:vMerge w:val="continue"/>
            <w:vAlign w:val="center"/>
          </w:tcPr>
          <w:p w14:paraId="76B04A1D">
            <w:pPr>
              <w:spacing w:line="240" w:lineRule="exact"/>
              <w:jc w:val="center"/>
              <w:rPr>
                <w:rFonts w:ascii="宋体"/>
                <w:kern w:val="0"/>
              </w:rPr>
            </w:pPr>
          </w:p>
        </w:tc>
        <w:tc>
          <w:tcPr>
            <w:tcW w:w="1559" w:type="dxa"/>
            <w:vMerge w:val="continue"/>
            <w:vAlign w:val="center"/>
          </w:tcPr>
          <w:p w14:paraId="7264B52A">
            <w:pPr>
              <w:spacing w:line="240" w:lineRule="exact"/>
              <w:jc w:val="center"/>
              <w:rPr>
                <w:rFonts w:ascii="宋体"/>
                <w:kern w:val="0"/>
              </w:rPr>
            </w:pPr>
          </w:p>
        </w:tc>
        <w:tc>
          <w:tcPr>
            <w:tcW w:w="992" w:type="dxa"/>
            <w:vMerge w:val="continue"/>
            <w:vAlign w:val="center"/>
          </w:tcPr>
          <w:p w14:paraId="0221A185">
            <w:pPr>
              <w:spacing w:line="240" w:lineRule="exact"/>
              <w:jc w:val="center"/>
              <w:rPr>
                <w:rFonts w:ascii="宋体"/>
                <w:kern w:val="0"/>
              </w:rPr>
            </w:pPr>
          </w:p>
        </w:tc>
        <w:tc>
          <w:tcPr>
            <w:tcW w:w="3544" w:type="dxa"/>
            <w:vAlign w:val="center"/>
          </w:tcPr>
          <w:p w14:paraId="05A9B9B1">
            <w:pPr>
              <w:spacing w:line="240" w:lineRule="atLeast"/>
              <w:jc w:val="left"/>
              <w:rPr>
                <w:rFonts w:ascii="宋体"/>
              </w:rPr>
            </w:pPr>
            <w:r>
              <w:rPr>
                <w:rFonts w:hint="eastAsia" w:ascii="宋体"/>
              </w:rPr>
              <w:t>1.造成一般事故或险情的；</w:t>
            </w:r>
          </w:p>
          <w:p w14:paraId="3A2D1558">
            <w:pPr>
              <w:spacing w:line="240" w:lineRule="atLeast"/>
              <w:jc w:val="left"/>
              <w:rPr>
                <w:rFonts w:ascii="宋体"/>
                <w:kern w:val="0"/>
              </w:rPr>
            </w:pPr>
            <w:r>
              <w:rPr>
                <w:rFonts w:hint="eastAsia" w:ascii="宋体"/>
              </w:rPr>
              <w:t>2.具有其他较重情节的。</w:t>
            </w:r>
          </w:p>
        </w:tc>
        <w:tc>
          <w:tcPr>
            <w:tcW w:w="5661" w:type="dxa"/>
            <w:vAlign w:val="center"/>
          </w:tcPr>
          <w:p w14:paraId="67B253D3">
            <w:pPr>
              <w:spacing w:line="240" w:lineRule="atLeast"/>
              <w:jc w:val="center"/>
              <w:rPr>
                <w:rFonts w:ascii="宋体"/>
                <w:kern w:val="0"/>
              </w:rPr>
            </w:pPr>
            <w:r>
              <w:rPr>
                <w:rFonts w:hint="eastAsia" w:ascii="宋体"/>
                <w:kern w:val="0"/>
              </w:rPr>
              <w:t>5-10万元</w:t>
            </w:r>
          </w:p>
        </w:tc>
        <w:tc>
          <w:tcPr>
            <w:tcW w:w="3269" w:type="dxa"/>
            <w:vAlign w:val="center"/>
          </w:tcPr>
          <w:p w14:paraId="67F65A54">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275DFB04">
            <w:pPr>
              <w:spacing w:line="240" w:lineRule="atLeast"/>
              <w:jc w:val="center"/>
              <w:rPr>
                <w:rFonts w:ascii="宋体"/>
                <w:kern w:val="0"/>
              </w:rPr>
            </w:pPr>
            <w:r>
              <w:rPr>
                <w:rFonts w:hint="eastAsia" w:ascii="宋体"/>
                <w:kern w:val="0"/>
              </w:rPr>
              <w:t>1-2万元、并暂扣适任证书5个月至12个月</w:t>
            </w:r>
          </w:p>
        </w:tc>
      </w:tr>
      <w:tr w14:paraId="239F2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31" w:type="dxa"/>
            <w:vMerge w:val="continue"/>
            <w:vAlign w:val="center"/>
          </w:tcPr>
          <w:p w14:paraId="77C25C7F">
            <w:pPr>
              <w:spacing w:line="240" w:lineRule="exact"/>
              <w:jc w:val="center"/>
              <w:rPr>
                <w:rFonts w:ascii="宋体"/>
                <w:kern w:val="0"/>
              </w:rPr>
            </w:pPr>
          </w:p>
        </w:tc>
        <w:tc>
          <w:tcPr>
            <w:tcW w:w="1111" w:type="dxa"/>
            <w:vMerge w:val="continue"/>
            <w:vAlign w:val="center"/>
          </w:tcPr>
          <w:p w14:paraId="185738D7">
            <w:pPr>
              <w:spacing w:line="240" w:lineRule="exact"/>
              <w:jc w:val="center"/>
              <w:rPr>
                <w:rFonts w:ascii="宋体"/>
                <w:kern w:val="0"/>
              </w:rPr>
            </w:pPr>
          </w:p>
        </w:tc>
        <w:tc>
          <w:tcPr>
            <w:tcW w:w="1559" w:type="dxa"/>
            <w:vMerge w:val="continue"/>
            <w:vAlign w:val="center"/>
          </w:tcPr>
          <w:p w14:paraId="4605DC2A">
            <w:pPr>
              <w:spacing w:line="240" w:lineRule="exact"/>
              <w:jc w:val="center"/>
              <w:rPr>
                <w:rFonts w:ascii="宋体"/>
                <w:kern w:val="0"/>
              </w:rPr>
            </w:pPr>
          </w:p>
        </w:tc>
        <w:tc>
          <w:tcPr>
            <w:tcW w:w="992" w:type="dxa"/>
            <w:vAlign w:val="center"/>
          </w:tcPr>
          <w:p w14:paraId="424D6E5B">
            <w:pPr>
              <w:spacing w:line="240" w:lineRule="exact"/>
              <w:jc w:val="center"/>
              <w:rPr>
                <w:rFonts w:ascii="宋体"/>
                <w:kern w:val="0"/>
              </w:rPr>
            </w:pPr>
            <w:r>
              <w:rPr>
                <w:rFonts w:hint="eastAsia" w:ascii="宋体"/>
                <w:kern w:val="0"/>
              </w:rPr>
              <w:t>情节严重</w:t>
            </w:r>
          </w:p>
        </w:tc>
        <w:tc>
          <w:tcPr>
            <w:tcW w:w="3544" w:type="dxa"/>
            <w:vAlign w:val="center"/>
          </w:tcPr>
          <w:p w14:paraId="379A7E60">
            <w:pPr>
              <w:spacing w:line="240" w:lineRule="atLeast"/>
              <w:jc w:val="left"/>
              <w:rPr>
                <w:rFonts w:ascii="宋体"/>
              </w:rPr>
            </w:pPr>
            <w:r>
              <w:rPr>
                <w:rFonts w:hint="eastAsia" w:ascii="宋体"/>
              </w:rPr>
              <w:t>1.造成较大等级以上事故的；</w:t>
            </w:r>
          </w:p>
          <w:p w14:paraId="162B6D9B">
            <w:pPr>
              <w:spacing w:line="240" w:lineRule="atLeast"/>
              <w:jc w:val="left"/>
              <w:rPr>
                <w:rFonts w:ascii="宋体"/>
              </w:rPr>
            </w:pPr>
            <w:r>
              <w:rPr>
                <w:rFonts w:hint="eastAsia" w:ascii="宋体"/>
              </w:rPr>
              <w:t>2.具有其他严重情节的。</w:t>
            </w:r>
          </w:p>
        </w:tc>
        <w:tc>
          <w:tcPr>
            <w:tcW w:w="5661" w:type="dxa"/>
            <w:vAlign w:val="center"/>
          </w:tcPr>
          <w:p w14:paraId="5F7BA826">
            <w:pPr>
              <w:spacing w:line="240" w:lineRule="atLeast"/>
              <w:jc w:val="center"/>
              <w:rPr>
                <w:rFonts w:ascii="宋体"/>
                <w:kern w:val="0"/>
              </w:rPr>
            </w:pPr>
            <w:r>
              <w:rPr>
                <w:rFonts w:hint="eastAsia" w:ascii="宋体"/>
                <w:kern w:val="0"/>
              </w:rPr>
              <w:t>10-20万元</w:t>
            </w:r>
          </w:p>
        </w:tc>
        <w:tc>
          <w:tcPr>
            <w:tcW w:w="3269" w:type="dxa"/>
            <w:vAlign w:val="center"/>
          </w:tcPr>
          <w:p w14:paraId="3CDF86DF">
            <w:pPr>
              <w:spacing w:line="240" w:lineRule="atLeast"/>
              <w:jc w:val="center"/>
              <w:rPr>
                <w:rFonts w:ascii="宋体"/>
                <w:kern w:val="0"/>
              </w:rPr>
            </w:pPr>
            <w:r>
              <w:rPr>
                <w:rFonts w:hint="eastAsia" w:ascii="宋体"/>
                <w:kern w:val="0"/>
              </w:rPr>
              <w:t>吊销适任证书</w:t>
            </w:r>
          </w:p>
        </w:tc>
        <w:tc>
          <w:tcPr>
            <w:tcW w:w="3028" w:type="dxa"/>
            <w:vAlign w:val="center"/>
          </w:tcPr>
          <w:p w14:paraId="5271EC74">
            <w:pPr>
              <w:spacing w:line="240" w:lineRule="atLeast"/>
              <w:jc w:val="center"/>
              <w:rPr>
                <w:rFonts w:ascii="宋体"/>
                <w:kern w:val="0"/>
              </w:rPr>
            </w:pPr>
            <w:r>
              <w:rPr>
                <w:rFonts w:hint="eastAsia" w:ascii="宋体"/>
                <w:kern w:val="0"/>
              </w:rPr>
              <w:t>吊销适任证书</w:t>
            </w:r>
          </w:p>
        </w:tc>
      </w:tr>
    </w:tbl>
    <w:p w14:paraId="724EEBD2">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83"/>
        <w:gridCol w:w="1559"/>
        <w:gridCol w:w="1067"/>
        <w:gridCol w:w="3468"/>
        <w:gridCol w:w="5662"/>
        <w:gridCol w:w="3265"/>
        <w:gridCol w:w="3032"/>
      </w:tblGrid>
      <w:tr w14:paraId="3C29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14:paraId="74419553">
            <w:pPr>
              <w:spacing w:line="240" w:lineRule="exact"/>
              <w:jc w:val="center"/>
              <w:rPr>
                <w:rFonts w:ascii="宋体"/>
                <w:b/>
                <w:kern w:val="0"/>
              </w:rPr>
            </w:pPr>
            <w:r>
              <w:rPr>
                <w:rFonts w:hint="eastAsia" w:ascii="宋体"/>
                <w:b/>
                <w:kern w:val="0"/>
              </w:rPr>
              <w:t>案由21</w:t>
            </w:r>
          </w:p>
        </w:tc>
        <w:tc>
          <w:tcPr>
            <w:tcW w:w="2642" w:type="dxa"/>
            <w:gridSpan w:val="2"/>
            <w:vAlign w:val="center"/>
          </w:tcPr>
          <w:p w14:paraId="04BA1DCB">
            <w:pPr>
              <w:spacing w:line="240" w:lineRule="exact"/>
              <w:jc w:val="center"/>
              <w:rPr>
                <w:rFonts w:ascii="宋体"/>
                <w:b/>
                <w:kern w:val="0"/>
              </w:rPr>
            </w:pPr>
            <w:r>
              <w:rPr>
                <w:rFonts w:hint="eastAsia" w:ascii="宋体"/>
                <w:b/>
                <w:kern w:val="0"/>
              </w:rPr>
              <w:t>法律依据</w:t>
            </w:r>
          </w:p>
        </w:tc>
        <w:tc>
          <w:tcPr>
            <w:tcW w:w="1067" w:type="dxa"/>
            <w:vMerge w:val="restart"/>
            <w:vAlign w:val="center"/>
          </w:tcPr>
          <w:p w14:paraId="61AD5E29">
            <w:pPr>
              <w:spacing w:line="240" w:lineRule="exact"/>
              <w:jc w:val="center"/>
              <w:rPr>
                <w:rFonts w:ascii="宋体"/>
                <w:b/>
                <w:kern w:val="0"/>
              </w:rPr>
            </w:pPr>
            <w:r>
              <w:rPr>
                <w:rFonts w:hint="eastAsia" w:ascii="宋体"/>
                <w:b/>
                <w:kern w:val="0"/>
              </w:rPr>
              <w:t>违法情节</w:t>
            </w:r>
          </w:p>
        </w:tc>
        <w:tc>
          <w:tcPr>
            <w:tcW w:w="3468" w:type="dxa"/>
            <w:vMerge w:val="restart"/>
            <w:vAlign w:val="center"/>
          </w:tcPr>
          <w:p w14:paraId="6A1660BF">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4F09FD5C">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5BE2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959" w:type="dxa"/>
            <w:vMerge w:val="continue"/>
            <w:vAlign w:val="center"/>
          </w:tcPr>
          <w:p w14:paraId="28E74932">
            <w:pPr>
              <w:spacing w:line="240" w:lineRule="exact"/>
              <w:jc w:val="center"/>
              <w:rPr>
                <w:rFonts w:ascii="宋体"/>
                <w:b/>
                <w:kern w:val="0"/>
              </w:rPr>
            </w:pPr>
          </w:p>
        </w:tc>
        <w:tc>
          <w:tcPr>
            <w:tcW w:w="1083" w:type="dxa"/>
            <w:vAlign w:val="center"/>
          </w:tcPr>
          <w:p w14:paraId="6B20F259">
            <w:pPr>
              <w:spacing w:line="240" w:lineRule="exact"/>
              <w:jc w:val="center"/>
              <w:rPr>
                <w:rFonts w:ascii="宋体"/>
                <w:b/>
                <w:kern w:val="0"/>
              </w:rPr>
            </w:pPr>
            <w:r>
              <w:rPr>
                <w:rFonts w:hint="eastAsia" w:ascii="宋体"/>
                <w:b/>
                <w:kern w:val="0"/>
              </w:rPr>
              <w:t>违反条款</w:t>
            </w:r>
          </w:p>
        </w:tc>
        <w:tc>
          <w:tcPr>
            <w:tcW w:w="1559" w:type="dxa"/>
            <w:vAlign w:val="center"/>
          </w:tcPr>
          <w:p w14:paraId="7B26837D">
            <w:pPr>
              <w:spacing w:line="240" w:lineRule="exact"/>
              <w:jc w:val="center"/>
              <w:rPr>
                <w:rFonts w:ascii="宋体"/>
                <w:b/>
                <w:kern w:val="0"/>
              </w:rPr>
            </w:pPr>
            <w:r>
              <w:rPr>
                <w:rFonts w:hint="eastAsia" w:ascii="宋体"/>
                <w:b/>
                <w:kern w:val="0"/>
              </w:rPr>
              <w:t>处罚依据</w:t>
            </w:r>
          </w:p>
        </w:tc>
        <w:tc>
          <w:tcPr>
            <w:tcW w:w="1067" w:type="dxa"/>
            <w:vMerge w:val="continue"/>
            <w:vAlign w:val="center"/>
          </w:tcPr>
          <w:p w14:paraId="0CD8A591">
            <w:pPr>
              <w:spacing w:line="240" w:lineRule="exact"/>
              <w:jc w:val="center"/>
              <w:rPr>
                <w:rFonts w:ascii="宋体"/>
                <w:b/>
                <w:kern w:val="0"/>
              </w:rPr>
            </w:pPr>
          </w:p>
        </w:tc>
        <w:tc>
          <w:tcPr>
            <w:tcW w:w="3468" w:type="dxa"/>
            <w:vMerge w:val="continue"/>
            <w:vAlign w:val="center"/>
          </w:tcPr>
          <w:p w14:paraId="143577C3">
            <w:pPr>
              <w:spacing w:line="240" w:lineRule="exact"/>
              <w:jc w:val="center"/>
              <w:rPr>
                <w:rFonts w:ascii="宋体"/>
                <w:b/>
                <w:kern w:val="0"/>
              </w:rPr>
            </w:pPr>
          </w:p>
        </w:tc>
        <w:tc>
          <w:tcPr>
            <w:tcW w:w="5662" w:type="dxa"/>
            <w:vAlign w:val="center"/>
          </w:tcPr>
          <w:p w14:paraId="5583BD44">
            <w:pPr>
              <w:spacing w:line="240" w:lineRule="exact"/>
              <w:jc w:val="center"/>
              <w:rPr>
                <w:rFonts w:ascii="宋体"/>
                <w:b/>
                <w:kern w:val="0"/>
              </w:rPr>
            </w:pPr>
            <w:r>
              <w:rPr>
                <w:rFonts w:hint="eastAsia" w:ascii="宋体"/>
                <w:b/>
                <w:kern w:val="0"/>
              </w:rPr>
              <w:t>【对象】对船舶的所有人、经营人或者管理人</w:t>
            </w:r>
          </w:p>
        </w:tc>
        <w:tc>
          <w:tcPr>
            <w:tcW w:w="3265" w:type="dxa"/>
            <w:vAlign w:val="center"/>
          </w:tcPr>
          <w:p w14:paraId="64A3E752">
            <w:pPr>
              <w:spacing w:line="240" w:lineRule="exact"/>
              <w:jc w:val="center"/>
              <w:rPr>
                <w:rFonts w:ascii="宋体"/>
                <w:b/>
                <w:kern w:val="0"/>
              </w:rPr>
            </w:pPr>
            <w:r>
              <w:rPr>
                <w:rFonts w:hint="eastAsia" w:ascii="宋体"/>
                <w:b/>
                <w:kern w:val="0"/>
              </w:rPr>
              <w:t>【对象】船长</w:t>
            </w:r>
          </w:p>
        </w:tc>
        <w:tc>
          <w:tcPr>
            <w:tcW w:w="3032" w:type="dxa"/>
            <w:vAlign w:val="center"/>
          </w:tcPr>
          <w:p w14:paraId="4D498C4B">
            <w:pPr>
              <w:spacing w:line="240" w:lineRule="exact"/>
              <w:jc w:val="center"/>
              <w:rPr>
                <w:rFonts w:ascii="宋体"/>
                <w:b/>
                <w:kern w:val="0"/>
              </w:rPr>
            </w:pPr>
            <w:r>
              <w:rPr>
                <w:rFonts w:hint="eastAsia" w:ascii="宋体"/>
                <w:b/>
                <w:kern w:val="0"/>
              </w:rPr>
              <w:t>【对象】责任船员</w:t>
            </w:r>
          </w:p>
        </w:tc>
      </w:tr>
      <w:tr w14:paraId="1299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14:paraId="2D2A3A42">
            <w:pPr>
              <w:widowControl/>
              <w:spacing w:line="240" w:lineRule="exact"/>
              <w:jc w:val="left"/>
              <w:rPr>
                <w:rFonts w:ascii="宋体"/>
                <w:b/>
                <w:kern w:val="0"/>
              </w:rPr>
            </w:pPr>
            <w:r>
              <w:rPr>
                <w:rFonts w:hint="eastAsia" w:ascii="宋体"/>
                <w:bCs/>
                <w:kern w:val="0"/>
              </w:rPr>
              <w:t>船舶载运或者拖带超长、超高、超宽、半潜的船舶、海上设施或者其他物体航行，未采取特殊的安全保障措施</w:t>
            </w:r>
          </w:p>
        </w:tc>
        <w:tc>
          <w:tcPr>
            <w:tcW w:w="1083" w:type="dxa"/>
            <w:vMerge w:val="restart"/>
            <w:vAlign w:val="center"/>
          </w:tcPr>
          <w:p w14:paraId="5246A769">
            <w:pPr>
              <w:widowControl/>
              <w:spacing w:line="240" w:lineRule="exact"/>
              <w:jc w:val="left"/>
              <w:rPr>
                <w:rFonts w:ascii="宋体"/>
                <w:kern w:val="0"/>
              </w:rPr>
            </w:pPr>
            <w:r>
              <w:rPr>
                <w:rFonts w:hint="eastAsia" w:ascii="宋体"/>
                <w:kern w:val="0"/>
              </w:rPr>
              <w:t>1.《中华人民共和国海上交通安全法》第四十五条；</w:t>
            </w:r>
          </w:p>
          <w:p w14:paraId="1475ECAF">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422CF676">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14:paraId="1A4689DB">
            <w:pPr>
              <w:spacing w:line="240" w:lineRule="exact"/>
              <w:jc w:val="left"/>
              <w:rPr>
                <w:rFonts w:ascii="宋体"/>
                <w:kern w:val="0"/>
              </w:rPr>
            </w:pPr>
            <w:r>
              <w:rPr>
                <w:rFonts w:hint="eastAsia" w:ascii="宋体"/>
                <w:kern w:val="0"/>
              </w:rPr>
              <w:t>2.《中华人民共和国海上海事行政处罚规定》第七条。</w:t>
            </w:r>
          </w:p>
        </w:tc>
        <w:tc>
          <w:tcPr>
            <w:tcW w:w="1067" w:type="dxa"/>
            <w:vAlign w:val="center"/>
          </w:tcPr>
          <w:p w14:paraId="1693EC9F">
            <w:pPr>
              <w:spacing w:line="240" w:lineRule="exact"/>
              <w:jc w:val="center"/>
              <w:rPr>
                <w:rFonts w:ascii="宋体"/>
                <w:kern w:val="0"/>
              </w:rPr>
            </w:pPr>
            <w:r>
              <w:rPr>
                <w:rFonts w:hint="eastAsia" w:ascii="宋体"/>
                <w:kern w:val="0"/>
              </w:rPr>
              <w:t>从轻</w:t>
            </w:r>
          </w:p>
        </w:tc>
        <w:tc>
          <w:tcPr>
            <w:tcW w:w="3468" w:type="dxa"/>
            <w:vAlign w:val="center"/>
          </w:tcPr>
          <w:p w14:paraId="4FB6DC1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62" w:type="dxa"/>
            <w:vAlign w:val="center"/>
          </w:tcPr>
          <w:p w14:paraId="5F01C56B">
            <w:pPr>
              <w:spacing w:line="240" w:lineRule="atLeast"/>
              <w:jc w:val="center"/>
              <w:rPr>
                <w:rFonts w:ascii="宋体"/>
                <w:kern w:val="0"/>
              </w:rPr>
            </w:pPr>
            <w:r>
              <w:rPr>
                <w:rFonts w:hint="eastAsia" w:ascii="宋体"/>
                <w:kern w:val="0"/>
              </w:rPr>
              <w:t>2-3万元</w:t>
            </w:r>
          </w:p>
        </w:tc>
        <w:tc>
          <w:tcPr>
            <w:tcW w:w="3265" w:type="dxa"/>
            <w:vAlign w:val="center"/>
          </w:tcPr>
          <w:p w14:paraId="05DA3D2A">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3DFAB284">
            <w:pPr>
              <w:spacing w:line="240" w:lineRule="atLeast"/>
              <w:jc w:val="center"/>
              <w:rPr>
                <w:rFonts w:ascii="宋体"/>
                <w:kern w:val="0"/>
              </w:rPr>
            </w:pPr>
            <w:r>
              <w:rPr>
                <w:rFonts w:hint="eastAsia" w:ascii="宋体"/>
                <w:kern w:val="0"/>
              </w:rPr>
              <w:t>2000-4000元、并暂扣适任证书3个月至4个月</w:t>
            </w:r>
          </w:p>
        </w:tc>
      </w:tr>
      <w:tr w14:paraId="44AD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9" w:type="dxa"/>
            <w:vMerge w:val="continue"/>
            <w:vAlign w:val="center"/>
          </w:tcPr>
          <w:p w14:paraId="2976DBDD">
            <w:pPr>
              <w:spacing w:line="240" w:lineRule="exact"/>
              <w:jc w:val="center"/>
              <w:rPr>
                <w:rFonts w:ascii="宋体"/>
                <w:kern w:val="0"/>
              </w:rPr>
            </w:pPr>
          </w:p>
        </w:tc>
        <w:tc>
          <w:tcPr>
            <w:tcW w:w="1083" w:type="dxa"/>
            <w:vMerge w:val="continue"/>
            <w:vAlign w:val="center"/>
          </w:tcPr>
          <w:p w14:paraId="41B2FE26">
            <w:pPr>
              <w:widowControl/>
              <w:spacing w:line="240" w:lineRule="exact"/>
              <w:jc w:val="center"/>
              <w:rPr>
                <w:rFonts w:ascii="宋体"/>
                <w:kern w:val="0"/>
              </w:rPr>
            </w:pPr>
          </w:p>
        </w:tc>
        <w:tc>
          <w:tcPr>
            <w:tcW w:w="1559" w:type="dxa"/>
            <w:vMerge w:val="continue"/>
            <w:vAlign w:val="center"/>
          </w:tcPr>
          <w:p w14:paraId="21A8278F">
            <w:pPr>
              <w:spacing w:line="240" w:lineRule="exact"/>
              <w:jc w:val="center"/>
              <w:rPr>
                <w:rFonts w:ascii="宋体"/>
                <w:kern w:val="0"/>
              </w:rPr>
            </w:pPr>
          </w:p>
        </w:tc>
        <w:tc>
          <w:tcPr>
            <w:tcW w:w="1067" w:type="dxa"/>
            <w:vMerge w:val="restart"/>
            <w:vAlign w:val="center"/>
          </w:tcPr>
          <w:p w14:paraId="21D80DCC">
            <w:pPr>
              <w:spacing w:line="240" w:lineRule="exact"/>
              <w:jc w:val="center"/>
              <w:rPr>
                <w:rFonts w:ascii="宋体"/>
                <w:kern w:val="0"/>
              </w:rPr>
            </w:pPr>
            <w:r>
              <w:rPr>
                <w:rFonts w:hint="eastAsia" w:ascii="宋体"/>
                <w:kern w:val="0"/>
              </w:rPr>
              <w:t>一般</w:t>
            </w:r>
          </w:p>
        </w:tc>
        <w:tc>
          <w:tcPr>
            <w:tcW w:w="3468" w:type="dxa"/>
            <w:vAlign w:val="center"/>
          </w:tcPr>
          <w:p w14:paraId="2A1B0FB8">
            <w:pPr>
              <w:widowControl/>
              <w:spacing w:line="240" w:lineRule="exact"/>
              <w:jc w:val="left"/>
              <w:rPr>
                <w:rFonts w:ascii="宋体"/>
                <w:kern w:val="0"/>
              </w:rPr>
            </w:pPr>
            <w:r>
              <w:rPr>
                <w:rFonts w:hint="eastAsia" w:ascii="宋体"/>
                <w:kern w:val="0"/>
              </w:rPr>
              <w:t>未造成事故、险情或不良影响的</w:t>
            </w:r>
          </w:p>
        </w:tc>
        <w:tc>
          <w:tcPr>
            <w:tcW w:w="5662" w:type="dxa"/>
            <w:vAlign w:val="center"/>
          </w:tcPr>
          <w:p w14:paraId="5C2D2EC6">
            <w:pPr>
              <w:spacing w:line="240" w:lineRule="atLeast"/>
              <w:jc w:val="center"/>
              <w:rPr>
                <w:rFonts w:ascii="宋体"/>
                <w:kern w:val="0"/>
              </w:rPr>
            </w:pPr>
            <w:r>
              <w:rPr>
                <w:rFonts w:hint="eastAsia" w:ascii="宋体"/>
                <w:kern w:val="0"/>
              </w:rPr>
              <w:t>3-4万元</w:t>
            </w:r>
          </w:p>
        </w:tc>
        <w:tc>
          <w:tcPr>
            <w:tcW w:w="3265" w:type="dxa"/>
            <w:vAlign w:val="center"/>
          </w:tcPr>
          <w:p w14:paraId="4508DFBA">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647889D6">
            <w:pPr>
              <w:spacing w:line="240" w:lineRule="atLeast"/>
              <w:jc w:val="center"/>
              <w:rPr>
                <w:rFonts w:ascii="宋体"/>
                <w:b/>
                <w:kern w:val="0"/>
              </w:rPr>
            </w:pPr>
            <w:r>
              <w:rPr>
                <w:rFonts w:hint="eastAsia" w:ascii="宋体"/>
                <w:kern w:val="0"/>
              </w:rPr>
              <w:t>4000元-6000、并暂扣适任证书3个月至4个月</w:t>
            </w:r>
          </w:p>
        </w:tc>
      </w:tr>
      <w:tr w14:paraId="046C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959" w:type="dxa"/>
            <w:vMerge w:val="continue"/>
            <w:vAlign w:val="center"/>
          </w:tcPr>
          <w:p w14:paraId="38AF147B">
            <w:pPr>
              <w:spacing w:line="240" w:lineRule="exact"/>
              <w:jc w:val="center"/>
              <w:rPr>
                <w:rFonts w:ascii="宋体"/>
                <w:kern w:val="0"/>
              </w:rPr>
            </w:pPr>
          </w:p>
        </w:tc>
        <w:tc>
          <w:tcPr>
            <w:tcW w:w="1083" w:type="dxa"/>
            <w:vMerge w:val="continue"/>
            <w:vAlign w:val="center"/>
          </w:tcPr>
          <w:p w14:paraId="74E5B3E5">
            <w:pPr>
              <w:widowControl/>
              <w:spacing w:line="240" w:lineRule="exact"/>
              <w:jc w:val="center"/>
              <w:rPr>
                <w:rFonts w:ascii="宋体"/>
                <w:kern w:val="0"/>
              </w:rPr>
            </w:pPr>
          </w:p>
        </w:tc>
        <w:tc>
          <w:tcPr>
            <w:tcW w:w="1559" w:type="dxa"/>
            <w:vMerge w:val="continue"/>
            <w:vAlign w:val="center"/>
          </w:tcPr>
          <w:p w14:paraId="2F65C1E7">
            <w:pPr>
              <w:spacing w:line="240" w:lineRule="exact"/>
              <w:jc w:val="center"/>
              <w:rPr>
                <w:rFonts w:ascii="宋体"/>
                <w:kern w:val="0"/>
              </w:rPr>
            </w:pPr>
          </w:p>
        </w:tc>
        <w:tc>
          <w:tcPr>
            <w:tcW w:w="1067" w:type="dxa"/>
            <w:vMerge w:val="continue"/>
            <w:vAlign w:val="center"/>
          </w:tcPr>
          <w:p w14:paraId="51DF8EC4">
            <w:pPr>
              <w:spacing w:line="240" w:lineRule="exact"/>
              <w:jc w:val="center"/>
              <w:rPr>
                <w:rFonts w:ascii="宋体"/>
                <w:kern w:val="0"/>
              </w:rPr>
            </w:pPr>
          </w:p>
        </w:tc>
        <w:tc>
          <w:tcPr>
            <w:tcW w:w="3468" w:type="dxa"/>
            <w:vAlign w:val="center"/>
          </w:tcPr>
          <w:p w14:paraId="1FE826E7">
            <w:pPr>
              <w:spacing w:line="240" w:lineRule="exact"/>
              <w:jc w:val="left"/>
              <w:rPr>
                <w:rFonts w:ascii="宋体"/>
              </w:rPr>
            </w:pPr>
            <w:r>
              <w:rPr>
                <w:rFonts w:hint="eastAsia" w:ascii="宋体"/>
              </w:rPr>
              <w:t>对通航水域造成4小时以下碍航、阻航事件</w:t>
            </w:r>
          </w:p>
        </w:tc>
        <w:tc>
          <w:tcPr>
            <w:tcW w:w="5662" w:type="dxa"/>
            <w:vAlign w:val="center"/>
          </w:tcPr>
          <w:p w14:paraId="4EC63D2C">
            <w:pPr>
              <w:spacing w:line="240" w:lineRule="atLeast"/>
              <w:jc w:val="center"/>
              <w:rPr>
                <w:rFonts w:ascii="宋体"/>
                <w:kern w:val="0"/>
              </w:rPr>
            </w:pPr>
            <w:r>
              <w:rPr>
                <w:rFonts w:hint="eastAsia" w:ascii="宋体"/>
                <w:kern w:val="0"/>
              </w:rPr>
              <w:t>4-5万元</w:t>
            </w:r>
          </w:p>
        </w:tc>
        <w:tc>
          <w:tcPr>
            <w:tcW w:w="3265" w:type="dxa"/>
            <w:vAlign w:val="center"/>
          </w:tcPr>
          <w:p w14:paraId="2FE14A9F">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4913922B">
            <w:pPr>
              <w:spacing w:line="240" w:lineRule="atLeast"/>
              <w:jc w:val="center"/>
              <w:rPr>
                <w:rFonts w:ascii="宋体"/>
                <w:kern w:val="0"/>
              </w:rPr>
            </w:pPr>
            <w:r>
              <w:rPr>
                <w:rFonts w:hint="eastAsia" w:ascii="宋体"/>
                <w:kern w:val="0"/>
              </w:rPr>
              <w:t>6000元-1万元、并暂扣适任证书4个月至5个月</w:t>
            </w:r>
          </w:p>
        </w:tc>
      </w:tr>
      <w:tr w14:paraId="209A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rPr>
        <w:tc>
          <w:tcPr>
            <w:tcW w:w="959" w:type="dxa"/>
            <w:vMerge w:val="continue"/>
            <w:vAlign w:val="center"/>
          </w:tcPr>
          <w:p w14:paraId="0229BE7D">
            <w:pPr>
              <w:spacing w:line="240" w:lineRule="exact"/>
              <w:jc w:val="center"/>
              <w:rPr>
                <w:rFonts w:ascii="宋体"/>
                <w:kern w:val="0"/>
              </w:rPr>
            </w:pPr>
          </w:p>
        </w:tc>
        <w:tc>
          <w:tcPr>
            <w:tcW w:w="1083" w:type="dxa"/>
            <w:vMerge w:val="continue"/>
            <w:vAlign w:val="center"/>
          </w:tcPr>
          <w:p w14:paraId="61A1CE87">
            <w:pPr>
              <w:spacing w:line="240" w:lineRule="exact"/>
              <w:jc w:val="center"/>
              <w:rPr>
                <w:rFonts w:ascii="宋体"/>
                <w:kern w:val="0"/>
              </w:rPr>
            </w:pPr>
          </w:p>
        </w:tc>
        <w:tc>
          <w:tcPr>
            <w:tcW w:w="1559" w:type="dxa"/>
            <w:vMerge w:val="continue"/>
            <w:vAlign w:val="center"/>
          </w:tcPr>
          <w:p w14:paraId="3916D73B">
            <w:pPr>
              <w:spacing w:line="240" w:lineRule="exact"/>
              <w:jc w:val="center"/>
              <w:rPr>
                <w:rFonts w:ascii="宋体"/>
                <w:kern w:val="0"/>
              </w:rPr>
            </w:pPr>
          </w:p>
        </w:tc>
        <w:tc>
          <w:tcPr>
            <w:tcW w:w="1067" w:type="dxa"/>
            <w:vMerge w:val="continue"/>
            <w:vAlign w:val="center"/>
          </w:tcPr>
          <w:p w14:paraId="724C7019">
            <w:pPr>
              <w:spacing w:line="240" w:lineRule="exact"/>
              <w:jc w:val="center"/>
              <w:rPr>
                <w:rFonts w:ascii="宋体"/>
                <w:kern w:val="0"/>
              </w:rPr>
            </w:pPr>
          </w:p>
        </w:tc>
        <w:tc>
          <w:tcPr>
            <w:tcW w:w="3468" w:type="dxa"/>
            <w:vAlign w:val="center"/>
          </w:tcPr>
          <w:p w14:paraId="55BB99B2">
            <w:pPr>
              <w:numPr>
                <w:ilvl w:val="0"/>
                <w:numId w:val="4"/>
              </w:numPr>
              <w:spacing w:line="240" w:lineRule="exact"/>
              <w:jc w:val="left"/>
              <w:rPr>
                <w:rFonts w:ascii="宋体"/>
              </w:rPr>
            </w:pPr>
            <w:r>
              <w:rPr>
                <w:rFonts w:hint="eastAsia" w:ascii="宋体"/>
              </w:rPr>
              <w:t>对通航水域造成4小时以上碍航、阻航事件；</w:t>
            </w:r>
          </w:p>
          <w:p w14:paraId="23BACFDF">
            <w:pPr>
              <w:spacing w:line="240" w:lineRule="exact"/>
              <w:jc w:val="left"/>
              <w:rPr>
                <w:rFonts w:ascii="宋体"/>
              </w:rPr>
            </w:pPr>
            <w:r>
              <w:rPr>
                <w:rFonts w:hint="eastAsia" w:ascii="宋体"/>
              </w:rPr>
              <w:t>2.造成一般事故或险情的；</w:t>
            </w:r>
          </w:p>
          <w:p w14:paraId="059823FC">
            <w:pPr>
              <w:spacing w:line="240" w:lineRule="exact"/>
              <w:jc w:val="left"/>
              <w:rPr>
                <w:rFonts w:ascii="宋体"/>
                <w:kern w:val="0"/>
              </w:rPr>
            </w:pPr>
            <w:r>
              <w:rPr>
                <w:rFonts w:hint="eastAsia" w:ascii="宋体"/>
              </w:rPr>
              <w:t>3.具有其他较重情节的。</w:t>
            </w:r>
          </w:p>
        </w:tc>
        <w:tc>
          <w:tcPr>
            <w:tcW w:w="5662" w:type="dxa"/>
            <w:vAlign w:val="center"/>
          </w:tcPr>
          <w:p w14:paraId="19A380B1">
            <w:pPr>
              <w:spacing w:line="240" w:lineRule="atLeast"/>
              <w:jc w:val="center"/>
              <w:rPr>
                <w:rFonts w:ascii="宋体"/>
                <w:kern w:val="0"/>
              </w:rPr>
            </w:pPr>
            <w:r>
              <w:rPr>
                <w:rFonts w:hint="eastAsia" w:ascii="宋体"/>
                <w:kern w:val="0"/>
              </w:rPr>
              <w:t>5-10万元</w:t>
            </w:r>
          </w:p>
        </w:tc>
        <w:tc>
          <w:tcPr>
            <w:tcW w:w="3265" w:type="dxa"/>
            <w:vAlign w:val="center"/>
          </w:tcPr>
          <w:p w14:paraId="7C59FCB8">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2CC025C3">
            <w:pPr>
              <w:spacing w:line="240" w:lineRule="atLeast"/>
              <w:jc w:val="center"/>
              <w:rPr>
                <w:rFonts w:ascii="宋体"/>
                <w:kern w:val="0"/>
              </w:rPr>
            </w:pPr>
            <w:r>
              <w:rPr>
                <w:rFonts w:hint="eastAsia" w:ascii="宋体"/>
                <w:kern w:val="0"/>
              </w:rPr>
              <w:t>1-2万元、并暂扣适任证书5个月至12个月</w:t>
            </w:r>
          </w:p>
        </w:tc>
      </w:tr>
      <w:tr w14:paraId="651B0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959" w:type="dxa"/>
            <w:vMerge w:val="continue"/>
            <w:vAlign w:val="center"/>
          </w:tcPr>
          <w:p w14:paraId="1DA53DFF">
            <w:pPr>
              <w:spacing w:line="240" w:lineRule="exact"/>
              <w:jc w:val="center"/>
              <w:rPr>
                <w:rFonts w:ascii="宋体"/>
                <w:kern w:val="0"/>
              </w:rPr>
            </w:pPr>
          </w:p>
        </w:tc>
        <w:tc>
          <w:tcPr>
            <w:tcW w:w="1083" w:type="dxa"/>
            <w:vMerge w:val="continue"/>
            <w:vAlign w:val="center"/>
          </w:tcPr>
          <w:p w14:paraId="27C37015">
            <w:pPr>
              <w:spacing w:line="240" w:lineRule="exact"/>
              <w:jc w:val="center"/>
              <w:rPr>
                <w:rFonts w:ascii="宋体"/>
                <w:kern w:val="0"/>
              </w:rPr>
            </w:pPr>
          </w:p>
        </w:tc>
        <w:tc>
          <w:tcPr>
            <w:tcW w:w="1559" w:type="dxa"/>
            <w:vMerge w:val="continue"/>
            <w:vAlign w:val="center"/>
          </w:tcPr>
          <w:p w14:paraId="385EFE73">
            <w:pPr>
              <w:spacing w:line="240" w:lineRule="exact"/>
              <w:jc w:val="center"/>
              <w:rPr>
                <w:rFonts w:ascii="宋体"/>
                <w:kern w:val="0"/>
              </w:rPr>
            </w:pPr>
          </w:p>
        </w:tc>
        <w:tc>
          <w:tcPr>
            <w:tcW w:w="1067" w:type="dxa"/>
            <w:vAlign w:val="center"/>
          </w:tcPr>
          <w:p w14:paraId="2C5C825C">
            <w:pPr>
              <w:spacing w:line="240" w:lineRule="exact"/>
              <w:jc w:val="center"/>
              <w:rPr>
                <w:rFonts w:ascii="宋体"/>
                <w:kern w:val="0"/>
              </w:rPr>
            </w:pPr>
            <w:r>
              <w:rPr>
                <w:rFonts w:hint="eastAsia" w:ascii="宋体"/>
                <w:kern w:val="0"/>
              </w:rPr>
              <w:t>情节严重</w:t>
            </w:r>
          </w:p>
        </w:tc>
        <w:tc>
          <w:tcPr>
            <w:tcW w:w="3468" w:type="dxa"/>
            <w:vAlign w:val="center"/>
          </w:tcPr>
          <w:p w14:paraId="5901B0AE">
            <w:pPr>
              <w:spacing w:line="240" w:lineRule="exact"/>
              <w:jc w:val="left"/>
              <w:rPr>
                <w:rFonts w:ascii="宋体"/>
              </w:rPr>
            </w:pPr>
            <w:r>
              <w:rPr>
                <w:rFonts w:hint="eastAsia" w:ascii="宋体"/>
              </w:rPr>
              <w:t>1.造成较大等级以上事故的；</w:t>
            </w:r>
          </w:p>
          <w:p w14:paraId="60FB79A5">
            <w:pPr>
              <w:spacing w:line="240" w:lineRule="exact"/>
              <w:jc w:val="left"/>
              <w:rPr>
                <w:rFonts w:ascii="宋体"/>
              </w:rPr>
            </w:pPr>
            <w:r>
              <w:rPr>
                <w:rFonts w:hint="eastAsia" w:ascii="宋体"/>
              </w:rPr>
              <w:t>2.具有其他严重情节的。</w:t>
            </w:r>
          </w:p>
        </w:tc>
        <w:tc>
          <w:tcPr>
            <w:tcW w:w="5662" w:type="dxa"/>
            <w:vAlign w:val="center"/>
          </w:tcPr>
          <w:p w14:paraId="3F5C7F10">
            <w:pPr>
              <w:spacing w:line="240" w:lineRule="atLeast"/>
              <w:jc w:val="center"/>
              <w:rPr>
                <w:rFonts w:ascii="宋体"/>
                <w:kern w:val="0"/>
              </w:rPr>
            </w:pPr>
            <w:r>
              <w:rPr>
                <w:rFonts w:hint="eastAsia" w:ascii="宋体"/>
                <w:kern w:val="0"/>
              </w:rPr>
              <w:t>10-20万元</w:t>
            </w:r>
          </w:p>
        </w:tc>
        <w:tc>
          <w:tcPr>
            <w:tcW w:w="3265" w:type="dxa"/>
            <w:vAlign w:val="center"/>
          </w:tcPr>
          <w:p w14:paraId="3773646C">
            <w:pPr>
              <w:spacing w:line="240" w:lineRule="atLeast"/>
              <w:jc w:val="center"/>
              <w:rPr>
                <w:rFonts w:ascii="宋体"/>
                <w:kern w:val="0"/>
              </w:rPr>
            </w:pPr>
            <w:r>
              <w:rPr>
                <w:rFonts w:hint="eastAsia" w:ascii="宋体"/>
                <w:kern w:val="0"/>
              </w:rPr>
              <w:t>吊销适任证书</w:t>
            </w:r>
          </w:p>
        </w:tc>
        <w:tc>
          <w:tcPr>
            <w:tcW w:w="3032" w:type="dxa"/>
            <w:vAlign w:val="center"/>
          </w:tcPr>
          <w:p w14:paraId="57F4DF45">
            <w:pPr>
              <w:spacing w:line="240" w:lineRule="atLeast"/>
              <w:jc w:val="center"/>
              <w:rPr>
                <w:rFonts w:ascii="宋体"/>
                <w:kern w:val="0"/>
              </w:rPr>
            </w:pPr>
            <w:r>
              <w:rPr>
                <w:rFonts w:hint="eastAsia" w:ascii="宋体"/>
                <w:kern w:val="0"/>
              </w:rPr>
              <w:t>吊销适任证书</w:t>
            </w:r>
          </w:p>
        </w:tc>
      </w:tr>
    </w:tbl>
    <w:p w14:paraId="63927B6A">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1147"/>
        <w:gridCol w:w="1363"/>
        <w:gridCol w:w="1127"/>
        <w:gridCol w:w="3409"/>
        <w:gridCol w:w="6662"/>
        <w:gridCol w:w="2461"/>
        <w:gridCol w:w="2835"/>
      </w:tblGrid>
      <w:tr w14:paraId="47323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1091" w:type="dxa"/>
            <w:vMerge w:val="restart"/>
            <w:vAlign w:val="center"/>
          </w:tcPr>
          <w:p w14:paraId="18DA7B7D">
            <w:pPr>
              <w:spacing w:line="240" w:lineRule="exact"/>
              <w:jc w:val="center"/>
              <w:rPr>
                <w:rFonts w:ascii="宋体"/>
                <w:b/>
                <w:kern w:val="0"/>
              </w:rPr>
            </w:pPr>
            <w:r>
              <w:rPr>
                <w:rFonts w:hint="eastAsia" w:ascii="宋体"/>
                <w:b/>
                <w:kern w:val="0"/>
              </w:rPr>
              <w:t>案由22</w:t>
            </w:r>
          </w:p>
        </w:tc>
        <w:tc>
          <w:tcPr>
            <w:tcW w:w="2510" w:type="dxa"/>
            <w:gridSpan w:val="2"/>
            <w:vAlign w:val="center"/>
          </w:tcPr>
          <w:p w14:paraId="595A04EF">
            <w:pPr>
              <w:spacing w:line="240" w:lineRule="exact"/>
              <w:jc w:val="center"/>
              <w:rPr>
                <w:rFonts w:ascii="宋体"/>
                <w:b/>
                <w:kern w:val="0"/>
              </w:rPr>
            </w:pPr>
            <w:r>
              <w:rPr>
                <w:rFonts w:hint="eastAsia" w:ascii="宋体"/>
                <w:b/>
                <w:kern w:val="0"/>
              </w:rPr>
              <w:t>法律依据</w:t>
            </w:r>
          </w:p>
        </w:tc>
        <w:tc>
          <w:tcPr>
            <w:tcW w:w="1127" w:type="dxa"/>
            <w:vMerge w:val="restart"/>
            <w:vAlign w:val="center"/>
          </w:tcPr>
          <w:p w14:paraId="2B956998">
            <w:pPr>
              <w:spacing w:line="240" w:lineRule="exact"/>
              <w:jc w:val="center"/>
              <w:rPr>
                <w:rFonts w:ascii="宋体"/>
                <w:b/>
                <w:kern w:val="0"/>
              </w:rPr>
            </w:pPr>
            <w:r>
              <w:rPr>
                <w:rFonts w:hint="eastAsia" w:ascii="宋体"/>
                <w:b/>
                <w:kern w:val="0"/>
              </w:rPr>
              <w:t>违法情节</w:t>
            </w:r>
          </w:p>
        </w:tc>
        <w:tc>
          <w:tcPr>
            <w:tcW w:w="3409" w:type="dxa"/>
            <w:vMerge w:val="restart"/>
            <w:vAlign w:val="center"/>
          </w:tcPr>
          <w:p w14:paraId="4C60A54E">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2089B5CF">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5E56F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091" w:type="dxa"/>
            <w:vMerge w:val="continue"/>
            <w:vAlign w:val="center"/>
          </w:tcPr>
          <w:p w14:paraId="3624F10E">
            <w:pPr>
              <w:spacing w:line="240" w:lineRule="exact"/>
              <w:jc w:val="center"/>
              <w:rPr>
                <w:rFonts w:ascii="宋体"/>
                <w:b/>
                <w:kern w:val="0"/>
              </w:rPr>
            </w:pPr>
          </w:p>
        </w:tc>
        <w:tc>
          <w:tcPr>
            <w:tcW w:w="1147" w:type="dxa"/>
            <w:vAlign w:val="center"/>
          </w:tcPr>
          <w:p w14:paraId="348FB341">
            <w:pPr>
              <w:spacing w:line="240" w:lineRule="exact"/>
              <w:jc w:val="center"/>
              <w:rPr>
                <w:rFonts w:ascii="宋体"/>
                <w:b/>
                <w:kern w:val="0"/>
              </w:rPr>
            </w:pPr>
            <w:r>
              <w:rPr>
                <w:rFonts w:hint="eastAsia" w:ascii="宋体"/>
                <w:b/>
                <w:kern w:val="0"/>
              </w:rPr>
              <w:t>违反条款</w:t>
            </w:r>
          </w:p>
        </w:tc>
        <w:tc>
          <w:tcPr>
            <w:tcW w:w="1363" w:type="dxa"/>
            <w:vAlign w:val="center"/>
          </w:tcPr>
          <w:p w14:paraId="5656E7CC">
            <w:pPr>
              <w:spacing w:line="240" w:lineRule="exact"/>
              <w:jc w:val="center"/>
              <w:rPr>
                <w:rFonts w:ascii="宋体"/>
                <w:b/>
                <w:kern w:val="0"/>
              </w:rPr>
            </w:pPr>
            <w:r>
              <w:rPr>
                <w:rFonts w:hint="eastAsia" w:ascii="宋体"/>
                <w:b/>
                <w:kern w:val="0"/>
              </w:rPr>
              <w:t>处罚依据</w:t>
            </w:r>
          </w:p>
        </w:tc>
        <w:tc>
          <w:tcPr>
            <w:tcW w:w="1127" w:type="dxa"/>
            <w:vMerge w:val="continue"/>
            <w:vAlign w:val="center"/>
          </w:tcPr>
          <w:p w14:paraId="0F348FAB">
            <w:pPr>
              <w:spacing w:line="240" w:lineRule="exact"/>
              <w:jc w:val="center"/>
              <w:rPr>
                <w:rFonts w:ascii="宋体"/>
                <w:b/>
                <w:kern w:val="0"/>
              </w:rPr>
            </w:pPr>
          </w:p>
        </w:tc>
        <w:tc>
          <w:tcPr>
            <w:tcW w:w="3409" w:type="dxa"/>
            <w:vMerge w:val="continue"/>
            <w:vAlign w:val="center"/>
          </w:tcPr>
          <w:p w14:paraId="17CEF06A">
            <w:pPr>
              <w:spacing w:line="240" w:lineRule="exact"/>
              <w:jc w:val="center"/>
              <w:rPr>
                <w:rFonts w:ascii="宋体"/>
                <w:b/>
                <w:kern w:val="0"/>
              </w:rPr>
            </w:pPr>
          </w:p>
        </w:tc>
        <w:tc>
          <w:tcPr>
            <w:tcW w:w="6662" w:type="dxa"/>
            <w:vAlign w:val="center"/>
          </w:tcPr>
          <w:p w14:paraId="588EACB9">
            <w:pPr>
              <w:spacing w:line="240" w:lineRule="exact"/>
              <w:jc w:val="center"/>
              <w:rPr>
                <w:rFonts w:ascii="宋体"/>
                <w:b/>
                <w:kern w:val="0"/>
              </w:rPr>
            </w:pPr>
            <w:r>
              <w:rPr>
                <w:rFonts w:hint="eastAsia" w:ascii="宋体"/>
                <w:b/>
                <w:kern w:val="0"/>
              </w:rPr>
              <w:t>【对象】对船舶的所有人、经营人或者管理人</w:t>
            </w:r>
          </w:p>
        </w:tc>
        <w:tc>
          <w:tcPr>
            <w:tcW w:w="2461" w:type="dxa"/>
            <w:vAlign w:val="center"/>
          </w:tcPr>
          <w:p w14:paraId="0ECC2473">
            <w:pPr>
              <w:spacing w:line="240" w:lineRule="exact"/>
              <w:jc w:val="center"/>
              <w:rPr>
                <w:rFonts w:ascii="宋体"/>
                <w:b/>
                <w:kern w:val="0"/>
              </w:rPr>
            </w:pPr>
            <w:r>
              <w:rPr>
                <w:rFonts w:hint="eastAsia" w:ascii="宋体"/>
                <w:b/>
                <w:kern w:val="0"/>
              </w:rPr>
              <w:t>【对象】船长</w:t>
            </w:r>
          </w:p>
        </w:tc>
        <w:tc>
          <w:tcPr>
            <w:tcW w:w="2835" w:type="dxa"/>
            <w:vAlign w:val="center"/>
          </w:tcPr>
          <w:p w14:paraId="70A76A95">
            <w:pPr>
              <w:spacing w:line="240" w:lineRule="exact"/>
              <w:jc w:val="center"/>
              <w:rPr>
                <w:rFonts w:ascii="宋体"/>
                <w:b/>
                <w:kern w:val="0"/>
              </w:rPr>
            </w:pPr>
            <w:r>
              <w:rPr>
                <w:rFonts w:hint="eastAsia" w:ascii="宋体"/>
                <w:b/>
                <w:kern w:val="0"/>
              </w:rPr>
              <w:t>【对象】责任船员</w:t>
            </w:r>
          </w:p>
        </w:tc>
      </w:tr>
      <w:tr w14:paraId="7005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91" w:type="dxa"/>
            <w:vMerge w:val="restart"/>
            <w:vAlign w:val="center"/>
          </w:tcPr>
          <w:p w14:paraId="4285710D">
            <w:pPr>
              <w:widowControl/>
              <w:spacing w:line="240" w:lineRule="exact"/>
              <w:jc w:val="left"/>
              <w:rPr>
                <w:rFonts w:ascii="宋体"/>
                <w:b/>
                <w:kern w:val="0"/>
              </w:rPr>
            </w:pPr>
            <w:r>
              <w:rPr>
                <w:rFonts w:hint="eastAsia" w:ascii="宋体"/>
                <w:bCs/>
                <w:kern w:val="0"/>
              </w:rPr>
              <w:t>船舶载运或者拖带超长、超高、超宽、半潜的船舶、海上设施或者其他物体航行，未在开航前向海事管理机构报告航行计划</w:t>
            </w:r>
          </w:p>
        </w:tc>
        <w:tc>
          <w:tcPr>
            <w:tcW w:w="1147" w:type="dxa"/>
            <w:vMerge w:val="restart"/>
            <w:vAlign w:val="center"/>
          </w:tcPr>
          <w:p w14:paraId="66772A08">
            <w:pPr>
              <w:widowControl/>
              <w:spacing w:line="240" w:lineRule="exact"/>
              <w:jc w:val="left"/>
              <w:rPr>
                <w:rFonts w:ascii="宋体"/>
                <w:kern w:val="0"/>
              </w:rPr>
            </w:pPr>
            <w:r>
              <w:rPr>
                <w:rFonts w:hint="eastAsia" w:ascii="宋体"/>
                <w:kern w:val="0"/>
              </w:rPr>
              <w:t>1.《中华人民共和国海上交通安全法》第四十五条；</w:t>
            </w:r>
          </w:p>
          <w:p w14:paraId="2E437674">
            <w:pPr>
              <w:widowControl/>
              <w:spacing w:line="240" w:lineRule="exact"/>
              <w:jc w:val="left"/>
              <w:rPr>
                <w:rFonts w:ascii="宋体"/>
              </w:rPr>
            </w:pPr>
            <w:r>
              <w:rPr>
                <w:rFonts w:hint="eastAsia" w:ascii="宋体"/>
              </w:rPr>
              <w:t>2.其他法律、法规、规章等。</w:t>
            </w:r>
          </w:p>
        </w:tc>
        <w:tc>
          <w:tcPr>
            <w:tcW w:w="1363" w:type="dxa"/>
            <w:vMerge w:val="restart"/>
            <w:vAlign w:val="center"/>
          </w:tcPr>
          <w:p w14:paraId="173A241E">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14:paraId="7193F9CE">
            <w:pPr>
              <w:spacing w:line="240" w:lineRule="exact"/>
              <w:jc w:val="left"/>
              <w:rPr>
                <w:rFonts w:ascii="宋体"/>
                <w:kern w:val="0"/>
              </w:rPr>
            </w:pPr>
            <w:r>
              <w:rPr>
                <w:rFonts w:hint="eastAsia" w:ascii="宋体"/>
                <w:kern w:val="0"/>
              </w:rPr>
              <w:t>2. 《中华人民共和国海上海事行政处罚规定》第七条。</w:t>
            </w:r>
          </w:p>
        </w:tc>
        <w:tc>
          <w:tcPr>
            <w:tcW w:w="1127" w:type="dxa"/>
            <w:vAlign w:val="center"/>
          </w:tcPr>
          <w:p w14:paraId="2F3B0B66">
            <w:pPr>
              <w:spacing w:line="240" w:lineRule="exact"/>
              <w:jc w:val="center"/>
              <w:rPr>
                <w:rFonts w:ascii="宋体"/>
                <w:kern w:val="0"/>
              </w:rPr>
            </w:pPr>
            <w:r>
              <w:rPr>
                <w:rFonts w:hint="eastAsia" w:ascii="宋体"/>
                <w:kern w:val="0"/>
              </w:rPr>
              <w:t>从轻</w:t>
            </w:r>
          </w:p>
        </w:tc>
        <w:tc>
          <w:tcPr>
            <w:tcW w:w="3409" w:type="dxa"/>
            <w:vAlign w:val="center"/>
          </w:tcPr>
          <w:p w14:paraId="7AEA011A">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21076103">
            <w:pPr>
              <w:spacing w:line="240" w:lineRule="atLeast"/>
              <w:jc w:val="center"/>
              <w:rPr>
                <w:rFonts w:ascii="宋体"/>
                <w:kern w:val="0"/>
              </w:rPr>
            </w:pPr>
            <w:r>
              <w:rPr>
                <w:rFonts w:hint="eastAsia" w:ascii="宋体"/>
                <w:kern w:val="0"/>
              </w:rPr>
              <w:t>2-3万元</w:t>
            </w:r>
          </w:p>
        </w:tc>
        <w:tc>
          <w:tcPr>
            <w:tcW w:w="2461" w:type="dxa"/>
            <w:vAlign w:val="center"/>
          </w:tcPr>
          <w:p w14:paraId="17875374">
            <w:pPr>
              <w:spacing w:line="240" w:lineRule="atLeast"/>
              <w:jc w:val="center"/>
              <w:rPr>
                <w:rFonts w:ascii="宋体"/>
                <w:kern w:val="0"/>
              </w:rPr>
            </w:pPr>
            <w:r>
              <w:rPr>
                <w:rFonts w:hint="eastAsia" w:ascii="宋体"/>
                <w:kern w:val="0"/>
              </w:rPr>
              <w:t>2000-5000元、并暂扣适任证书3个月至4个月</w:t>
            </w:r>
          </w:p>
        </w:tc>
        <w:tc>
          <w:tcPr>
            <w:tcW w:w="2835" w:type="dxa"/>
            <w:vAlign w:val="center"/>
          </w:tcPr>
          <w:p w14:paraId="271D4329">
            <w:pPr>
              <w:spacing w:line="240" w:lineRule="atLeast"/>
              <w:jc w:val="center"/>
              <w:rPr>
                <w:rFonts w:ascii="宋体"/>
                <w:kern w:val="0"/>
              </w:rPr>
            </w:pPr>
            <w:r>
              <w:rPr>
                <w:rFonts w:hint="eastAsia" w:ascii="宋体"/>
                <w:kern w:val="0"/>
              </w:rPr>
              <w:t>2000-4000元、并暂扣适任证书3个月至4个月</w:t>
            </w:r>
          </w:p>
        </w:tc>
      </w:tr>
      <w:tr w14:paraId="2A95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091" w:type="dxa"/>
            <w:vMerge w:val="continue"/>
            <w:vAlign w:val="center"/>
          </w:tcPr>
          <w:p w14:paraId="15375EF6">
            <w:pPr>
              <w:spacing w:line="240" w:lineRule="exact"/>
              <w:jc w:val="center"/>
              <w:rPr>
                <w:rFonts w:ascii="宋体"/>
                <w:kern w:val="0"/>
              </w:rPr>
            </w:pPr>
          </w:p>
        </w:tc>
        <w:tc>
          <w:tcPr>
            <w:tcW w:w="1147" w:type="dxa"/>
            <w:vMerge w:val="continue"/>
            <w:vAlign w:val="center"/>
          </w:tcPr>
          <w:p w14:paraId="66543641">
            <w:pPr>
              <w:widowControl/>
              <w:spacing w:line="240" w:lineRule="exact"/>
              <w:jc w:val="center"/>
              <w:rPr>
                <w:rFonts w:ascii="宋体"/>
                <w:kern w:val="0"/>
              </w:rPr>
            </w:pPr>
          </w:p>
        </w:tc>
        <w:tc>
          <w:tcPr>
            <w:tcW w:w="1363" w:type="dxa"/>
            <w:vMerge w:val="continue"/>
            <w:vAlign w:val="center"/>
          </w:tcPr>
          <w:p w14:paraId="1C89EC69">
            <w:pPr>
              <w:spacing w:line="240" w:lineRule="exact"/>
              <w:jc w:val="center"/>
              <w:rPr>
                <w:rFonts w:ascii="宋体"/>
                <w:kern w:val="0"/>
              </w:rPr>
            </w:pPr>
          </w:p>
        </w:tc>
        <w:tc>
          <w:tcPr>
            <w:tcW w:w="1127" w:type="dxa"/>
            <w:vMerge w:val="restart"/>
            <w:vAlign w:val="center"/>
          </w:tcPr>
          <w:p w14:paraId="4D1476F6">
            <w:pPr>
              <w:spacing w:line="240" w:lineRule="exact"/>
              <w:jc w:val="center"/>
              <w:rPr>
                <w:rFonts w:ascii="宋体"/>
                <w:kern w:val="0"/>
              </w:rPr>
            </w:pPr>
            <w:r>
              <w:rPr>
                <w:rFonts w:hint="eastAsia" w:ascii="宋体"/>
                <w:kern w:val="0"/>
              </w:rPr>
              <w:t>一般</w:t>
            </w:r>
          </w:p>
        </w:tc>
        <w:tc>
          <w:tcPr>
            <w:tcW w:w="3409" w:type="dxa"/>
            <w:vAlign w:val="center"/>
          </w:tcPr>
          <w:p w14:paraId="177CC2BD">
            <w:pPr>
              <w:widowControl/>
              <w:spacing w:line="240" w:lineRule="exact"/>
              <w:jc w:val="left"/>
              <w:rPr>
                <w:rFonts w:ascii="宋体"/>
                <w:kern w:val="0"/>
              </w:rPr>
            </w:pPr>
            <w:r>
              <w:rPr>
                <w:rFonts w:hint="eastAsia" w:ascii="宋体"/>
                <w:kern w:val="0"/>
              </w:rPr>
              <w:t>开航后才报告，未造成事故、险情的或不良影响</w:t>
            </w:r>
          </w:p>
        </w:tc>
        <w:tc>
          <w:tcPr>
            <w:tcW w:w="6662" w:type="dxa"/>
            <w:vAlign w:val="center"/>
          </w:tcPr>
          <w:p w14:paraId="3545146F">
            <w:pPr>
              <w:spacing w:line="240" w:lineRule="atLeast"/>
              <w:jc w:val="center"/>
              <w:rPr>
                <w:rFonts w:ascii="宋体"/>
                <w:kern w:val="0"/>
              </w:rPr>
            </w:pPr>
            <w:r>
              <w:rPr>
                <w:rFonts w:hint="eastAsia" w:ascii="宋体"/>
                <w:kern w:val="0"/>
              </w:rPr>
              <w:t>3-4万元</w:t>
            </w:r>
          </w:p>
        </w:tc>
        <w:tc>
          <w:tcPr>
            <w:tcW w:w="2461" w:type="dxa"/>
            <w:vAlign w:val="center"/>
          </w:tcPr>
          <w:p w14:paraId="69778584">
            <w:pPr>
              <w:spacing w:line="240" w:lineRule="atLeast"/>
              <w:jc w:val="center"/>
              <w:rPr>
                <w:rFonts w:ascii="宋体"/>
                <w:kern w:val="0"/>
              </w:rPr>
            </w:pPr>
            <w:r>
              <w:rPr>
                <w:rFonts w:hint="eastAsia" w:ascii="宋体"/>
                <w:kern w:val="0"/>
              </w:rPr>
              <w:t>5000-8000元、并暂扣适任证书3个月至5个月</w:t>
            </w:r>
          </w:p>
        </w:tc>
        <w:tc>
          <w:tcPr>
            <w:tcW w:w="2835" w:type="dxa"/>
            <w:vAlign w:val="center"/>
          </w:tcPr>
          <w:p w14:paraId="1E31ABD0">
            <w:pPr>
              <w:spacing w:line="240" w:lineRule="atLeast"/>
              <w:jc w:val="center"/>
              <w:rPr>
                <w:rFonts w:ascii="宋体"/>
                <w:b/>
                <w:kern w:val="0"/>
              </w:rPr>
            </w:pPr>
            <w:r>
              <w:rPr>
                <w:rFonts w:hint="eastAsia" w:ascii="宋体"/>
                <w:kern w:val="0"/>
              </w:rPr>
              <w:t>4000元-6000、并暂扣适任证书3个月至4个月</w:t>
            </w:r>
          </w:p>
        </w:tc>
      </w:tr>
      <w:tr w14:paraId="6E0E3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091" w:type="dxa"/>
            <w:vMerge w:val="continue"/>
            <w:vAlign w:val="center"/>
          </w:tcPr>
          <w:p w14:paraId="6CFD8FDB">
            <w:pPr>
              <w:spacing w:line="240" w:lineRule="exact"/>
              <w:jc w:val="center"/>
              <w:rPr>
                <w:rFonts w:ascii="宋体"/>
                <w:kern w:val="0"/>
              </w:rPr>
            </w:pPr>
          </w:p>
        </w:tc>
        <w:tc>
          <w:tcPr>
            <w:tcW w:w="1147" w:type="dxa"/>
            <w:vMerge w:val="continue"/>
            <w:vAlign w:val="center"/>
          </w:tcPr>
          <w:p w14:paraId="60176939">
            <w:pPr>
              <w:widowControl/>
              <w:spacing w:line="240" w:lineRule="exact"/>
              <w:jc w:val="center"/>
              <w:rPr>
                <w:rFonts w:ascii="宋体"/>
                <w:kern w:val="0"/>
              </w:rPr>
            </w:pPr>
          </w:p>
        </w:tc>
        <w:tc>
          <w:tcPr>
            <w:tcW w:w="1363" w:type="dxa"/>
            <w:vMerge w:val="continue"/>
            <w:vAlign w:val="center"/>
          </w:tcPr>
          <w:p w14:paraId="5F91B7AA">
            <w:pPr>
              <w:spacing w:line="240" w:lineRule="exact"/>
              <w:jc w:val="center"/>
              <w:rPr>
                <w:rFonts w:ascii="宋体"/>
                <w:kern w:val="0"/>
              </w:rPr>
            </w:pPr>
          </w:p>
        </w:tc>
        <w:tc>
          <w:tcPr>
            <w:tcW w:w="1127" w:type="dxa"/>
            <w:vMerge w:val="continue"/>
            <w:vAlign w:val="center"/>
          </w:tcPr>
          <w:p w14:paraId="7647CA15">
            <w:pPr>
              <w:spacing w:line="240" w:lineRule="exact"/>
              <w:jc w:val="center"/>
              <w:rPr>
                <w:rFonts w:ascii="宋体"/>
                <w:kern w:val="0"/>
              </w:rPr>
            </w:pPr>
          </w:p>
        </w:tc>
        <w:tc>
          <w:tcPr>
            <w:tcW w:w="3409" w:type="dxa"/>
            <w:vAlign w:val="center"/>
          </w:tcPr>
          <w:p w14:paraId="52E3A43F">
            <w:pPr>
              <w:spacing w:line="240" w:lineRule="exact"/>
              <w:jc w:val="left"/>
              <w:rPr>
                <w:rFonts w:ascii="宋体"/>
              </w:rPr>
            </w:pPr>
            <w:r>
              <w:rPr>
                <w:rFonts w:hint="eastAsia" w:ascii="宋体"/>
              </w:rPr>
              <w:t>1.始终没有报告的；</w:t>
            </w:r>
          </w:p>
          <w:p w14:paraId="530E5724">
            <w:pPr>
              <w:spacing w:line="240" w:lineRule="exact"/>
              <w:jc w:val="left"/>
              <w:rPr>
                <w:rFonts w:ascii="宋体"/>
              </w:rPr>
            </w:pPr>
            <w:r>
              <w:rPr>
                <w:rFonts w:hint="eastAsia" w:ascii="宋体"/>
              </w:rPr>
              <w:t>2.对通航水域造成4小时以下碍航、阻航事件。</w:t>
            </w:r>
          </w:p>
        </w:tc>
        <w:tc>
          <w:tcPr>
            <w:tcW w:w="6662" w:type="dxa"/>
            <w:vAlign w:val="center"/>
          </w:tcPr>
          <w:p w14:paraId="6A27AA57">
            <w:pPr>
              <w:spacing w:line="240" w:lineRule="atLeast"/>
              <w:jc w:val="center"/>
              <w:rPr>
                <w:rFonts w:ascii="宋体"/>
                <w:kern w:val="0"/>
              </w:rPr>
            </w:pPr>
            <w:r>
              <w:rPr>
                <w:rFonts w:hint="eastAsia" w:ascii="宋体"/>
                <w:kern w:val="0"/>
              </w:rPr>
              <w:t>4-5万元</w:t>
            </w:r>
          </w:p>
        </w:tc>
        <w:tc>
          <w:tcPr>
            <w:tcW w:w="2461" w:type="dxa"/>
            <w:vAlign w:val="center"/>
          </w:tcPr>
          <w:p w14:paraId="4F380446">
            <w:pPr>
              <w:spacing w:line="240" w:lineRule="atLeast"/>
              <w:jc w:val="center"/>
              <w:rPr>
                <w:rFonts w:ascii="宋体"/>
                <w:kern w:val="0"/>
              </w:rPr>
            </w:pPr>
            <w:r>
              <w:rPr>
                <w:rFonts w:hint="eastAsia" w:ascii="宋体"/>
                <w:kern w:val="0"/>
              </w:rPr>
              <w:t>8000元-1万元、并暂扣适任证书4个月至6个月</w:t>
            </w:r>
          </w:p>
        </w:tc>
        <w:tc>
          <w:tcPr>
            <w:tcW w:w="2835" w:type="dxa"/>
            <w:vAlign w:val="center"/>
          </w:tcPr>
          <w:p w14:paraId="79A690E1">
            <w:pPr>
              <w:spacing w:line="240" w:lineRule="atLeast"/>
              <w:jc w:val="center"/>
              <w:rPr>
                <w:rFonts w:ascii="宋体"/>
                <w:kern w:val="0"/>
              </w:rPr>
            </w:pPr>
            <w:r>
              <w:rPr>
                <w:rFonts w:hint="eastAsia" w:ascii="宋体"/>
                <w:kern w:val="0"/>
              </w:rPr>
              <w:t>6000元-1万元、并暂扣适任证书4个月至5个月</w:t>
            </w:r>
          </w:p>
        </w:tc>
      </w:tr>
      <w:tr w14:paraId="2CFC9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trPr>
        <w:tc>
          <w:tcPr>
            <w:tcW w:w="1091" w:type="dxa"/>
            <w:vMerge w:val="continue"/>
            <w:vAlign w:val="center"/>
          </w:tcPr>
          <w:p w14:paraId="4036FE5C">
            <w:pPr>
              <w:spacing w:line="240" w:lineRule="exact"/>
              <w:jc w:val="center"/>
              <w:rPr>
                <w:rFonts w:ascii="宋体"/>
                <w:kern w:val="0"/>
              </w:rPr>
            </w:pPr>
          </w:p>
        </w:tc>
        <w:tc>
          <w:tcPr>
            <w:tcW w:w="1147" w:type="dxa"/>
            <w:vMerge w:val="continue"/>
            <w:vAlign w:val="center"/>
          </w:tcPr>
          <w:p w14:paraId="68D69119">
            <w:pPr>
              <w:spacing w:line="240" w:lineRule="exact"/>
              <w:jc w:val="center"/>
              <w:rPr>
                <w:rFonts w:ascii="宋体"/>
                <w:kern w:val="0"/>
              </w:rPr>
            </w:pPr>
          </w:p>
        </w:tc>
        <w:tc>
          <w:tcPr>
            <w:tcW w:w="1363" w:type="dxa"/>
            <w:vMerge w:val="continue"/>
            <w:vAlign w:val="center"/>
          </w:tcPr>
          <w:p w14:paraId="3535EF20">
            <w:pPr>
              <w:spacing w:line="240" w:lineRule="exact"/>
              <w:jc w:val="center"/>
              <w:rPr>
                <w:rFonts w:ascii="宋体"/>
                <w:kern w:val="0"/>
              </w:rPr>
            </w:pPr>
          </w:p>
        </w:tc>
        <w:tc>
          <w:tcPr>
            <w:tcW w:w="1127" w:type="dxa"/>
            <w:vMerge w:val="continue"/>
            <w:vAlign w:val="center"/>
          </w:tcPr>
          <w:p w14:paraId="1CD021B7">
            <w:pPr>
              <w:spacing w:line="240" w:lineRule="exact"/>
              <w:jc w:val="center"/>
              <w:rPr>
                <w:rFonts w:ascii="宋体"/>
                <w:kern w:val="0"/>
              </w:rPr>
            </w:pPr>
          </w:p>
        </w:tc>
        <w:tc>
          <w:tcPr>
            <w:tcW w:w="3409" w:type="dxa"/>
            <w:vAlign w:val="center"/>
          </w:tcPr>
          <w:p w14:paraId="1788E74D">
            <w:pPr>
              <w:spacing w:line="240" w:lineRule="exact"/>
              <w:jc w:val="left"/>
              <w:rPr>
                <w:rFonts w:ascii="宋体"/>
              </w:rPr>
            </w:pPr>
            <w:r>
              <w:rPr>
                <w:rFonts w:hint="eastAsia" w:ascii="宋体"/>
              </w:rPr>
              <w:t>1.对通航水域造成4小时以上碍航、阻航事件；</w:t>
            </w:r>
          </w:p>
          <w:p w14:paraId="0E1AE123">
            <w:pPr>
              <w:spacing w:line="240" w:lineRule="exact"/>
              <w:jc w:val="left"/>
              <w:rPr>
                <w:rFonts w:ascii="宋体"/>
              </w:rPr>
            </w:pPr>
            <w:r>
              <w:rPr>
                <w:rFonts w:hint="eastAsia" w:ascii="宋体"/>
              </w:rPr>
              <w:t>2.造成一般事故或险情的；</w:t>
            </w:r>
          </w:p>
          <w:p w14:paraId="792F2FD0">
            <w:pPr>
              <w:spacing w:line="240" w:lineRule="exact"/>
              <w:jc w:val="left"/>
              <w:rPr>
                <w:rFonts w:ascii="宋体"/>
                <w:kern w:val="0"/>
              </w:rPr>
            </w:pPr>
            <w:r>
              <w:rPr>
                <w:rFonts w:hint="eastAsia" w:ascii="宋体"/>
              </w:rPr>
              <w:t>3.具有其他较重情节的。</w:t>
            </w:r>
          </w:p>
        </w:tc>
        <w:tc>
          <w:tcPr>
            <w:tcW w:w="6662" w:type="dxa"/>
            <w:vAlign w:val="center"/>
          </w:tcPr>
          <w:p w14:paraId="24DB33DC">
            <w:pPr>
              <w:spacing w:line="240" w:lineRule="atLeast"/>
              <w:jc w:val="center"/>
              <w:rPr>
                <w:rFonts w:ascii="宋体"/>
                <w:kern w:val="0"/>
              </w:rPr>
            </w:pPr>
            <w:r>
              <w:rPr>
                <w:rFonts w:hint="eastAsia" w:ascii="宋体"/>
                <w:kern w:val="0"/>
              </w:rPr>
              <w:t>5-10万元</w:t>
            </w:r>
          </w:p>
        </w:tc>
        <w:tc>
          <w:tcPr>
            <w:tcW w:w="2461" w:type="dxa"/>
            <w:vAlign w:val="center"/>
          </w:tcPr>
          <w:p w14:paraId="0AF71877">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14:paraId="0E496068">
            <w:pPr>
              <w:spacing w:line="240" w:lineRule="atLeast"/>
              <w:jc w:val="center"/>
              <w:rPr>
                <w:rFonts w:ascii="宋体"/>
                <w:kern w:val="0"/>
              </w:rPr>
            </w:pPr>
            <w:r>
              <w:rPr>
                <w:rFonts w:hint="eastAsia" w:ascii="宋体"/>
                <w:kern w:val="0"/>
              </w:rPr>
              <w:t>1-2万元、并暂扣适任证书5个月至12个月</w:t>
            </w:r>
          </w:p>
        </w:tc>
      </w:tr>
      <w:tr w14:paraId="2247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1091" w:type="dxa"/>
            <w:vMerge w:val="continue"/>
            <w:vAlign w:val="center"/>
          </w:tcPr>
          <w:p w14:paraId="1B207841">
            <w:pPr>
              <w:spacing w:line="240" w:lineRule="exact"/>
              <w:jc w:val="center"/>
              <w:rPr>
                <w:rFonts w:ascii="宋体"/>
                <w:kern w:val="0"/>
              </w:rPr>
            </w:pPr>
          </w:p>
        </w:tc>
        <w:tc>
          <w:tcPr>
            <w:tcW w:w="1147" w:type="dxa"/>
            <w:vMerge w:val="continue"/>
            <w:vAlign w:val="center"/>
          </w:tcPr>
          <w:p w14:paraId="1E11C34B">
            <w:pPr>
              <w:spacing w:line="240" w:lineRule="exact"/>
              <w:jc w:val="center"/>
              <w:rPr>
                <w:rFonts w:ascii="宋体"/>
                <w:kern w:val="0"/>
              </w:rPr>
            </w:pPr>
          </w:p>
        </w:tc>
        <w:tc>
          <w:tcPr>
            <w:tcW w:w="1363" w:type="dxa"/>
            <w:vMerge w:val="continue"/>
            <w:vAlign w:val="center"/>
          </w:tcPr>
          <w:p w14:paraId="488D7226">
            <w:pPr>
              <w:spacing w:line="240" w:lineRule="exact"/>
              <w:jc w:val="center"/>
              <w:rPr>
                <w:rFonts w:ascii="宋体"/>
                <w:kern w:val="0"/>
              </w:rPr>
            </w:pPr>
          </w:p>
        </w:tc>
        <w:tc>
          <w:tcPr>
            <w:tcW w:w="1127" w:type="dxa"/>
            <w:vAlign w:val="center"/>
          </w:tcPr>
          <w:p w14:paraId="3D01D3B5">
            <w:pPr>
              <w:spacing w:line="240" w:lineRule="exact"/>
              <w:jc w:val="center"/>
              <w:rPr>
                <w:rFonts w:ascii="宋体"/>
                <w:kern w:val="0"/>
              </w:rPr>
            </w:pPr>
            <w:r>
              <w:rPr>
                <w:rFonts w:hint="eastAsia" w:ascii="宋体"/>
                <w:kern w:val="0"/>
              </w:rPr>
              <w:t>情节严重</w:t>
            </w:r>
          </w:p>
        </w:tc>
        <w:tc>
          <w:tcPr>
            <w:tcW w:w="3409" w:type="dxa"/>
            <w:vAlign w:val="center"/>
          </w:tcPr>
          <w:p w14:paraId="3A5BA041">
            <w:pPr>
              <w:spacing w:line="240" w:lineRule="exact"/>
              <w:jc w:val="left"/>
              <w:rPr>
                <w:rFonts w:ascii="宋体"/>
              </w:rPr>
            </w:pPr>
            <w:r>
              <w:rPr>
                <w:rFonts w:hint="eastAsia" w:ascii="宋体"/>
              </w:rPr>
              <w:t>1.造成较大等级以上事故的；</w:t>
            </w:r>
          </w:p>
          <w:p w14:paraId="453CC1AB">
            <w:pPr>
              <w:spacing w:line="240" w:lineRule="exact"/>
              <w:jc w:val="left"/>
              <w:rPr>
                <w:rFonts w:ascii="宋体"/>
              </w:rPr>
            </w:pPr>
            <w:r>
              <w:rPr>
                <w:rFonts w:hint="eastAsia" w:ascii="宋体"/>
              </w:rPr>
              <w:t>2.具有其他严重情节的。</w:t>
            </w:r>
          </w:p>
        </w:tc>
        <w:tc>
          <w:tcPr>
            <w:tcW w:w="6662" w:type="dxa"/>
            <w:vAlign w:val="center"/>
          </w:tcPr>
          <w:p w14:paraId="39F2CC06">
            <w:pPr>
              <w:spacing w:line="240" w:lineRule="atLeast"/>
              <w:jc w:val="center"/>
              <w:rPr>
                <w:rFonts w:ascii="宋体"/>
                <w:kern w:val="0"/>
              </w:rPr>
            </w:pPr>
            <w:r>
              <w:rPr>
                <w:rFonts w:hint="eastAsia" w:ascii="宋体"/>
                <w:kern w:val="0"/>
              </w:rPr>
              <w:t>10-20万元</w:t>
            </w:r>
          </w:p>
        </w:tc>
        <w:tc>
          <w:tcPr>
            <w:tcW w:w="2461" w:type="dxa"/>
            <w:vAlign w:val="center"/>
          </w:tcPr>
          <w:p w14:paraId="1D77BF66">
            <w:pPr>
              <w:spacing w:line="240" w:lineRule="atLeast"/>
              <w:jc w:val="center"/>
              <w:rPr>
                <w:rFonts w:ascii="宋体"/>
                <w:kern w:val="0"/>
              </w:rPr>
            </w:pPr>
            <w:r>
              <w:rPr>
                <w:rFonts w:hint="eastAsia" w:ascii="宋体"/>
                <w:kern w:val="0"/>
              </w:rPr>
              <w:t>吊销适任证书</w:t>
            </w:r>
          </w:p>
        </w:tc>
        <w:tc>
          <w:tcPr>
            <w:tcW w:w="2835" w:type="dxa"/>
            <w:vAlign w:val="center"/>
          </w:tcPr>
          <w:p w14:paraId="13EA027F">
            <w:pPr>
              <w:spacing w:line="240" w:lineRule="atLeast"/>
              <w:jc w:val="center"/>
              <w:rPr>
                <w:rFonts w:ascii="宋体"/>
                <w:kern w:val="0"/>
              </w:rPr>
            </w:pPr>
            <w:r>
              <w:rPr>
                <w:rFonts w:hint="eastAsia" w:ascii="宋体"/>
                <w:kern w:val="0"/>
              </w:rPr>
              <w:t>吊销适任证书</w:t>
            </w:r>
          </w:p>
        </w:tc>
      </w:tr>
    </w:tbl>
    <w:p w14:paraId="1F4DBE34">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34"/>
        <w:gridCol w:w="1559"/>
        <w:gridCol w:w="1075"/>
        <w:gridCol w:w="3461"/>
        <w:gridCol w:w="5361"/>
        <w:gridCol w:w="3569"/>
        <w:gridCol w:w="3028"/>
      </w:tblGrid>
      <w:tr w14:paraId="509F2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8" w:type="dxa"/>
            <w:vMerge w:val="restart"/>
            <w:vAlign w:val="center"/>
          </w:tcPr>
          <w:p w14:paraId="7CE2F5A2">
            <w:pPr>
              <w:spacing w:line="240" w:lineRule="exact"/>
              <w:jc w:val="center"/>
              <w:rPr>
                <w:rFonts w:ascii="宋体"/>
                <w:b/>
                <w:kern w:val="0"/>
              </w:rPr>
            </w:pPr>
            <w:r>
              <w:rPr>
                <w:rFonts w:hint="eastAsia" w:ascii="宋体"/>
                <w:b/>
                <w:kern w:val="0"/>
              </w:rPr>
              <w:t>案由23</w:t>
            </w:r>
          </w:p>
        </w:tc>
        <w:tc>
          <w:tcPr>
            <w:tcW w:w="2693" w:type="dxa"/>
            <w:gridSpan w:val="2"/>
            <w:vAlign w:val="center"/>
          </w:tcPr>
          <w:p w14:paraId="3169A5D4">
            <w:pPr>
              <w:spacing w:line="240" w:lineRule="exact"/>
              <w:jc w:val="center"/>
              <w:rPr>
                <w:rFonts w:ascii="宋体"/>
                <w:b/>
                <w:kern w:val="0"/>
              </w:rPr>
            </w:pPr>
            <w:r>
              <w:rPr>
                <w:rFonts w:hint="eastAsia" w:ascii="宋体"/>
                <w:b/>
                <w:kern w:val="0"/>
              </w:rPr>
              <w:t>法律依据</w:t>
            </w:r>
          </w:p>
        </w:tc>
        <w:tc>
          <w:tcPr>
            <w:tcW w:w="1075" w:type="dxa"/>
            <w:vMerge w:val="restart"/>
            <w:vAlign w:val="center"/>
          </w:tcPr>
          <w:p w14:paraId="3F92C90A">
            <w:pPr>
              <w:spacing w:line="240" w:lineRule="exact"/>
              <w:jc w:val="center"/>
              <w:rPr>
                <w:rFonts w:ascii="宋体"/>
                <w:b/>
                <w:kern w:val="0"/>
              </w:rPr>
            </w:pPr>
            <w:r>
              <w:rPr>
                <w:rFonts w:hint="eastAsia" w:ascii="宋体"/>
                <w:b/>
                <w:kern w:val="0"/>
              </w:rPr>
              <w:t>违法情节</w:t>
            </w:r>
          </w:p>
        </w:tc>
        <w:tc>
          <w:tcPr>
            <w:tcW w:w="3461" w:type="dxa"/>
            <w:vMerge w:val="restart"/>
            <w:vAlign w:val="center"/>
          </w:tcPr>
          <w:p w14:paraId="6A32F06B">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5D6A562D">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0AFA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08" w:type="dxa"/>
            <w:vMerge w:val="continue"/>
            <w:vAlign w:val="center"/>
          </w:tcPr>
          <w:p w14:paraId="1946EDD3">
            <w:pPr>
              <w:spacing w:line="240" w:lineRule="exact"/>
              <w:jc w:val="center"/>
              <w:rPr>
                <w:rFonts w:ascii="宋体"/>
                <w:b/>
                <w:kern w:val="0"/>
              </w:rPr>
            </w:pPr>
          </w:p>
        </w:tc>
        <w:tc>
          <w:tcPr>
            <w:tcW w:w="1134" w:type="dxa"/>
            <w:vAlign w:val="center"/>
          </w:tcPr>
          <w:p w14:paraId="0FCB70AB">
            <w:pPr>
              <w:spacing w:line="240" w:lineRule="exact"/>
              <w:jc w:val="center"/>
              <w:rPr>
                <w:rFonts w:ascii="宋体"/>
                <w:b/>
                <w:kern w:val="0"/>
              </w:rPr>
            </w:pPr>
            <w:r>
              <w:rPr>
                <w:rFonts w:hint="eastAsia" w:ascii="宋体"/>
                <w:b/>
                <w:kern w:val="0"/>
              </w:rPr>
              <w:t>违反条款</w:t>
            </w:r>
          </w:p>
        </w:tc>
        <w:tc>
          <w:tcPr>
            <w:tcW w:w="1559" w:type="dxa"/>
            <w:vAlign w:val="center"/>
          </w:tcPr>
          <w:p w14:paraId="7AE5910B">
            <w:pPr>
              <w:spacing w:line="240" w:lineRule="exact"/>
              <w:jc w:val="center"/>
              <w:rPr>
                <w:rFonts w:ascii="宋体"/>
                <w:b/>
                <w:kern w:val="0"/>
              </w:rPr>
            </w:pPr>
            <w:r>
              <w:rPr>
                <w:rFonts w:hint="eastAsia" w:ascii="宋体"/>
                <w:b/>
                <w:kern w:val="0"/>
              </w:rPr>
              <w:t>处罚依据</w:t>
            </w:r>
          </w:p>
        </w:tc>
        <w:tc>
          <w:tcPr>
            <w:tcW w:w="1075" w:type="dxa"/>
            <w:vMerge w:val="continue"/>
            <w:vAlign w:val="center"/>
          </w:tcPr>
          <w:p w14:paraId="2E0A96DB">
            <w:pPr>
              <w:spacing w:line="240" w:lineRule="exact"/>
              <w:jc w:val="center"/>
              <w:rPr>
                <w:rFonts w:ascii="宋体"/>
                <w:b/>
                <w:kern w:val="0"/>
              </w:rPr>
            </w:pPr>
          </w:p>
        </w:tc>
        <w:tc>
          <w:tcPr>
            <w:tcW w:w="3461" w:type="dxa"/>
            <w:vMerge w:val="continue"/>
            <w:vAlign w:val="center"/>
          </w:tcPr>
          <w:p w14:paraId="13BC94B3">
            <w:pPr>
              <w:spacing w:line="240" w:lineRule="exact"/>
              <w:jc w:val="center"/>
              <w:rPr>
                <w:rFonts w:ascii="宋体"/>
                <w:b/>
                <w:kern w:val="0"/>
              </w:rPr>
            </w:pPr>
          </w:p>
        </w:tc>
        <w:tc>
          <w:tcPr>
            <w:tcW w:w="5361" w:type="dxa"/>
            <w:vAlign w:val="center"/>
          </w:tcPr>
          <w:p w14:paraId="6B7D0FA1">
            <w:pPr>
              <w:spacing w:line="240" w:lineRule="exact"/>
              <w:jc w:val="center"/>
              <w:rPr>
                <w:rFonts w:ascii="宋体"/>
                <w:b/>
                <w:kern w:val="0"/>
              </w:rPr>
            </w:pPr>
            <w:r>
              <w:rPr>
                <w:rFonts w:hint="eastAsia" w:ascii="宋体"/>
                <w:b/>
                <w:kern w:val="0"/>
              </w:rPr>
              <w:t>【对象】对船舶的所有人、经营人或者管理人</w:t>
            </w:r>
          </w:p>
        </w:tc>
        <w:tc>
          <w:tcPr>
            <w:tcW w:w="3569" w:type="dxa"/>
            <w:vAlign w:val="center"/>
          </w:tcPr>
          <w:p w14:paraId="588096CB">
            <w:pPr>
              <w:spacing w:line="240" w:lineRule="exact"/>
              <w:jc w:val="center"/>
              <w:rPr>
                <w:rFonts w:ascii="宋体"/>
                <w:b/>
                <w:kern w:val="0"/>
              </w:rPr>
            </w:pPr>
            <w:r>
              <w:rPr>
                <w:rFonts w:hint="eastAsia" w:ascii="宋体"/>
                <w:b/>
                <w:kern w:val="0"/>
              </w:rPr>
              <w:t>【对象】船长</w:t>
            </w:r>
          </w:p>
        </w:tc>
        <w:tc>
          <w:tcPr>
            <w:tcW w:w="3028" w:type="dxa"/>
            <w:vAlign w:val="center"/>
          </w:tcPr>
          <w:p w14:paraId="1B6B6F8D">
            <w:pPr>
              <w:spacing w:line="240" w:lineRule="exact"/>
              <w:jc w:val="center"/>
              <w:rPr>
                <w:rFonts w:ascii="宋体"/>
                <w:b/>
                <w:kern w:val="0"/>
              </w:rPr>
            </w:pPr>
            <w:r>
              <w:rPr>
                <w:rFonts w:hint="eastAsia" w:ascii="宋体"/>
                <w:b/>
                <w:kern w:val="0"/>
              </w:rPr>
              <w:t>【对象】责任船员</w:t>
            </w:r>
          </w:p>
        </w:tc>
      </w:tr>
      <w:tr w14:paraId="7643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8" w:type="dxa"/>
            <w:vMerge w:val="restart"/>
            <w:vAlign w:val="center"/>
          </w:tcPr>
          <w:p w14:paraId="3B17C0B4">
            <w:pPr>
              <w:widowControl/>
              <w:spacing w:line="240" w:lineRule="exact"/>
              <w:jc w:val="left"/>
              <w:rPr>
                <w:rFonts w:ascii="宋体"/>
                <w:b/>
                <w:kern w:val="0"/>
              </w:rPr>
            </w:pPr>
            <w:r>
              <w:rPr>
                <w:rFonts w:hint="eastAsia" w:ascii="宋体"/>
                <w:bCs/>
                <w:kern w:val="0"/>
              </w:rPr>
              <w:t>拖带移动式平台、浮船坞等大型海上设施未依法交验船舶检验机构出具的拖航检验证书</w:t>
            </w:r>
          </w:p>
        </w:tc>
        <w:tc>
          <w:tcPr>
            <w:tcW w:w="1134" w:type="dxa"/>
            <w:vMerge w:val="restart"/>
            <w:vAlign w:val="center"/>
          </w:tcPr>
          <w:p w14:paraId="60552E4A">
            <w:pPr>
              <w:widowControl/>
              <w:spacing w:line="240" w:lineRule="exact"/>
              <w:jc w:val="left"/>
              <w:rPr>
                <w:rFonts w:ascii="宋体"/>
                <w:kern w:val="0"/>
              </w:rPr>
            </w:pPr>
            <w:r>
              <w:rPr>
                <w:rFonts w:hint="eastAsia" w:ascii="宋体"/>
                <w:kern w:val="0"/>
              </w:rPr>
              <w:t>1.《中华人民共和国海上交通安全法》第四十五条；</w:t>
            </w:r>
          </w:p>
          <w:p w14:paraId="0A86356C">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1D6AD2F9">
            <w:pPr>
              <w:spacing w:line="240" w:lineRule="exact"/>
              <w:jc w:val="left"/>
              <w:rPr>
                <w:rFonts w:ascii="宋体"/>
                <w:kern w:val="0"/>
              </w:rPr>
            </w:pPr>
            <w:r>
              <w:rPr>
                <w:rFonts w:hint="eastAsia" w:ascii="宋体"/>
                <w:kern w:val="0"/>
              </w:rPr>
              <w:t>1.《中华人民共和国海上交通安全法》第一百零三条第（八）项、《中华人民共和国海上海事行政处罚规定》第十八条第（八）项。</w:t>
            </w:r>
          </w:p>
          <w:p w14:paraId="441B5954">
            <w:pPr>
              <w:spacing w:line="240" w:lineRule="exact"/>
              <w:jc w:val="left"/>
              <w:rPr>
                <w:rFonts w:ascii="宋体"/>
                <w:kern w:val="0"/>
              </w:rPr>
            </w:pPr>
            <w:r>
              <w:rPr>
                <w:rFonts w:hint="eastAsia" w:ascii="宋体"/>
                <w:kern w:val="0"/>
              </w:rPr>
              <w:t>2. 《中华人民共和国海上海事行政处罚规定》第七条。</w:t>
            </w:r>
          </w:p>
        </w:tc>
        <w:tc>
          <w:tcPr>
            <w:tcW w:w="1075" w:type="dxa"/>
            <w:vAlign w:val="center"/>
          </w:tcPr>
          <w:p w14:paraId="2873B6EA">
            <w:pPr>
              <w:spacing w:line="240" w:lineRule="exact"/>
              <w:jc w:val="center"/>
              <w:rPr>
                <w:rFonts w:ascii="宋体"/>
                <w:kern w:val="0"/>
              </w:rPr>
            </w:pPr>
            <w:r>
              <w:rPr>
                <w:rFonts w:hint="eastAsia" w:ascii="宋体"/>
                <w:kern w:val="0"/>
              </w:rPr>
              <w:t>从轻</w:t>
            </w:r>
          </w:p>
        </w:tc>
        <w:tc>
          <w:tcPr>
            <w:tcW w:w="3461" w:type="dxa"/>
            <w:vAlign w:val="center"/>
          </w:tcPr>
          <w:p w14:paraId="12B19FDA">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61" w:type="dxa"/>
            <w:vAlign w:val="center"/>
          </w:tcPr>
          <w:p w14:paraId="3751B8C4">
            <w:pPr>
              <w:spacing w:line="240" w:lineRule="atLeast"/>
              <w:jc w:val="center"/>
              <w:rPr>
                <w:rFonts w:ascii="宋体"/>
                <w:kern w:val="0"/>
              </w:rPr>
            </w:pPr>
            <w:r>
              <w:rPr>
                <w:rFonts w:hint="eastAsia" w:ascii="宋体"/>
                <w:kern w:val="0"/>
              </w:rPr>
              <w:t>2-3万元</w:t>
            </w:r>
          </w:p>
        </w:tc>
        <w:tc>
          <w:tcPr>
            <w:tcW w:w="3569" w:type="dxa"/>
            <w:vAlign w:val="center"/>
          </w:tcPr>
          <w:p w14:paraId="443F4A3B">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53617C5D">
            <w:pPr>
              <w:spacing w:line="240" w:lineRule="atLeast"/>
              <w:jc w:val="center"/>
              <w:rPr>
                <w:rFonts w:ascii="宋体"/>
                <w:kern w:val="0"/>
              </w:rPr>
            </w:pPr>
            <w:r>
              <w:rPr>
                <w:rFonts w:hint="eastAsia" w:ascii="宋体"/>
                <w:kern w:val="0"/>
              </w:rPr>
              <w:t>2000-4000元、并暂扣适任证书3个月至4个月</w:t>
            </w:r>
          </w:p>
        </w:tc>
      </w:tr>
      <w:tr w14:paraId="56F57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08" w:type="dxa"/>
            <w:vMerge w:val="continue"/>
            <w:vAlign w:val="center"/>
          </w:tcPr>
          <w:p w14:paraId="2C135898">
            <w:pPr>
              <w:spacing w:line="240" w:lineRule="exact"/>
              <w:jc w:val="center"/>
              <w:rPr>
                <w:rFonts w:ascii="宋体"/>
                <w:kern w:val="0"/>
              </w:rPr>
            </w:pPr>
          </w:p>
        </w:tc>
        <w:tc>
          <w:tcPr>
            <w:tcW w:w="1134" w:type="dxa"/>
            <w:vMerge w:val="continue"/>
            <w:vAlign w:val="center"/>
          </w:tcPr>
          <w:p w14:paraId="0F85C919">
            <w:pPr>
              <w:widowControl/>
              <w:spacing w:line="240" w:lineRule="exact"/>
              <w:jc w:val="center"/>
              <w:rPr>
                <w:rFonts w:ascii="宋体"/>
                <w:kern w:val="0"/>
              </w:rPr>
            </w:pPr>
          </w:p>
        </w:tc>
        <w:tc>
          <w:tcPr>
            <w:tcW w:w="1559" w:type="dxa"/>
            <w:vMerge w:val="continue"/>
            <w:vAlign w:val="center"/>
          </w:tcPr>
          <w:p w14:paraId="2D25FB52">
            <w:pPr>
              <w:spacing w:line="240" w:lineRule="exact"/>
              <w:jc w:val="center"/>
              <w:rPr>
                <w:rFonts w:ascii="宋体"/>
                <w:kern w:val="0"/>
              </w:rPr>
            </w:pPr>
          </w:p>
        </w:tc>
        <w:tc>
          <w:tcPr>
            <w:tcW w:w="1075" w:type="dxa"/>
            <w:vMerge w:val="restart"/>
            <w:vAlign w:val="center"/>
          </w:tcPr>
          <w:p w14:paraId="7260AC83">
            <w:pPr>
              <w:spacing w:line="240" w:lineRule="exact"/>
              <w:jc w:val="center"/>
              <w:rPr>
                <w:rFonts w:ascii="宋体"/>
                <w:kern w:val="0"/>
              </w:rPr>
            </w:pPr>
            <w:r>
              <w:rPr>
                <w:rFonts w:hint="eastAsia" w:ascii="宋体"/>
                <w:kern w:val="0"/>
              </w:rPr>
              <w:t>一般</w:t>
            </w:r>
          </w:p>
        </w:tc>
        <w:tc>
          <w:tcPr>
            <w:tcW w:w="3461" w:type="dxa"/>
            <w:vAlign w:val="center"/>
          </w:tcPr>
          <w:p w14:paraId="36B6C58B">
            <w:pPr>
              <w:widowControl/>
              <w:spacing w:line="240" w:lineRule="exact"/>
              <w:jc w:val="left"/>
              <w:rPr>
                <w:rFonts w:ascii="宋体"/>
                <w:kern w:val="0"/>
              </w:rPr>
            </w:pPr>
            <w:r>
              <w:rPr>
                <w:rFonts w:hint="eastAsia" w:ascii="宋体"/>
                <w:kern w:val="0"/>
              </w:rPr>
              <w:t>起拖前已经申请拖航检验并合格，但尚未取适拖证书的</w:t>
            </w:r>
          </w:p>
        </w:tc>
        <w:tc>
          <w:tcPr>
            <w:tcW w:w="5361" w:type="dxa"/>
            <w:vAlign w:val="center"/>
          </w:tcPr>
          <w:p w14:paraId="125ECD5A">
            <w:pPr>
              <w:spacing w:line="240" w:lineRule="atLeast"/>
              <w:jc w:val="center"/>
              <w:rPr>
                <w:rFonts w:ascii="宋体"/>
                <w:kern w:val="0"/>
              </w:rPr>
            </w:pPr>
            <w:r>
              <w:rPr>
                <w:rFonts w:hint="eastAsia" w:ascii="宋体"/>
                <w:kern w:val="0"/>
              </w:rPr>
              <w:t>3-4万元</w:t>
            </w:r>
          </w:p>
        </w:tc>
        <w:tc>
          <w:tcPr>
            <w:tcW w:w="3569" w:type="dxa"/>
            <w:vAlign w:val="center"/>
          </w:tcPr>
          <w:p w14:paraId="7083857F">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68C5196A">
            <w:pPr>
              <w:spacing w:line="240" w:lineRule="atLeast"/>
              <w:jc w:val="center"/>
              <w:rPr>
                <w:rFonts w:ascii="宋体"/>
                <w:b/>
                <w:kern w:val="0"/>
              </w:rPr>
            </w:pPr>
            <w:r>
              <w:rPr>
                <w:rFonts w:hint="eastAsia" w:ascii="宋体"/>
                <w:kern w:val="0"/>
              </w:rPr>
              <w:t>4000元-6000、并暂扣适任证书3个月至4个月</w:t>
            </w:r>
          </w:p>
        </w:tc>
      </w:tr>
      <w:tr w14:paraId="2E35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08" w:type="dxa"/>
            <w:vMerge w:val="continue"/>
            <w:vAlign w:val="center"/>
          </w:tcPr>
          <w:p w14:paraId="18A3ACCF">
            <w:pPr>
              <w:spacing w:line="240" w:lineRule="exact"/>
              <w:jc w:val="center"/>
              <w:rPr>
                <w:rFonts w:ascii="宋体"/>
                <w:kern w:val="0"/>
              </w:rPr>
            </w:pPr>
          </w:p>
        </w:tc>
        <w:tc>
          <w:tcPr>
            <w:tcW w:w="1134" w:type="dxa"/>
            <w:vMerge w:val="continue"/>
            <w:vAlign w:val="center"/>
          </w:tcPr>
          <w:p w14:paraId="5DBE2FAB">
            <w:pPr>
              <w:widowControl/>
              <w:spacing w:line="240" w:lineRule="exact"/>
              <w:jc w:val="center"/>
              <w:rPr>
                <w:rFonts w:ascii="宋体"/>
                <w:kern w:val="0"/>
              </w:rPr>
            </w:pPr>
          </w:p>
        </w:tc>
        <w:tc>
          <w:tcPr>
            <w:tcW w:w="1559" w:type="dxa"/>
            <w:vMerge w:val="continue"/>
            <w:vAlign w:val="center"/>
          </w:tcPr>
          <w:p w14:paraId="646E724B">
            <w:pPr>
              <w:spacing w:line="240" w:lineRule="exact"/>
              <w:jc w:val="center"/>
              <w:rPr>
                <w:rFonts w:ascii="宋体"/>
                <w:kern w:val="0"/>
              </w:rPr>
            </w:pPr>
          </w:p>
        </w:tc>
        <w:tc>
          <w:tcPr>
            <w:tcW w:w="1075" w:type="dxa"/>
            <w:vMerge w:val="continue"/>
            <w:vAlign w:val="center"/>
          </w:tcPr>
          <w:p w14:paraId="5A62D265">
            <w:pPr>
              <w:spacing w:line="240" w:lineRule="exact"/>
              <w:jc w:val="center"/>
              <w:rPr>
                <w:rFonts w:ascii="宋体"/>
                <w:kern w:val="0"/>
              </w:rPr>
            </w:pPr>
          </w:p>
        </w:tc>
        <w:tc>
          <w:tcPr>
            <w:tcW w:w="3461" w:type="dxa"/>
            <w:vAlign w:val="center"/>
          </w:tcPr>
          <w:p w14:paraId="488E12E9">
            <w:pPr>
              <w:widowControl/>
              <w:spacing w:line="240" w:lineRule="exact"/>
              <w:jc w:val="left"/>
              <w:rPr>
                <w:rFonts w:ascii="宋体"/>
                <w:kern w:val="0"/>
              </w:rPr>
            </w:pPr>
            <w:r>
              <w:rPr>
                <w:rFonts w:hint="eastAsia" w:ascii="宋体"/>
                <w:kern w:val="0"/>
              </w:rPr>
              <w:t>未进行拖航检验的</w:t>
            </w:r>
          </w:p>
        </w:tc>
        <w:tc>
          <w:tcPr>
            <w:tcW w:w="5361" w:type="dxa"/>
            <w:vAlign w:val="center"/>
          </w:tcPr>
          <w:p w14:paraId="55C66A57">
            <w:pPr>
              <w:spacing w:line="240" w:lineRule="atLeast"/>
              <w:jc w:val="center"/>
              <w:rPr>
                <w:rFonts w:ascii="宋体"/>
                <w:kern w:val="0"/>
              </w:rPr>
            </w:pPr>
            <w:r>
              <w:rPr>
                <w:rFonts w:hint="eastAsia" w:ascii="宋体"/>
                <w:kern w:val="0"/>
              </w:rPr>
              <w:t>4-5万元</w:t>
            </w:r>
          </w:p>
        </w:tc>
        <w:tc>
          <w:tcPr>
            <w:tcW w:w="3569" w:type="dxa"/>
            <w:vAlign w:val="center"/>
          </w:tcPr>
          <w:p w14:paraId="60DCD1A3">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42DBBC89">
            <w:pPr>
              <w:spacing w:line="240" w:lineRule="atLeast"/>
              <w:jc w:val="center"/>
              <w:rPr>
                <w:rFonts w:ascii="宋体"/>
                <w:kern w:val="0"/>
              </w:rPr>
            </w:pPr>
            <w:r>
              <w:rPr>
                <w:rFonts w:hint="eastAsia" w:ascii="宋体"/>
                <w:kern w:val="0"/>
              </w:rPr>
              <w:t>6000元-1万元、并暂扣适任证书4个月至5个月</w:t>
            </w:r>
          </w:p>
        </w:tc>
      </w:tr>
      <w:tr w14:paraId="76C4B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08" w:type="dxa"/>
            <w:vMerge w:val="continue"/>
            <w:vAlign w:val="center"/>
          </w:tcPr>
          <w:p w14:paraId="126B796C">
            <w:pPr>
              <w:spacing w:line="240" w:lineRule="exact"/>
              <w:jc w:val="center"/>
              <w:rPr>
                <w:rFonts w:ascii="宋体"/>
                <w:kern w:val="0"/>
              </w:rPr>
            </w:pPr>
          </w:p>
        </w:tc>
        <w:tc>
          <w:tcPr>
            <w:tcW w:w="1134" w:type="dxa"/>
            <w:vMerge w:val="continue"/>
            <w:vAlign w:val="center"/>
          </w:tcPr>
          <w:p w14:paraId="5A8383CD">
            <w:pPr>
              <w:spacing w:line="240" w:lineRule="exact"/>
              <w:jc w:val="center"/>
              <w:rPr>
                <w:rFonts w:ascii="宋体"/>
                <w:kern w:val="0"/>
              </w:rPr>
            </w:pPr>
          </w:p>
        </w:tc>
        <w:tc>
          <w:tcPr>
            <w:tcW w:w="1559" w:type="dxa"/>
            <w:vMerge w:val="continue"/>
            <w:vAlign w:val="center"/>
          </w:tcPr>
          <w:p w14:paraId="6D942C8F">
            <w:pPr>
              <w:spacing w:line="240" w:lineRule="exact"/>
              <w:jc w:val="center"/>
              <w:rPr>
                <w:rFonts w:ascii="宋体"/>
                <w:kern w:val="0"/>
              </w:rPr>
            </w:pPr>
          </w:p>
        </w:tc>
        <w:tc>
          <w:tcPr>
            <w:tcW w:w="1075" w:type="dxa"/>
            <w:vMerge w:val="continue"/>
            <w:vAlign w:val="center"/>
          </w:tcPr>
          <w:p w14:paraId="24E07ABC">
            <w:pPr>
              <w:spacing w:line="240" w:lineRule="exact"/>
              <w:jc w:val="center"/>
              <w:rPr>
                <w:rFonts w:ascii="宋体"/>
                <w:kern w:val="0"/>
              </w:rPr>
            </w:pPr>
          </w:p>
        </w:tc>
        <w:tc>
          <w:tcPr>
            <w:tcW w:w="3461" w:type="dxa"/>
            <w:vAlign w:val="center"/>
          </w:tcPr>
          <w:p w14:paraId="6E1A6648">
            <w:pPr>
              <w:spacing w:line="240" w:lineRule="exact"/>
              <w:jc w:val="left"/>
              <w:rPr>
                <w:rFonts w:ascii="宋体"/>
              </w:rPr>
            </w:pPr>
            <w:r>
              <w:rPr>
                <w:rFonts w:hint="eastAsia" w:ascii="宋体"/>
              </w:rPr>
              <w:t>1.未进行拖航检验的且连续拖带时间超过24小时；</w:t>
            </w:r>
          </w:p>
          <w:p w14:paraId="6D5D07EA">
            <w:pPr>
              <w:spacing w:line="240" w:lineRule="exact"/>
              <w:jc w:val="left"/>
              <w:rPr>
                <w:rFonts w:ascii="宋体"/>
              </w:rPr>
            </w:pPr>
            <w:r>
              <w:rPr>
                <w:rFonts w:hint="eastAsia" w:ascii="宋体"/>
              </w:rPr>
              <w:t>2.造成一般事故或险情的；</w:t>
            </w:r>
          </w:p>
          <w:p w14:paraId="2F6FF32A">
            <w:pPr>
              <w:spacing w:line="240" w:lineRule="exact"/>
              <w:jc w:val="left"/>
              <w:rPr>
                <w:rFonts w:ascii="宋体"/>
              </w:rPr>
            </w:pPr>
            <w:r>
              <w:rPr>
                <w:rFonts w:hint="eastAsia" w:ascii="宋体"/>
              </w:rPr>
              <w:t>3.具有其他较重情节的。</w:t>
            </w:r>
          </w:p>
        </w:tc>
        <w:tc>
          <w:tcPr>
            <w:tcW w:w="5361" w:type="dxa"/>
            <w:vAlign w:val="center"/>
          </w:tcPr>
          <w:p w14:paraId="73FEBCDF">
            <w:pPr>
              <w:spacing w:line="240" w:lineRule="atLeast"/>
              <w:jc w:val="center"/>
              <w:rPr>
                <w:rFonts w:ascii="宋体"/>
                <w:kern w:val="0"/>
              </w:rPr>
            </w:pPr>
            <w:r>
              <w:rPr>
                <w:rFonts w:hint="eastAsia" w:ascii="宋体"/>
                <w:kern w:val="0"/>
              </w:rPr>
              <w:t>5-10万元</w:t>
            </w:r>
          </w:p>
        </w:tc>
        <w:tc>
          <w:tcPr>
            <w:tcW w:w="3569" w:type="dxa"/>
            <w:vAlign w:val="center"/>
          </w:tcPr>
          <w:p w14:paraId="04970A4C">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7937BC03">
            <w:pPr>
              <w:spacing w:line="240" w:lineRule="atLeast"/>
              <w:jc w:val="center"/>
              <w:rPr>
                <w:rFonts w:ascii="宋体"/>
                <w:kern w:val="0"/>
              </w:rPr>
            </w:pPr>
            <w:r>
              <w:rPr>
                <w:rFonts w:hint="eastAsia" w:ascii="宋体"/>
                <w:kern w:val="0"/>
              </w:rPr>
              <w:t>1-2万元、并暂扣适任证书5个月至12个月</w:t>
            </w:r>
          </w:p>
        </w:tc>
      </w:tr>
      <w:tr w14:paraId="5B900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08" w:type="dxa"/>
            <w:vMerge w:val="continue"/>
            <w:vAlign w:val="center"/>
          </w:tcPr>
          <w:p w14:paraId="73D8E3AB">
            <w:pPr>
              <w:spacing w:line="240" w:lineRule="exact"/>
              <w:jc w:val="center"/>
              <w:rPr>
                <w:rFonts w:ascii="宋体"/>
                <w:kern w:val="0"/>
              </w:rPr>
            </w:pPr>
          </w:p>
        </w:tc>
        <w:tc>
          <w:tcPr>
            <w:tcW w:w="1134" w:type="dxa"/>
            <w:vMerge w:val="continue"/>
            <w:vAlign w:val="center"/>
          </w:tcPr>
          <w:p w14:paraId="246500C0">
            <w:pPr>
              <w:spacing w:line="240" w:lineRule="exact"/>
              <w:jc w:val="center"/>
              <w:rPr>
                <w:rFonts w:ascii="宋体"/>
                <w:kern w:val="0"/>
              </w:rPr>
            </w:pPr>
          </w:p>
        </w:tc>
        <w:tc>
          <w:tcPr>
            <w:tcW w:w="1559" w:type="dxa"/>
            <w:vMerge w:val="continue"/>
            <w:vAlign w:val="center"/>
          </w:tcPr>
          <w:p w14:paraId="00E0F15A">
            <w:pPr>
              <w:spacing w:line="240" w:lineRule="exact"/>
              <w:jc w:val="center"/>
              <w:rPr>
                <w:rFonts w:ascii="宋体"/>
                <w:kern w:val="0"/>
              </w:rPr>
            </w:pPr>
          </w:p>
        </w:tc>
        <w:tc>
          <w:tcPr>
            <w:tcW w:w="1075" w:type="dxa"/>
            <w:vAlign w:val="center"/>
          </w:tcPr>
          <w:p w14:paraId="1E06AE5A">
            <w:pPr>
              <w:spacing w:line="240" w:lineRule="exact"/>
              <w:jc w:val="center"/>
              <w:rPr>
                <w:rFonts w:ascii="宋体"/>
                <w:kern w:val="0"/>
              </w:rPr>
            </w:pPr>
            <w:r>
              <w:rPr>
                <w:rFonts w:hint="eastAsia" w:ascii="宋体"/>
                <w:kern w:val="0"/>
              </w:rPr>
              <w:t>情节严重</w:t>
            </w:r>
          </w:p>
        </w:tc>
        <w:tc>
          <w:tcPr>
            <w:tcW w:w="3461" w:type="dxa"/>
            <w:vAlign w:val="center"/>
          </w:tcPr>
          <w:p w14:paraId="52DDB7AD">
            <w:pPr>
              <w:spacing w:line="240" w:lineRule="exact"/>
              <w:jc w:val="left"/>
              <w:rPr>
                <w:rFonts w:ascii="宋体"/>
              </w:rPr>
            </w:pPr>
            <w:r>
              <w:rPr>
                <w:rFonts w:hint="eastAsia" w:ascii="宋体"/>
              </w:rPr>
              <w:t>1.造成较大等级以上事故的；</w:t>
            </w:r>
          </w:p>
          <w:p w14:paraId="0BCD4DFD">
            <w:pPr>
              <w:spacing w:line="240" w:lineRule="exact"/>
              <w:jc w:val="left"/>
              <w:rPr>
                <w:rFonts w:ascii="宋体"/>
                <w:kern w:val="0"/>
              </w:rPr>
            </w:pPr>
            <w:r>
              <w:rPr>
                <w:rFonts w:hint="eastAsia" w:ascii="宋体"/>
              </w:rPr>
              <w:t>2.具有其他严重情节的。</w:t>
            </w:r>
          </w:p>
        </w:tc>
        <w:tc>
          <w:tcPr>
            <w:tcW w:w="5361" w:type="dxa"/>
            <w:vAlign w:val="center"/>
          </w:tcPr>
          <w:p w14:paraId="7A6ADDC8">
            <w:pPr>
              <w:spacing w:line="240" w:lineRule="atLeast"/>
              <w:jc w:val="center"/>
              <w:rPr>
                <w:rFonts w:ascii="宋体"/>
                <w:kern w:val="0"/>
              </w:rPr>
            </w:pPr>
            <w:r>
              <w:rPr>
                <w:rFonts w:hint="eastAsia" w:ascii="宋体"/>
                <w:kern w:val="0"/>
              </w:rPr>
              <w:t>10-20万元</w:t>
            </w:r>
          </w:p>
        </w:tc>
        <w:tc>
          <w:tcPr>
            <w:tcW w:w="3569" w:type="dxa"/>
            <w:vAlign w:val="center"/>
          </w:tcPr>
          <w:p w14:paraId="79E82F35">
            <w:pPr>
              <w:spacing w:line="240" w:lineRule="atLeast"/>
              <w:jc w:val="center"/>
              <w:rPr>
                <w:rFonts w:ascii="宋体"/>
                <w:kern w:val="0"/>
              </w:rPr>
            </w:pPr>
            <w:r>
              <w:rPr>
                <w:rFonts w:hint="eastAsia" w:ascii="宋体"/>
                <w:kern w:val="0"/>
              </w:rPr>
              <w:t>吊销适任证书</w:t>
            </w:r>
          </w:p>
        </w:tc>
        <w:tc>
          <w:tcPr>
            <w:tcW w:w="3028" w:type="dxa"/>
            <w:vAlign w:val="center"/>
          </w:tcPr>
          <w:p w14:paraId="2828F946">
            <w:pPr>
              <w:spacing w:line="240" w:lineRule="atLeast"/>
              <w:jc w:val="center"/>
              <w:rPr>
                <w:rFonts w:ascii="宋体"/>
                <w:kern w:val="0"/>
              </w:rPr>
            </w:pPr>
            <w:r>
              <w:rPr>
                <w:rFonts w:hint="eastAsia" w:ascii="宋体"/>
                <w:kern w:val="0"/>
              </w:rPr>
              <w:t>吊销适任证书</w:t>
            </w:r>
          </w:p>
        </w:tc>
      </w:tr>
    </w:tbl>
    <w:p w14:paraId="5E076522">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1245"/>
        <w:gridCol w:w="1460"/>
        <w:gridCol w:w="1105"/>
        <w:gridCol w:w="3430"/>
        <w:gridCol w:w="5862"/>
        <w:gridCol w:w="3065"/>
        <w:gridCol w:w="3032"/>
      </w:tblGrid>
      <w:tr w14:paraId="6794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6" w:type="dxa"/>
            <w:vMerge w:val="restart"/>
            <w:vAlign w:val="center"/>
          </w:tcPr>
          <w:p w14:paraId="025C8658">
            <w:pPr>
              <w:spacing w:line="240" w:lineRule="exact"/>
              <w:jc w:val="center"/>
              <w:rPr>
                <w:rFonts w:ascii="宋体"/>
                <w:b/>
                <w:kern w:val="0"/>
              </w:rPr>
            </w:pPr>
            <w:r>
              <w:rPr>
                <w:rFonts w:hint="eastAsia" w:ascii="宋体"/>
                <w:b/>
                <w:kern w:val="0"/>
              </w:rPr>
              <w:t>案由24</w:t>
            </w:r>
          </w:p>
        </w:tc>
        <w:tc>
          <w:tcPr>
            <w:tcW w:w="2705" w:type="dxa"/>
            <w:gridSpan w:val="2"/>
            <w:vAlign w:val="center"/>
          </w:tcPr>
          <w:p w14:paraId="1E89C2A7">
            <w:pPr>
              <w:spacing w:line="240" w:lineRule="exact"/>
              <w:jc w:val="center"/>
              <w:rPr>
                <w:rFonts w:ascii="宋体"/>
                <w:b/>
                <w:kern w:val="0"/>
              </w:rPr>
            </w:pPr>
            <w:r>
              <w:rPr>
                <w:rFonts w:hint="eastAsia" w:ascii="宋体"/>
                <w:b/>
                <w:kern w:val="0"/>
              </w:rPr>
              <w:t>法律依据</w:t>
            </w:r>
          </w:p>
        </w:tc>
        <w:tc>
          <w:tcPr>
            <w:tcW w:w="1105" w:type="dxa"/>
            <w:vMerge w:val="restart"/>
            <w:vAlign w:val="center"/>
          </w:tcPr>
          <w:p w14:paraId="324E4D2C">
            <w:pPr>
              <w:spacing w:line="240" w:lineRule="exact"/>
              <w:jc w:val="center"/>
              <w:rPr>
                <w:rFonts w:ascii="宋体"/>
                <w:b/>
                <w:kern w:val="0"/>
              </w:rPr>
            </w:pPr>
            <w:r>
              <w:rPr>
                <w:rFonts w:hint="eastAsia" w:ascii="宋体"/>
                <w:b/>
                <w:kern w:val="0"/>
              </w:rPr>
              <w:t>违法情节</w:t>
            </w:r>
          </w:p>
        </w:tc>
        <w:tc>
          <w:tcPr>
            <w:tcW w:w="3430" w:type="dxa"/>
            <w:vMerge w:val="restart"/>
            <w:vAlign w:val="center"/>
          </w:tcPr>
          <w:p w14:paraId="3803C055">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308D82A3">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53770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6" w:type="dxa"/>
            <w:vMerge w:val="continue"/>
            <w:vAlign w:val="center"/>
          </w:tcPr>
          <w:p w14:paraId="504177BA">
            <w:pPr>
              <w:spacing w:line="240" w:lineRule="exact"/>
              <w:jc w:val="center"/>
              <w:rPr>
                <w:rFonts w:ascii="宋体"/>
                <w:b/>
                <w:kern w:val="0"/>
              </w:rPr>
            </w:pPr>
          </w:p>
        </w:tc>
        <w:tc>
          <w:tcPr>
            <w:tcW w:w="1245" w:type="dxa"/>
            <w:vAlign w:val="center"/>
          </w:tcPr>
          <w:p w14:paraId="4097B92B">
            <w:pPr>
              <w:spacing w:line="240" w:lineRule="exact"/>
              <w:jc w:val="center"/>
              <w:rPr>
                <w:rFonts w:ascii="宋体"/>
                <w:b/>
                <w:kern w:val="0"/>
              </w:rPr>
            </w:pPr>
            <w:r>
              <w:rPr>
                <w:rFonts w:hint="eastAsia" w:ascii="宋体"/>
                <w:b/>
                <w:kern w:val="0"/>
              </w:rPr>
              <w:t>违反条款</w:t>
            </w:r>
          </w:p>
        </w:tc>
        <w:tc>
          <w:tcPr>
            <w:tcW w:w="1460" w:type="dxa"/>
            <w:vAlign w:val="center"/>
          </w:tcPr>
          <w:p w14:paraId="6A0F130F">
            <w:pPr>
              <w:spacing w:line="240" w:lineRule="exact"/>
              <w:jc w:val="center"/>
              <w:rPr>
                <w:rFonts w:ascii="宋体"/>
                <w:b/>
                <w:kern w:val="0"/>
              </w:rPr>
            </w:pPr>
            <w:r>
              <w:rPr>
                <w:rFonts w:hint="eastAsia" w:ascii="宋体"/>
                <w:b/>
                <w:kern w:val="0"/>
              </w:rPr>
              <w:t>处罚依据</w:t>
            </w:r>
          </w:p>
        </w:tc>
        <w:tc>
          <w:tcPr>
            <w:tcW w:w="1105" w:type="dxa"/>
            <w:vMerge w:val="continue"/>
            <w:vAlign w:val="center"/>
          </w:tcPr>
          <w:p w14:paraId="5CC88635">
            <w:pPr>
              <w:spacing w:line="240" w:lineRule="exact"/>
              <w:jc w:val="center"/>
              <w:rPr>
                <w:rFonts w:ascii="宋体"/>
                <w:b/>
                <w:kern w:val="0"/>
              </w:rPr>
            </w:pPr>
          </w:p>
        </w:tc>
        <w:tc>
          <w:tcPr>
            <w:tcW w:w="3430" w:type="dxa"/>
            <w:vMerge w:val="continue"/>
            <w:vAlign w:val="center"/>
          </w:tcPr>
          <w:p w14:paraId="3A7948EF">
            <w:pPr>
              <w:spacing w:line="240" w:lineRule="exact"/>
              <w:jc w:val="center"/>
              <w:rPr>
                <w:rFonts w:ascii="宋体"/>
                <w:b/>
                <w:kern w:val="0"/>
              </w:rPr>
            </w:pPr>
          </w:p>
        </w:tc>
        <w:tc>
          <w:tcPr>
            <w:tcW w:w="5862" w:type="dxa"/>
            <w:vAlign w:val="center"/>
          </w:tcPr>
          <w:p w14:paraId="43A9EBB8">
            <w:pPr>
              <w:spacing w:line="240" w:lineRule="exact"/>
              <w:jc w:val="center"/>
              <w:rPr>
                <w:rFonts w:ascii="宋体"/>
                <w:b/>
                <w:kern w:val="0"/>
              </w:rPr>
            </w:pPr>
            <w:r>
              <w:rPr>
                <w:rFonts w:hint="eastAsia" w:ascii="宋体"/>
                <w:b/>
                <w:kern w:val="0"/>
              </w:rPr>
              <w:t>【对象】对船舶的所有人、经营人或者管理人</w:t>
            </w:r>
          </w:p>
        </w:tc>
        <w:tc>
          <w:tcPr>
            <w:tcW w:w="3065" w:type="dxa"/>
            <w:vAlign w:val="center"/>
          </w:tcPr>
          <w:p w14:paraId="5CFC554B">
            <w:pPr>
              <w:spacing w:line="240" w:lineRule="exact"/>
              <w:jc w:val="center"/>
              <w:rPr>
                <w:rFonts w:ascii="宋体"/>
                <w:b/>
                <w:kern w:val="0"/>
              </w:rPr>
            </w:pPr>
            <w:r>
              <w:rPr>
                <w:rFonts w:hint="eastAsia" w:ascii="宋体"/>
                <w:b/>
                <w:kern w:val="0"/>
              </w:rPr>
              <w:t>【对象】船长</w:t>
            </w:r>
          </w:p>
        </w:tc>
        <w:tc>
          <w:tcPr>
            <w:tcW w:w="3032" w:type="dxa"/>
            <w:vAlign w:val="center"/>
          </w:tcPr>
          <w:p w14:paraId="211AE150">
            <w:pPr>
              <w:spacing w:line="240" w:lineRule="exact"/>
              <w:jc w:val="center"/>
              <w:rPr>
                <w:rFonts w:ascii="宋体"/>
                <w:b/>
                <w:kern w:val="0"/>
              </w:rPr>
            </w:pPr>
            <w:r>
              <w:rPr>
                <w:rFonts w:hint="eastAsia" w:ascii="宋体"/>
                <w:b/>
                <w:kern w:val="0"/>
              </w:rPr>
              <w:t>【对象】责任船员</w:t>
            </w:r>
          </w:p>
        </w:tc>
      </w:tr>
      <w:tr w14:paraId="525A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6" w:type="dxa"/>
            <w:vMerge w:val="restart"/>
            <w:vAlign w:val="center"/>
          </w:tcPr>
          <w:p w14:paraId="01AAAC53">
            <w:pPr>
              <w:widowControl/>
              <w:spacing w:line="240" w:lineRule="exact"/>
              <w:jc w:val="left"/>
              <w:rPr>
                <w:rFonts w:ascii="宋体"/>
                <w:b/>
                <w:kern w:val="0"/>
              </w:rPr>
            </w:pPr>
            <w:r>
              <w:rPr>
                <w:rFonts w:hint="eastAsia" w:ascii="宋体"/>
                <w:bCs/>
                <w:kern w:val="0"/>
              </w:rPr>
              <w:t>船舶在不符合安全条件的码头、泊位、装卸站、锚地、安全作业区停泊</w:t>
            </w:r>
          </w:p>
        </w:tc>
        <w:tc>
          <w:tcPr>
            <w:tcW w:w="1245" w:type="dxa"/>
            <w:vMerge w:val="restart"/>
            <w:vAlign w:val="center"/>
          </w:tcPr>
          <w:p w14:paraId="0F92BB81">
            <w:pPr>
              <w:widowControl/>
              <w:spacing w:line="240" w:lineRule="exact"/>
              <w:jc w:val="left"/>
              <w:rPr>
                <w:rFonts w:ascii="宋体"/>
                <w:kern w:val="0"/>
              </w:rPr>
            </w:pPr>
            <w:r>
              <w:rPr>
                <w:rFonts w:hint="eastAsia" w:ascii="宋体"/>
                <w:kern w:val="0"/>
              </w:rPr>
              <w:t>1.《中华人民共和国海上交通安全法》第四十七条第一款；</w:t>
            </w:r>
          </w:p>
          <w:p w14:paraId="437DF041">
            <w:pPr>
              <w:widowControl/>
              <w:spacing w:line="240" w:lineRule="exact"/>
              <w:jc w:val="left"/>
              <w:rPr>
                <w:rFonts w:ascii="宋体"/>
              </w:rPr>
            </w:pPr>
            <w:r>
              <w:rPr>
                <w:rFonts w:hint="eastAsia" w:ascii="宋体"/>
              </w:rPr>
              <w:t>2.其他法律、法规、规章等。</w:t>
            </w:r>
          </w:p>
        </w:tc>
        <w:tc>
          <w:tcPr>
            <w:tcW w:w="1460" w:type="dxa"/>
            <w:vMerge w:val="restart"/>
            <w:vAlign w:val="center"/>
          </w:tcPr>
          <w:p w14:paraId="67096C10">
            <w:pPr>
              <w:spacing w:line="240" w:lineRule="exact"/>
              <w:jc w:val="left"/>
              <w:rPr>
                <w:rFonts w:ascii="宋体"/>
                <w:kern w:val="0"/>
              </w:rPr>
            </w:pPr>
            <w:r>
              <w:rPr>
                <w:rFonts w:hint="eastAsia" w:ascii="宋体"/>
                <w:kern w:val="0"/>
              </w:rPr>
              <w:t>1.《中华人民共和国海上交通安全法》第一百零三条第（九）项、《中华人民共和国海上海事行政处罚规定》第十八条第（九）项。</w:t>
            </w:r>
          </w:p>
          <w:p w14:paraId="18F60D4A">
            <w:pPr>
              <w:spacing w:line="240" w:lineRule="exact"/>
              <w:jc w:val="left"/>
              <w:rPr>
                <w:rFonts w:ascii="宋体"/>
                <w:kern w:val="0"/>
              </w:rPr>
            </w:pPr>
            <w:r>
              <w:rPr>
                <w:rFonts w:hint="eastAsia" w:ascii="宋体"/>
                <w:kern w:val="0"/>
              </w:rPr>
              <w:t>2.《中华人民共和国海上海事行政处罚规定》第七条。</w:t>
            </w:r>
          </w:p>
        </w:tc>
        <w:tc>
          <w:tcPr>
            <w:tcW w:w="1105" w:type="dxa"/>
            <w:vAlign w:val="center"/>
          </w:tcPr>
          <w:p w14:paraId="0C5C4285">
            <w:pPr>
              <w:spacing w:line="240" w:lineRule="exact"/>
              <w:jc w:val="center"/>
              <w:rPr>
                <w:rFonts w:ascii="宋体"/>
                <w:kern w:val="0"/>
              </w:rPr>
            </w:pPr>
            <w:r>
              <w:rPr>
                <w:rFonts w:hint="eastAsia" w:ascii="宋体"/>
                <w:kern w:val="0"/>
              </w:rPr>
              <w:t>从轻</w:t>
            </w:r>
          </w:p>
        </w:tc>
        <w:tc>
          <w:tcPr>
            <w:tcW w:w="3430" w:type="dxa"/>
            <w:vAlign w:val="center"/>
          </w:tcPr>
          <w:p w14:paraId="0A753285">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62" w:type="dxa"/>
            <w:vAlign w:val="center"/>
          </w:tcPr>
          <w:p w14:paraId="77013F0D">
            <w:pPr>
              <w:spacing w:line="240" w:lineRule="atLeast"/>
              <w:jc w:val="center"/>
              <w:rPr>
                <w:rFonts w:ascii="宋体"/>
                <w:kern w:val="0"/>
              </w:rPr>
            </w:pPr>
            <w:r>
              <w:rPr>
                <w:rFonts w:hint="eastAsia" w:ascii="宋体"/>
                <w:kern w:val="0"/>
              </w:rPr>
              <w:t>2-3万元</w:t>
            </w:r>
          </w:p>
        </w:tc>
        <w:tc>
          <w:tcPr>
            <w:tcW w:w="3065" w:type="dxa"/>
            <w:vAlign w:val="center"/>
          </w:tcPr>
          <w:p w14:paraId="6B199458">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4353F209">
            <w:pPr>
              <w:spacing w:line="240" w:lineRule="atLeast"/>
              <w:jc w:val="center"/>
              <w:rPr>
                <w:rFonts w:ascii="宋体"/>
                <w:kern w:val="0"/>
              </w:rPr>
            </w:pPr>
            <w:r>
              <w:rPr>
                <w:rFonts w:hint="eastAsia" w:ascii="宋体"/>
                <w:kern w:val="0"/>
              </w:rPr>
              <w:t>2000-4000元、并暂扣适任证书3个月至4个月</w:t>
            </w:r>
          </w:p>
        </w:tc>
      </w:tr>
      <w:tr w14:paraId="1D781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6" w:type="dxa"/>
            <w:vMerge w:val="continue"/>
            <w:vAlign w:val="center"/>
          </w:tcPr>
          <w:p w14:paraId="7D426A9B">
            <w:pPr>
              <w:spacing w:line="240" w:lineRule="exact"/>
              <w:jc w:val="center"/>
              <w:rPr>
                <w:rFonts w:ascii="宋体"/>
                <w:kern w:val="0"/>
              </w:rPr>
            </w:pPr>
          </w:p>
        </w:tc>
        <w:tc>
          <w:tcPr>
            <w:tcW w:w="1245" w:type="dxa"/>
            <w:vMerge w:val="continue"/>
            <w:vAlign w:val="center"/>
          </w:tcPr>
          <w:p w14:paraId="5F80B8CC">
            <w:pPr>
              <w:widowControl/>
              <w:spacing w:line="240" w:lineRule="exact"/>
              <w:jc w:val="center"/>
              <w:rPr>
                <w:rFonts w:ascii="宋体"/>
                <w:kern w:val="0"/>
              </w:rPr>
            </w:pPr>
          </w:p>
        </w:tc>
        <w:tc>
          <w:tcPr>
            <w:tcW w:w="1460" w:type="dxa"/>
            <w:vMerge w:val="continue"/>
            <w:vAlign w:val="center"/>
          </w:tcPr>
          <w:p w14:paraId="29E9606F">
            <w:pPr>
              <w:spacing w:line="240" w:lineRule="exact"/>
              <w:jc w:val="center"/>
              <w:rPr>
                <w:rFonts w:ascii="宋体"/>
                <w:kern w:val="0"/>
              </w:rPr>
            </w:pPr>
          </w:p>
        </w:tc>
        <w:tc>
          <w:tcPr>
            <w:tcW w:w="1105" w:type="dxa"/>
            <w:vMerge w:val="restart"/>
            <w:vAlign w:val="center"/>
          </w:tcPr>
          <w:p w14:paraId="1D5E0FBA">
            <w:pPr>
              <w:spacing w:line="240" w:lineRule="exact"/>
              <w:jc w:val="center"/>
              <w:rPr>
                <w:rFonts w:ascii="宋体"/>
                <w:kern w:val="0"/>
              </w:rPr>
            </w:pPr>
            <w:r>
              <w:rPr>
                <w:rFonts w:hint="eastAsia" w:ascii="宋体"/>
                <w:kern w:val="0"/>
              </w:rPr>
              <w:t>一般</w:t>
            </w:r>
          </w:p>
        </w:tc>
        <w:tc>
          <w:tcPr>
            <w:tcW w:w="3430" w:type="dxa"/>
            <w:vAlign w:val="center"/>
          </w:tcPr>
          <w:p w14:paraId="123C180D">
            <w:pPr>
              <w:widowControl/>
              <w:spacing w:line="240" w:lineRule="exact"/>
              <w:jc w:val="left"/>
              <w:rPr>
                <w:rFonts w:ascii="宋体"/>
                <w:kern w:val="0"/>
              </w:rPr>
            </w:pPr>
            <w:r>
              <w:rPr>
                <w:rFonts w:hint="eastAsia" w:ascii="宋体"/>
                <w:kern w:val="0"/>
              </w:rPr>
              <w:t>一般船舶在不符合安全条件的码头、泊位、装卸站、锚地、安全作业区停泊的</w:t>
            </w:r>
          </w:p>
        </w:tc>
        <w:tc>
          <w:tcPr>
            <w:tcW w:w="5862" w:type="dxa"/>
            <w:vAlign w:val="center"/>
          </w:tcPr>
          <w:p w14:paraId="63CB5F32">
            <w:pPr>
              <w:spacing w:line="240" w:lineRule="atLeast"/>
              <w:jc w:val="center"/>
              <w:rPr>
                <w:rFonts w:ascii="宋体"/>
                <w:kern w:val="0"/>
              </w:rPr>
            </w:pPr>
            <w:r>
              <w:rPr>
                <w:rFonts w:hint="eastAsia" w:ascii="宋体"/>
                <w:kern w:val="0"/>
              </w:rPr>
              <w:t>3-4万元</w:t>
            </w:r>
          </w:p>
        </w:tc>
        <w:tc>
          <w:tcPr>
            <w:tcW w:w="3065" w:type="dxa"/>
            <w:vAlign w:val="center"/>
          </w:tcPr>
          <w:p w14:paraId="4B4411B1">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27FB6CD4">
            <w:pPr>
              <w:spacing w:line="240" w:lineRule="atLeast"/>
              <w:jc w:val="center"/>
              <w:rPr>
                <w:rFonts w:ascii="宋体"/>
                <w:b/>
                <w:kern w:val="0"/>
              </w:rPr>
            </w:pPr>
            <w:r>
              <w:rPr>
                <w:rFonts w:hint="eastAsia" w:ascii="宋体"/>
                <w:kern w:val="0"/>
              </w:rPr>
              <w:t>4000元-6000、并暂扣适任证书3个月至4个月</w:t>
            </w:r>
          </w:p>
        </w:tc>
      </w:tr>
      <w:tr w14:paraId="3A4C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896" w:type="dxa"/>
            <w:vMerge w:val="continue"/>
            <w:vAlign w:val="center"/>
          </w:tcPr>
          <w:p w14:paraId="6857BBA2">
            <w:pPr>
              <w:spacing w:line="240" w:lineRule="exact"/>
              <w:jc w:val="center"/>
              <w:rPr>
                <w:rFonts w:ascii="宋体"/>
                <w:kern w:val="0"/>
              </w:rPr>
            </w:pPr>
          </w:p>
        </w:tc>
        <w:tc>
          <w:tcPr>
            <w:tcW w:w="1245" w:type="dxa"/>
            <w:vMerge w:val="continue"/>
            <w:vAlign w:val="center"/>
          </w:tcPr>
          <w:p w14:paraId="176BF5AA">
            <w:pPr>
              <w:widowControl/>
              <w:spacing w:line="240" w:lineRule="exact"/>
              <w:jc w:val="center"/>
              <w:rPr>
                <w:rFonts w:ascii="宋体"/>
                <w:kern w:val="0"/>
              </w:rPr>
            </w:pPr>
          </w:p>
        </w:tc>
        <w:tc>
          <w:tcPr>
            <w:tcW w:w="1460" w:type="dxa"/>
            <w:vMerge w:val="continue"/>
            <w:vAlign w:val="center"/>
          </w:tcPr>
          <w:p w14:paraId="1D1A0500">
            <w:pPr>
              <w:spacing w:line="240" w:lineRule="exact"/>
              <w:jc w:val="center"/>
              <w:rPr>
                <w:rFonts w:ascii="宋体"/>
                <w:kern w:val="0"/>
              </w:rPr>
            </w:pPr>
          </w:p>
        </w:tc>
        <w:tc>
          <w:tcPr>
            <w:tcW w:w="1105" w:type="dxa"/>
            <w:vMerge w:val="continue"/>
            <w:vAlign w:val="center"/>
          </w:tcPr>
          <w:p w14:paraId="505EF83D">
            <w:pPr>
              <w:spacing w:line="240" w:lineRule="exact"/>
              <w:jc w:val="center"/>
              <w:rPr>
                <w:rFonts w:ascii="宋体"/>
                <w:kern w:val="0"/>
              </w:rPr>
            </w:pPr>
          </w:p>
        </w:tc>
        <w:tc>
          <w:tcPr>
            <w:tcW w:w="3430" w:type="dxa"/>
            <w:vAlign w:val="center"/>
          </w:tcPr>
          <w:p w14:paraId="47046C23">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在不符合安全条件的码头、泊位、装卸站、锚地、安全作业区停泊的</w:t>
            </w:r>
          </w:p>
        </w:tc>
        <w:tc>
          <w:tcPr>
            <w:tcW w:w="5862" w:type="dxa"/>
            <w:vAlign w:val="center"/>
          </w:tcPr>
          <w:p w14:paraId="522AEF1B">
            <w:pPr>
              <w:spacing w:line="240" w:lineRule="atLeast"/>
              <w:jc w:val="center"/>
              <w:rPr>
                <w:rFonts w:ascii="宋体"/>
                <w:kern w:val="0"/>
              </w:rPr>
            </w:pPr>
            <w:r>
              <w:rPr>
                <w:rFonts w:hint="eastAsia" w:ascii="宋体"/>
                <w:kern w:val="0"/>
              </w:rPr>
              <w:t>4-5万元</w:t>
            </w:r>
          </w:p>
        </w:tc>
        <w:tc>
          <w:tcPr>
            <w:tcW w:w="3065" w:type="dxa"/>
            <w:vAlign w:val="center"/>
          </w:tcPr>
          <w:p w14:paraId="5DC9869D">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3B65FDA1">
            <w:pPr>
              <w:spacing w:line="240" w:lineRule="atLeast"/>
              <w:jc w:val="center"/>
              <w:rPr>
                <w:rFonts w:ascii="宋体"/>
                <w:kern w:val="0"/>
              </w:rPr>
            </w:pPr>
            <w:r>
              <w:rPr>
                <w:rFonts w:hint="eastAsia" w:ascii="宋体"/>
                <w:kern w:val="0"/>
              </w:rPr>
              <w:t>6000元-1万元、并暂扣适任证书4个月至5个月</w:t>
            </w:r>
          </w:p>
        </w:tc>
      </w:tr>
      <w:tr w14:paraId="1CA7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896" w:type="dxa"/>
            <w:vMerge w:val="continue"/>
            <w:vAlign w:val="center"/>
          </w:tcPr>
          <w:p w14:paraId="5074FC88">
            <w:pPr>
              <w:spacing w:line="240" w:lineRule="exact"/>
              <w:jc w:val="center"/>
              <w:rPr>
                <w:rFonts w:ascii="宋体"/>
                <w:kern w:val="0"/>
              </w:rPr>
            </w:pPr>
          </w:p>
        </w:tc>
        <w:tc>
          <w:tcPr>
            <w:tcW w:w="1245" w:type="dxa"/>
            <w:vMerge w:val="continue"/>
            <w:vAlign w:val="center"/>
          </w:tcPr>
          <w:p w14:paraId="050E28BF">
            <w:pPr>
              <w:spacing w:line="240" w:lineRule="exact"/>
              <w:jc w:val="center"/>
              <w:rPr>
                <w:rFonts w:ascii="宋体"/>
                <w:kern w:val="0"/>
              </w:rPr>
            </w:pPr>
          </w:p>
        </w:tc>
        <w:tc>
          <w:tcPr>
            <w:tcW w:w="1460" w:type="dxa"/>
            <w:vMerge w:val="continue"/>
            <w:vAlign w:val="center"/>
          </w:tcPr>
          <w:p w14:paraId="6B0FE5D2">
            <w:pPr>
              <w:spacing w:line="240" w:lineRule="exact"/>
              <w:jc w:val="center"/>
              <w:rPr>
                <w:rFonts w:ascii="宋体"/>
                <w:kern w:val="0"/>
              </w:rPr>
            </w:pPr>
          </w:p>
        </w:tc>
        <w:tc>
          <w:tcPr>
            <w:tcW w:w="1105" w:type="dxa"/>
            <w:vMerge w:val="continue"/>
            <w:vAlign w:val="center"/>
          </w:tcPr>
          <w:p w14:paraId="3C911B75">
            <w:pPr>
              <w:spacing w:line="240" w:lineRule="exact"/>
              <w:jc w:val="center"/>
              <w:rPr>
                <w:rFonts w:ascii="宋体"/>
                <w:kern w:val="0"/>
              </w:rPr>
            </w:pPr>
          </w:p>
        </w:tc>
        <w:tc>
          <w:tcPr>
            <w:tcW w:w="3430" w:type="dxa"/>
            <w:vAlign w:val="center"/>
          </w:tcPr>
          <w:p w14:paraId="187D72EF">
            <w:pPr>
              <w:spacing w:line="240" w:lineRule="atLeast"/>
              <w:jc w:val="left"/>
              <w:rPr>
                <w:rFonts w:ascii="宋体"/>
              </w:rPr>
            </w:pPr>
            <w:r>
              <w:rPr>
                <w:rFonts w:hint="eastAsia" w:ascii="宋体"/>
              </w:rPr>
              <w:t>1.造成一般事故或险情的；</w:t>
            </w:r>
          </w:p>
          <w:p w14:paraId="527A8226">
            <w:pPr>
              <w:spacing w:line="240" w:lineRule="atLeast"/>
              <w:jc w:val="left"/>
              <w:rPr>
                <w:rFonts w:ascii="宋体"/>
              </w:rPr>
            </w:pPr>
            <w:r>
              <w:rPr>
                <w:rFonts w:hint="eastAsia" w:ascii="宋体"/>
              </w:rPr>
              <w:t>2.具有其他较重情节的。</w:t>
            </w:r>
          </w:p>
        </w:tc>
        <w:tc>
          <w:tcPr>
            <w:tcW w:w="5862" w:type="dxa"/>
            <w:vAlign w:val="center"/>
          </w:tcPr>
          <w:p w14:paraId="0CC9B710">
            <w:pPr>
              <w:spacing w:line="240" w:lineRule="atLeast"/>
              <w:jc w:val="center"/>
              <w:rPr>
                <w:rFonts w:ascii="宋体"/>
                <w:kern w:val="0"/>
              </w:rPr>
            </w:pPr>
            <w:r>
              <w:rPr>
                <w:rFonts w:hint="eastAsia" w:ascii="宋体"/>
                <w:kern w:val="0"/>
              </w:rPr>
              <w:t>5-10万元</w:t>
            </w:r>
          </w:p>
        </w:tc>
        <w:tc>
          <w:tcPr>
            <w:tcW w:w="3065" w:type="dxa"/>
            <w:vAlign w:val="center"/>
          </w:tcPr>
          <w:p w14:paraId="31A2B67A">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7CD1527E">
            <w:pPr>
              <w:spacing w:line="240" w:lineRule="atLeast"/>
              <w:jc w:val="center"/>
              <w:rPr>
                <w:rFonts w:ascii="宋体"/>
                <w:kern w:val="0"/>
              </w:rPr>
            </w:pPr>
            <w:r>
              <w:rPr>
                <w:rFonts w:hint="eastAsia" w:ascii="宋体"/>
                <w:kern w:val="0"/>
              </w:rPr>
              <w:t>1-2万元、并暂扣适任证书5个月至12个月</w:t>
            </w:r>
          </w:p>
        </w:tc>
      </w:tr>
      <w:tr w14:paraId="3C57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896" w:type="dxa"/>
            <w:vMerge w:val="continue"/>
            <w:vAlign w:val="center"/>
          </w:tcPr>
          <w:p w14:paraId="707E12CC">
            <w:pPr>
              <w:spacing w:line="240" w:lineRule="exact"/>
              <w:jc w:val="center"/>
              <w:rPr>
                <w:rFonts w:ascii="宋体"/>
                <w:kern w:val="0"/>
              </w:rPr>
            </w:pPr>
          </w:p>
        </w:tc>
        <w:tc>
          <w:tcPr>
            <w:tcW w:w="1245" w:type="dxa"/>
            <w:vMerge w:val="continue"/>
            <w:vAlign w:val="center"/>
          </w:tcPr>
          <w:p w14:paraId="44FD1D29">
            <w:pPr>
              <w:spacing w:line="240" w:lineRule="exact"/>
              <w:jc w:val="center"/>
              <w:rPr>
                <w:rFonts w:ascii="宋体"/>
                <w:kern w:val="0"/>
              </w:rPr>
            </w:pPr>
          </w:p>
        </w:tc>
        <w:tc>
          <w:tcPr>
            <w:tcW w:w="1460" w:type="dxa"/>
            <w:vMerge w:val="continue"/>
            <w:vAlign w:val="center"/>
          </w:tcPr>
          <w:p w14:paraId="491193AA">
            <w:pPr>
              <w:spacing w:line="240" w:lineRule="exact"/>
              <w:jc w:val="center"/>
              <w:rPr>
                <w:rFonts w:ascii="宋体"/>
                <w:kern w:val="0"/>
              </w:rPr>
            </w:pPr>
          </w:p>
        </w:tc>
        <w:tc>
          <w:tcPr>
            <w:tcW w:w="1105" w:type="dxa"/>
            <w:vAlign w:val="center"/>
          </w:tcPr>
          <w:p w14:paraId="3128C461">
            <w:pPr>
              <w:spacing w:line="240" w:lineRule="exact"/>
              <w:jc w:val="center"/>
              <w:rPr>
                <w:rFonts w:ascii="宋体"/>
                <w:kern w:val="0"/>
              </w:rPr>
            </w:pPr>
            <w:r>
              <w:rPr>
                <w:rFonts w:hint="eastAsia" w:ascii="宋体"/>
                <w:kern w:val="0"/>
              </w:rPr>
              <w:t>情节严重</w:t>
            </w:r>
          </w:p>
        </w:tc>
        <w:tc>
          <w:tcPr>
            <w:tcW w:w="3430" w:type="dxa"/>
            <w:vAlign w:val="center"/>
          </w:tcPr>
          <w:p w14:paraId="2FC0F659">
            <w:pPr>
              <w:spacing w:line="240" w:lineRule="atLeast"/>
              <w:jc w:val="left"/>
              <w:rPr>
                <w:rFonts w:ascii="宋体"/>
              </w:rPr>
            </w:pPr>
            <w:r>
              <w:rPr>
                <w:rFonts w:hint="eastAsia" w:ascii="宋体"/>
              </w:rPr>
              <w:t>1.造成较大等级以上事故的；</w:t>
            </w:r>
          </w:p>
          <w:p w14:paraId="1C90F94F">
            <w:pPr>
              <w:spacing w:line="240" w:lineRule="atLeast"/>
              <w:jc w:val="left"/>
              <w:rPr>
                <w:rFonts w:ascii="宋体"/>
                <w:kern w:val="0"/>
              </w:rPr>
            </w:pPr>
            <w:r>
              <w:rPr>
                <w:rFonts w:hint="eastAsia" w:ascii="宋体"/>
              </w:rPr>
              <w:t>2.具有其他严重情节的。</w:t>
            </w:r>
          </w:p>
        </w:tc>
        <w:tc>
          <w:tcPr>
            <w:tcW w:w="5862" w:type="dxa"/>
            <w:vAlign w:val="center"/>
          </w:tcPr>
          <w:p w14:paraId="048ACC2E">
            <w:pPr>
              <w:spacing w:line="240" w:lineRule="atLeast"/>
              <w:jc w:val="center"/>
              <w:rPr>
                <w:rFonts w:ascii="宋体"/>
                <w:kern w:val="0"/>
              </w:rPr>
            </w:pPr>
            <w:r>
              <w:rPr>
                <w:rFonts w:hint="eastAsia" w:ascii="宋体"/>
                <w:kern w:val="0"/>
              </w:rPr>
              <w:t>10-20万元</w:t>
            </w:r>
          </w:p>
        </w:tc>
        <w:tc>
          <w:tcPr>
            <w:tcW w:w="3065" w:type="dxa"/>
            <w:vAlign w:val="center"/>
          </w:tcPr>
          <w:p w14:paraId="34872A6A">
            <w:pPr>
              <w:spacing w:line="240" w:lineRule="atLeast"/>
              <w:jc w:val="center"/>
              <w:rPr>
                <w:rFonts w:ascii="宋体"/>
                <w:kern w:val="0"/>
              </w:rPr>
            </w:pPr>
            <w:r>
              <w:rPr>
                <w:rFonts w:hint="eastAsia" w:ascii="宋体"/>
                <w:kern w:val="0"/>
              </w:rPr>
              <w:t>吊销适任证书</w:t>
            </w:r>
          </w:p>
        </w:tc>
        <w:tc>
          <w:tcPr>
            <w:tcW w:w="3032" w:type="dxa"/>
            <w:vAlign w:val="center"/>
          </w:tcPr>
          <w:p w14:paraId="5D8666A4">
            <w:pPr>
              <w:spacing w:line="240" w:lineRule="atLeast"/>
              <w:jc w:val="center"/>
              <w:rPr>
                <w:rFonts w:ascii="宋体"/>
                <w:kern w:val="0"/>
              </w:rPr>
            </w:pPr>
            <w:r>
              <w:rPr>
                <w:rFonts w:hint="eastAsia" w:ascii="宋体"/>
                <w:kern w:val="0"/>
              </w:rPr>
              <w:t>吊销适任证书</w:t>
            </w:r>
          </w:p>
        </w:tc>
      </w:tr>
    </w:tbl>
    <w:p w14:paraId="749877E8">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1275"/>
        <w:gridCol w:w="1385"/>
        <w:gridCol w:w="1105"/>
        <w:gridCol w:w="3430"/>
        <w:gridCol w:w="5845"/>
        <w:gridCol w:w="3082"/>
        <w:gridCol w:w="3032"/>
      </w:tblGrid>
      <w:tr w14:paraId="1854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41" w:type="dxa"/>
            <w:vMerge w:val="restart"/>
            <w:vAlign w:val="center"/>
          </w:tcPr>
          <w:p w14:paraId="48826096">
            <w:pPr>
              <w:spacing w:line="240" w:lineRule="exact"/>
              <w:jc w:val="center"/>
              <w:rPr>
                <w:rFonts w:ascii="宋体"/>
                <w:b/>
                <w:kern w:val="0"/>
              </w:rPr>
            </w:pPr>
            <w:r>
              <w:rPr>
                <w:rFonts w:hint="eastAsia" w:ascii="宋体"/>
                <w:b/>
                <w:kern w:val="0"/>
              </w:rPr>
              <w:t>案由25</w:t>
            </w:r>
          </w:p>
        </w:tc>
        <w:tc>
          <w:tcPr>
            <w:tcW w:w="2660" w:type="dxa"/>
            <w:gridSpan w:val="2"/>
            <w:vAlign w:val="center"/>
          </w:tcPr>
          <w:p w14:paraId="44E8F0A8">
            <w:pPr>
              <w:spacing w:line="240" w:lineRule="exact"/>
              <w:jc w:val="center"/>
              <w:rPr>
                <w:rFonts w:ascii="宋体"/>
                <w:b/>
                <w:kern w:val="0"/>
              </w:rPr>
            </w:pPr>
            <w:r>
              <w:rPr>
                <w:rFonts w:hint="eastAsia" w:ascii="宋体"/>
                <w:b/>
                <w:kern w:val="0"/>
              </w:rPr>
              <w:t>法律依据</w:t>
            </w:r>
          </w:p>
        </w:tc>
        <w:tc>
          <w:tcPr>
            <w:tcW w:w="1105" w:type="dxa"/>
            <w:vMerge w:val="restart"/>
            <w:vAlign w:val="center"/>
          </w:tcPr>
          <w:p w14:paraId="4DC20509">
            <w:pPr>
              <w:spacing w:line="240" w:lineRule="exact"/>
              <w:jc w:val="center"/>
              <w:rPr>
                <w:rFonts w:ascii="宋体"/>
                <w:b/>
                <w:kern w:val="0"/>
              </w:rPr>
            </w:pPr>
            <w:r>
              <w:rPr>
                <w:rFonts w:hint="eastAsia" w:ascii="宋体"/>
                <w:b/>
                <w:kern w:val="0"/>
              </w:rPr>
              <w:t>违法情节</w:t>
            </w:r>
          </w:p>
        </w:tc>
        <w:tc>
          <w:tcPr>
            <w:tcW w:w="3430" w:type="dxa"/>
            <w:vMerge w:val="restart"/>
            <w:vAlign w:val="center"/>
          </w:tcPr>
          <w:p w14:paraId="3FCDF3CB">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467C146D">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25B6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41" w:type="dxa"/>
            <w:vMerge w:val="continue"/>
            <w:vAlign w:val="center"/>
          </w:tcPr>
          <w:p w14:paraId="69990277">
            <w:pPr>
              <w:spacing w:line="240" w:lineRule="exact"/>
              <w:jc w:val="center"/>
              <w:rPr>
                <w:rFonts w:ascii="宋体"/>
                <w:b/>
                <w:kern w:val="0"/>
              </w:rPr>
            </w:pPr>
          </w:p>
        </w:tc>
        <w:tc>
          <w:tcPr>
            <w:tcW w:w="1275" w:type="dxa"/>
            <w:vAlign w:val="center"/>
          </w:tcPr>
          <w:p w14:paraId="207B7EDC">
            <w:pPr>
              <w:spacing w:line="240" w:lineRule="exact"/>
              <w:jc w:val="center"/>
              <w:rPr>
                <w:rFonts w:ascii="宋体"/>
                <w:b/>
                <w:kern w:val="0"/>
              </w:rPr>
            </w:pPr>
            <w:r>
              <w:rPr>
                <w:rFonts w:hint="eastAsia" w:ascii="宋体"/>
                <w:b/>
                <w:kern w:val="0"/>
              </w:rPr>
              <w:t>违反条款</w:t>
            </w:r>
          </w:p>
        </w:tc>
        <w:tc>
          <w:tcPr>
            <w:tcW w:w="1385" w:type="dxa"/>
            <w:vAlign w:val="center"/>
          </w:tcPr>
          <w:p w14:paraId="6E944ABF">
            <w:pPr>
              <w:spacing w:line="240" w:lineRule="exact"/>
              <w:jc w:val="center"/>
              <w:rPr>
                <w:rFonts w:ascii="宋体"/>
                <w:b/>
                <w:kern w:val="0"/>
              </w:rPr>
            </w:pPr>
            <w:r>
              <w:rPr>
                <w:rFonts w:hint="eastAsia" w:ascii="宋体"/>
                <w:b/>
                <w:kern w:val="0"/>
              </w:rPr>
              <w:t>处罚依据</w:t>
            </w:r>
          </w:p>
        </w:tc>
        <w:tc>
          <w:tcPr>
            <w:tcW w:w="1105" w:type="dxa"/>
            <w:vMerge w:val="continue"/>
            <w:vAlign w:val="center"/>
          </w:tcPr>
          <w:p w14:paraId="143B06CE">
            <w:pPr>
              <w:spacing w:line="240" w:lineRule="exact"/>
              <w:jc w:val="center"/>
              <w:rPr>
                <w:rFonts w:ascii="宋体"/>
                <w:b/>
                <w:kern w:val="0"/>
              </w:rPr>
            </w:pPr>
          </w:p>
        </w:tc>
        <w:tc>
          <w:tcPr>
            <w:tcW w:w="3430" w:type="dxa"/>
            <w:vMerge w:val="continue"/>
            <w:vAlign w:val="center"/>
          </w:tcPr>
          <w:p w14:paraId="5BB1981E">
            <w:pPr>
              <w:spacing w:line="240" w:lineRule="exact"/>
              <w:jc w:val="center"/>
              <w:rPr>
                <w:rFonts w:ascii="宋体"/>
                <w:b/>
                <w:kern w:val="0"/>
              </w:rPr>
            </w:pPr>
          </w:p>
        </w:tc>
        <w:tc>
          <w:tcPr>
            <w:tcW w:w="5845" w:type="dxa"/>
            <w:vAlign w:val="center"/>
          </w:tcPr>
          <w:p w14:paraId="794BB50F">
            <w:pPr>
              <w:spacing w:line="240" w:lineRule="exact"/>
              <w:jc w:val="center"/>
              <w:rPr>
                <w:rFonts w:ascii="宋体"/>
                <w:b/>
                <w:kern w:val="0"/>
              </w:rPr>
            </w:pPr>
            <w:r>
              <w:rPr>
                <w:rFonts w:hint="eastAsia" w:ascii="宋体"/>
                <w:b/>
                <w:kern w:val="0"/>
              </w:rPr>
              <w:t>【对象】对船舶的所有人、经营人或者管理人</w:t>
            </w:r>
          </w:p>
        </w:tc>
        <w:tc>
          <w:tcPr>
            <w:tcW w:w="3082" w:type="dxa"/>
            <w:vAlign w:val="center"/>
          </w:tcPr>
          <w:p w14:paraId="52E16073">
            <w:pPr>
              <w:spacing w:line="240" w:lineRule="exact"/>
              <w:jc w:val="center"/>
              <w:rPr>
                <w:rFonts w:ascii="宋体"/>
                <w:b/>
                <w:kern w:val="0"/>
              </w:rPr>
            </w:pPr>
            <w:r>
              <w:rPr>
                <w:rFonts w:hint="eastAsia" w:ascii="宋体"/>
                <w:b/>
                <w:kern w:val="0"/>
              </w:rPr>
              <w:t>【对象】船长</w:t>
            </w:r>
          </w:p>
        </w:tc>
        <w:tc>
          <w:tcPr>
            <w:tcW w:w="3032" w:type="dxa"/>
            <w:vAlign w:val="center"/>
          </w:tcPr>
          <w:p w14:paraId="7EEDB98E">
            <w:pPr>
              <w:spacing w:line="240" w:lineRule="exact"/>
              <w:jc w:val="center"/>
              <w:rPr>
                <w:rFonts w:ascii="宋体"/>
                <w:b/>
                <w:kern w:val="0"/>
              </w:rPr>
            </w:pPr>
            <w:r>
              <w:rPr>
                <w:rFonts w:hint="eastAsia" w:ascii="宋体"/>
                <w:b/>
                <w:kern w:val="0"/>
              </w:rPr>
              <w:t>【对象】责任船员</w:t>
            </w:r>
          </w:p>
        </w:tc>
      </w:tr>
      <w:tr w14:paraId="745E4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41" w:type="dxa"/>
            <w:vMerge w:val="restart"/>
            <w:vAlign w:val="center"/>
          </w:tcPr>
          <w:p w14:paraId="5FB2CB87">
            <w:pPr>
              <w:widowControl/>
              <w:spacing w:line="240" w:lineRule="exact"/>
              <w:jc w:val="left"/>
              <w:rPr>
                <w:rFonts w:ascii="宋体"/>
                <w:b/>
                <w:kern w:val="0"/>
              </w:rPr>
            </w:pPr>
            <w:r>
              <w:rPr>
                <w:rFonts w:hint="eastAsia" w:ascii="宋体"/>
                <w:bCs/>
                <w:kern w:val="0"/>
              </w:rPr>
              <w:t>船舶停泊危及其他船舶、海上设施的安全</w:t>
            </w:r>
          </w:p>
        </w:tc>
        <w:tc>
          <w:tcPr>
            <w:tcW w:w="1275" w:type="dxa"/>
            <w:vMerge w:val="restart"/>
            <w:vAlign w:val="center"/>
          </w:tcPr>
          <w:p w14:paraId="5C082C3F">
            <w:pPr>
              <w:widowControl/>
              <w:spacing w:line="240" w:lineRule="exact"/>
              <w:jc w:val="left"/>
              <w:rPr>
                <w:rFonts w:ascii="宋体"/>
                <w:kern w:val="0"/>
              </w:rPr>
            </w:pPr>
            <w:r>
              <w:rPr>
                <w:rFonts w:hint="eastAsia" w:ascii="宋体"/>
                <w:kern w:val="0"/>
              </w:rPr>
              <w:t>1.《中华人民共和国海上交通安全法》第四十七条第一款；</w:t>
            </w:r>
          </w:p>
          <w:p w14:paraId="198B74F8">
            <w:pPr>
              <w:widowControl/>
              <w:spacing w:line="240" w:lineRule="exact"/>
              <w:jc w:val="left"/>
              <w:rPr>
                <w:rFonts w:ascii="宋体"/>
              </w:rPr>
            </w:pPr>
            <w:r>
              <w:rPr>
                <w:rFonts w:hint="eastAsia" w:ascii="宋体"/>
              </w:rPr>
              <w:t>2.其他法律、法规、规章等</w:t>
            </w:r>
          </w:p>
        </w:tc>
        <w:tc>
          <w:tcPr>
            <w:tcW w:w="1385" w:type="dxa"/>
            <w:vMerge w:val="restart"/>
            <w:vAlign w:val="center"/>
          </w:tcPr>
          <w:p w14:paraId="76C6EC73">
            <w:pPr>
              <w:spacing w:line="240" w:lineRule="exact"/>
              <w:jc w:val="left"/>
              <w:rPr>
                <w:rFonts w:ascii="宋体"/>
                <w:kern w:val="0"/>
              </w:rPr>
            </w:pPr>
            <w:r>
              <w:rPr>
                <w:rFonts w:hint="eastAsia" w:ascii="宋体"/>
                <w:kern w:val="0"/>
              </w:rPr>
              <w:t>1.《中华人民共和国海上交通安全法》第一百零三条第（九）项、《中华人民共和国海上海事行政处罚规定》第十八条第（九）项。</w:t>
            </w:r>
          </w:p>
          <w:p w14:paraId="730884DA">
            <w:pPr>
              <w:spacing w:line="240" w:lineRule="exact"/>
              <w:jc w:val="left"/>
              <w:rPr>
                <w:rFonts w:ascii="宋体"/>
                <w:kern w:val="0"/>
              </w:rPr>
            </w:pPr>
            <w:r>
              <w:rPr>
                <w:rFonts w:hint="eastAsia" w:ascii="宋体"/>
                <w:kern w:val="0"/>
              </w:rPr>
              <w:t>2. 《中华人民共和国海上海事行政处罚规定》第七条。</w:t>
            </w:r>
          </w:p>
        </w:tc>
        <w:tc>
          <w:tcPr>
            <w:tcW w:w="1105" w:type="dxa"/>
            <w:vAlign w:val="center"/>
          </w:tcPr>
          <w:p w14:paraId="39C4564C">
            <w:pPr>
              <w:spacing w:line="240" w:lineRule="exact"/>
              <w:jc w:val="center"/>
              <w:rPr>
                <w:rFonts w:ascii="宋体"/>
                <w:kern w:val="0"/>
              </w:rPr>
            </w:pPr>
            <w:r>
              <w:rPr>
                <w:rFonts w:hint="eastAsia" w:ascii="宋体"/>
                <w:kern w:val="0"/>
              </w:rPr>
              <w:t>从轻</w:t>
            </w:r>
          </w:p>
        </w:tc>
        <w:tc>
          <w:tcPr>
            <w:tcW w:w="3430" w:type="dxa"/>
            <w:vAlign w:val="center"/>
          </w:tcPr>
          <w:p w14:paraId="04F04AA4">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45" w:type="dxa"/>
            <w:vAlign w:val="center"/>
          </w:tcPr>
          <w:p w14:paraId="46B5DA44">
            <w:pPr>
              <w:spacing w:line="240" w:lineRule="atLeast"/>
              <w:jc w:val="center"/>
              <w:rPr>
                <w:rFonts w:ascii="宋体"/>
                <w:kern w:val="0"/>
              </w:rPr>
            </w:pPr>
            <w:r>
              <w:rPr>
                <w:rFonts w:hint="eastAsia" w:ascii="宋体"/>
                <w:kern w:val="0"/>
              </w:rPr>
              <w:t>2-3万元</w:t>
            </w:r>
          </w:p>
        </w:tc>
        <w:tc>
          <w:tcPr>
            <w:tcW w:w="3082" w:type="dxa"/>
            <w:vAlign w:val="center"/>
          </w:tcPr>
          <w:p w14:paraId="382E841C">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4D3ACAC4">
            <w:pPr>
              <w:spacing w:line="240" w:lineRule="atLeast"/>
              <w:jc w:val="center"/>
              <w:rPr>
                <w:rFonts w:ascii="宋体"/>
                <w:kern w:val="0"/>
              </w:rPr>
            </w:pPr>
            <w:r>
              <w:rPr>
                <w:rFonts w:hint="eastAsia" w:ascii="宋体"/>
                <w:kern w:val="0"/>
              </w:rPr>
              <w:t>2000-4000元、并暂扣适任证书3个月至4个月</w:t>
            </w:r>
          </w:p>
        </w:tc>
      </w:tr>
      <w:tr w14:paraId="1877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41" w:type="dxa"/>
            <w:vMerge w:val="continue"/>
            <w:vAlign w:val="center"/>
          </w:tcPr>
          <w:p w14:paraId="25AF9146">
            <w:pPr>
              <w:spacing w:line="240" w:lineRule="exact"/>
              <w:jc w:val="center"/>
              <w:rPr>
                <w:rFonts w:ascii="宋体"/>
                <w:kern w:val="0"/>
              </w:rPr>
            </w:pPr>
          </w:p>
        </w:tc>
        <w:tc>
          <w:tcPr>
            <w:tcW w:w="1275" w:type="dxa"/>
            <w:vMerge w:val="continue"/>
            <w:vAlign w:val="center"/>
          </w:tcPr>
          <w:p w14:paraId="47E6F01D">
            <w:pPr>
              <w:widowControl/>
              <w:spacing w:line="240" w:lineRule="exact"/>
              <w:jc w:val="center"/>
              <w:rPr>
                <w:rFonts w:ascii="宋体"/>
                <w:kern w:val="0"/>
              </w:rPr>
            </w:pPr>
          </w:p>
        </w:tc>
        <w:tc>
          <w:tcPr>
            <w:tcW w:w="1385" w:type="dxa"/>
            <w:vMerge w:val="continue"/>
            <w:vAlign w:val="center"/>
          </w:tcPr>
          <w:p w14:paraId="661ACECB">
            <w:pPr>
              <w:spacing w:line="240" w:lineRule="exact"/>
              <w:jc w:val="center"/>
              <w:rPr>
                <w:rFonts w:ascii="宋体"/>
                <w:kern w:val="0"/>
              </w:rPr>
            </w:pPr>
          </w:p>
        </w:tc>
        <w:tc>
          <w:tcPr>
            <w:tcW w:w="1105" w:type="dxa"/>
            <w:vMerge w:val="restart"/>
            <w:vAlign w:val="center"/>
          </w:tcPr>
          <w:p w14:paraId="1E7A1601">
            <w:pPr>
              <w:spacing w:line="240" w:lineRule="exact"/>
              <w:jc w:val="center"/>
              <w:rPr>
                <w:rFonts w:ascii="宋体"/>
                <w:kern w:val="0"/>
              </w:rPr>
            </w:pPr>
            <w:r>
              <w:rPr>
                <w:rFonts w:hint="eastAsia" w:ascii="宋体"/>
                <w:kern w:val="0"/>
              </w:rPr>
              <w:t>一般</w:t>
            </w:r>
          </w:p>
        </w:tc>
        <w:tc>
          <w:tcPr>
            <w:tcW w:w="3430" w:type="dxa"/>
            <w:vAlign w:val="center"/>
          </w:tcPr>
          <w:p w14:paraId="26F1F96C">
            <w:pPr>
              <w:widowControl/>
              <w:spacing w:line="240" w:lineRule="exact"/>
              <w:jc w:val="left"/>
              <w:rPr>
                <w:rFonts w:ascii="宋体"/>
                <w:kern w:val="0"/>
              </w:rPr>
            </w:pPr>
            <w:r>
              <w:rPr>
                <w:rFonts w:hint="eastAsia" w:ascii="宋体"/>
                <w:kern w:val="0"/>
              </w:rPr>
              <w:t>一般船舶停泊危及其他一般船舶、海上设施的安全的</w:t>
            </w:r>
          </w:p>
        </w:tc>
        <w:tc>
          <w:tcPr>
            <w:tcW w:w="5845" w:type="dxa"/>
            <w:vAlign w:val="center"/>
          </w:tcPr>
          <w:p w14:paraId="5476B985">
            <w:pPr>
              <w:spacing w:line="240" w:lineRule="atLeast"/>
              <w:jc w:val="center"/>
              <w:rPr>
                <w:rFonts w:ascii="宋体"/>
                <w:kern w:val="0"/>
              </w:rPr>
            </w:pPr>
            <w:r>
              <w:rPr>
                <w:rFonts w:hint="eastAsia" w:ascii="宋体"/>
                <w:kern w:val="0"/>
              </w:rPr>
              <w:t>3-4万元</w:t>
            </w:r>
          </w:p>
        </w:tc>
        <w:tc>
          <w:tcPr>
            <w:tcW w:w="3082" w:type="dxa"/>
            <w:vAlign w:val="center"/>
          </w:tcPr>
          <w:p w14:paraId="3A5F5FBE">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32B52EC5">
            <w:pPr>
              <w:spacing w:line="240" w:lineRule="atLeast"/>
              <w:jc w:val="center"/>
              <w:rPr>
                <w:rFonts w:ascii="宋体"/>
                <w:b/>
                <w:kern w:val="0"/>
              </w:rPr>
            </w:pPr>
            <w:r>
              <w:rPr>
                <w:rFonts w:hint="eastAsia" w:ascii="宋体"/>
                <w:kern w:val="0"/>
              </w:rPr>
              <w:t>4000元-6000、并暂扣适任证书3个月至4个月</w:t>
            </w:r>
          </w:p>
        </w:tc>
      </w:tr>
      <w:tr w14:paraId="29521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941" w:type="dxa"/>
            <w:vMerge w:val="continue"/>
            <w:vAlign w:val="center"/>
          </w:tcPr>
          <w:p w14:paraId="645D7B5E">
            <w:pPr>
              <w:spacing w:line="240" w:lineRule="exact"/>
              <w:jc w:val="center"/>
              <w:rPr>
                <w:rFonts w:ascii="宋体"/>
                <w:kern w:val="0"/>
              </w:rPr>
            </w:pPr>
          </w:p>
        </w:tc>
        <w:tc>
          <w:tcPr>
            <w:tcW w:w="1275" w:type="dxa"/>
            <w:vMerge w:val="continue"/>
            <w:vAlign w:val="center"/>
          </w:tcPr>
          <w:p w14:paraId="11FA28DD">
            <w:pPr>
              <w:widowControl/>
              <w:spacing w:line="240" w:lineRule="exact"/>
              <w:jc w:val="center"/>
              <w:rPr>
                <w:rFonts w:ascii="宋体"/>
                <w:kern w:val="0"/>
              </w:rPr>
            </w:pPr>
          </w:p>
        </w:tc>
        <w:tc>
          <w:tcPr>
            <w:tcW w:w="1385" w:type="dxa"/>
            <w:vMerge w:val="continue"/>
            <w:vAlign w:val="center"/>
          </w:tcPr>
          <w:p w14:paraId="066E6DA1">
            <w:pPr>
              <w:spacing w:line="240" w:lineRule="exact"/>
              <w:jc w:val="center"/>
              <w:rPr>
                <w:rFonts w:ascii="宋体"/>
                <w:kern w:val="0"/>
              </w:rPr>
            </w:pPr>
          </w:p>
        </w:tc>
        <w:tc>
          <w:tcPr>
            <w:tcW w:w="1105" w:type="dxa"/>
            <w:vMerge w:val="continue"/>
            <w:vAlign w:val="center"/>
          </w:tcPr>
          <w:p w14:paraId="4A56EC63">
            <w:pPr>
              <w:spacing w:line="240" w:lineRule="exact"/>
              <w:jc w:val="center"/>
              <w:rPr>
                <w:rFonts w:ascii="宋体"/>
                <w:kern w:val="0"/>
              </w:rPr>
            </w:pPr>
          </w:p>
        </w:tc>
        <w:tc>
          <w:tcPr>
            <w:tcW w:w="3430" w:type="dxa"/>
            <w:vAlign w:val="center"/>
          </w:tcPr>
          <w:p w14:paraId="38D4C630">
            <w:pPr>
              <w:widowControl/>
              <w:spacing w:line="240" w:lineRule="exact"/>
              <w:jc w:val="left"/>
              <w:rPr>
                <w:rFonts w:ascii="宋体"/>
                <w:kern w:val="0"/>
              </w:rPr>
            </w:pPr>
            <w:r>
              <w:rPr>
                <w:rFonts w:hint="eastAsia" w:ascii="宋体"/>
                <w:kern w:val="0"/>
              </w:rPr>
              <w:t>1.客船、</w:t>
            </w:r>
            <w:r>
              <w:rPr>
                <w:rFonts w:hint="eastAsia" w:ascii="宋体"/>
                <w:bCs/>
                <w:kern w:val="0"/>
              </w:rPr>
              <w:t>危险品船</w:t>
            </w:r>
            <w:r>
              <w:rPr>
                <w:rFonts w:hint="eastAsia" w:ascii="宋体"/>
                <w:kern w:val="0"/>
              </w:rPr>
              <w:t>停泊危及其他船舶、海上设施的安全的；</w:t>
            </w:r>
          </w:p>
          <w:p w14:paraId="5851485C">
            <w:pPr>
              <w:widowControl/>
              <w:spacing w:line="240" w:lineRule="exact"/>
              <w:jc w:val="left"/>
              <w:rPr>
                <w:rFonts w:ascii="宋体"/>
                <w:kern w:val="0"/>
              </w:rPr>
            </w:pPr>
            <w:r>
              <w:rPr>
                <w:rFonts w:hint="eastAsia" w:ascii="宋体"/>
                <w:kern w:val="0"/>
              </w:rPr>
              <w:t>2.一般船舶停泊危及其他客船、</w:t>
            </w:r>
            <w:r>
              <w:rPr>
                <w:rFonts w:hint="eastAsia" w:ascii="宋体"/>
                <w:bCs/>
                <w:kern w:val="0"/>
              </w:rPr>
              <w:t>危险品船</w:t>
            </w:r>
            <w:r>
              <w:rPr>
                <w:rFonts w:hint="eastAsia" w:ascii="宋体"/>
                <w:kern w:val="0"/>
              </w:rPr>
              <w:t>的安全的。</w:t>
            </w:r>
          </w:p>
        </w:tc>
        <w:tc>
          <w:tcPr>
            <w:tcW w:w="5845" w:type="dxa"/>
            <w:vAlign w:val="center"/>
          </w:tcPr>
          <w:p w14:paraId="28740ADC">
            <w:pPr>
              <w:spacing w:line="240" w:lineRule="atLeast"/>
              <w:jc w:val="center"/>
              <w:rPr>
                <w:rFonts w:ascii="宋体"/>
                <w:kern w:val="0"/>
              </w:rPr>
            </w:pPr>
            <w:r>
              <w:rPr>
                <w:rFonts w:hint="eastAsia" w:ascii="宋体"/>
                <w:kern w:val="0"/>
              </w:rPr>
              <w:t>4-5万元</w:t>
            </w:r>
          </w:p>
        </w:tc>
        <w:tc>
          <w:tcPr>
            <w:tcW w:w="3082" w:type="dxa"/>
            <w:vAlign w:val="center"/>
          </w:tcPr>
          <w:p w14:paraId="466379F5">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3B3D4049">
            <w:pPr>
              <w:spacing w:line="240" w:lineRule="atLeast"/>
              <w:jc w:val="center"/>
              <w:rPr>
                <w:rFonts w:ascii="宋体"/>
                <w:kern w:val="0"/>
              </w:rPr>
            </w:pPr>
            <w:r>
              <w:rPr>
                <w:rFonts w:hint="eastAsia" w:ascii="宋体"/>
                <w:kern w:val="0"/>
              </w:rPr>
              <w:t>6000元-1万元、并暂扣适任证书4个月至5个月</w:t>
            </w:r>
          </w:p>
        </w:tc>
      </w:tr>
      <w:tr w14:paraId="44BD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2" w:hRule="atLeast"/>
        </w:trPr>
        <w:tc>
          <w:tcPr>
            <w:tcW w:w="941" w:type="dxa"/>
            <w:vMerge w:val="continue"/>
            <w:vAlign w:val="center"/>
          </w:tcPr>
          <w:p w14:paraId="0C792CB2">
            <w:pPr>
              <w:spacing w:line="240" w:lineRule="exact"/>
              <w:jc w:val="center"/>
              <w:rPr>
                <w:rFonts w:ascii="宋体"/>
                <w:kern w:val="0"/>
              </w:rPr>
            </w:pPr>
          </w:p>
        </w:tc>
        <w:tc>
          <w:tcPr>
            <w:tcW w:w="1275" w:type="dxa"/>
            <w:vMerge w:val="continue"/>
            <w:vAlign w:val="center"/>
          </w:tcPr>
          <w:p w14:paraId="0EB7439E">
            <w:pPr>
              <w:spacing w:line="240" w:lineRule="exact"/>
              <w:jc w:val="center"/>
              <w:rPr>
                <w:rFonts w:ascii="宋体"/>
                <w:kern w:val="0"/>
              </w:rPr>
            </w:pPr>
          </w:p>
        </w:tc>
        <w:tc>
          <w:tcPr>
            <w:tcW w:w="1385" w:type="dxa"/>
            <w:vMerge w:val="continue"/>
            <w:vAlign w:val="center"/>
          </w:tcPr>
          <w:p w14:paraId="685D3801">
            <w:pPr>
              <w:spacing w:line="240" w:lineRule="exact"/>
              <w:jc w:val="center"/>
              <w:rPr>
                <w:rFonts w:ascii="宋体"/>
                <w:kern w:val="0"/>
              </w:rPr>
            </w:pPr>
          </w:p>
        </w:tc>
        <w:tc>
          <w:tcPr>
            <w:tcW w:w="1105" w:type="dxa"/>
            <w:vMerge w:val="continue"/>
            <w:vAlign w:val="center"/>
          </w:tcPr>
          <w:p w14:paraId="545E52BB">
            <w:pPr>
              <w:spacing w:line="240" w:lineRule="exact"/>
              <w:jc w:val="center"/>
              <w:rPr>
                <w:rFonts w:ascii="宋体"/>
                <w:kern w:val="0"/>
              </w:rPr>
            </w:pPr>
          </w:p>
        </w:tc>
        <w:tc>
          <w:tcPr>
            <w:tcW w:w="3430" w:type="dxa"/>
            <w:vAlign w:val="center"/>
          </w:tcPr>
          <w:p w14:paraId="029A62CF">
            <w:pPr>
              <w:spacing w:line="240" w:lineRule="atLeast"/>
              <w:jc w:val="left"/>
              <w:rPr>
                <w:rFonts w:ascii="宋体"/>
              </w:rPr>
            </w:pPr>
            <w:r>
              <w:rPr>
                <w:rFonts w:hint="eastAsia" w:ascii="宋体"/>
              </w:rPr>
              <w:t>1.造成一般事故或险情的；</w:t>
            </w:r>
          </w:p>
          <w:p w14:paraId="5E461B61">
            <w:pPr>
              <w:spacing w:line="240" w:lineRule="atLeast"/>
              <w:jc w:val="left"/>
              <w:rPr>
                <w:rFonts w:ascii="宋体"/>
              </w:rPr>
            </w:pPr>
            <w:r>
              <w:rPr>
                <w:rFonts w:hint="eastAsia" w:ascii="宋体"/>
              </w:rPr>
              <w:t>2.具有其他较重情节的。</w:t>
            </w:r>
          </w:p>
        </w:tc>
        <w:tc>
          <w:tcPr>
            <w:tcW w:w="5845" w:type="dxa"/>
            <w:vAlign w:val="center"/>
          </w:tcPr>
          <w:p w14:paraId="73DEFCF6">
            <w:pPr>
              <w:spacing w:line="240" w:lineRule="atLeast"/>
              <w:jc w:val="center"/>
              <w:rPr>
                <w:rFonts w:ascii="宋体"/>
                <w:kern w:val="0"/>
              </w:rPr>
            </w:pPr>
            <w:r>
              <w:rPr>
                <w:rFonts w:hint="eastAsia" w:ascii="宋体"/>
                <w:kern w:val="0"/>
              </w:rPr>
              <w:t>5-10万元</w:t>
            </w:r>
          </w:p>
        </w:tc>
        <w:tc>
          <w:tcPr>
            <w:tcW w:w="3082" w:type="dxa"/>
            <w:vAlign w:val="center"/>
          </w:tcPr>
          <w:p w14:paraId="463DEC7D">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0CC00D53">
            <w:pPr>
              <w:spacing w:line="240" w:lineRule="atLeast"/>
              <w:jc w:val="center"/>
              <w:rPr>
                <w:rFonts w:ascii="宋体"/>
                <w:kern w:val="0"/>
              </w:rPr>
            </w:pPr>
            <w:r>
              <w:rPr>
                <w:rFonts w:hint="eastAsia" w:ascii="宋体"/>
                <w:kern w:val="0"/>
              </w:rPr>
              <w:t>1-2万元、并暂扣适任证书5个月至12个月</w:t>
            </w:r>
          </w:p>
        </w:tc>
      </w:tr>
      <w:tr w14:paraId="3AB5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41" w:type="dxa"/>
            <w:vMerge w:val="continue"/>
            <w:vAlign w:val="center"/>
          </w:tcPr>
          <w:p w14:paraId="49D0D405">
            <w:pPr>
              <w:spacing w:line="240" w:lineRule="exact"/>
              <w:jc w:val="center"/>
              <w:rPr>
                <w:rFonts w:ascii="宋体"/>
                <w:kern w:val="0"/>
              </w:rPr>
            </w:pPr>
          </w:p>
        </w:tc>
        <w:tc>
          <w:tcPr>
            <w:tcW w:w="1275" w:type="dxa"/>
            <w:vMerge w:val="continue"/>
            <w:vAlign w:val="center"/>
          </w:tcPr>
          <w:p w14:paraId="140995D4">
            <w:pPr>
              <w:spacing w:line="240" w:lineRule="exact"/>
              <w:jc w:val="center"/>
              <w:rPr>
                <w:rFonts w:ascii="宋体"/>
                <w:kern w:val="0"/>
              </w:rPr>
            </w:pPr>
          </w:p>
        </w:tc>
        <w:tc>
          <w:tcPr>
            <w:tcW w:w="1385" w:type="dxa"/>
            <w:vMerge w:val="continue"/>
            <w:vAlign w:val="center"/>
          </w:tcPr>
          <w:p w14:paraId="604EA9BA">
            <w:pPr>
              <w:spacing w:line="240" w:lineRule="exact"/>
              <w:jc w:val="center"/>
              <w:rPr>
                <w:rFonts w:ascii="宋体"/>
                <w:kern w:val="0"/>
              </w:rPr>
            </w:pPr>
          </w:p>
        </w:tc>
        <w:tc>
          <w:tcPr>
            <w:tcW w:w="1105" w:type="dxa"/>
            <w:vAlign w:val="center"/>
          </w:tcPr>
          <w:p w14:paraId="5793CC32">
            <w:pPr>
              <w:spacing w:line="240" w:lineRule="exact"/>
              <w:jc w:val="center"/>
              <w:rPr>
                <w:rFonts w:ascii="宋体"/>
                <w:kern w:val="0"/>
              </w:rPr>
            </w:pPr>
            <w:r>
              <w:rPr>
                <w:rFonts w:hint="eastAsia" w:ascii="宋体"/>
                <w:kern w:val="0"/>
              </w:rPr>
              <w:t>情节严重</w:t>
            </w:r>
          </w:p>
        </w:tc>
        <w:tc>
          <w:tcPr>
            <w:tcW w:w="3430" w:type="dxa"/>
            <w:vAlign w:val="center"/>
          </w:tcPr>
          <w:p w14:paraId="33EBCABE">
            <w:pPr>
              <w:spacing w:line="240" w:lineRule="atLeast"/>
              <w:jc w:val="left"/>
              <w:rPr>
                <w:rFonts w:ascii="宋体"/>
              </w:rPr>
            </w:pPr>
            <w:r>
              <w:rPr>
                <w:rFonts w:hint="eastAsia" w:ascii="宋体"/>
              </w:rPr>
              <w:t>1.造成较大等级以上事故的；</w:t>
            </w:r>
          </w:p>
          <w:p w14:paraId="6893DAB3">
            <w:pPr>
              <w:spacing w:line="240" w:lineRule="atLeast"/>
              <w:jc w:val="left"/>
              <w:rPr>
                <w:rFonts w:ascii="宋体"/>
                <w:kern w:val="0"/>
              </w:rPr>
            </w:pPr>
            <w:r>
              <w:rPr>
                <w:rFonts w:hint="eastAsia" w:ascii="宋体"/>
              </w:rPr>
              <w:t>2.具有其他严重情节的。</w:t>
            </w:r>
          </w:p>
        </w:tc>
        <w:tc>
          <w:tcPr>
            <w:tcW w:w="5845" w:type="dxa"/>
            <w:vAlign w:val="center"/>
          </w:tcPr>
          <w:p w14:paraId="3D8E4D2A">
            <w:pPr>
              <w:spacing w:line="240" w:lineRule="atLeast"/>
              <w:jc w:val="center"/>
              <w:rPr>
                <w:rFonts w:ascii="宋体"/>
                <w:kern w:val="0"/>
              </w:rPr>
            </w:pPr>
            <w:r>
              <w:rPr>
                <w:rFonts w:hint="eastAsia" w:ascii="宋体"/>
                <w:kern w:val="0"/>
              </w:rPr>
              <w:t>10-20万元</w:t>
            </w:r>
          </w:p>
        </w:tc>
        <w:tc>
          <w:tcPr>
            <w:tcW w:w="3082" w:type="dxa"/>
            <w:vAlign w:val="center"/>
          </w:tcPr>
          <w:p w14:paraId="11130085">
            <w:pPr>
              <w:spacing w:line="240" w:lineRule="atLeast"/>
              <w:jc w:val="center"/>
              <w:rPr>
                <w:rFonts w:ascii="宋体"/>
                <w:kern w:val="0"/>
              </w:rPr>
            </w:pPr>
            <w:r>
              <w:rPr>
                <w:rFonts w:hint="eastAsia" w:ascii="宋体"/>
                <w:kern w:val="0"/>
              </w:rPr>
              <w:t>吊销适任证书</w:t>
            </w:r>
          </w:p>
        </w:tc>
        <w:tc>
          <w:tcPr>
            <w:tcW w:w="3032" w:type="dxa"/>
            <w:vAlign w:val="center"/>
          </w:tcPr>
          <w:p w14:paraId="7AD6079E">
            <w:pPr>
              <w:spacing w:line="240" w:lineRule="atLeast"/>
              <w:jc w:val="center"/>
              <w:rPr>
                <w:rFonts w:ascii="宋体"/>
                <w:kern w:val="0"/>
              </w:rPr>
            </w:pPr>
            <w:r>
              <w:rPr>
                <w:rFonts w:hint="eastAsia" w:ascii="宋体"/>
                <w:kern w:val="0"/>
              </w:rPr>
              <w:t>吊销适任证书</w:t>
            </w:r>
          </w:p>
        </w:tc>
      </w:tr>
    </w:tbl>
    <w:p w14:paraId="5BBBA627">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1300"/>
        <w:gridCol w:w="1366"/>
        <w:gridCol w:w="1185"/>
        <w:gridCol w:w="3350"/>
        <w:gridCol w:w="6660"/>
        <w:gridCol w:w="2267"/>
        <w:gridCol w:w="3032"/>
      </w:tblGrid>
      <w:tr w14:paraId="7EBA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35" w:type="dxa"/>
            <w:vMerge w:val="restart"/>
            <w:vAlign w:val="center"/>
          </w:tcPr>
          <w:p w14:paraId="3F16CD7D">
            <w:pPr>
              <w:spacing w:line="240" w:lineRule="exact"/>
              <w:jc w:val="center"/>
              <w:rPr>
                <w:rFonts w:ascii="宋体"/>
                <w:b/>
                <w:kern w:val="0"/>
              </w:rPr>
            </w:pPr>
            <w:r>
              <w:rPr>
                <w:rFonts w:hint="eastAsia" w:ascii="宋体"/>
                <w:b/>
                <w:kern w:val="0"/>
              </w:rPr>
              <w:t>案由26</w:t>
            </w:r>
          </w:p>
        </w:tc>
        <w:tc>
          <w:tcPr>
            <w:tcW w:w="2666" w:type="dxa"/>
            <w:gridSpan w:val="2"/>
            <w:vAlign w:val="center"/>
          </w:tcPr>
          <w:p w14:paraId="5269D7C7">
            <w:pPr>
              <w:spacing w:line="240" w:lineRule="exact"/>
              <w:jc w:val="center"/>
              <w:rPr>
                <w:rFonts w:ascii="宋体"/>
                <w:b/>
                <w:kern w:val="0"/>
              </w:rPr>
            </w:pPr>
            <w:r>
              <w:rPr>
                <w:rFonts w:hint="eastAsia" w:ascii="宋体"/>
                <w:b/>
                <w:kern w:val="0"/>
              </w:rPr>
              <w:t>法律依据</w:t>
            </w:r>
          </w:p>
        </w:tc>
        <w:tc>
          <w:tcPr>
            <w:tcW w:w="1185" w:type="dxa"/>
            <w:vMerge w:val="restart"/>
            <w:vAlign w:val="center"/>
          </w:tcPr>
          <w:p w14:paraId="169CBBEA">
            <w:pPr>
              <w:spacing w:line="240" w:lineRule="exact"/>
              <w:jc w:val="center"/>
              <w:rPr>
                <w:rFonts w:ascii="宋体"/>
                <w:b/>
                <w:kern w:val="0"/>
              </w:rPr>
            </w:pPr>
            <w:r>
              <w:rPr>
                <w:rFonts w:hint="eastAsia" w:ascii="宋体"/>
                <w:b/>
                <w:kern w:val="0"/>
              </w:rPr>
              <w:t>违法情节</w:t>
            </w:r>
          </w:p>
        </w:tc>
        <w:tc>
          <w:tcPr>
            <w:tcW w:w="3350" w:type="dxa"/>
            <w:vMerge w:val="restart"/>
            <w:vAlign w:val="center"/>
          </w:tcPr>
          <w:p w14:paraId="064CE4C1">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39D7C1BA">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0B3D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35" w:type="dxa"/>
            <w:vMerge w:val="continue"/>
            <w:vAlign w:val="center"/>
          </w:tcPr>
          <w:p w14:paraId="4419BAA1">
            <w:pPr>
              <w:spacing w:line="240" w:lineRule="exact"/>
              <w:jc w:val="center"/>
              <w:rPr>
                <w:rFonts w:ascii="宋体"/>
                <w:b/>
                <w:kern w:val="0"/>
              </w:rPr>
            </w:pPr>
          </w:p>
        </w:tc>
        <w:tc>
          <w:tcPr>
            <w:tcW w:w="1300" w:type="dxa"/>
            <w:vAlign w:val="center"/>
          </w:tcPr>
          <w:p w14:paraId="1A01C0EA">
            <w:pPr>
              <w:spacing w:line="240" w:lineRule="exact"/>
              <w:jc w:val="center"/>
              <w:rPr>
                <w:rFonts w:ascii="宋体"/>
                <w:b/>
                <w:kern w:val="0"/>
              </w:rPr>
            </w:pPr>
            <w:r>
              <w:rPr>
                <w:rFonts w:hint="eastAsia" w:ascii="宋体"/>
                <w:b/>
                <w:kern w:val="0"/>
              </w:rPr>
              <w:t>违反条款</w:t>
            </w:r>
          </w:p>
        </w:tc>
        <w:tc>
          <w:tcPr>
            <w:tcW w:w="1366" w:type="dxa"/>
            <w:vAlign w:val="center"/>
          </w:tcPr>
          <w:p w14:paraId="0C15E8BF">
            <w:pPr>
              <w:spacing w:line="240" w:lineRule="exact"/>
              <w:jc w:val="center"/>
              <w:rPr>
                <w:rFonts w:ascii="宋体"/>
                <w:b/>
                <w:kern w:val="0"/>
              </w:rPr>
            </w:pPr>
            <w:r>
              <w:rPr>
                <w:rFonts w:hint="eastAsia" w:ascii="宋体"/>
                <w:b/>
                <w:kern w:val="0"/>
              </w:rPr>
              <w:t>处罚依据</w:t>
            </w:r>
          </w:p>
        </w:tc>
        <w:tc>
          <w:tcPr>
            <w:tcW w:w="1185" w:type="dxa"/>
            <w:vMerge w:val="continue"/>
            <w:vAlign w:val="center"/>
          </w:tcPr>
          <w:p w14:paraId="1DA6E82A">
            <w:pPr>
              <w:spacing w:line="240" w:lineRule="exact"/>
              <w:jc w:val="center"/>
              <w:rPr>
                <w:rFonts w:ascii="宋体"/>
                <w:b/>
                <w:kern w:val="0"/>
              </w:rPr>
            </w:pPr>
          </w:p>
        </w:tc>
        <w:tc>
          <w:tcPr>
            <w:tcW w:w="3350" w:type="dxa"/>
            <w:vMerge w:val="continue"/>
            <w:vAlign w:val="center"/>
          </w:tcPr>
          <w:p w14:paraId="1DA4C9E3">
            <w:pPr>
              <w:spacing w:line="240" w:lineRule="exact"/>
              <w:jc w:val="center"/>
              <w:rPr>
                <w:rFonts w:ascii="宋体"/>
                <w:b/>
                <w:kern w:val="0"/>
              </w:rPr>
            </w:pPr>
          </w:p>
        </w:tc>
        <w:tc>
          <w:tcPr>
            <w:tcW w:w="6660" w:type="dxa"/>
            <w:vAlign w:val="center"/>
          </w:tcPr>
          <w:p w14:paraId="18055539">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14:paraId="695DFC4F">
            <w:pPr>
              <w:spacing w:line="240" w:lineRule="exact"/>
              <w:jc w:val="center"/>
              <w:rPr>
                <w:rFonts w:ascii="宋体"/>
                <w:b/>
                <w:kern w:val="0"/>
              </w:rPr>
            </w:pPr>
            <w:r>
              <w:rPr>
                <w:rFonts w:hint="eastAsia" w:ascii="宋体"/>
                <w:b/>
                <w:kern w:val="0"/>
              </w:rPr>
              <w:t>【对象】船长</w:t>
            </w:r>
          </w:p>
        </w:tc>
        <w:tc>
          <w:tcPr>
            <w:tcW w:w="3032" w:type="dxa"/>
            <w:vAlign w:val="center"/>
          </w:tcPr>
          <w:p w14:paraId="1805CFF3">
            <w:pPr>
              <w:spacing w:line="240" w:lineRule="exact"/>
              <w:jc w:val="center"/>
              <w:rPr>
                <w:rFonts w:ascii="宋体"/>
                <w:b/>
                <w:kern w:val="0"/>
              </w:rPr>
            </w:pPr>
            <w:r>
              <w:rPr>
                <w:rFonts w:hint="eastAsia" w:ascii="宋体"/>
                <w:b/>
                <w:kern w:val="0"/>
              </w:rPr>
              <w:t>【对象】责任船员</w:t>
            </w:r>
          </w:p>
        </w:tc>
      </w:tr>
      <w:tr w14:paraId="6AC4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35" w:type="dxa"/>
            <w:vMerge w:val="restart"/>
            <w:vAlign w:val="center"/>
          </w:tcPr>
          <w:p w14:paraId="111F377E">
            <w:pPr>
              <w:widowControl/>
              <w:spacing w:line="240" w:lineRule="exact"/>
              <w:jc w:val="left"/>
              <w:rPr>
                <w:rFonts w:ascii="宋体"/>
                <w:b/>
                <w:kern w:val="0"/>
              </w:rPr>
            </w:pPr>
            <w:r>
              <w:rPr>
                <w:rFonts w:hint="eastAsia" w:ascii="宋体"/>
                <w:bCs/>
                <w:kern w:val="0"/>
              </w:rPr>
              <w:t>其他违反海上航行、停泊、作业规则</w:t>
            </w:r>
          </w:p>
        </w:tc>
        <w:tc>
          <w:tcPr>
            <w:tcW w:w="1300" w:type="dxa"/>
            <w:vMerge w:val="restart"/>
            <w:vAlign w:val="center"/>
          </w:tcPr>
          <w:p w14:paraId="1744A0B8">
            <w:pPr>
              <w:widowControl/>
              <w:spacing w:line="240" w:lineRule="exact"/>
              <w:jc w:val="left"/>
              <w:rPr>
                <w:rFonts w:ascii="宋体"/>
                <w:kern w:val="0"/>
              </w:rPr>
            </w:pPr>
            <w:r>
              <w:rPr>
                <w:rFonts w:hint="eastAsia" w:ascii="宋体"/>
                <w:kern w:val="0"/>
              </w:rPr>
              <w:t>1.《中华人民共和国海上交通安全法》相关条款；</w:t>
            </w:r>
          </w:p>
          <w:p w14:paraId="340329A7">
            <w:pPr>
              <w:widowControl/>
              <w:spacing w:line="240" w:lineRule="exact"/>
              <w:jc w:val="left"/>
              <w:rPr>
                <w:rFonts w:ascii="宋体"/>
              </w:rPr>
            </w:pPr>
            <w:r>
              <w:rPr>
                <w:rFonts w:hint="eastAsia" w:ascii="宋体"/>
              </w:rPr>
              <w:t>2.其他法律、法规、规章等。</w:t>
            </w:r>
          </w:p>
        </w:tc>
        <w:tc>
          <w:tcPr>
            <w:tcW w:w="1366" w:type="dxa"/>
            <w:vMerge w:val="restart"/>
            <w:vAlign w:val="center"/>
          </w:tcPr>
          <w:p w14:paraId="531EB5A2">
            <w:pPr>
              <w:spacing w:line="240" w:lineRule="exact"/>
              <w:jc w:val="left"/>
              <w:rPr>
                <w:rFonts w:ascii="宋体"/>
                <w:kern w:val="0"/>
              </w:rPr>
            </w:pPr>
            <w:r>
              <w:rPr>
                <w:rFonts w:hint="eastAsia" w:ascii="宋体"/>
                <w:kern w:val="0"/>
              </w:rPr>
              <w:t>1.《中华人民共和国海上交通安全法》第一百零三条第（十三）项、《中华人民共和国海上海事行政处罚规定》第十八条第（十三）项；</w:t>
            </w:r>
          </w:p>
          <w:p w14:paraId="7F68AFF3">
            <w:pPr>
              <w:spacing w:line="240" w:lineRule="exact"/>
              <w:jc w:val="left"/>
              <w:rPr>
                <w:rFonts w:ascii="宋体"/>
                <w:kern w:val="0"/>
              </w:rPr>
            </w:pPr>
            <w:r>
              <w:rPr>
                <w:rFonts w:hint="eastAsia" w:ascii="宋体"/>
                <w:kern w:val="0"/>
              </w:rPr>
              <w:t>2.《中华人民共和国海上海事行政处罚规定》第七条。</w:t>
            </w:r>
          </w:p>
        </w:tc>
        <w:tc>
          <w:tcPr>
            <w:tcW w:w="1185" w:type="dxa"/>
            <w:vAlign w:val="center"/>
          </w:tcPr>
          <w:p w14:paraId="77C01C11">
            <w:pPr>
              <w:spacing w:line="240" w:lineRule="exact"/>
              <w:jc w:val="center"/>
              <w:rPr>
                <w:rFonts w:ascii="宋体"/>
                <w:kern w:val="0"/>
              </w:rPr>
            </w:pPr>
            <w:r>
              <w:rPr>
                <w:rFonts w:hint="eastAsia" w:ascii="宋体"/>
                <w:kern w:val="0"/>
              </w:rPr>
              <w:t>从轻</w:t>
            </w:r>
          </w:p>
        </w:tc>
        <w:tc>
          <w:tcPr>
            <w:tcW w:w="3350" w:type="dxa"/>
            <w:vAlign w:val="center"/>
          </w:tcPr>
          <w:p w14:paraId="0B824BAB">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7C306412">
            <w:pPr>
              <w:spacing w:line="240" w:lineRule="atLeast"/>
              <w:jc w:val="center"/>
              <w:rPr>
                <w:rFonts w:ascii="宋体"/>
                <w:kern w:val="0"/>
              </w:rPr>
            </w:pPr>
            <w:r>
              <w:rPr>
                <w:rFonts w:hint="eastAsia" w:ascii="宋体"/>
                <w:kern w:val="0"/>
              </w:rPr>
              <w:t>2-3万元</w:t>
            </w:r>
          </w:p>
        </w:tc>
        <w:tc>
          <w:tcPr>
            <w:tcW w:w="2267" w:type="dxa"/>
            <w:vAlign w:val="center"/>
          </w:tcPr>
          <w:p w14:paraId="1B8CF646">
            <w:pPr>
              <w:spacing w:line="240" w:lineRule="atLeast"/>
              <w:jc w:val="center"/>
              <w:rPr>
                <w:rFonts w:ascii="宋体"/>
                <w:kern w:val="0"/>
              </w:rPr>
            </w:pPr>
            <w:r>
              <w:rPr>
                <w:rFonts w:hint="eastAsia" w:ascii="宋体"/>
                <w:kern w:val="0"/>
              </w:rPr>
              <w:t>2000-5000元、并暂扣适任证书3个月至4个月</w:t>
            </w:r>
          </w:p>
        </w:tc>
        <w:tc>
          <w:tcPr>
            <w:tcW w:w="3032" w:type="dxa"/>
            <w:vAlign w:val="center"/>
          </w:tcPr>
          <w:p w14:paraId="16CE7153">
            <w:pPr>
              <w:spacing w:line="240" w:lineRule="atLeast"/>
              <w:jc w:val="center"/>
              <w:rPr>
                <w:rFonts w:ascii="宋体"/>
                <w:kern w:val="0"/>
              </w:rPr>
            </w:pPr>
            <w:r>
              <w:rPr>
                <w:rFonts w:hint="eastAsia" w:ascii="宋体"/>
                <w:kern w:val="0"/>
              </w:rPr>
              <w:t>2000-4000元、并暂扣适任证书3个月至4个月</w:t>
            </w:r>
          </w:p>
        </w:tc>
      </w:tr>
      <w:tr w14:paraId="37AF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35" w:type="dxa"/>
            <w:vMerge w:val="continue"/>
            <w:vAlign w:val="center"/>
          </w:tcPr>
          <w:p w14:paraId="13720C12">
            <w:pPr>
              <w:spacing w:line="240" w:lineRule="exact"/>
              <w:jc w:val="center"/>
              <w:rPr>
                <w:rFonts w:ascii="宋体"/>
                <w:kern w:val="0"/>
              </w:rPr>
            </w:pPr>
          </w:p>
        </w:tc>
        <w:tc>
          <w:tcPr>
            <w:tcW w:w="1300" w:type="dxa"/>
            <w:vMerge w:val="continue"/>
            <w:vAlign w:val="center"/>
          </w:tcPr>
          <w:p w14:paraId="285278A0">
            <w:pPr>
              <w:widowControl/>
              <w:spacing w:line="240" w:lineRule="exact"/>
              <w:jc w:val="center"/>
              <w:rPr>
                <w:rFonts w:ascii="宋体"/>
                <w:kern w:val="0"/>
              </w:rPr>
            </w:pPr>
          </w:p>
        </w:tc>
        <w:tc>
          <w:tcPr>
            <w:tcW w:w="1366" w:type="dxa"/>
            <w:vMerge w:val="continue"/>
            <w:vAlign w:val="center"/>
          </w:tcPr>
          <w:p w14:paraId="017C6D63">
            <w:pPr>
              <w:spacing w:line="240" w:lineRule="exact"/>
              <w:jc w:val="center"/>
              <w:rPr>
                <w:rFonts w:ascii="宋体"/>
                <w:kern w:val="0"/>
              </w:rPr>
            </w:pPr>
          </w:p>
        </w:tc>
        <w:tc>
          <w:tcPr>
            <w:tcW w:w="1185" w:type="dxa"/>
            <w:vMerge w:val="restart"/>
            <w:vAlign w:val="center"/>
          </w:tcPr>
          <w:p w14:paraId="401A7381">
            <w:pPr>
              <w:spacing w:line="240" w:lineRule="exact"/>
              <w:jc w:val="center"/>
              <w:rPr>
                <w:rFonts w:ascii="宋体"/>
                <w:kern w:val="0"/>
              </w:rPr>
            </w:pPr>
            <w:r>
              <w:rPr>
                <w:rFonts w:hint="eastAsia" w:ascii="宋体"/>
                <w:kern w:val="0"/>
              </w:rPr>
              <w:t>一般</w:t>
            </w:r>
          </w:p>
        </w:tc>
        <w:tc>
          <w:tcPr>
            <w:tcW w:w="3350" w:type="dxa"/>
            <w:vAlign w:val="center"/>
          </w:tcPr>
          <w:p w14:paraId="1541E4FB">
            <w:pPr>
              <w:widowControl/>
              <w:spacing w:line="240" w:lineRule="exact"/>
              <w:jc w:val="left"/>
              <w:rPr>
                <w:rFonts w:ascii="宋体"/>
                <w:kern w:val="0"/>
              </w:rPr>
            </w:pPr>
            <w:r>
              <w:rPr>
                <w:rFonts w:hint="eastAsia" w:ascii="宋体"/>
                <w:kern w:val="0"/>
              </w:rPr>
              <w:t>一般船舶违反海上航行、停泊、作业规则</w:t>
            </w:r>
          </w:p>
        </w:tc>
        <w:tc>
          <w:tcPr>
            <w:tcW w:w="6660" w:type="dxa"/>
            <w:vAlign w:val="center"/>
          </w:tcPr>
          <w:p w14:paraId="2266AF94">
            <w:pPr>
              <w:spacing w:line="240" w:lineRule="atLeast"/>
              <w:jc w:val="center"/>
              <w:rPr>
                <w:rFonts w:ascii="宋体"/>
                <w:kern w:val="0"/>
              </w:rPr>
            </w:pPr>
            <w:r>
              <w:rPr>
                <w:rFonts w:hint="eastAsia" w:ascii="宋体"/>
                <w:kern w:val="0"/>
              </w:rPr>
              <w:t>3-4万元</w:t>
            </w:r>
          </w:p>
        </w:tc>
        <w:tc>
          <w:tcPr>
            <w:tcW w:w="2267" w:type="dxa"/>
            <w:vAlign w:val="center"/>
          </w:tcPr>
          <w:p w14:paraId="5EB35DE3">
            <w:pPr>
              <w:spacing w:line="240" w:lineRule="atLeast"/>
              <w:jc w:val="center"/>
              <w:rPr>
                <w:rFonts w:ascii="宋体"/>
                <w:kern w:val="0"/>
              </w:rPr>
            </w:pPr>
            <w:r>
              <w:rPr>
                <w:rFonts w:hint="eastAsia" w:ascii="宋体"/>
                <w:kern w:val="0"/>
              </w:rPr>
              <w:t>5000-8000元、并暂扣适任证书3个月至5个月</w:t>
            </w:r>
          </w:p>
        </w:tc>
        <w:tc>
          <w:tcPr>
            <w:tcW w:w="3032" w:type="dxa"/>
            <w:vAlign w:val="center"/>
          </w:tcPr>
          <w:p w14:paraId="39A4B098">
            <w:pPr>
              <w:spacing w:line="240" w:lineRule="atLeast"/>
              <w:jc w:val="center"/>
              <w:rPr>
                <w:rFonts w:ascii="宋体"/>
                <w:b/>
                <w:kern w:val="0"/>
              </w:rPr>
            </w:pPr>
            <w:r>
              <w:rPr>
                <w:rFonts w:hint="eastAsia" w:ascii="宋体"/>
                <w:kern w:val="0"/>
              </w:rPr>
              <w:t>4000元-6000、并暂扣适任证书3个月至4个月</w:t>
            </w:r>
          </w:p>
        </w:tc>
      </w:tr>
      <w:tr w14:paraId="251C1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 w:type="dxa"/>
            <w:vMerge w:val="continue"/>
            <w:vAlign w:val="center"/>
          </w:tcPr>
          <w:p w14:paraId="5AD13BDC">
            <w:pPr>
              <w:spacing w:line="240" w:lineRule="exact"/>
              <w:jc w:val="center"/>
              <w:rPr>
                <w:rFonts w:ascii="宋体"/>
                <w:kern w:val="0"/>
              </w:rPr>
            </w:pPr>
          </w:p>
        </w:tc>
        <w:tc>
          <w:tcPr>
            <w:tcW w:w="1300" w:type="dxa"/>
            <w:vMerge w:val="continue"/>
            <w:vAlign w:val="center"/>
          </w:tcPr>
          <w:p w14:paraId="2299368D">
            <w:pPr>
              <w:widowControl/>
              <w:spacing w:line="240" w:lineRule="exact"/>
              <w:jc w:val="center"/>
              <w:rPr>
                <w:rFonts w:ascii="宋体"/>
                <w:kern w:val="0"/>
              </w:rPr>
            </w:pPr>
          </w:p>
        </w:tc>
        <w:tc>
          <w:tcPr>
            <w:tcW w:w="1366" w:type="dxa"/>
            <w:vMerge w:val="continue"/>
            <w:vAlign w:val="center"/>
          </w:tcPr>
          <w:p w14:paraId="2FCD5D9C">
            <w:pPr>
              <w:spacing w:line="240" w:lineRule="exact"/>
              <w:jc w:val="center"/>
              <w:rPr>
                <w:rFonts w:ascii="宋体"/>
                <w:kern w:val="0"/>
              </w:rPr>
            </w:pPr>
          </w:p>
        </w:tc>
        <w:tc>
          <w:tcPr>
            <w:tcW w:w="1185" w:type="dxa"/>
            <w:vMerge w:val="continue"/>
            <w:vAlign w:val="center"/>
          </w:tcPr>
          <w:p w14:paraId="1B33E8E9">
            <w:pPr>
              <w:spacing w:line="240" w:lineRule="exact"/>
              <w:jc w:val="center"/>
              <w:rPr>
                <w:rFonts w:ascii="宋体"/>
                <w:kern w:val="0"/>
              </w:rPr>
            </w:pPr>
          </w:p>
        </w:tc>
        <w:tc>
          <w:tcPr>
            <w:tcW w:w="3350" w:type="dxa"/>
            <w:vAlign w:val="center"/>
          </w:tcPr>
          <w:p w14:paraId="75FC871E">
            <w:pPr>
              <w:widowControl/>
              <w:spacing w:line="240" w:lineRule="exact"/>
              <w:jc w:val="left"/>
              <w:rPr>
                <w:rFonts w:ascii="宋体"/>
                <w:kern w:val="0"/>
              </w:rPr>
            </w:pPr>
            <w:r>
              <w:rPr>
                <w:rFonts w:hint="eastAsia" w:ascii="宋体"/>
                <w:kern w:val="0"/>
              </w:rPr>
              <w:t>客船、</w:t>
            </w:r>
            <w:r>
              <w:rPr>
                <w:rFonts w:hint="eastAsia" w:ascii="宋体"/>
                <w:bCs/>
                <w:kern w:val="0"/>
              </w:rPr>
              <w:t>危险品船</w:t>
            </w:r>
            <w:r>
              <w:rPr>
                <w:rFonts w:hint="eastAsia" w:ascii="宋体"/>
                <w:kern w:val="0"/>
              </w:rPr>
              <w:t>违反海上航行、停泊、作业规则</w:t>
            </w:r>
          </w:p>
        </w:tc>
        <w:tc>
          <w:tcPr>
            <w:tcW w:w="6660" w:type="dxa"/>
            <w:vAlign w:val="center"/>
          </w:tcPr>
          <w:p w14:paraId="6831C90C">
            <w:pPr>
              <w:spacing w:line="240" w:lineRule="atLeast"/>
              <w:jc w:val="center"/>
              <w:rPr>
                <w:rFonts w:ascii="宋体"/>
                <w:kern w:val="0"/>
              </w:rPr>
            </w:pPr>
            <w:r>
              <w:rPr>
                <w:rFonts w:hint="eastAsia" w:ascii="宋体"/>
                <w:kern w:val="0"/>
              </w:rPr>
              <w:t>4-5万元</w:t>
            </w:r>
          </w:p>
        </w:tc>
        <w:tc>
          <w:tcPr>
            <w:tcW w:w="2267" w:type="dxa"/>
            <w:vAlign w:val="center"/>
          </w:tcPr>
          <w:p w14:paraId="5F23A092">
            <w:pPr>
              <w:spacing w:line="240" w:lineRule="atLeast"/>
              <w:jc w:val="center"/>
              <w:rPr>
                <w:rFonts w:ascii="宋体"/>
                <w:kern w:val="0"/>
              </w:rPr>
            </w:pPr>
            <w:r>
              <w:rPr>
                <w:rFonts w:hint="eastAsia" w:ascii="宋体"/>
                <w:kern w:val="0"/>
              </w:rPr>
              <w:t>8000元-1万元、并暂扣适任证书4个月至6个月</w:t>
            </w:r>
          </w:p>
        </w:tc>
        <w:tc>
          <w:tcPr>
            <w:tcW w:w="3032" w:type="dxa"/>
            <w:vAlign w:val="center"/>
          </w:tcPr>
          <w:p w14:paraId="7A16DF89">
            <w:pPr>
              <w:spacing w:line="240" w:lineRule="atLeast"/>
              <w:jc w:val="center"/>
              <w:rPr>
                <w:rFonts w:ascii="宋体"/>
                <w:kern w:val="0"/>
              </w:rPr>
            </w:pPr>
            <w:r>
              <w:rPr>
                <w:rFonts w:hint="eastAsia" w:ascii="宋体"/>
                <w:kern w:val="0"/>
              </w:rPr>
              <w:t>6000元-1万元、并暂扣适任证书4个月至5个月</w:t>
            </w:r>
          </w:p>
        </w:tc>
      </w:tr>
      <w:tr w14:paraId="70BA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935" w:type="dxa"/>
            <w:vMerge w:val="continue"/>
            <w:vAlign w:val="center"/>
          </w:tcPr>
          <w:p w14:paraId="4C72F6B5">
            <w:pPr>
              <w:spacing w:line="240" w:lineRule="exact"/>
              <w:jc w:val="center"/>
              <w:rPr>
                <w:rFonts w:ascii="宋体"/>
                <w:kern w:val="0"/>
              </w:rPr>
            </w:pPr>
          </w:p>
        </w:tc>
        <w:tc>
          <w:tcPr>
            <w:tcW w:w="1300" w:type="dxa"/>
            <w:vMerge w:val="continue"/>
            <w:vAlign w:val="center"/>
          </w:tcPr>
          <w:p w14:paraId="211AEF4F">
            <w:pPr>
              <w:spacing w:line="240" w:lineRule="exact"/>
              <w:jc w:val="center"/>
              <w:rPr>
                <w:rFonts w:ascii="宋体"/>
                <w:kern w:val="0"/>
              </w:rPr>
            </w:pPr>
          </w:p>
        </w:tc>
        <w:tc>
          <w:tcPr>
            <w:tcW w:w="1366" w:type="dxa"/>
            <w:vMerge w:val="continue"/>
            <w:vAlign w:val="center"/>
          </w:tcPr>
          <w:p w14:paraId="47435AD3">
            <w:pPr>
              <w:spacing w:line="240" w:lineRule="exact"/>
              <w:jc w:val="center"/>
              <w:rPr>
                <w:rFonts w:ascii="宋体"/>
                <w:kern w:val="0"/>
              </w:rPr>
            </w:pPr>
          </w:p>
        </w:tc>
        <w:tc>
          <w:tcPr>
            <w:tcW w:w="1185" w:type="dxa"/>
            <w:vMerge w:val="continue"/>
            <w:vAlign w:val="center"/>
          </w:tcPr>
          <w:p w14:paraId="15FDD646">
            <w:pPr>
              <w:spacing w:line="240" w:lineRule="exact"/>
              <w:jc w:val="center"/>
              <w:rPr>
                <w:rFonts w:ascii="宋体"/>
                <w:kern w:val="0"/>
              </w:rPr>
            </w:pPr>
          </w:p>
        </w:tc>
        <w:tc>
          <w:tcPr>
            <w:tcW w:w="3350" w:type="dxa"/>
            <w:vAlign w:val="center"/>
          </w:tcPr>
          <w:p w14:paraId="23F914FC">
            <w:pPr>
              <w:spacing w:line="240" w:lineRule="atLeast"/>
              <w:jc w:val="left"/>
              <w:rPr>
                <w:rFonts w:ascii="宋体"/>
              </w:rPr>
            </w:pPr>
            <w:r>
              <w:rPr>
                <w:rFonts w:hint="eastAsia" w:ascii="宋体"/>
              </w:rPr>
              <w:t>1.造成一般事故或险情的；</w:t>
            </w:r>
          </w:p>
          <w:p w14:paraId="57ED301C">
            <w:pPr>
              <w:spacing w:line="240" w:lineRule="atLeast"/>
              <w:jc w:val="left"/>
              <w:rPr>
                <w:rFonts w:ascii="宋体"/>
                <w:kern w:val="0"/>
              </w:rPr>
            </w:pPr>
            <w:r>
              <w:rPr>
                <w:rFonts w:hint="eastAsia" w:ascii="宋体"/>
              </w:rPr>
              <w:t>2.具有其他较重情节的。</w:t>
            </w:r>
          </w:p>
        </w:tc>
        <w:tc>
          <w:tcPr>
            <w:tcW w:w="6660" w:type="dxa"/>
            <w:vAlign w:val="center"/>
          </w:tcPr>
          <w:p w14:paraId="1D8CE635">
            <w:pPr>
              <w:spacing w:line="240" w:lineRule="atLeast"/>
              <w:jc w:val="center"/>
              <w:rPr>
                <w:rFonts w:ascii="宋体"/>
                <w:kern w:val="0"/>
              </w:rPr>
            </w:pPr>
            <w:r>
              <w:rPr>
                <w:rFonts w:hint="eastAsia" w:ascii="宋体"/>
                <w:kern w:val="0"/>
              </w:rPr>
              <w:t>5-10万元</w:t>
            </w:r>
          </w:p>
        </w:tc>
        <w:tc>
          <w:tcPr>
            <w:tcW w:w="2267" w:type="dxa"/>
            <w:vAlign w:val="center"/>
          </w:tcPr>
          <w:p w14:paraId="41D7A905">
            <w:pPr>
              <w:spacing w:line="240" w:lineRule="atLeast"/>
              <w:jc w:val="center"/>
              <w:rPr>
                <w:rFonts w:ascii="宋体"/>
                <w:kern w:val="0"/>
              </w:rPr>
            </w:pPr>
            <w:r>
              <w:rPr>
                <w:rFonts w:hint="eastAsia" w:ascii="宋体"/>
                <w:kern w:val="0"/>
              </w:rPr>
              <w:t>1-2万元、并暂扣适任证书6个月至12个月</w:t>
            </w:r>
          </w:p>
        </w:tc>
        <w:tc>
          <w:tcPr>
            <w:tcW w:w="3032" w:type="dxa"/>
            <w:vAlign w:val="center"/>
          </w:tcPr>
          <w:p w14:paraId="77ED3BEC">
            <w:pPr>
              <w:spacing w:line="240" w:lineRule="atLeast"/>
              <w:jc w:val="center"/>
              <w:rPr>
                <w:rFonts w:ascii="宋体"/>
                <w:kern w:val="0"/>
              </w:rPr>
            </w:pPr>
            <w:r>
              <w:rPr>
                <w:rFonts w:hint="eastAsia" w:ascii="宋体"/>
                <w:kern w:val="0"/>
              </w:rPr>
              <w:t>1-2万元、并暂扣适任证书5个月至12个月</w:t>
            </w:r>
          </w:p>
        </w:tc>
      </w:tr>
      <w:tr w14:paraId="139C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35" w:type="dxa"/>
            <w:vMerge w:val="continue"/>
            <w:vAlign w:val="center"/>
          </w:tcPr>
          <w:p w14:paraId="3CC8F3AE">
            <w:pPr>
              <w:spacing w:line="240" w:lineRule="exact"/>
              <w:jc w:val="center"/>
              <w:rPr>
                <w:rFonts w:ascii="宋体"/>
                <w:kern w:val="0"/>
              </w:rPr>
            </w:pPr>
          </w:p>
        </w:tc>
        <w:tc>
          <w:tcPr>
            <w:tcW w:w="1300" w:type="dxa"/>
            <w:vMerge w:val="continue"/>
            <w:vAlign w:val="center"/>
          </w:tcPr>
          <w:p w14:paraId="014F3B2C">
            <w:pPr>
              <w:spacing w:line="240" w:lineRule="exact"/>
              <w:jc w:val="center"/>
              <w:rPr>
                <w:rFonts w:ascii="宋体"/>
                <w:kern w:val="0"/>
              </w:rPr>
            </w:pPr>
          </w:p>
        </w:tc>
        <w:tc>
          <w:tcPr>
            <w:tcW w:w="1366" w:type="dxa"/>
            <w:vMerge w:val="continue"/>
            <w:vAlign w:val="center"/>
          </w:tcPr>
          <w:p w14:paraId="1089D195">
            <w:pPr>
              <w:spacing w:line="240" w:lineRule="exact"/>
              <w:jc w:val="center"/>
              <w:rPr>
                <w:rFonts w:ascii="宋体"/>
                <w:kern w:val="0"/>
              </w:rPr>
            </w:pPr>
          </w:p>
        </w:tc>
        <w:tc>
          <w:tcPr>
            <w:tcW w:w="1185" w:type="dxa"/>
            <w:vAlign w:val="center"/>
          </w:tcPr>
          <w:p w14:paraId="2D0757EF">
            <w:pPr>
              <w:spacing w:line="240" w:lineRule="exact"/>
              <w:jc w:val="center"/>
              <w:rPr>
                <w:rFonts w:ascii="宋体"/>
                <w:kern w:val="0"/>
              </w:rPr>
            </w:pPr>
            <w:r>
              <w:rPr>
                <w:rFonts w:hint="eastAsia" w:ascii="宋体"/>
                <w:kern w:val="0"/>
              </w:rPr>
              <w:t>情节严重</w:t>
            </w:r>
          </w:p>
        </w:tc>
        <w:tc>
          <w:tcPr>
            <w:tcW w:w="3350" w:type="dxa"/>
            <w:vAlign w:val="center"/>
          </w:tcPr>
          <w:p w14:paraId="3272465E">
            <w:pPr>
              <w:spacing w:line="240" w:lineRule="atLeast"/>
              <w:jc w:val="left"/>
              <w:rPr>
                <w:rFonts w:ascii="宋体"/>
              </w:rPr>
            </w:pPr>
            <w:r>
              <w:rPr>
                <w:rFonts w:hint="eastAsia" w:ascii="宋体"/>
              </w:rPr>
              <w:t>1.造成较大等级以上事故的；</w:t>
            </w:r>
          </w:p>
          <w:p w14:paraId="02C3C7BA">
            <w:pPr>
              <w:spacing w:line="240" w:lineRule="atLeast"/>
              <w:jc w:val="left"/>
              <w:rPr>
                <w:rFonts w:ascii="宋体"/>
              </w:rPr>
            </w:pPr>
            <w:r>
              <w:rPr>
                <w:rFonts w:hint="eastAsia" w:ascii="宋体"/>
              </w:rPr>
              <w:t>2.具有其他严重情节的。</w:t>
            </w:r>
          </w:p>
        </w:tc>
        <w:tc>
          <w:tcPr>
            <w:tcW w:w="6660" w:type="dxa"/>
            <w:vAlign w:val="center"/>
          </w:tcPr>
          <w:p w14:paraId="772C0982">
            <w:pPr>
              <w:spacing w:line="240" w:lineRule="atLeast"/>
              <w:jc w:val="center"/>
              <w:rPr>
                <w:rFonts w:ascii="宋体"/>
                <w:kern w:val="0"/>
              </w:rPr>
            </w:pPr>
            <w:r>
              <w:rPr>
                <w:rFonts w:hint="eastAsia" w:ascii="宋体"/>
                <w:kern w:val="0"/>
              </w:rPr>
              <w:t>10-20万元</w:t>
            </w:r>
          </w:p>
        </w:tc>
        <w:tc>
          <w:tcPr>
            <w:tcW w:w="2267" w:type="dxa"/>
            <w:vAlign w:val="center"/>
          </w:tcPr>
          <w:p w14:paraId="5BB57E3C">
            <w:pPr>
              <w:spacing w:line="240" w:lineRule="atLeast"/>
              <w:jc w:val="center"/>
              <w:rPr>
                <w:rFonts w:ascii="宋体"/>
                <w:kern w:val="0"/>
              </w:rPr>
            </w:pPr>
            <w:r>
              <w:rPr>
                <w:rFonts w:hint="eastAsia" w:ascii="宋体"/>
                <w:kern w:val="0"/>
              </w:rPr>
              <w:t>吊销适任证书</w:t>
            </w:r>
          </w:p>
        </w:tc>
        <w:tc>
          <w:tcPr>
            <w:tcW w:w="3032" w:type="dxa"/>
            <w:vAlign w:val="center"/>
          </w:tcPr>
          <w:p w14:paraId="2F027791">
            <w:pPr>
              <w:spacing w:line="240" w:lineRule="atLeast"/>
              <w:jc w:val="center"/>
              <w:rPr>
                <w:rFonts w:ascii="宋体"/>
                <w:kern w:val="0"/>
              </w:rPr>
            </w:pPr>
            <w:r>
              <w:rPr>
                <w:rFonts w:hint="eastAsia" w:ascii="宋体"/>
                <w:kern w:val="0"/>
              </w:rPr>
              <w:t>吊销适任证书</w:t>
            </w:r>
          </w:p>
        </w:tc>
      </w:tr>
    </w:tbl>
    <w:p w14:paraId="7DB330D1">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65"/>
        <w:gridCol w:w="1120"/>
        <w:gridCol w:w="1509"/>
        <w:gridCol w:w="1035"/>
        <w:gridCol w:w="3678"/>
        <w:gridCol w:w="6384"/>
        <w:gridCol w:w="2388"/>
        <w:gridCol w:w="2650"/>
      </w:tblGrid>
      <w:tr w14:paraId="5F8C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065" w:type="dxa"/>
            <w:vMerge w:val="restart"/>
            <w:vAlign w:val="center"/>
          </w:tcPr>
          <w:p w14:paraId="7614229B">
            <w:pPr>
              <w:spacing w:line="240" w:lineRule="exact"/>
              <w:jc w:val="center"/>
              <w:rPr>
                <w:rFonts w:ascii="宋体"/>
                <w:b/>
                <w:kern w:val="0"/>
              </w:rPr>
            </w:pPr>
            <w:r>
              <w:rPr>
                <w:rFonts w:hint="eastAsia" w:ascii="宋体"/>
                <w:b/>
                <w:kern w:val="0"/>
              </w:rPr>
              <w:t>案由27</w:t>
            </w:r>
          </w:p>
        </w:tc>
        <w:tc>
          <w:tcPr>
            <w:tcW w:w="2629" w:type="dxa"/>
            <w:gridSpan w:val="2"/>
            <w:vAlign w:val="center"/>
          </w:tcPr>
          <w:p w14:paraId="3E16AD73">
            <w:pPr>
              <w:spacing w:line="240" w:lineRule="exact"/>
              <w:jc w:val="center"/>
              <w:rPr>
                <w:rFonts w:ascii="宋体"/>
                <w:b/>
                <w:kern w:val="0"/>
              </w:rPr>
            </w:pPr>
            <w:r>
              <w:rPr>
                <w:rFonts w:hint="eastAsia" w:ascii="宋体"/>
                <w:b/>
                <w:kern w:val="0"/>
              </w:rPr>
              <w:t>法律依据</w:t>
            </w:r>
          </w:p>
        </w:tc>
        <w:tc>
          <w:tcPr>
            <w:tcW w:w="1035" w:type="dxa"/>
            <w:vMerge w:val="restart"/>
            <w:vAlign w:val="center"/>
          </w:tcPr>
          <w:p w14:paraId="3B5F14FB">
            <w:pPr>
              <w:spacing w:line="240" w:lineRule="exact"/>
              <w:jc w:val="center"/>
              <w:rPr>
                <w:rFonts w:ascii="宋体"/>
                <w:b/>
                <w:kern w:val="0"/>
              </w:rPr>
            </w:pPr>
            <w:r>
              <w:rPr>
                <w:rFonts w:hint="eastAsia" w:ascii="宋体"/>
                <w:b/>
                <w:kern w:val="0"/>
              </w:rPr>
              <w:t>违法情节</w:t>
            </w:r>
          </w:p>
        </w:tc>
        <w:tc>
          <w:tcPr>
            <w:tcW w:w="3678" w:type="dxa"/>
            <w:vMerge w:val="restart"/>
            <w:vAlign w:val="center"/>
          </w:tcPr>
          <w:p w14:paraId="71B13594">
            <w:pPr>
              <w:spacing w:line="240" w:lineRule="exact"/>
              <w:jc w:val="center"/>
              <w:rPr>
                <w:rFonts w:ascii="宋体"/>
                <w:b/>
                <w:kern w:val="0"/>
              </w:rPr>
            </w:pPr>
            <w:r>
              <w:rPr>
                <w:rFonts w:hint="eastAsia" w:ascii="宋体"/>
                <w:b/>
                <w:kern w:val="0"/>
              </w:rPr>
              <w:t>主要考虑因素（事实、性质、情节、危害程度和实际后果等）</w:t>
            </w:r>
          </w:p>
        </w:tc>
        <w:tc>
          <w:tcPr>
            <w:tcW w:w="11422" w:type="dxa"/>
            <w:gridSpan w:val="3"/>
            <w:tcBorders>
              <w:bottom w:val="single" w:color="auto" w:sz="4" w:space="0"/>
            </w:tcBorders>
            <w:vAlign w:val="center"/>
          </w:tcPr>
          <w:p w14:paraId="11D03B6B">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tc>
      </w:tr>
      <w:tr w14:paraId="4BF4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0" w:hRule="atLeast"/>
        </w:trPr>
        <w:tc>
          <w:tcPr>
            <w:tcW w:w="1065" w:type="dxa"/>
            <w:vMerge w:val="continue"/>
            <w:tcBorders>
              <w:bottom w:val="single" w:color="000000" w:sz="4" w:space="0"/>
            </w:tcBorders>
            <w:vAlign w:val="center"/>
          </w:tcPr>
          <w:p w14:paraId="562E4AB9">
            <w:pPr>
              <w:spacing w:line="240" w:lineRule="exact"/>
              <w:jc w:val="center"/>
              <w:rPr>
                <w:rFonts w:ascii="宋体"/>
                <w:b/>
                <w:kern w:val="0"/>
              </w:rPr>
            </w:pPr>
          </w:p>
        </w:tc>
        <w:tc>
          <w:tcPr>
            <w:tcW w:w="1120" w:type="dxa"/>
            <w:tcBorders>
              <w:bottom w:val="single" w:color="000000" w:sz="4" w:space="0"/>
            </w:tcBorders>
            <w:vAlign w:val="center"/>
          </w:tcPr>
          <w:p w14:paraId="1F226C51">
            <w:pPr>
              <w:spacing w:line="240" w:lineRule="exact"/>
              <w:jc w:val="center"/>
              <w:rPr>
                <w:rFonts w:ascii="宋体"/>
                <w:b/>
                <w:kern w:val="0"/>
              </w:rPr>
            </w:pPr>
            <w:r>
              <w:rPr>
                <w:rFonts w:hint="eastAsia" w:ascii="宋体"/>
                <w:b/>
                <w:kern w:val="0"/>
              </w:rPr>
              <w:t>违反条款</w:t>
            </w:r>
          </w:p>
        </w:tc>
        <w:tc>
          <w:tcPr>
            <w:tcW w:w="1509" w:type="dxa"/>
            <w:tcBorders>
              <w:bottom w:val="single" w:color="000000" w:sz="4" w:space="0"/>
            </w:tcBorders>
            <w:vAlign w:val="center"/>
          </w:tcPr>
          <w:p w14:paraId="7C36F366">
            <w:pPr>
              <w:spacing w:line="240" w:lineRule="exact"/>
              <w:jc w:val="center"/>
              <w:rPr>
                <w:rFonts w:ascii="宋体"/>
                <w:b/>
                <w:kern w:val="0"/>
              </w:rPr>
            </w:pPr>
            <w:r>
              <w:rPr>
                <w:rFonts w:hint="eastAsia" w:ascii="宋体"/>
                <w:b/>
                <w:kern w:val="0"/>
              </w:rPr>
              <w:t>处罚依据</w:t>
            </w:r>
          </w:p>
        </w:tc>
        <w:tc>
          <w:tcPr>
            <w:tcW w:w="1035" w:type="dxa"/>
            <w:vMerge w:val="continue"/>
            <w:tcBorders>
              <w:bottom w:val="single" w:color="000000" w:sz="4" w:space="0"/>
            </w:tcBorders>
            <w:vAlign w:val="center"/>
          </w:tcPr>
          <w:p w14:paraId="12C19D72">
            <w:pPr>
              <w:spacing w:line="240" w:lineRule="exact"/>
              <w:jc w:val="center"/>
              <w:rPr>
                <w:rFonts w:ascii="宋体"/>
                <w:b/>
                <w:kern w:val="0"/>
              </w:rPr>
            </w:pPr>
          </w:p>
        </w:tc>
        <w:tc>
          <w:tcPr>
            <w:tcW w:w="3678" w:type="dxa"/>
            <w:vMerge w:val="continue"/>
            <w:tcBorders>
              <w:bottom w:val="single" w:color="000000" w:sz="4" w:space="0"/>
            </w:tcBorders>
            <w:vAlign w:val="center"/>
          </w:tcPr>
          <w:p w14:paraId="0CB3B1E6">
            <w:pPr>
              <w:spacing w:line="240" w:lineRule="exact"/>
              <w:jc w:val="center"/>
              <w:rPr>
                <w:rFonts w:ascii="宋体"/>
                <w:b/>
                <w:kern w:val="0"/>
              </w:rPr>
            </w:pPr>
          </w:p>
        </w:tc>
        <w:tc>
          <w:tcPr>
            <w:tcW w:w="6384" w:type="dxa"/>
            <w:tcBorders>
              <w:top w:val="single" w:color="auto" w:sz="4" w:space="0"/>
              <w:right w:val="single" w:color="auto" w:sz="4" w:space="0"/>
            </w:tcBorders>
            <w:vAlign w:val="center"/>
          </w:tcPr>
          <w:p w14:paraId="18E2BC49">
            <w:pPr>
              <w:spacing w:line="240" w:lineRule="exact"/>
              <w:jc w:val="center"/>
              <w:rPr>
                <w:rFonts w:ascii="宋体"/>
                <w:b/>
                <w:kern w:val="0"/>
              </w:rPr>
            </w:pPr>
            <w:r>
              <w:rPr>
                <w:rFonts w:hint="eastAsia" w:ascii="宋体"/>
                <w:b/>
                <w:kern w:val="0"/>
              </w:rPr>
              <w:t>【对象】船舶、海上设施的所有人、经营人或者管理人</w:t>
            </w:r>
          </w:p>
        </w:tc>
        <w:tc>
          <w:tcPr>
            <w:tcW w:w="2388" w:type="dxa"/>
            <w:tcBorders>
              <w:top w:val="single" w:color="auto" w:sz="4" w:space="0"/>
              <w:left w:val="single" w:color="auto" w:sz="4" w:space="0"/>
            </w:tcBorders>
            <w:vAlign w:val="center"/>
          </w:tcPr>
          <w:p w14:paraId="2C3D8FB2">
            <w:pPr>
              <w:spacing w:line="240" w:lineRule="exact"/>
              <w:jc w:val="center"/>
              <w:rPr>
                <w:rFonts w:ascii="宋体"/>
                <w:b/>
                <w:kern w:val="0"/>
              </w:rPr>
            </w:pPr>
            <w:r>
              <w:rPr>
                <w:rFonts w:hint="eastAsia" w:ascii="宋体"/>
                <w:b/>
                <w:kern w:val="0"/>
              </w:rPr>
              <w:t>【对象】船长</w:t>
            </w:r>
          </w:p>
        </w:tc>
        <w:tc>
          <w:tcPr>
            <w:tcW w:w="2650" w:type="dxa"/>
            <w:tcBorders>
              <w:top w:val="single" w:color="auto" w:sz="4" w:space="0"/>
              <w:left w:val="single" w:color="auto" w:sz="4" w:space="0"/>
            </w:tcBorders>
            <w:vAlign w:val="center"/>
          </w:tcPr>
          <w:p w14:paraId="682B53EB">
            <w:pPr>
              <w:spacing w:line="240" w:lineRule="exact"/>
              <w:jc w:val="center"/>
              <w:rPr>
                <w:rFonts w:ascii="宋体"/>
                <w:b/>
                <w:kern w:val="0"/>
              </w:rPr>
            </w:pPr>
            <w:r>
              <w:rPr>
                <w:rFonts w:hint="eastAsia" w:ascii="宋体"/>
                <w:b/>
                <w:kern w:val="0"/>
              </w:rPr>
              <w:t>【对象】责任船员</w:t>
            </w:r>
          </w:p>
        </w:tc>
      </w:tr>
      <w:tr w14:paraId="4F9DB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5" w:hRule="atLeast"/>
        </w:trPr>
        <w:tc>
          <w:tcPr>
            <w:tcW w:w="1065" w:type="dxa"/>
            <w:vMerge w:val="restart"/>
            <w:vAlign w:val="center"/>
          </w:tcPr>
          <w:p w14:paraId="2DBDA5BB">
            <w:pPr>
              <w:widowControl/>
              <w:spacing w:line="240" w:lineRule="exact"/>
              <w:jc w:val="left"/>
              <w:rPr>
                <w:rFonts w:ascii="宋体"/>
                <w:kern w:val="0"/>
              </w:rPr>
            </w:pPr>
            <w:r>
              <w:rPr>
                <w:rFonts w:hint="eastAsia" w:ascii="宋体"/>
                <w:kern w:val="0"/>
              </w:rPr>
              <w:t xml:space="preserve">船舶、海上设施未经许可从事海上施工作业 </w:t>
            </w:r>
          </w:p>
        </w:tc>
        <w:tc>
          <w:tcPr>
            <w:tcW w:w="1120" w:type="dxa"/>
            <w:vMerge w:val="restart"/>
            <w:vAlign w:val="center"/>
          </w:tcPr>
          <w:p w14:paraId="4C4C4F5B">
            <w:pPr>
              <w:widowControl/>
              <w:spacing w:line="240" w:lineRule="exact"/>
              <w:jc w:val="left"/>
              <w:rPr>
                <w:rFonts w:ascii="宋体"/>
                <w:kern w:val="0"/>
              </w:rPr>
            </w:pPr>
            <w:r>
              <w:rPr>
                <w:rFonts w:hint="eastAsia" w:ascii="宋体"/>
                <w:kern w:val="0"/>
              </w:rPr>
              <w:t>1.《海上交通安全法》第四十八条第一款。</w:t>
            </w:r>
          </w:p>
        </w:tc>
        <w:tc>
          <w:tcPr>
            <w:tcW w:w="1509" w:type="dxa"/>
            <w:vMerge w:val="restart"/>
            <w:vAlign w:val="center"/>
          </w:tcPr>
          <w:p w14:paraId="3E65CD2D">
            <w:pPr>
              <w:spacing w:line="240" w:lineRule="exact"/>
              <w:jc w:val="left"/>
              <w:rPr>
                <w:rFonts w:ascii="宋体"/>
                <w:kern w:val="0"/>
              </w:rPr>
            </w:pPr>
            <w:r>
              <w:rPr>
                <w:rFonts w:hint="eastAsia" w:ascii="宋体"/>
                <w:kern w:val="0"/>
              </w:rPr>
              <w:t>1.《海上交通安全法》第一百零五条第一款。</w:t>
            </w:r>
          </w:p>
          <w:p w14:paraId="6BF139A1">
            <w:pPr>
              <w:spacing w:line="240" w:lineRule="exact"/>
              <w:jc w:val="left"/>
              <w:rPr>
                <w:rFonts w:ascii="宋体"/>
                <w:kern w:val="0"/>
              </w:rPr>
            </w:pPr>
            <w:r>
              <w:rPr>
                <w:rFonts w:hint="eastAsia" w:ascii="宋体"/>
                <w:kern w:val="0"/>
              </w:rPr>
              <w:t>2.《中华人民共和国海上海事行政处罚规定》第七条。</w:t>
            </w:r>
          </w:p>
        </w:tc>
        <w:tc>
          <w:tcPr>
            <w:tcW w:w="1035" w:type="dxa"/>
            <w:vAlign w:val="center"/>
          </w:tcPr>
          <w:p w14:paraId="30F2422D">
            <w:pPr>
              <w:spacing w:line="240" w:lineRule="exact"/>
              <w:jc w:val="center"/>
              <w:rPr>
                <w:rFonts w:ascii="宋体"/>
                <w:kern w:val="0"/>
              </w:rPr>
            </w:pPr>
            <w:r>
              <w:rPr>
                <w:rFonts w:hint="eastAsia" w:ascii="宋体"/>
                <w:kern w:val="0"/>
              </w:rPr>
              <w:t>从轻</w:t>
            </w:r>
          </w:p>
        </w:tc>
        <w:tc>
          <w:tcPr>
            <w:tcW w:w="3678" w:type="dxa"/>
            <w:vAlign w:val="center"/>
          </w:tcPr>
          <w:p w14:paraId="087EABA4">
            <w:pPr>
              <w:widowControl/>
              <w:spacing w:line="240" w:lineRule="exact"/>
              <w:jc w:val="left"/>
              <w:rPr>
                <w:rFonts w:ascii="宋体"/>
                <w:kern w:val="0"/>
              </w:rPr>
            </w:pPr>
            <w:r>
              <w:rPr>
                <w:rFonts w:hint="eastAsia" w:ascii="宋体"/>
                <w:kern w:val="0"/>
              </w:rPr>
              <w:t>1.具有法定从轻</w:t>
            </w:r>
            <w:r>
              <w:rPr>
                <w:rFonts w:hint="eastAsia" w:ascii="宋体"/>
              </w:rPr>
              <w:t>处罚</w:t>
            </w:r>
            <w:r>
              <w:rPr>
                <w:rFonts w:hint="eastAsia" w:ascii="宋体"/>
                <w:kern w:val="0"/>
              </w:rPr>
              <w:t>情节的；</w:t>
            </w:r>
          </w:p>
          <w:p w14:paraId="4326A3AC">
            <w:pPr>
              <w:widowControl/>
              <w:spacing w:line="240" w:lineRule="exact"/>
              <w:jc w:val="left"/>
              <w:rPr>
                <w:rFonts w:ascii="宋体"/>
                <w:kern w:val="0"/>
              </w:rPr>
            </w:pPr>
            <w:r>
              <w:rPr>
                <w:rFonts w:hint="eastAsia" w:ascii="宋体"/>
                <w:kern w:val="0"/>
              </w:rPr>
              <w:t>2.施工作业工期3小时以内的；</w:t>
            </w:r>
          </w:p>
          <w:p w14:paraId="19116D72">
            <w:pPr>
              <w:widowControl/>
              <w:spacing w:line="240" w:lineRule="exact"/>
              <w:jc w:val="left"/>
              <w:rPr>
                <w:rFonts w:ascii="宋体"/>
                <w:kern w:val="0"/>
              </w:rPr>
            </w:pPr>
            <w:r>
              <w:rPr>
                <w:rFonts w:hint="eastAsia" w:ascii="宋体"/>
                <w:kern w:val="0"/>
              </w:rPr>
              <w:t>3.已申请，且申请材料真实有效且符合许可条件。</w:t>
            </w:r>
          </w:p>
        </w:tc>
        <w:tc>
          <w:tcPr>
            <w:tcW w:w="6384" w:type="dxa"/>
            <w:tcBorders>
              <w:right w:val="single" w:color="auto" w:sz="4" w:space="0"/>
            </w:tcBorders>
            <w:vAlign w:val="center"/>
          </w:tcPr>
          <w:p w14:paraId="71042CEB">
            <w:pPr>
              <w:spacing w:line="240" w:lineRule="exact"/>
              <w:jc w:val="center"/>
              <w:rPr>
                <w:rFonts w:ascii="宋体"/>
                <w:kern w:val="0"/>
              </w:rPr>
            </w:pPr>
            <w:r>
              <w:rPr>
                <w:rFonts w:hint="eastAsia" w:ascii="宋体"/>
                <w:kern w:val="0"/>
              </w:rPr>
              <w:t>3-4万元</w:t>
            </w:r>
          </w:p>
        </w:tc>
        <w:tc>
          <w:tcPr>
            <w:tcW w:w="2388" w:type="dxa"/>
            <w:tcBorders>
              <w:left w:val="single" w:color="auto" w:sz="4" w:space="0"/>
              <w:bottom w:val="single" w:color="auto" w:sz="4" w:space="0"/>
              <w:right w:val="single" w:color="auto" w:sz="4" w:space="0"/>
            </w:tcBorders>
            <w:vAlign w:val="center"/>
          </w:tcPr>
          <w:p w14:paraId="17282D22">
            <w:pPr>
              <w:spacing w:line="240" w:lineRule="exact"/>
              <w:jc w:val="center"/>
              <w:rPr>
                <w:rFonts w:ascii="宋体"/>
                <w:kern w:val="0"/>
              </w:rPr>
            </w:pPr>
            <w:r>
              <w:rPr>
                <w:rFonts w:hint="eastAsia" w:ascii="宋体"/>
                <w:kern w:val="0"/>
              </w:rPr>
              <w:t>3000-8000元</w:t>
            </w:r>
          </w:p>
        </w:tc>
        <w:tc>
          <w:tcPr>
            <w:tcW w:w="2650" w:type="dxa"/>
            <w:tcBorders>
              <w:left w:val="single" w:color="auto" w:sz="4" w:space="0"/>
              <w:bottom w:val="single" w:color="auto" w:sz="4" w:space="0"/>
            </w:tcBorders>
            <w:vAlign w:val="center"/>
          </w:tcPr>
          <w:p w14:paraId="78A3BEBF">
            <w:pPr>
              <w:spacing w:line="240" w:lineRule="exact"/>
              <w:jc w:val="center"/>
              <w:rPr>
                <w:rFonts w:ascii="宋体"/>
                <w:kern w:val="0"/>
              </w:rPr>
            </w:pPr>
            <w:r>
              <w:rPr>
                <w:rFonts w:hint="eastAsia" w:ascii="宋体"/>
                <w:kern w:val="0"/>
              </w:rPr>
              <w:t>3000-6000元</w:t>
            </w:r>
          </w:p>
        </w:tc>
      </w:tr>
      <w:tr w14:paraId="303E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5" w:hRule="atLeast"/>
        </w:trPr>
        <w:tc>
          <w:tcPr>
            <w:tcW w:w="1065" w:type="dxa"/>
            <w:vMerge w:val="continue"/>
            <w:vAlign w:val="center"/>
          </w:tcPr>
          <w:p w14:paraId="3D5E1A00">
            <w:pPr>
              <w:spacing w:line="240" w:lineRule="exact"/>
              <w:jc w:val="left"/>
              <w:rPr>
                <w:rFonts w:ascii="宋体"/>
                <w:kern w:val="0"/>
              </w:rPr>
            </w:pPr>
          </w:p>
        </w:tc>
        <w:tc>
          <w:tcPr>
            <w:tcW w:w="1120" w:type="dxa"/>
            <w:vMerge w:val="continue"/>
            <w:vAlign w:val="center"/>
          </w:tcPr>
          <w:p w14:paraId="400FC091">
            <w:pPr>
              <w:widowControl/>
              <w:spacing w:line="240" w:lineRule="exact"/>
              <w:jc w:val="left"/>
              <w:rPr>
                <w:rFonts w:ascii="宋体"/>
                <w:kern w:val="0"/>
              </w:rPr>
            </w:pPr>
          </w:p>
        </w:tc>
        <w:tc>
          <w:tcPr>
            <w:tcW w:w="1509" w:type="dxa"/>
            <w:vMerge w:val="continue"/>
            <w:vAlign w:val="center"/>
          </w:tcPr>
          <w:p w14:paraId="4A8CAA3C">
            <w:pPr>
              <w:spacing w:line="240" w:lineRule="exact"/>
              <w:jc w:val="left"/>
              <w:rPr>
                <w:rFonts w:ascii="宋体"/>
                <w:kern w:val="0"/>
              </w:rPr>
            </w:pPr>
          </w:p>
        </w:tc>
        <w:tc>
          <w:tcPr>
            <w:tcW w:w="1035" w:type="dxa"/>
            <w:vMerge w:val="restart"/>
            <w:vAlign w:val="center"/>
          </w:tcPr>
          <w:p w14:paraId="092E5204">
            <w:pPr>
              <w:spacing w:line="240" w:lineRule="exact"/>
              <w:jc w:val="center"/>
              <w:rPr>
                <w:rFonts w:ascii="宋体"/>
                <w:kern w:val="0"/>
              </w:rPr>
            </w:pPr>
            <w:r>
              <w:rPr>
                <w:rFonts w:hint="eastAsia" w:ascii="宋体"/>
                <w:kern w:val="0"/>
              </w:rPr>
              <w:t>一般</w:t>
            </w:r>
          </w:p>
        </w:tc>
        <w:tc>
          <w:tcPr>
            <w:tcW w:w="3678" w:type="dxa"/>
            <w:vAlign w:val="center"/>
          </w:tcPr>
          <w:p w14:paraId="66446B8E">
            <w:pPr>
              <w:spacing w:line="240" w:lineRule="exact"/>
              <w:jc w:val="left"/>
              <w:rPr>
                <w:rFonts w:ascii="宋体"/>
                <w:kern w:val="0"/>
              </w:rPr>
            </w:pPr>
            <w:r>
              <w:rPr>
                <w:rFonts w:hint="eastAsia" w:ascii="宋体"/>
                <w:kern w:val="0"/>
              </w:rPr>
              <w:t>未取得许可或者许可证过期后进行水上水下施工作业不超过10天的</w:t>
            </w:r>
          </w:p>
        </w:tc>
        <w:tc>
          <w:tcPr>
            <w:tcW w:w="6384" w:type="dxa"/>
            <w:tcBorders>
              <w:right w:val="single" w:color="auto" w:sz="4" w:space="0"/>
            </w:tcBorders>
            <w:vAlign w:val="center"/>
          </w:tcPr>
          <w:p w14:paraId="254F0B99">
            <w:pPr>
              <w:spacing w:line="240" w:lineRule="exact"/>
              <w:jc w:val="center"/>
              <w:rPr>
                <w:rFonts w:ascii="宋体"/>
                <w:kern w:val="0"/>
              </w:rPr>
            </w:pPr>
            <w:r>
              <w:rPr>
                <w:rFonts w:hint="eastAsia" w:ascii="宋体"/>
                <w:kern w:val="0"/>
              </w:rPr>
              <w:t>4-8万元</w:t>
            </w:r>
          </w:p>
        </w:tc>
        <w:tc>
          <w:tcPr>
            <w:tcW w:w="2388" w:type="dxa"/>
            <w:tcBorders>
              <w:top w:val="single" w:color="auto" w:sz="4" w:space="0"/>
              <w:left w:val="single" w:color="auto" w:sz="4" w:space="0"/>
              <w:bottom w:val="single" w:color="auto" w:sz="4" w:space="0"/>
              <w:right w:val="single" w:color="auto" w:sz="4" w:space="0"/>
            </w:tcBorders>
            <w:vAlign w:val="center"/>
          </w:tcPr>
          <w:p w14:paraId="3C4AED42">
            <w:pPr>
              <w:spacing w:line="240" w:lineRule="exact"/>
              <w:jc w:val="center"/>
              <w:rPr>
                <w:rFonts w:ascii="宋体"/>
                <w:kern w:val="0"/>
              </w:rPr>
            </w:pPr>
            <w:r>
              <w:rPr>
                <w:rFonts w:hint="eastAsia" w:ascii="宋体"/>
                <w:kern w:val="0"/>
              </w:rPr>
              <w:t>8000元-1.5万元</w:t>
            </w:r>
          </w:p>
        </w:tc>
        <w:tc>
          <w:tcPr>
            <w:tcW w:w="2650" w:type="dxa"/>
            <w:tcBorders>
              <w:top w:val="single" w:color="auto" w:sz="4" w:space="0"/>
              <w:left w:val="single" w:color="auto" w:sz="4" w:space="0"/>
              <w:bottom w:val="single" w:color="auto" w:sz="4" w:space="0"/>
            </w:tcBorders>
            <w:vAlign w:val="center"/>
          </w:tcPr>
          <w:p w14:paraId="2B9349E8">
            <w:pPr>
              <w:spacing w:line="240" w:lineRule="exact"/>
              <w:jc w:val="center"/>
              <w:rPr>
                <w:rFonts w:ascii="宋体"/>
                <w:kern w:val="0"/>
              </w:rPr>
            </w:pPr>
            <w:r>
              <w:rPr>
                <w:rFonts w:hint="eastAsia" w:ascii="宋体"/>
                <w:kern w:val="0"/>
              </w:rPr>
              <w:t>6000元-1.2万元</w:t>
            </w:r>
          </w:p>
        </w:tc>
      </w:tr>
      <w:tr w14:paraId="782A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65" w:type="dxa"/>
            <w:vMerge w:val="continue"/>
            <w:vAlign w:val="center"/>
          </w:tcPr>
          <w:p w14:paraId="59254EB1">
            <w:pPr>
              <w:spacing w:line="240" w:lineRule="exact"/>
              <w:jc w:val="left"/>
              <w:rPr>
                <w:rFonts w:ascii="宋体"/>
                <w:kern w:val="0"/>
              </w:rPr>
            </w:pPr>
          </w:p>
        </w:tc>
        <w:tc>
          <w:tcPr>
            <w:tcW w:w="1120" w:type="dxa"/>
            <w:vMerge w:val="continue"/>
            <w:vAlign w:val="center"/>
          </w:tcPr>
          <w:p w14:paraId="632FF0B7">
            <w:pPr>
              <w:spacing w:line="240" w:lineRule="exact"/>
              <w:jc w:val="left"/>
              <w:rPr>
                <w:rFonts w:ascii="宋体"/>
                <w:kern w:val="0"/>
              </w:rPr>
            </w:pPr>
          </w:p>
        </w:tc>
        <w:tc>
          <w:tcPr>
            <w:tcW w:w="1509" w:type="dxa"/>
            <w:vMerge w:val="continue"/>
            <w:vAlign w:val="center"/>
          </w:tcPr>
          <w:p w14:paraId="559E7BFD">
            <w:pPr>
              <w:spacing w:line="240" w:lineRule="exact"/>
              <w:jc w:val="left"/>
              <w:rPr>
                <w:rFonts w:ascii="宋体"/>
                <w:kern w:val="0"/>
              </w:rPr>
            </w:pPr>
          </w:p>
        </w:tc>
        <w:tc>
          <w:tcPr>
            <w:tcW w:w="1035" w:type="dxa"/>
            <w:vMerge w:val="continue"/>
            <w:vAlign w:val="center"/>
          </w:tcPr>
          <w:p w14:paraId="14BC549E">
            <w:pPr>
              <w:spacing w:line="240" w:lineRule="exact"/>
              <w:jc w:val="center"/>
              <w:rPr>
                <w:rFonts w:ascii="宋体"/>
                <w:kern w:val="0"/>
              </w:rPr>
            </w:pPr>
          </w:p>
        </w:tc>
        <w:tc>
          <w:tcPr>
            <w:tcW w:w="3678" w:type="dxa"/>
            <w:tcBorders>
              <w:top w:val="single" w:color="auto" w:sz="4" w:space="0"/>
            </w:tcBorders>
            <w:vAlign w:val="center"/>
          </w:tcPr>
          <w:p w14:paraId="26ACF352">
            <w:pPr>
              <w:spacing w:line="240" w:lineRule="exact"/>
              <w:jc w:val="left"/>
              <w:rPr>
                <w:rFonts w:ascii="宋体"/>
                <w:kern w:val="0"/>
              </w:rPr>
            </w:pPr>
            <w:r>
              <w:rPr>
                <w:rFonts w:hint="eastAsia" w:ascii="宋体"/>
                <w:kern w:val="0"/>
              </w:rPr>
              <w:t>未取得许可或者许可证过期后进行水上水下施工作业不满1个月的</w:t>
            </w:r>
          </w:p>
        </w:tc>
        <w:tc>
          <w:tcPr>
            <w:tcW w:w="6384" w:type="dxa"/>
            <w:tcBorders>
              <w:top w:val="single" w:color="auto" w:sz="4" w:space="0"/>
              <w:bottom w:val="single" w:color="auto" w:sz="4" w:space="0"/>
            </w:tcBorders>
            <w:vAlign w:val="center"/>
          </w:tcPr>
          <w:p w14:paraId="46E23077">
            <w:pPr>
              <w:spacing w:line="240" w:lineRule="exact"/>
              <w:jc w:val="center"/>
              <w:rPr>
                <w:rFonts w:ascii="宋体"/>
                <w:kern w:val="0"/>
              </w:rPr>
            </w:pPr>
            <w:r>
              <w:rPr>
                <w:rFonts w:hint="eastAsia" w:ascii="宋体"/>
                <w:kern w:val="0"/>
              </w:rPr>
              <w:t>8-15万元</w:t>
            </w:r>
          </w:p>
        </w:tc>
        <w:tc>
          <w:tcPr>
            <w:tcW w:w="2388" w:type="dxa"/>
            <w:tcBorders>
              <w:top w:val="single" w:color="auto" w:sz="4" w:space="0"/>
              <w:bottom w:val="single" w:color="auto" w:sz="4" w:space="0"/>
            </w:tcBorders>
            <w:vAlign w:val="center"/>
          </w:tcPr>
          <w:p w14:paraId="45371C39">
            <w:pPr>
              <w:spacing w:line="240" w:lineRule="exact"/>
              <w:jc w:val="center"/>
              <w:rPr>
                <w:rFonts w:ascii="宋体"/>
                <w:kern w:val="0"/>
              </w:rPr>
            </w:pPr>
            <w:r>
              <w:rPr>
                <w:rFonts w:hint="eastAsia" w:ascii="宋体"/>
                <w:kern w:val="0"/>
              </w:rPr>
              <w:t>1.5-3万元</w:t>
            </w:r>
          </w:p>
        </w:tc>
        <w:tc>
          <w:tcPr>
            <w:tcW w:w="2650" w:type="dxa"/>
            <w:tcBorders>
              <w:top w:val="single" w:color="auto" w:sz="4" w:space="0"/>
              <w:bottom w:val="single" w:color="auto" w:sz="4" w:space="0"/>
            </w:tcBorders>
            <w:vAlign w:val="center"/>
          </w:tcPr>
          <w:p w14:paraId="024530A9">
            <w:pPr>
              <w:spacing w:line="240" w:lineRule="exact"/>
              <w:jc w:val="center"/>
              <w:rPr>
                <w:rFonts w:ascii="宋体"/>
                <w:kern w:val="0"/>
              </w:rPr>
            </w:pPr>
            <w:r>
              <w:rPr>
                <w:rFonts w:hint="eastAsia" w:ascii="宋体"/>
                <w:kern w:val="0"/>
              </w:rPr>
              <w:t>1.2-3万元</w:t>
            </w:r>
          </w:p>
        </w:tc>
      </w:tr>
      <w:tr w14:paraId="6A16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5" w:hRule="atLeast"/>
        </w:trPr>
        <w:tc>
          <w:tcPr>
            <w:tcW w:w="1065" w:type="dxa"/>
            <w:vMerge w:val="continue"/>
            <w:vAlign w:val="center"/>
          </w:tcPr>
          <w:p w14:paraId="65CDE311">
            <w:pPr>
              <w:spacing w:line="240" w:lineRule="exact"/>
              <w:jc w:val="left"/>
              <w:rPr>
                <w:rFonts w:ascii="宋体"/>
                <w:kern w:val="0"/>
              </w:rPr>
            </w:pPr>
          </w:p>
        </w:tc>
        <w:tc>
          <w:tcPr>
            <w:tcW w:w="1120" w:type="dxa"/>
            <w:vMerge w:val="continue"/>
            <w:vAlign w:val="center"/>
          </w:tcPr>
          <w:p w14:paraId="77EAD57C">
            <w:pPr>
              <w:spacing w:line="240" w:lineRule="exact"/>
              <w:jc w:val="left"/>
              <w:rPr>
                <w:rFonts w:ascii="宋体"/>
                <w:kern w:val="0"/>
              </w:rPr>
            </w:pPr>
          </w:p>
        </w:tc>
        <w:tc>
          <w:tcPr>
            <w:tcW w:w="1509" w:type="dxa"/>
            <w:vMerge w:val="continue"/>
            <w:vAlign w:val="center"/>
          </w:tcPr>
          <w:p w14:paraId="642117E1">
            <w:pPr>
              <w:spacing w:line="240" w:lineRule="exact"/>
              <w:jc w:val="left"/>
              <w:rPr>
                <w:rFonts w:ascii="宋体"/>
                <w:kern w:val="0"/>
              </w:rPr>
            </w:pPr>
          </w:p>
        </w:tc>
        <w:tc>
          <w:tcPr>
            <w:tcW w:w="1035" w:type="dxa"/>
            <w:vMerge w:val="continue"/>
            <w:vAlign w:val="center"/>
          </w:tcPr>
          <w:p w14:paraId="3F2C5D16">
            <w:pPr>
              <w:spacing w:line="240" w:lineRule="exact"/>
              <w:jc w:val="center"/>
              <w:rPr>
                <w:rFonts w:ascii="宋体"/>
                <w:kern w:val="0"/>
              </w:rPr>
            </w:pPr>
          </w:p>
        </w:tc>
        <w:tc>
          <w:tcPr>
            <w:tcW w:w="3678" w:type="dxa"/>
            <w:tcBorders>
              <w:bottom w:val="single" w:color="auto" w:sz="4" w:space="0"/>
            </w:tcBorders>
            <w:vAlign w:val="center"/>
          </w:tcPr>
          <w:p w14:paraId="454FD04B">
            <w:pPr>
              <w:spacing w:line="240" w:lineRule="exact"/>
              <w:jc w:val="left"/>
              <w:rPr>
                <w:rFonts w:ascii="宋体"/>
                <w:kern w:val="0"/>
              </w:rPr>
            </w:pPr>
            <w:r>
              <w:rPr>
                <w:rFonts w:hint="eastAsia" w:ascii="宋体"/>
                <w:kern w:val="0"/>
              </w:rPr>
              <w:t>1.未取得许可或者许可证过期后进行水上水下施工作业1个月以上的；</w:t>
            </w:r>
          </w:p>
          <w:p w14:paraId="374102F1">
            <w:pPr>
              <w:spacing w:line="240" w:lineRule="exact"/>
              <w:jc w:val="left"/>
              <w:rPr>
                <w:rFonts w:ascii="宋体"/>
                <w:kern w:val="0"/>
              </w:rPr>
            </w:pPr>
            <w:r>
              <w:rPr>
                <w:rFonts w:hint="eastAsia" w:ascii="宋体"/>
                <w:kern w:val="0"/>
              </w:rPr>
              <w:t>2.使用涂改或者非法受让的许可证进行水上水下施工作业的。</w:t>
            </w:r>
          </w:p>
        </w:tc>
        <w:tc>
          <w:tcPr>
            <w:tcW w:w="6384" w:type="dxa"/>
            <w:tcBorders>
              <w:top w:val="single" w:color="auto" w:sz="4" w:space="0"/>
              <w:bottom w:val="single" w:color="auto" w:sz="4" w:space="0"/>
            </w:tcBorders>
            <w:vAlign w:val="center"/>
          </w:tcPr>
          <w:p w14:paraId="4BDCD30F">
            <w:pPr>
              <w:spacing w:line="240" w:lineRule="exact"/>
              <w:jc w:val="center"/>
              <w:rPr>
                <w:rFonts w:ascii="宋体"/>
                <w:kern w:val="0"/>
              </w:rPr>
            </w:pPr>
            <w:r>
              <w:rPr>
                <w:rFonts w:hint="eastAsia" w:ascii="宋体"/>
                <w:kern w:val="0"/>
              </w:rPr>
              <w:t>15-20万元</w:t>
            </w:r>
          </w:p>
        </w:tc>
        <w:tc>
          <w:tcPr>
            <w:tcW w:w="2388" w:type="dxa"/>
            <w:tcBorders>
              <w:top w:val="single" w:color="auto" w:sz="4" w:space="0"/>
              <w:bottom w:val="single" w:color="auto" w:sz="4" w:space="0"/>
            </w:tcBorders>
            <w:vAlign w:val="center"/>
          </w:tcPr>
          <w:p w14:paraId="001C6AA5">
            <w:pPr>
              <w:spacing w:line="240" w:lineRule="exact"/>
              <w:jc w:val="center"/>
              <w:rPr>
                <w:rFonts w:ascii="宋体"/>
                <w:kern w:val="0"/>
              </w:rPr>
            </w:pPr>
            <w:r>
              <w:rPr>
                <w:rFonts w:hint="eastAsia" w:ascii="宋体"/>
                <w:kern w:val="0"/>
              </w:rPr>
              <w:t>暂扣船员适任证书6个月至10个月</w:t>
            </w:r>
          </w:p>
        </w:tc>
        <w:tc>
          <w:tcPr>
            <w:tcW w:w="2650" w:type="dxa"/>
            <w:tcBorders>
              <w:top w:val="single" w:color="auto" w:sz="4" w:space="0"/>
              <w:bottom w:val="single" w:color="auto" w:sz="4" w:space="0"/>
            </w:tcBorders>
            <w:vAlign w:val="center"/>
          </w:tcPr>
          <w:p w14:paraId="0235C70F">
            <w:pPr>
              <w:spacing w:line="240" w:lineRule="exact"/>
              <w:jc w:val="center"/>
              <w:rPr>
                <w:rFonts w:ascii="宋体"/>
                <w:kern w:val="0"/>
              </w:rPr>
            </w:pPr>
            <w:r>
              <w:rPr>
                <w:rFonts w:hint="eastAsia" w:ascii="宋体"/>
                <w:kern w:val="0"/>
              </w:rPr>
              <w:t>暂扣船员适任证书6个月至10个月。</w:t>
            </w:r>
          </w:p>
        </w:tc>
      </w:tr>
      <w:tr w14:paraId="5EA6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065" w:type="dxa"/>
            <w:vMerge w:val="continue"/>
            <w:vAlign w:val="center"/>
          </w:tcPr>
          <w:p w14:paraId="5FF5F23B">
            <w:pPr>
              <w:spacing w:line="240" w:lineRule="exact"/>
              <w:jc w:val="left"/>
              <w:rPr>
                <w:rFonts w:ascii="宋体"/>
                <w:kern w:val="0"/>
              </w:rPr>
            </w:pPr>
          </w:p>
        </w:tc>
        <w:tc>
          <w:tcPr>
            <w:tcW w:w="1120" w:type="dxa"/>
            <w:vMerge w:val="continue"/>
            <w:vAlign w:val="center"/>
          </w:tcPr>
          <w:p w14:paraId="4B8A89E0">
            <w:pPr>
              <w:spacing w:line="240" w:lineRule="exact"/>
              <w:jc w:val="left"/>
              <w:rPr>
                <w:rFonts w:ascii="宋体"/>
                <w:kern w:val="0"/>
              </w:rPr>
            </w:pPr>
          </w:p>
        </w:tc>
        <w:tc>
          <w:tcPr>
            <w:tcW w:w="1509" w:type="dxa"/>
            <w:vMerge w:val="continue"/>
            <w:vAlign w:val="center"/>
          </w:tcPr>
          <w:p w14:paraId="1388A8AB">
            <w:pPr>
              <w:spacing w:line="240" w:lineRule="exact"/>
              <w:jc w:val="left"/>
              <w:rPr>
                <w:rFonts w:ascii="宋体"/>
                <w:kern w:val="0"/>
              </w:rPr>
            </w:pPr>
          </w:p>
        </w:tc>
        <w:tc>
          <w:tcPr>
            <w:tcW w:w="1035" w:type="dxa"/>
            <w:vMerge w:val="continue"/>
            <w:tcBorders>
              <w:bottom w:val="single" w:color="auto" w:sz="4" w:space="0"/>
            </w:tcBorders>
            <w:vAlign w:val="center"/>
          </w:tcPr>
          <w:p w14:paraId="7FB61DAD">
            <w:pPr>
              <w:spacing w:line="240" w:lineRule="exact"/>
              <w:jc w:val="center"/>
              <w:rPr>
                <w:rFonts w:ascii="宋体"/>
                <w:kern w:val="0"/>
              </w:rPr>
            </w:pPr>
          </w:p>
        </w:tc>
        <w:tc>
          <w:tcPr>
            <w:tcW w:w="3678" w:type="dxa"/>
            <w:tcBorders>
              <w:bottom w:val="single" w:color="auto" w:sz="4" w:space="0"/>
            </w:tcBorders>
            <w:vAlign w:val="center"/>
          </w:tcPr>
          <w:p w14:paraId="6820667A">
            <w:pPr>
              <w:spacing w:line="240" w:lineRule="exact"/>
              <w:jc w:val="left"/>
              <w:rPr>
                <w:rFonts w:ascii="宋体"/>
                <w:kern w:val="0"/>
              </w:rPr>
            </w:pPr>
            <w:r>
              <w:rPr>
                <w:rFonts w:hint="eastAsia" w:ascii="宋体"/>
                <w:kern w:val="0"/>
              </w:rPr>
              <w:t>1.未取得许可或者许可证过期后进行水上水下施工作业过程中发生小事故或者险情的</w:t>
            </w:r>
          </w:p>
          <w:p w14:paraId="59BFE356">
            <w:pPr>
              <w:spacing w:line="240" w:lineRule="exact"/>
              <w:jc w:val="left"/>
              <w:rPr>
                <w:rFonts w:ascii="宋体"/>
                <w:kern w:val="0"/>
              </w:rPr>
            </w:pPr>
            <w:r>
              <w:rPr>
                <w:rFonts w:hint="eastAsia" w:ascii="宋体"/>
                <w:kern w:val="0"/>
              </w:rPr>
              <w:t>2.具有其他较重情节的。</w:t>
            </w:r>
          </w:p>
        </w:tc>
        <w:tc>
          <w:tcPr>
            <w:tcW w:w="6384" w:type="dxa"/>
            <w:tcBorders>
              <w:top w:val="single" w:color="auto" w:sz="4" w:space="0"/>
              <w:bottom w:val="single" w:color="auto" w:sz="4" w:space="0"/>
            </w:tcBorders>
            <w:vAlign w:val="center"/>
          </w:tcPr>
          <w:p w14:paraId="001A58FE">
            <w:pPr>
              <w:spacing w:line="240" w:lineRule="exact"/>
              <w:jc w:val="center"/>
              <w:rPr>
                <w:rFonts w:ascii="宋体"/>
                <w:kern w:val="0"/>
              </w:rPr>
            </w:pPr>
            <w:r>
              <w:rPr>
                <w:rFonts w:hint="eastAsia" w:ascii="宋体"/>
                <w:kern w:val="0"/>
              </w:rPr>
              <w:t>20-30万元</w:t>
            </w:r>
          </w:p>
        </w:tc>
        <w:tc>
          <w:tcPr>
            <w:tcW w:w="2388" w:type="dxa"/>
            <w:tcBorders>
              <w:top w:val="single" w:color="auto" w:sz="4" w:space="0"/>
              <w:bottom w:val="single" w:color="auto" w:sz="4" w:space="0"/>
            </w:tcBorders>
            <w:vAlign w:val="center"/>
          </w:tcPr>
          <w:p w14:paraId="033845E1">
            <w:pPr>
              <w:spacing w:line="240" w:lineRule="exact"/>
              <w:jc w:val="center"/>
              <w:rPr>
                <w:rFonts w:ascii="宋体"/>
                <w:kern w:val="0"/>
              </w:rPr>
            </w:pPr>
            <w:r>
              <w:rPr>
                <w:rFonts w:hint="eastAsia" w:ascii="宋体"/>
                <w:kern w:val="0"/>
              </w:rPr>
              <w:t>暂扣船员适任证书9个月至12个月</w:t>
            </w:r>
          </w:p>
        </w:tc>
        <w:tc>
          <w:tcPr>
            <w:tcW w:w="2650" w:type="dxa"/>
            <w:tcBorders>
              <w:top w:val="single" w:color="auto" w:sz="4" w:space="0"/>
              <w:bottom w:val="single" w:color="auto" w:sz="4" w:space="0"/>
            </w:tcBorders>
            <w:vAlign w:val="center"/>
          </w:tcPr>
          <w:p w14:paraId="3F1BC8CC">
            <w:pPr>
              <w:spacing w:line="240" w:lineRule="exact"/>
              <w:jc w:val="center"/>
              <w:rPr>
                <w:rFonts w:ascii="宋体"/>
                <w:kern w:val="0"/>
              </w:rPr>
            </w:pPr>
            <w:r>
              <w:rPr>
                <w:rFonts w:hint="eastAsia" w:ascii="宋体"/>
                <w:kern w:val="0"/>
              </w:rPr>
              <w:t>暂扣船员适任证书9个月至12个月。</w:t>
            </w:r>
          </w:p>
        </w:tc>
      </w:tr>
      <w:tr w14:paraId="43FA1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90" w:hRule="atLeast"/>
        </w:trPr>
        <w:tc>
          <w:tcPr>
            <w:tcW w:w="1065" w:type="dxa"/>
            <w:vMerge w:val="continue"/>
            <w:vAlign w:val="center"/>
          </w:tcPr>
          <w:p w14:paraId="60F87B1E">
            <w:pPr>
              <w:spacing w:line="240" w:lineRule="exact"/>
              <w:jc w:val="left"/>
              <w:rPr>
                <w:rFonts w:ascii="宋体"/>
                <w:kern w:val="0"/>
              </w:rPr>
            </w:pPr>
          </w:p>
        </w:tc>
        <w:tc>
          <w:tcPr>
            <w:tcW w:w="1120" w:type="dxa"/>
            <w:vMerge w:val="continue"/>
            <w:vAlign w:val="center"/>
          </w:tcPr>
          <w:p w14:paraId="48F805CC">
            <w:pPr>
              <w:spacing w:line="240" w:lineRule="exact"/>
              <w:jc w:val="left"/>
              <w:rPr>
                <w:rFonts w:ascii="宋体"/>
                <w:kern w:val="0"/>
              </w:rPr>
            </w:pPr>
          </w:p>
        </w:tc>
        <w:tc>
          <w:tcPr>
            <w:tcW w:w="1509" w:type="dxa"/>
            <w:vMerge w:val="continue"/>
            <w:vAlign w:val="center"/>
          </w:tcPr>
          <w:p w14:paraId="6AD0EDD9">
            <w:pPr>
              <w:spacing w:line="240" w:lineRule="exact"/>
              <w:jc w:val="left"/>
              <w:rPr>
                <w:rFonts w:ascii="宋体"/>
                <w:kern w:val="0"/>
              </w:rPr>
            </w:pPr>
          </w:p>
        </w:tc>
        <w:tc>
          <w:tcPr>
            <w:tcW w:w="1035" w:type="dxa"/>
            <w:tcBorders>
              <w:top w:val="single" w:color="auto" w:sz="4" w:space="0"/>
              <w:right w:val="single" w:color="auto" w:sz="4" w:space="0"/>
            </w:tcBorders>
            <w:vAlign w:val="center"/>
          </w:tcPr>
          <w:p w14:paraId="33A9866E">
            <w:pPr>
              <w:spacing w:line="240" w:lineRule="exact"/>
              <w:jc w:val="center"/>
              <w:rPr>
                <w:rFonts w:ascii="宋体"/>
                <w:kern w:val="0"/>
              </w:rPr>
            </w:pPr>
            <w:r>
              <w:rPr>
                <w:rFonts w:hint="eastAsia" w:ascii="宋体"/>
                <w:kern w:val="0"/>
              </w:rPr>
              <w:t>情节严重</w:t>
            </w:r>
          </w:p>
        </w:tc>
        <w:tc>
          <w:tcPr>
            <w:tcW w:w="3678" w:type="dxa"/>
            <w:tcBorders>
              <w:top w:val="single" w:color="auto" w:sz="4" w:space="0"/>
              <w:left w:val="single" w:color="auto" w:sz="4" w:space="0"/>
              <w:bottom w:val="single" w:color="auto" w:sz="4" w:space="0"/>
            </w:tcBorders>
            <w:vAlign w:val="center"/>
          </w:tcPr>
          <w:p w14:paraId="007B29C7">
            <w:pPr>
              <w:spacing w:line="240" w:lineRule="exact"/>
              <w:jc w:val="left"/>
              <w:rPr>
                <w:rFonts w:ascii="宋体"/>
                <w:kern w:val="0"/>
              </w:rPr>
            </w:pPr>
            <w:r>
              <w:rPr>
                <w:rFonts w:hint="eastAsia" w:ascii="宋体"/>
                <w:kern w:val="0"/>
              </w:rPr>
              <w:t>1.未取得许可或者许可证过期后进行水上水下施工作业过程中发生一般等级以上事故的；.</w:t>
            </w:r>
          </w:p>
          <w:p w14:paraId="39D78BF4">
            <w:pPr>
              <w:spacing w:line="240" w:lineRule="exact"/>
              <w:jc w:val="left"/>
              <w:rPr>
                <w:rFonts w:ascii="宋体"/>
                <w:kern w:val="0"/>
              </w:rPr>
            </w:pPr>
            <w:r>
              <w:rPr>
                <w:rFonts w:hint="eastAsia" w:ascii="宋体"/>
                <w:kern w:val="0"/>
              </w:rPr>
              <w:t>2.具有其他严重情节的。</w:t>
            </w:r>
          </w:p>
        </w:tc>
        <w:tc>
          <w:tcPr>
            <w:tcW w:w="6384" w:type="dxa"/>
            <w:tcBorders>
              <w:top w:val="single" w:color="auto" w:sz="4" w:space="0"/>
              <w:bottom w:val="single" w:color="auto" w:sz="4" w:space="0"/>
              <w:right w:val="single" w:color="auto" w:sz="4" w:space="0"/>
            </w:tcBorders>
            <w:vAlign w:val="center"/>
          </w:tcPr>
          <w:p w14:paraId="6EDDEEF2">
            <w:pPr>
              <w:spacing w:line="240" w:lineRule="exact"/>
              <w:jc w:val="center"/>
              <w:rPr>
                <w:rFonts w:ascii="宋体"/>
                <w:kern w:val="0"/>
              </w:rPr>
            </w:pPr>
            <w:r>
              <w:rPr>
                <w:rFonts w:hint="eastAsia" w:ascii="宋体"/>
                <w:kern w:val="0"/>
              </w:rPr>
              <w:t>20-30万元</w:t>
            </w:r>
          </w:p>
        </w:tc>
        <w:tc>
          <w:tcPr>
            <w:tcW w:w="2388" w:type="dxa"/>
            <w:tcBorders>
              <w:top w:val="single" w:color="auto" w:sz="4" w:space="0"/>
              <w:left w:val="single" w:color="auto" w:sz="4" w:space="0"/>
              <w:bottom w:val="single" w:color="auto" w:sz="4" w:space="0"/>
              <w:right w:val="single" w:color="auto" w:sz="4" w:space="0"/>
            </w:tcBorders>
            <w:vAlign w:val="center"/>
          </w:tcPr>
          <w:p w14:paraId="6B7E8B52">
            <w:pPr>
              <w:spacing w:line="240" w:lineRule="exact"/>
              <w:jc w:val="center"/>
              <w:rPr>
                <w:rFonts w:ascii="宋体"/>
                <w:kern w:val="0"/>
              </w:rPr>
            </w:pPr>
            <w:r>
              <w:rPr>
                <w:rFonts w:hint="eastAsia" w:ascii="宋体"/>
                <w:kern w:val="0"/>
              </w:rPr>
              <w:t>吊销船员适任证书</w:t>
            </w:r>
          </w:p>
        </w:tc>
        <w:tc>
          <w:tcPr>
            <w:tcW w:w="2650" w:type="dxa"/>
            <w:tcBorders>
              <w:left w:val="single" w:color="auto" w:sz="4" w:space="0"/>
              <w:bottom w:val="single" w:color="auto" w:sz="4" w:space="0"/>
            </w:tcBorders>
            <w:vAlign w:val="center"/>
          </w:tcPr>
          <w:p w14:paraId="798C5710">
            <w:pPr>
              <w:spacing w:line="240" w:lineRule="exact"/>
              <w:jc w:val="center"/>
              <w:rPr>
                <w:rFonts w:ascii="宋体"/>
                <w:kern w:val="0"/>
              </w:rPr>
            </w:pPr>
            <w:r>
              <w:rPr>
                <w:rFonts w:hint="eastAsia" w:ascii="宋体"/>
                <w:kern w:val="0"/>
              </w:rPr>
              <w:t>吊销船员适任证书</w:t>
            </w:r>
          </w:p>
        </w:tc>
      </w:tr>
    </w:tbl>
    <w:p w14:paraId="1EE8B25A">
      <w:pPr>
        <w:spacing w:line="240" w:lineRule="exac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78"/>
        <w:gridCol w:w="1440"/>
        <w:gridCol w:w="1657"/>
        <w:gridCol w:w="985"/>
        <w:gridCol w:w="2800"/>
        <w:gridCol w:w="5989"/>
        <w:gridCol w:w="2760"/>
        <w:gridCol w:w="3011"/>
      </w:tblGrid>
      <w:tr w14:paraId="2C90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078" w:type="dxa"/>
            <w:vMerge w:val="restart"/>
            <w:vAlign w:val="center"/>
          </w:tcPr>
          <w:p w14:paraId="355DB685">
            <w:pPr>
              <w:spacing w:line="240" w:lineRule="exact"/>
              <w:jc w:val="center"/>
              <w:rPr>
                <w:rFonts w:ascii="宋体"/>
                <w:b/>
                <w:kern w:val="0"/>
              </w:rPr>
            </w:pPr>
            <w:r>
              <w:rPr>
                <w:rFonts w:hint="eastAsia" w:ascii="宋体"/>
                <w:b/>
                <w:kern w:val="0"/>
              </w:rPr>
              <w:t>案由28</w:t>
            </w:r>
          </w:p>
        </w:tc>
        <w:tc>
          <w:tcPr>
            <w:tcW w:w="3097" w:type="dxa"/>
            <w:gridSpan w:val="2"/>
            <w:vAlign w:val="center"/>
          </w:tcPr>
          <w:p w14:paraId="2F50D5C4">
            <w:pPr>
              <w:spacing w:line="240" w:lineRule="exact"/>
              <w:jc w:val="center"/>
              <w:rPr>
                <w:rFonts w:ascii="宋体"/>
                <w:b/>
                <w:kern w:val="0"/>
              </w:rPr>
            </w:pPr>
            <w:r>
              <w:rPr>
                <w:rFonts w:hint="eastAsia" w:ascii="宋体"/>
                <w:b/>
                <w:kern w:val="0"/>
              </w:rPr>
              <w:t>法律依据</w:t>
            </w:r>
          </w:p>
        </w:tc>
        <w:tc>
          <w:tcPr>
            <w:tcW w:w="985" w:type="dxa"/>
            <w:vMerge w:val="restart"/>
            <w:vAlign w:val="center"/>
          </w:tcPr>
          <w:p w14:paraId="78B73F6A">
            <w:pPr>
              <w:spacing w:line="240" w:lineRule="exact"/>
              <w:jc w:val="center"/>
              <w:rPr>
                <w:rFonts w:ascii="宋体"/>
                <w:b/>
                <w:kern w:val="0"/>
              </w:rPr>
            </w:pPr>
            <w:r>
              <w:rPr>
                <w:rFonts w:hint="eastAsia" w:ascii="宋体"/>
                <w:b/>
                <w:kern w:val="0"/>
              </w:rPr>
              <w:t>违法情节</w:t>
            </w:r>
          </w:p>
        </w:tc>
        <w:tc>
          <w:tcPr>
            <w:tcW w:w="2800" w:type="dxa"/>
            <w:vMerge w:val="restart"/>
            <w:vAlign w:val="center"/>
          </w:tcPr>
          <w:p w14:paraId="6BC5C236">
            <w:pPr>
              <w:spacing w:line="240" w:lineRule="exact"/>
              <w:jc w:val="center"/>
              <w:rPr>
                <w:rFonts w:ascii="宋体"/>
                <w:b/>
                <w:kern w:val="0"/>
              </w:rPr>
            </w:pPr>
            <w:r>
              <w:rPr>
                <w:rFonts w:hint="eastAsia" w:ascii="宋体"/>
                <w:b/>
                <w:kern w:val="0"/>
              </w:rPr>
              <w:t>主要考虑因素（事实、性质、情节、危害程度和实际后果等）</w:t>
            </w:r>
          </w:p>
        </w:tc>
        <w:tc>
          <w:tcPr>
            <w:tcW w:w="11760" w:type="dxa"/>
            <w:gridSpan w:val="3"/>
            <w:tcBorders>
              <w:bottom w:val="single" w:color="auto" w:sz="4" w:space="0"/>
            </w:tcBorders>
            <w:vAlign w:val="center"/>
          </w:tcPr>
          <w:p w14:paraId="5015212C">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责令改正，对违法船舶、海上设施的所有人、经营人或者管理人处三万元以上三十万元以下的罚款，对船长、责任船员处三千元以上三万元以下的罚款，或者暂扣船员适任证书六个月至十二个月；情节严重的，吊销船长、责任船员的船员适任证书。</w:t>
            </w:r>
          </w:p>
        </w:tc>
      </w:tr>
      <w:tr w14:paraId="53619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078" w:type="dxa"/>
            <w:vMerge w:val="continue"/>
            <w:tcBorders>
              <w:bottom w:val="single" w:color="000000" w:sz="4" w:space="0"/>
            </w:tcBorders>
            <w:vAlign w:val="center"/>
          </w:tcPr>
          <w:p w14:paraId="5B229BFA">
            <w:pPr>
              <w:spacing w:line="240" w:lineRule="exact"/>
              <w:jc w:val="center"/>
              <w:rPr>
                <w:rFonts w:ascii="宋体"/>
                <w:b/>
                <w:kern w:val="0"/>
              </w:rPr>
            </w:pPr>
          </w:p>
        </w:tc>
        <w:tc>
          <w:tcPr>
            <w:tcW w:w="1440" w:type="dxa"/>
            <w:tcBorders>
              <w:bottom w:val="single" w:color="000000" w:sz="4" w:space="0"/>
            </w:tcBorders>
            <w:vAlign w:val="center"/>
          </w:tcPr>
          <w:p w14:paraId="1EB1EFEA">
            <w:pPr>
              <w:spacing w:line="240" w:lineRule="exact"/>
              <w:jc w:val="center"/>
              <w:rPr>
                <w:rFonts w:ascii="宋体"/>
                <w:b/>
                <w:kern w:val="0"/>
              </w:rPr>
            </w:pPr>
            <w:r>
              <w:rPr>
                <w:rFonts w:hint="eastAsia" w:ascii="宋体"/>
                <w:b/>
                <w:kern w:val="0"/>
              </w:rPr>
              <w:t>违反条款</w:t>
            </w:r>
          </w:p>
        </w:tc>
        <w:tc>
          <w:tcPr>
            <w:tcW w:w="1657" w:type="dxa"/>
            <w:tcBorders>
              <w:bottom w:val="single" w:color="000000" w:sz="4" w:space="0"/>
            </w:tcBorders>
            <w:vAlign w:val="center"/>
          </w:tcPr>
          <w:p w14:paraId="60BD6276">
            <w:pPr>
              <w:spacing w:line="240" w:lineRule="exact"/>
              <w:jc w:val="center"/>
              <w:rPr>
                <w:rFonts w:ascii="宋体"/>
                <w:b/>
                <w:kern w:val="0"/>
              </w:rPr>
            </w:pPr>
            <w:r>
              <w:rPr>
                <w:rFonts w:hint="eastAsia" w:ascii="宋体"/>
                <w:b/>
                <w:kern w:val="0"/>
              </w:rPr>
              <w:t>处罚依据</w:t>
            </w:r>
          </w:p>
        </w:tc>
        <w:tc>
          <w:tcPr>
            <w:tcW w:w="985" w:type="dxa"/>
            <w:vMerge w:val="continue"/>
            <w:tcBorders>
              <w:bottom w:val="single" w:color="000000" w:sz="4" w:space="0"/>
            </w:tcBorders>
            <w:vAlign w:val="center"/>
          </w:tcPr>
          <w:p w14:paraId="289C7469">
            <w:pPr>
              <w:spacing w:line="240" w:lineRule="exact"/>
              <w:jc w:val="center"/>
              <w:rPr>
                <w:rFonts w:ascii="宋体"/>
                <w:b/>
                <w:kern w:val="0"/>
              </w:rPr>
            </w:pPr>
          </w:p>
        </w:tc>
        <w:tc>
          <w:tcPr>
            <w:tcW w:w="2800" w:type="dxa"/>
            <w:vMerge w:val="continue"/>
            <w:tcBorders>
              <w:bottom w:val="single" w:color="000000" w:sz="4" w:space="0"/>
            </w:tcBorders>
            <w:vAlign w:val="center"/>
          </w:tcPr>
          <w:p w14:paraId="69FA2D3E">
            <w:pPr>
              <w:spacing w:line="240" w:lineRule="exact"/>
              <w:jc w:val="center"/>
              <w:rPr>
                <w:rFonts w:ascii="宋体"/>
                <w:b/>
                <w:kern w:val="0"/>
              </w:rPr>
            </w:pPr>
          </w:p>
        </w:tc>
        <w:tc>
          <w:tcPr>
            <w:tcW w:w="5989" w:type="dxa"/>
            <w:tcBorders>
              <w:top w:val="single" w:color="auto" w:sz="4" w:space="0"/>
              <w:right w:val="single" w:color="auto" w:sz="4" w:space="0"/>
            </w:tcBorders>
            <w:vAlign w:val="center"/>
          </w:tcPr>
          <w:p w14:paraId="3B51620C">
            <w:pPr>
              <w:spacing w:line="240" w:lineRule="exact"/>
              <w:jc w:val="center"/>
              <w:rPr>
                <w:rFonts w:ascii="宋体"/>
                <w:b/>
                <w:kern w:val="0"/>
              </w:rPr>
            </w:pPr>
            <w:r>
              <w:rPr>
                <w:rFonts w:hint="eastAsia" w:ascii="宋体"/>
                <w:b/>
                <w:kern w:val="0"/>
              </w:rPr>
              <w:t xml:space="preserve">【对象】船舶、海上设施的所有人、经营人或者管理人 </w:t>
            </w:r>
          </w:p>
        </w:tc>
        <w:tc>
          <w:tcPr>
            <w:tcW w:w="2760" w:type="dxa"/>
            <w:tcBorders>
              <w:top w:val="single" w:color="auto" w:sz="4" w:space="0"/>
              <w:left w:val="single" w:color="auto" w:sz="4" w:space="0"/>
            </w:tcBorders>
            <w:vAlign w:val="center"/>
          </w:tcPr>
          <w:p w14:paraId="2F80D8B6">
            <w:pPr>
              <w:spacing w:line="240" w:lineRule="exact"/>
              <w:jc w:val="center"/>
              <w:rPr>
                <w:rFonts w:ascii="宋体"/>
                <w:b/>
                <w:kern w:val="0"/>
              </w:rPr>
            </w:pPr>
            <w:r>
              <w:rPr>
                <w:rFonts w:hint="eastAsia" w:ascii="宋体"/>
                <w:b/>
                <w:kern w:val="0"/>
              </w:rPr>
              <w:t>【对象】船长</w:t>
            </w:r>
          </w:p>
        </w:tc>
        <w:tc>
          <w:tcPr>
            <w:tcW w:w="3011" w:type="dxa"/>
            <w:tcBorders>
              <w:top w:val="single" w:color="auto" w:sz="4" w:space="0"/>
              <w:left w:val="single" w:color="auto" w:sz="4" w:space="0"/>
            </w:tcBorders>
            <w:vAlign w:val="center"/>
          </w:tcPr>
          <w:p w14:paraId="491F838A">
            <w:pPr>
              <w:spacing w:line="240" w:lineRule="exact"/>
              <w:jc w:val="center"/>
              <w:rPr>
                <w:rFonts w:ascii="宋体"/>
                <w:b/>
                <w:kern w:val="0"/>
              </w:rPr>
            </w:pPr>
            <w:r>
              <w:rPr>
                <w:rFonts w:hint="eastAsia" w:ascii="宋体"/>
                <w:b/>
                <w:kern w:val="0"/>
              </w:rPr>
              <w:t>【对象】责任船员</w:t>
            </w:r>
          </w:p>
        </w:tc>
      </w:tr>
      <w:tr w14:paraId="41B1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78" w:type="dxa"/>
            <w:vMerge w:val="restart"/>
            <w:vAlign w:val="center"/>
          </w:tcPr>
          <w:p w14:paraId="312F9B90">
            <w:pPr>
              <w:widowControl/>
              <w:spacing w:line="240" w:lineRule="exact"/>
              <w:jc w:val="left"/>
              <w:rPr>
                <w:rFonts w:ascii="宋体"/>
                <w:kern w:val="0"/>
              </w:rPr>
            </w:pPr>
            <w:r>
              <w:rPr>
                <w:rFonts w:hint="eastAsia" w:ascii="宋体"/>
                <w:kern w:val="0"/>
              </w:rPr>
              <w:t>船舶、海上设施未按照许可要求、超出核定的安全作业区进行海上施工作业</w:t>
            </w:r>
          </w:p>
        </w:tc>
        <w:tc>
          <w:tcPr>
            <w:tcW w:w="1440" w:type="dxa"/>
            <w:vMerge w:val="restart"/>
            <w:vAlign w:val="center"/>
          </w:tcPr>
          <w:p w14:paraId="2E95B57A">
            <w:pPr>
              <w:widowControl/>
              <w:spacing w:line="240" w:lineRule="exact"/>
              <w:jc w:val="left"/>
              <w:rPr>
                <w:rFonts w:ascii="宋体"/>
                <w:kern w:val="0"/>
              </w:rPr>
            </w:pPr>
            <w:r>
              <w:rPr>
                <w:rFonts w:hint="eastAsia" w:ascii="宋体"/>
                <w:kern w:val="0"/>
              </w:rPr>
              <w:t>1.《海上交通安全法》第四十八条第二款。</w:t>
            </w:r>
          </w:p>
        </w:tc>
        <w:tc>
          <w:tcPr>
            <w:tcW w:w="1657" w:type="dxa"/>
            <w:vMerge w:val="restart"/>
            <w:vAlign w:val="center"/>
          </w:tcPr>
          <w:p w14:paraId="1E5F0AC4">
            <w:pPr>
              <w:spacing w:line="240" w:lineRule="exact"/>
              <w:rPr>
                <w:rFonts w:ascii="宋体"/>
                <w:kern w:val="0"/>
              </w:rPr>
            </w:pPr>
            <w:r>
              <w:rPr>
                <w:rFonts w:hint="eastAsia" w:ascii="宋体"/>
                <w:kern w:val="0"/>
              </w:rPr>
              <w:t>1.《海上交通安全法》第一百零五条第一款；</w:t>
            </w:r>
          </w:p>
          <w:p w14:paraId="303B155D">
            <w:pPr>
              <w:spacing w:line="240" w:lineRule="exact"/>
              <w:rPr>
                <w:rFonts w:ascii="宋体"/>
                <w:kern w:val="0"/>
              </w:rPr>
            </w:pPr>
            <w:r>
              <w:rPr>
                <w:rFonts w:hint="eastAsia" w:ascii="宋体"/>
                <w:kern w:val="0"/>
              </w:rPr>
              <w:t>2.《中华人民共和国海上海事行政处罚规定》第七条。</w:t>
            </w:r>
          </w:p>
        </w:tc>
        <w:tc>
          <w:tcPr>
            <w:tcW w:w="985" w:type="dxa"/>
            <w:vAlign w:val="center"/>
          </w:tcPr>
          <w:p w14:paraId="624BA9A5">
            <w:pPr>
              <w:spacing w:line="240" w:lineRule="exact"/>
              <w:jc w:val="center"/>
              <w:rPr>
                <w:rFonts w:ascii="宋体"/>
                <w:kern w:val="0"/>
              </w:rPr>
            </w:pPr>
            <w:r>
              <w:rPr>
                <w:rFonts w:hint="eastAsia" w:ascii="宋体"/>
                <w:kern w:val="0"/>
              </w:rPr>
              <w:t>从轻</w:t>
            </w:r>
          </w:p>
        </w:tc>
        <w:tc>
          <w:tcPr>
            <w:tcW w:w="2800" w:type="dxa"/>
            <w:vAlign w:val="center"/>
          </w:tcPr>
          <w:p w14:paraId="6E3A3EF2">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989" w:type="dxa"/>
            <w:tcBorders>
              <w:right w:val="single" w:color="auto" w:sz="4" w:space="0"/>
            </w:tcBorders>
            <w:vAlign w:val="center"/>
          </w:tcPr>
          <w:p w14:paraId="052C184F">
            <w:pPr>
              <w:spacing w:line="240" w:lineRule="exact"/>
              <w:jc w:val="center"/>
              <w:rPr>
                <w:rFonts w:ascii="宋体"/>
                <w:kern w:val="0"/>
              </w:rPr>
            </w:pPr>
            <w:r>
              <w:rPr>
                <w:rFonts w:hint="eastAsia" w:ascii="宋体"/>
                <w:kern w:val="0"/>
              </w:rPr>
              <w:t>3-4万元</w:t>
            </w:r>
          </w:p>
        </w:tc>
        <w:tc>
          <w:tcPr>
            <w:tcW w:w="2760" w:type="dxa"/>
            <w:tcBorders>
              <w:left w:val="single" w:color="auto" w:sz="4" w:space="0"/>
              <w:bottom w:val="single" w:color="auto" w:sz="4" w:space="0"/>
              <w:right w:val="single" w:color="auto" w:sz="4" w:space="0"/>
            </w:tcBorders>
            <w:vAlign w:val="center"/>
          </w:tcPr>
          <w:p w14:paraId="74923D2A">
            <w:pPr>
              <w:spacing w:line="240" w:lineRule="exact"/>
              <w:jc w:val="center"/>
              <w:rPr>
                <w:rFonts w:ascii="宋体"/>
                <w:kern w:val="0"/>
              </w:rPr>
            </w:pPr>
            <w:r>
              <w:rPr>
                <w:rFonts w:hint="eastAsia" w:ascii="宋体"/>
                <w:kern w:val="0"/>
              </w:rPr>
              <w:t>3000-8000元</w:t>
            </w:r>
          </w:p>
        </w:tc>
        <w:tc>
          <w:tcPr>
            <w:tcW w:w="3011" w:type="dxa"/>
            <w:tcBorders>
              <w:left w:val="single" w:color="auto" w:sz="4" w:space="0"/>
              <w:bottom w:val="single" w:color="auto" w:sz="4" w:space="0"/>
            </w:tcBorders>
            <w:vAlign w:val="center"/>
          </w:tcPr>
          <w:p w14:paraId="1239FF41">
            <w:pPr>
              <w:spacing w:line="240" w:lineRule="exact"/>
              <w:jc w:val="center"/>
              <w:rPr>
                <w:rFonts w:ascii="宋体"/>
                <w:kern w:val="0"/>
              </w:rPr>
            </w:pPr>
            <w:r>
              <w:rPr>
                <w:rFonts w:hint="eastAsia" w:ascii="宋体"/>
                <w:kern w:val="0"/>
              </w:rPr>
              <w:t>3000-6000元</w:t>
            </w:r>
          </w:p>
        </w:tc>
      </w:tr>
      <w:tr w14:paraId="4C43E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80" w:hRule="atLeast"/>
        </w:trPr>
        <w:tc>
          <w:tcPr>
            <w:tcW w:w="1078" w:type="dxa"/>
            <w:vMerge w:val="continue"/>
            <w:vAlign w:val="center"/>
          </w:tcPr>
          <w:p w14:paraId="171CC049">
            <w:pPr>
              <w:spacing w:line="240" w:lineRule="exact"/>
              <w:jc w:val="left"/>
              <w:rPr>
                <w:rFonts w:ascii="宋体"/>
                <w:kern w:val="0"/>
              </w:rPr>
            </w:pPr>
          </w:p>
        </w:tc>
        <w:tc>
          <w:tcPr>
            <w:tcW w:w="1440" w:type="dxa"/>
            <w:vMerge w:val="continue"/>
            <w:vAlign w:val="center"/>
          </w:tcPr>
          <w:p w14:paraId="1A3D43AD">
            <w:pPr>
              <w:widowControl/>
              <w:spacing w:line="240" w:lineRule="exact"/>
              <w:jc w:val="left"/>
              <w:rPr>
                <w:rFonts w:ascii="宋体"/>
                <w:kern w:val="0"/>
              </w:rPr>
            </w:pPr>
          </w:p>
        </w:tc>
        <w:tc>
          <w:tcPr>
            <w:tcW w:w="1657" w:type="dxa"/>
            <w:vMerge w:val="continue"/>
            <w:vAlign w:val="center"/>
          </w:tcPr>
          <w:p w14:paraId="166C6EA2">
            <w:pPr>
              <w:spacing w:line="240" w:lineRule="exact"/>
              <w:jc w:val="left"/>
              <w:rPr>
                <w:rFonts w:ascii="宋体"/>
                <w:kern w:val="0"/>
              </w:rPr>
            </w:pPr>
          </w:p>
        </w:tc>
        <w:tc>
          <w:tcPr>
            <w:tcW w:w="985" w:type="dxa"/>
            <w:vMerge w:val="restart"/>
            <w:vAlign w:val="center"/>
          </w:tcPr>
          <w:p w14:paraId="0DF9997B">
            <w:pPr>
              <w:spacing w:line="240" w:lineRule="exact"/>
              <w:jc w:val="center"/>
              <w:rPr>
                <w:rFonts w:ascii="宋体"/>
                <w:kern w:val="0"/>
              </w:rPr>
            </w:pPr>
            <w:r>
              <w:rPr>
                <w:rFonts w:hint="eastAsia" w:ascii="宋体"/>
                <w:kern w:val="0"/>
              </w:rPr>
              <w:t>一般</w:t>
            </w:r>
          </w:p>
          <w:p w14:paraId="5032942E">
            <w:pPr>
              <w:spacing w:line="240" w:lineRule="exact"/>
              <w:jc w:val="center"/>
              <w:rPr>
                <w:rFonts w:ascii="宋体"/>
                <w:kern w:val="0"/>
              </w:rPr>
            </w:pPr>
          </w:p>
        </w:tc>
        <w:tc>
          <w:tcPr>
            <w:tcW w:w="2800" w:type="dxa"/>
            <w:vAlign w:val="center"/>
          </w:tcPr>
          <w:p w14:paraId="4E410386">
            <w:pPr>
              <w:spacing w:line="240" w:lineRule="exact"/>
              <w:jc w:val="left"/>
              <w:rPr>
                <w:rFonts w:ascii="宋体"/>
                <w:kern w:val="0"/>
              </w:rPr>
            </w:pPr>
            <w:r>
              <w:rPr>
                <w:rFonts w:hint="eastAsia" w:ascii="宋体"/>
                <w:kern w:val="0"/>
              </w:rPr>
              <w:t>1.超出每日的许可作业时间；</w:t>
            </w:r>
          </w:p>
          <w:p w14:paraId="01623DA1">
            <w:pPr>
              <w:spacing w:line="240" w:lineRule="exact"/>
              <w:jc w:val="left"/>
              <w:rPr>
                <w:rFonts w:ascii="宋体"/>
                <w:kern w:val="0"/>
              </w:rPr>
            </w:pPr>
            <w:r>
              <w:rPr>
                <w:rFonts w:hint="eastAsia" w:ascii="宋体"/>
                <w:kern w:val="0"/>
              </w:rPr>
              <w:t>2.未落实许可要求的安全和防污染管理措施；</w:t>
            </w:r>
          </w:p>
          <w:p w14:paraId="18283445">
            <w:pPr>
              <w:spacing w:line="240" w:lineRule="exact"/>
              <w:jc w:val="left"/>
              <w:rPr>
                <w:rFonts w:ascii="宋体"/>
                <w:kern w:val="0"/>
              </w:rPr>
            </w:pPr>
            <w:r>
              <w:rPr>
                <w:rFonts w:hint="eastAsia" w:ascii="宋体"/>
                <w:kern w:val="0"/>
              </w:rPr>
              <w:t>3.其他未按照许可要求的情形。</w:t>
            </w:r>
          </w:p>
        </w:tc>
        <w:tc>
          <w:tcPr>
            <w:tcW w:w="5989" w:type="dxa"/>
            <w:tcBorders>
              <w:right w:val="single" w:color="auto" w:sz="4" w:space="0"/>
            </w:tcBorders>
            <w:vAlign w:val="center"/>
          </w:tcPr>
          <w:p w14:paraId="40577DD9">
            <w:pPr>
              <w:spacing w:line="240" w:lineRule="exact"/>
              <w:jc w:val="center"/>
              <w:rPr>
                <w:rFonts w:ascii="宋体"/>
                <w:kern w:val="0"/>
              </w:rPr>
            </w:pPr>
            <w:r>
              <w:rPr>
                <w:rFonts w:hint="eastAsia" w:ascii="宋体"/>
                <w:kern w:val="0"/>
              </w:rPr>
              <w:t>4-8万元</w:t>
            </w:r>
          </w:p>
        </w:tc>
        <w:tc>
          <w:tcPr>
            <w:tcW w:w="2760" w:type="dxa"/>
            <w:tcBorders>
              <w:top w:val="single" w:color="auto" w:sz="4" w:space="0"/>
              <w:left w:val="single" w:color="auto" w:sz="4" w:space="0"/>
              <w:bottom w:val="single" w:color="auto" w:sz="4" w:space="0"/>
              <w:right w:val="single" w:color="auto" w:sz="4" w:space="0"/>
            </w:tcBorders>
            <w:vAlign w:val="center"/>
          </w:tcPr>
          <w:p w14:paraId="207E84D3">
            <w:pPr>
              <w:spacing w:line="240" w:lineRule="exact"/>
              <w:jc w:val="center"/>
              <w:rPr>
                <w:rFonts w:ascii="宋体"/>
                <w:kern w:val="0"/>
              </w:rPr>
            </w:pPr>
            <w:r>
              <w:rPr>
                <w:rFonts w:hint="eastAsia" w:ascii="宋体"/>
                <w:kern w:val="0"/>
              </w:rPr>
              <w:t>8000元-1.5万元</w:t>
            </w:r>
          </w:p>
        </w:tc>
        <w:tc>
          <w:tcPr>
            <w:tcW w:w="3011" w:type="dxa"/>
            <w:tcBorders>
              <w:top w:val="single" w:color="auto" w:sz="4" w:space="0"/>
              <w:left w:val="single" w:color="auto" w:sz="4" w:space="0"/>
              <w:bottom w:val="single" w:color="auto" w:sz="4" w:space="0"/>
            </w:tcBorders>
            <w:vAlign w:val="center"/>
          </w:tcPr>
          <w:p w14:paraId="532680A4">
            <w:pPr>
              <w:spacing w:line="240" w:lineRule="exact"/>
              <w:jc w:val="center"/>
              <w:rPr>
                <w:rFonts w:ascii="宋体"/>
                <w:kern w:val="0"/>
              </w:rPr>
            </w:pPr>
            <w:r>
              <w:rPr>
                <w:rFonts w:hint="eastAsia" w:ascii="宋体"/>
                <w:kern w:val="0"/>
              </w:rPr>
              <w:t>6000元-1.2万元</w:t>
            </w:r>
          </w:p>
        </w:tc>
      </w:tr>
      <w:tr w14:paraId="43B3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78" w:type="dxa"/>
            <w:vMerge w:val="continue"/>
            <w:vAlign w:val="center"/>
          </w:tcPr>
          <w:p w14:paraId="738CC0DA">
            <w:pPr>
              <w:spacing w:line="240" w:lineRule="exact"/>
              <w:jc w:val="left"/>
              <w:rPr>
                <w:rFonts w:ascii="宋体"/>
                <w:kern w:val="0"/>
              </w:rPr>
            </w:pPr>
          </w:p>
        </w:tc>
        <w:tc>
          <w:tcPr>
            <w:tcW w:w="1440" w:type="dxa"/>
            <w:vMerge w:val="continue"/>
            <w:vAlign w:val="center"/>
          </w:tcPr>
          <w:p w14:paraId="479840B0">
            <w:pPr>
              <w:spacing w:line="240" w:lineRule="exact"/>
              <w:jc w:val="left"/>
              <w:rPr>
                <w:rFonts w:ascii="宋体"/>
                <w:kern w:val="0"/>
              </w:rPr>
            </w:pPr>
          </w:p>
        </w:tc>
        <w:tc>
          <w:tcPr>
            <w:tcW w:w="1657" w:type="dxa"/>
            <w:vMerge w:val="continue"/>
            <w:vAlign w:val="center"/>
          </w:tcPr>
          <w:p w14:paraId="190ADB9D">
            <w:pPr>
              <w:spacing w:line="240" w:lineRule="exact"/>
              <w:jc w:val="left"/>
              <w:rPr>
                <w:rFonts w:ascii="宋体"/>
                <w:kern w:val="0"/>
              </w:rPr>
            </w:pPr>
          </w:p>
        </w:tc>
        <w:tc>
          <w:tcPr>
            <w:tcW w:w="985" w:type="dxa"/>
            <w:vMerge w:val="continue"/>
            <w:vAlign w:val="center"/>
          </w:tcPr>
          <w:p w14:paraId="2910B550">
            <w:pPr>
              <w:spacing w:line="240" w:lineRule="exact"/>
              <w:jc w:val="center"/>
              <w:rPr>
                <w:rFonts w:ascii="宋体"/>
                <w:kern w:val="0"/>
              </w:rPr>
            </w:pPr>
          </w:p>
        </w:tc>
        <w:tc>
          <w:tcPr>
            <w:tcW w:w="2800" w:type="dxa"/>
            <w:tcBorders>
              <w:top w:val="single" w:color="auto" w:sz="4" w:space="0"/>
              <w:bottom w:val="single" w:color="auto" w:sz="4" w:space="0"/>
            </w:tcBorders>
            <w:vAlign w:val="center"/>
          </w:tcPr>
          <w:p w14:paraId="06F4412A">
            <w:pPr>
              <w:spacing w:line="240" w:lineRule="exact"/>
              <w:jc w:val="left"/>
              <w:rPr>
                <w:rFonts w:ascii="宋体"/>
                <w:kern w:val="0"/>
              </w:rPr>
            </w:pPr>
            <w:r>
              <w:rPr>
                <w:rFonts w:hint="eastAsia" w:ascii="宋体"/>
                <w:kern w:val="0"/>
              </w:rPr>
              <w:t>超出核定的安全作业区范围</w:t>
            </w:r>
          </w:p>
        </w:tc>
        <w:tc>
          <w:tcPr>
            <w:tcW w:w="5989" w:type="dxa"/>
            <w:tcBorders>
              <w:top w:val="single" w:color="auto" w:sz="4" w:space="0"/>
              <w:bottom w:val="single" w:color="auto" w:sz="4" w:space="0"/>
            </w:tcBorders>
            <w:vAlign w:val="center"/>
          </w:tcPr>
          <w:p w14:paraId="63615C0B">
            <w:pPr>
              <w:spacing w:line="240" w:lineRule="exact"/>
              <w:jc w:val="center"/>
              <w:rPr>
                <w:rFonts w:ascii="宋体"/>
                <w:kern w:val="0"/>
              </w:rPr>
            </w:pPr>
            <w:r>
              <w:rPr>
                <w:rFonts w:hint="eastAsia" w:ascii="宋体"/>
                <w:kern w:val="0"/>
              </w:rPr>
              <w:t>8-15万元</w:t>
            </w:r>
          </w:p>
        </w:tc>
        <w:tc>
          <w:tcPr>
            <w:tcW w:w="2760" w:type="dxa"/>
            <w:tcBorders>
              <w:top w:val="single" w:color="auto" w:sz="4" w:space="0"/>
              <w:bottom w:val="single" w:color="auto" w:sz="4" w:space="0"/>
            </w:tcBorders>
            <w:vAlign w:val="center"/>
          </w:tcPr>
          <w:p w14:paraId="2C09B564">
            <w:pPr>
              <w:spacing w:line="240" w:lineRule="exact"/>
              <w:jc w:val="center"/>
              <w:rPr>
                <w:rFonts w:ascii="宋体"/>
                <w:kern w:val="0"/>
              </w:rPr>
            </w:pPr>
            <w:r>
              <w:rPr>
                <w:rFonts w:hint="eastAsia" w:ascii="宋体"/>
                <w:kern w:val="0"/>
              </w:rPr>
              <w:t>1.5-3万元</w:t>
            </w:r>
          </w:p>
        </w:tc>
        <w:tc>
          <w:tcPr>
            <w:tcW w:w="3011" w:type="dxa"/>
            <w:tcBorders>
              <w:top w:val="single" w:color="auto" w:sz="4" w:space="0"/>
              <w:bottom w:val="single" w:color="auto" w:sz="4" w:space="0"/>
            </w:tcBorders>
            <w:vAlign w:val="center"/>
          </w:tcPr>
          <w:p w14:paraId="43080249">
            <w:pPr>
              <w:spacing w:line="240" w:lineRule="exact"/>
              <w:jc w:val="center"/>
              <w:rPr>
                <w:rFonts w:ascii="宋体"/>
                <w:kern w:val="0"/>
              </w:rPr>
            </w:pPr>
            <w:r>
              <w:rPr>
                <w:rFonts w:hint="eastAsia" w:ascii="宋体"/>
                <w:kern w:val="0"/>
              </w:rPr>
              <w:t>1.2-3万元</w:t>
            </w:r>
          </w:p>
        </w:tc>
      </w:tr>
      <w:tr w14:paraId="1F7D8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78" w:type="dxa"/>
            <w:vMerge w:val="continue"/>
            <w:vAlign w:val="center"/>
          </w:tcPr>
          <w:p w14:paraId="3948FE48">
            <w:pPr>
              <w:spacing w:line="240" w:lineRule="exact"/>
              <w:jc w:val="left"/>
              <w:rPr>
                <w:rFonts w:ascii="宋体"/>
                <w:kern w:val="0"/>
              </w:rPr>
            </w:pPr>
          </w:p>
        </w:tc>
        <w:tc>
          <w:tcPr>
            <w:tcW w:w="1440" w:type="dxa"/>
            <w:vMerge w:val="continue"/>
            <w:vAlign w:val="center"/>
          </w:tcPr>
          <w:p w14:paraId="6B0C18DA">
            <w:pPr>
              <w:spacing w:line="240" w:lineRule="exact"/>
              <w:jc w:val="left"/>
              <w:rPr>
                <w:rFonts w:ascii="宋体"/>
                <w:kern w:val="0"/>
              </w:rPr>
            </w:pPr>
          </w:p>
        </w:tc>
        <w:tc>
          <w:tcPr>
            <w:tcW w:w="1657" w:type="dxa"/>
            <w:vMerge w:val="continue"/>
            <w:vAlign w:val="center"/>
          </w:tcPr>
          <w:p w14:paraId="5051565F">
            <w:pPr>
              <w:spacing w:line="240" w:lineRule="exact"/>
              <w:jc w:val="left"/>
              <w:rPr>
                <w:rFonts w:ascii="宋体"/>
                <w:kern w:val="0"/>
              </w:rPr>
            </w:pPr>
          </w:p>
        </w:tc>
        <w:tc>
          <w:tcPr>
            <w:tcW w:w="985" w:type="dxa"/>
            <w:vMerge w:val="continue"/>
            <w:vAlign w:val="center"/>
          </w:tcPr>
          <w:p w14:paraId="15341623">
            <w:pPr>
              <w:spacing w:line="240" w:lineRule="exact"/>
              <w:jc w:val="center"/>
              <w:rPr>
                <w:rFonts w:ascii="宋体"/>
                <w:kern w:val="0"/>
              </w:rPr>
            </w:pPr>
          </w:p>
        </w:tc>
        <w:tc>
          <w:tcPr>
            <w:tcW w:w="2800" w:type="dxa"/>
            <w:tcBorders>
              <w:top w:val="single" w:color="auto" w:sz="4" w:space="0"/>
              <w:bottom w:val="single" w:color="auto" w:sz="4" w:space="0"/>
            </w:tcBorders>
            <w:vAlign w:val="center"/>
          </w:tcPr>
          <w:p w14:paraId="364DFE5A">
            <w:pPr>
              <w:tabs>
                <w:tab w:val="left" w:pos="312"/>
              </w:tabs>
              <w:spacing w:line="240" w:lineRule="exact"/>
              <w:jc w:val="left"/>
              <w:rPr>
                <w:rFonts w:ascii="宋体"/>
                <w:kern w:val="0"/>
              </w:rPr>
            </w:pPr>
            <w:r>
              <w:rPr>
                <w:rFonts w:hint="eastAsia" w:ascii="宋体"/>
                <w:kern w:val="0"/>
              </w:rPr>
              <w:t>具有其他较重情节的；</w:t>
            </w:r>
          </w:p>
        </w:tc>
        <w:tc>
          <w:tcPr>
            <w:tcW w:w="5989" w:type="dxa"/>
            <w:tcBorders>
              <w:top w:val="single" w:color="auto" w:sz="4" w:space="0"/>
              <w:bottom w:val="single" w:color="auto" w:sz="4" w:space="0"/>
            </w:tcBorders>
            <w:vAlign w:val="center"/>
          </w:tcPr>
          <w:p w14:paraId="2666F00F">
            <w:pPr>
              <w:spacing w:line="240" w:lineRule="exact"/>
              <w:jc w:val="center"/>
              <w:rPr>
                <w:rFonts w:ascii="宋体"/>
                <w:kern w:val="0"/>
              </w:rPr>
            </w:pPr>
            <w:r>
              <w:rPr>
                <w:rFonts w:hint="eastAsia" w:ascii="宋体"/>
                <w:kern w:val="0"/>
              </w:rPr>
              <w:t>15-20万元</w:t>
            </w:r>
          </w:p>
        </w:tc>
        <w:tc>
          <w:tcPr>
            <w:tcW w:w="2760" w:type="dxa"/>
            <w:tcBorders>
              <w:top w:val="single" w:color="auto" w:sz="4" w:space="0"/>
              <w:bottom w:val="single" w:color="auto" w:sz="4" w:space="0"/>
            </w:tcBorders>
            <w:vAlign w:val="center"/>
          </w:tcPr>
          <w:p w14:paraId="2CC910A6">
            <w:pPr>
              <w:spacing w:line="240" w:lineRule="exact"/>
              <w:jc w:val="center"/>
              <w:rPr>
                <w:rFonts w:ascii="宋体"/>
                <w:kern w:val="0"/>
              </w:rPr>
            </w:pPr>
            <w:r>
              <w:rPr>
                <w:rFonts w:hint="eastAsia" w:ascii="宋体"/>
                <w:kern w:val="0"/>
              </w:rPr>
              <w:t>暂扣船员适任证书6个月至10个月</w:t>
            </w:r>
          </w:p>
        </w:tc>
        <w:tc>
          <w:tcPr>
            <w:tcW w:w="3011" w:type="dxa"/>
            <w:tcBorders>
              <w:top w:val="single" w:color="auto" w:sz="4" w:space="0"/>
              <w:bottom w:val="single" w:color="auto" w:sz="4" w:space="0"/>
            </w:tcBorders>
            <w:vAlign w:val="center"/>
          </w:tcPr>
          <w:p w14:paraId="08A9AA88">
            <w:pPr>
              <w:spacing w:line="240" w:lineRule="exact"/>
              <w:jc w:val="center"/>
              <w:rPr>
                <w:rFonts w:ascii="宋体"/>
                <w:kern w:val="0"/>
              </w:rPr>
            </w:pPr>
            <w:r>
              <w:rPr>
                <w:rFonts w:hint="eastAsia" w:ascii="宋体"/>
                <w:kern w:val="0"/>
              </w:rPr>
              <w:t>暂扣船员适任证书6个月至10个月。</w:t>
            </w:r>
          </w:p>
        </w:tc>
      </w:tr>
      <w:tr w14:paraId="579A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3" w:hRule="atLeast"/>
        </w:trPr>
        <w:tc>
          <w:tcPr>
            <w:tcW w:w="1078" w:type="dxa"/>
            <w:vMerge w:val="continue"/>
            <w:vAlign w:val="center"/>
          </w:tcPr>
          <w:p w14:paraId="0CDD9449">
            <w:pPr>
              <w:spacing w:line="240" w:lineRule="exact"/>
              <w:jc w:val="left"/>
              <w:rPr>
                <w:rFonts w:ascii="宋体"/>
                <w:kern w:val="0"/>
              </w:rPr>
            </w:pPr>
          </w:p>
        </w:tc>
        <w:tc>
          <w:tcPr>
            <w:tcW w:w="1440" w:type="dxa"/>
            <w:vMerge w:val="continue"/>
            <w:vAlign w:val="center"/>
          </w:tcPr>
          <w:p w14:paraId="0D3B19D5">
            <w:pPr>
              <w:spacing w:line="240" w:lineRule="exact"/>
              <w:jc w:val="left"/>
              <w:rPr>
                <w:rFonts w:ascii="宋体"/>
                <w:kern w:val="0"/>
              </w:rPr>
            </w:pPr>
          </w:p>
        </w:tc>
        <w:tc>
          <w:tcPr>
            <w:tcW w:w="1657" w:type="dxa"/>
            <w:vMerge w:val="continue"/>
            <w:vAlign w:val="center"/>
          </w:tcPr>
          <w:p w14:paraId="3A5F49D9">
            <w:pPr>
              <w:spacing w:line="240" w:lineRule="exact"/>
              <w:jc w:val="left"/>
              <w:rPr>
                <w:rFonts w:ascii="宋体"/>
                <w:kern w:val="0"/>
              </w:rPr>
            </w:pPr>
          </w:p>
        </w:tc>
        <w:tc>
          <w:tcPr>
            <w:tcW w:w="985" w:type="dxa"/>
            <w:vMerge w:val="continue"/>
            <w:vAlign w:val="center"/>
          </w:tcPr>
          <w:p w14:paraId="6FF54872">
            <w:pPr>
              <w:spacing w:line="240" w:lineRule="exact"/>
              <w:jc w:val="center"/>
              <w:rPr>
                <w:rFonts w:ascii="宋体"/>
                <w:kern w:val="0"/>
              </w:rPr>
            </w:pPr>
          </w:p>
        </w:tc>
        <w:tc>
          <w:tcPr>
            <w:tcW w:w="2800" w:type="dxa"/>
            <w:tcBorders>
              <w:top w:val="single" w:color="auto" w:sz="4" w:space="0"/>
              <w:left w:val="single" w:color="auto" w:sz="4" w:space="0"/>
              <w:bottom w:val="single" w:color="auto" w:sz="4" w:space="0"/>
            </w:tcBorders>
            <w:vAlign w:val="center"/>
          </w:tcPr>
          <w:p w14:paraId="467D8109">
            <w:pPr>
              <w:spacing w:line="240" w:lineRule="exact"/>
              <w:jc w:val="left"/>
              <w:rPr>
                <w:rFonts w:ascii="宋体"/>
                <w:kern w:val="0"/>
              </w:rPr>
            </w:pPr>
            <w:r>
              <w:rPr>
                <w:rFonts w:hint="eastAsia" w:ascii="宋体"/>
                <w:kern w:val="0"/>
              </w:rPr>
              <w:t>造成小事故或险情的。</w:t>
            </w:r>
          </w:p>
        </w:tc>
        <w:tc>
          <w:tcPr>
            <w:tcW w:w="5989" w:type="dxa"/>
            <w:tcBorders>
              <w:top w:val="single" w:color="auto" w:sz="4" w:space="0"/>
              <w:bottom w:val="single" w:color="auto" w:sz="4" w:space="0"/>
              <w:right w:val="single" w:color="auto" w:sz="4" w:space="0"/>
            </w:tcBorders>
            <w:vAlign w:val="center"/>
          </w:tcPr>
          <w:p w14:paraId="242A98D6">
            <w:pPr>
              <w:spacing w:line="240" w:lineRule="exact"/>
              <w:jc w:val="center"/>
              <w:rPr>
                <w:rFonts w:ascii="宋体"/>
                <w:kern w:val="0"/>
                <w:highlight w:val="magenta"/>
              </w:rPr>
            </w:pPr>
            <w:r>
              <w:rPr>
                <w:rFonts w:hint="eastAsia" w:ascii="宋体"/>
                <w:kern w:val="0"/>
              </w:rPr>
              <w:t>20-30万元</w:t>
            </w:r>
          </w:p>
        </w:tc>
        <w:tc>
          <w:tcPr>
            <w:tcW w:w="2760" w:type="dxa"/>
            <w:tcBorders>
              <w:top w:val="single" w:color="auto" w:sz="4" w:space="0"/>
              <w:left w:val="single" w:color="auto" w:sz="4" w:space="0"/>
              <w:bottom w:val="single" w:color="auto" w:sz="4" w:space="0"/>
              <w:right w:val="single" w:color="auto" w:sz="4" w:space="0"/>
            </w:tcBorders>
            <w:vAlign w:val="center"/>
          </w:tcPr>
          <w:p w14:paraId="00B321EF">
            <w:pPr>
              <w:spacing w:line="240" w:lineRule="exact"/>
              <w:jc w:val="center"/>
              <w:rPr>
                <w:rFonts w:ascii="宋体"/>
                <w:kern w:val="0"/>
              </w:rPr>
            </w:pPr>
            <w:r>
              <w:rPr>
                <w:rFonts w:hint="eastAsia" w:ascii="宋体"/>
                <w:kern w:val="0"/>
              </w:rPr>
              <w:t>暂扣船员适任证书9个月至12个月</w:t>
            </w:r>
          </w:p>
        </w:tc>
        <w:tc>
          <w:tcPr>
            <w:tcW w:w="3011" w:type="dxa"/>
            <w:tcBorders>
              <w:left w:val="single" w:color="auto" w:sz="4" w:space="0"/>
            </w:tcBorders>
            <w:vAlign w:val="center"/>
          </w:tcPr>
          <w:p w14:paraId="5B6B3796">
            <w:pPr>
              <w:spacing w:line="240" w:lineRule="exact"/>
              <w:jc w:val="center"/>
              <w:rPr>
                <w:rFonts w:ascii="宋体"/>
                <w:kern w:val="0"/>
              </w:rPr>
            </w:pPr>
            <w:r>
              <w:rPr>
                <w:rFonts w:hint="eastAsia" w:ascii="宋体"/>
                <w:kern w:val="0"/>
              </w:rPr>
              <w:t>暂扣船员适任证书9个月至12个月。</w:t>
            </w:r>
          </w:p>
        </w:tc>
      </w:tr>
      <w:tr w14:paraId="7272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3" w:hRule="atLeast"/>
        </w:trPr>
        <w:tc>
          <w:tcPr>
            <w:tcW w:w="1078" w:type="dxa"/>
            <w:vMerge w:val="continue"/>
            <w:vAlign w:val="center"/>
          </w:tcPr>
          <w:p w14:paraId="265D6C78">
            <w:pPr>
              <w:spacing w:line="240" w:lineRule="exact"/>
              <w:jc w:val="left"/>
              <w:rPr>
                <w:rFonts w:ascii="宋体"/>
                <w:kern w:val="0"/>
              </w:rPr>
            </w:pPr>
          </w:p>
        </w:tc>
        <w:tc>
          <w:tcPr>
            <w:tcW w:w="1440" w:type="dxa"/>
            <w:vMerge w:val="continue"/>
            <w:vAlign w:val="center"/>
          </w:tcPr>
          <w:p w14:paraId="19B59388">
            <w:pPr>
              <w:spacing w:line="240" w:lineRule="exact"/>
              <w:jc w:val="left"/>
              <w:rPr>
                <w:rFonts w:ascii="宋体"/>
                <w:kern w:val="0"/>
              </w:rPr>
            </w:pPr>
          </w:p>
        </w:tc>
        <w:tc>
          <w:tcPr>
            <w:tcW w:w="1657" w:type="dxa"/>
            <w:vMerge w:val="continue"/>
            <w:vAlign w:val="center"/>
          </w:tcPr>
          <w:p w14:paraId="17A528C5">
            <w:pPr>
              <w:spacing w:line="240" w:lineRule="exact"/>
              <w:jc w:val="left"/>
              <w:rPr>
                <w:rFonts w:ascii="宋体"/>
                <w:kern w:val="0"/>
              </w:rPr>
            </w:pPr>
          </w:p>
        </w:tc>
        <w:tc>
          <w:tcPr>
            <w:tcW w:w="985" w:type="dxa"/>
            <w:tcBorders>
              <w:right w:val="single" w:color="auto" w:sz="4" w:space="0"/>
            </w:tcBorders>
            <w:vAlign w:val="center"/>
          </w:tcPr>
          <w:p w14:paraId="52247A21">
            <w:pPr>
              <w:spacing w:line="240" w:lineRule="exact"/>
              <w:jc w:val="left"/>
              <w:rPr>
                <w:rFonts w:ascii="宋体"/>
                <w:kern w:val="0"/>
              </w:rPr>
            </w:pPr>
            <w:r>
              <w:rPr>
                <w:rFonts w:hint="eastAsia" w:ascii="宋体"/>
                <w:kern w:val="0"/>
              </w:rPr>
              <w:t>情节严重</w:t>
            </w:r>
          </w:p>
        </w:tc>
        <w:tc>
          <w:tcPr>
            <w:tcW w:w="2800" w:type="dxa"/>
            <w:tcBorders>
              <w:top w:val="single" w:color="auto" w:sz="4" w:space="0"/>
              <w:left w:val="single" w:color="auto" w:sz="4" w:space="0"/>
              <w:bottom w:val="single" w:color="auto" w:sz="4" w:space="0"/>
            </w:tcBorders>
            <w:vAlign w:val="center"/>
          </w:tcPr>
          <w:p w14:paraId="6B8E8692">
            <w:pPr>
              <w:spacing w:line="240" w:lineRule="exact"/>
              <w:jc w:val="left"/>
              <w:rPr>
                <w:rFonts w:ascii="宋体"/>
                <w:kern w:val="0"/>
              </w:rPr>
            </w:pPr>
            <w:r>
              <w:rPr>
                <w:rFonts w:hint="eastAsia" w:ascii="宋体"/>
                <w:kern w:val="0"/>
              </w:rPr>
              <w:t>1.造成一般等级以上事故的；</w:t>
            </w:r>
          </w:p>
          <w:p w14:paraId="18B28407">
            <w:pPr>
              <w:spacing w:line="240" w:lineRule="exact"/>
              <w:jc w:val="left"/>
              <w:rPr>
                <w:rFonts w:ascii="宋体"/>
                <w:kern w:val="0"/>
              </w:rPr>
            </w:pPr>
            <w:r>
              <w:rPr>
                <w:rFonts w:hint="eastAsia" w:ascii="宋体"/>
                <w:kern w:val="0"/>
              </w:rPr>
              <w:t>2.具有其他严重情节的。</w:t>
            </w:r>
          </w:p>
        </w:tc>
        <w:tc>
          <w:tcPr>
            <w:tcW w:w="5989" w:type="dxa"/>
            <w:tcBorders>
              <w:top w:val="single" w:color="auto" w:sz="4" w:space="0"/>
              <w:bottom w:val="single" w:color="auto" w:sz="4" w:space="0"/>
              <w:right w:val="single" w:color="auto" w:sz="4" w:space="0"/>
            </w:tcBorders>
            <w:vAlign w:val="center"/>
          </w:tcPr>
          <w:p w14:paraId="2441E07F">
            <w:pPr>
              <w:spacing w:line="240" w:lineRule="exact"/>
              <w:jc w:val="center"/>
              <w:rPr>
                <w:rFonts w:ascii="宋体"/>
                <w:kern w:val="0"/>
              </w:rPr>
            </w:pPr>
            <w:r>
              <w:rPr>
                <w:rFonts w:hint="eastAsia" w:ascii="宋体"/>
                <w:kern w:val="0"/>
              </w:rPr>
              <w:t>20-30万元</w:t>
            </w:r>
          </w:p>
        </w:tc>
        <w:tc>
          <w:tcPr>
            <w:tcW w:w="2760" w:type="dxa"/>
            <w:tcBorders>
              <w:top w:val="single" w:color="auto" w:sz="4" w:space="0"/>
              <w:left w:val="single" w:color="auto" w:sz="4" w:space="0"/>
              <w:bottom w:val="single" w:color="auto" w:sz="4" w:space="0"/>
              <w:right w:val="single" w:color="auto" w:sz="4" w:space="0"/>
            </w:tcBorders>
            <w:vAlign w:val="center"/>
          </w:tcPr>
          <w:p w14:paraId="39135C91">
            <w:pPr>
              <w:spacing w:line="240" w:lineRule="exact"/>
              <w:jc w:val="center"/>
              <w:rPr>
                <w:rFonts w:ascii="宋体"/>
                <w:kern w:val="0"/>
              </w:rPr>
            </w:pPr>
            <w:r>
              <w:rPr>
                <w:rFonts w:hint="eastAsia" w:ascii="宋体"/>
                <w:kern w:val="0"/>
              </w:rPr>
              <w:t>吊销船员适任证书</w:t>
            </w:r>
          </w:p>
        </w:tc>
        <w:tc>
          <w:tcPr>
            <w:tcW w:w="3011" w:type="dxa"/>
            <w:tcBorders>
              <w:left w:val="single" w:color="auto" w:sz="4" w:space="0"/>
            </w:tcBorders>
            <w:vAlign w:val="center"/>
          </w:tcPr>
          <w:p w14:paraId="3579990A">
            <w:pPr>
              <w:spacing w:line="240" w:lineRule="exact"/>
              <w:jc w:val="center"/>
              <w:rPr>
                <w:rFonts w:ascii="宋体"/>
                <w:kern w:val="0"/>
              </w:rPr>
            </w:pPr>
            <w:r>
              <w:rPr>
                <w:rFonts w:hint="eastAsia" w:ascii="宋体"/>
                <w:kern w:val="0"/>
              </w:rPr>
              <w:t>吊销船员适任证书</w:t>
            </w:r>
          </w:p>
        </w:tc>
      </w:tr>
    </w:tbl>
    <w:p w14:paraId="536314EA">
      <w:pPr>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59"/>
        <w:gridCol w:w="1164"/>
        <w:gridCol w:w="1920"/>
        <w:gridCol w:w="966"/>
        <w:gridCol w:w="2499"/>
        <w:gridCol w:w="7"/>
        <w:gridCol w:w="6743"/>
        <w:gridCol w:w="2340"/>
        <w:gridCol w:w="3110"/>
      </w:tblGrid>
      <w:tr w14:paraId="7D196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959" w:type="dxa"/>
            <w:vMerge w:val="restart"/>
            <w:vAlign w:val="center"/>
          </w:tcPr>
          <w:p w14:paraId="2D5CF687">
            <w:pPr>
              <w:spacing w:line="240" w:lineRule="exact"/>
              <w:jc w:val="center"/>
              <w:rPr>
                <w:rFonts w:ascii="宋体"/>
                <w:b/>
                <w:kern w:val="0"/>
              </w:rPr>
            </w:pPr>
            <w:r>
              <w:rPr>
                <w:rFonts w:hint="eastAsia" w:ascii="宋体"/>
                <w:b/>
                <w:kern w:val="0"/>
              </w:rPr>
              <w:t>案由29</w:t>
            </w:r>
          </w:p>
        </w:tc>
        <w:tc>
          <w:tcPr>
            <w:tcW w:w="3084" w:type="dxa"/>
            <w:gridSpan w:val="2"/>
            <w:vAlign w:val="center"/>
          </w:tcPr>
          <w:p w14:paraId="7EA36319">
            <w:pPr>
              <w:spacing w:line="240" w:lineRule="exact"/>
              <w:jc w:val="center"/>
              <w:rPr>
                <w:rFonts w:ascii="宋体"/>
                <w:b/>
                <w:kern w:val="0"/>
              </w:rPr>
            </w:pPr>
            <w:r>
              <w:rPr>
                <w:rFonts w:hint="eastAsia" w:ascii="宋体"/>
                <w:b/>
                <w:kern w:val="0"/>
              </w:rPr>
              <w:t>法律依据</w:t>
            </w:r>
          </w:p>
        </w:tc>
        <w:tc>
          <w:tcPr>
            <w:tcW w:w="966" w:type="dxa"/>
            <w:vMerge w:val="restart"/>
            <w:vAlign w:val="center"/>
          </w:tcPr>
          <w:p w14:paraId="05956402">
            <w:pPr>
              <w:spacing w:line="240" w:lineRule="exact"/>
              <w:jc w:val="center"/>
              <w:rPr>
                <w:rFonts w:ascii="宋体"/>
                <w:b/>
                <w:kern w:val="0"/>
              </w:rPr>
            </w:pPr>
            <w:r>
              <w:rPr>
                <w:rFonts w:hint="eastAsia" w:ascii="宋体"/>
                <w:b/>
                <w:kern w:val="0"/>
              </w:rPr>
              <w:t>违法情节</w:t>
            </w:r>
          </w:p>
        </w:tc>
        <w:tc>
          <w:tcPr>
            <w:tcW w:w="2499" w:type="dxa"/>
            <w:vMerge w:val="restart"/>
            <w:vAlign w:val="center"/>
          </w:tcPr>
          <w:p w14:paraId="1E89E070">
            <w:pPr>
              <w:spacing w:line="240" w:lineRule="exact"/>
              <w:jc w:val="center"/>
              <w:rPr>
                <w:rFonts w:ascii="宋体"/>
                <w:b/>
                <w:kern w:val="0"/>
              </w:rPr>
            </w:pPr>
            <w:r>
              <w:rPr>
                <w:rFonts w:hint="eastAsia" w:ascii="宋体"/>
                <w:b/>
                <w:kern w:val="0"/>
              </w:rPr>
              <w:t>主要考虑因素（事实、性质、情节、危害程度和实际后果等）</w:t>
            </w:r>
          </w:p>
        </w:tc>
        <w:tc>
          <w:tcPr>
            <w:tcW w:w="12200" w:type="dxa"/>
            <w:gridSpan w:val="4"/>
            <w:tcBorders>
              <w:bottom w:val="single" w:color="auto" w:sz="4" w:space="0"/>
            </w:tcBorders>
            <w:vAlign w:val="center"/>
          </w:tcPr>
          <w:p w14:paraId="55EF9B8D">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由海事管理机构对违法船舶、海上设施的所有人、经营人或者管理人处一万元以上三万元以下的罚款，对船长、责任船员处二千元以上二万元以下的罚款。</w:t>
            </w:r>
          </w:p>
        </w:tc>
      </w:tr>
      <w:tr w14:paraId="2272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959" w:type="dxa"/>
            <w:vMerge w:val="continue"/>
            <w:vAlign w:val="center"/>
          </w:tcPr>
          <w:p w14:paraId="1F978DF5">
            <w:pPr>
              <w:spacing w:line="240" w:lineRule="exact"/>
              <w:jc w:val="center"/>
              <w:rPr>
                <w:rFonts w:ascii="宋体"/>
                <w:b/>
                <w:kern w:val="0"/>
              </w:rPr>
            </w:pPr>
          </w:p>
        </w:tc>
        <w:tc>
          <w:tcPr>
            <w:tcW w:w="1164" w:type="dxa"/>
            <w:tcBorders>
              <w:bottom w:val="single" w:color="000000" w:sz="4" w:space="0"/>
            </w:tcBorders>
            <w:vAlign w:val="center"/>
          </w:tcPr>
          <w:p w14:paraId="01DD535D">
            <w:pPr>
              <w:spacing w:line="240" w:lineRule="exact"/>
              <w:jc w:val="center"/>
              <w:rPr>
                <w:rFonts w:ascii="宋体"/>
                <w:b/>
                <w:kern w:val="0"/>
              </w:rPr>
            </w:pPr>
            <w:r>
              <w:rPr>
                <w:rFonts w:hint="eastAsia" w:ascii="宋体"/>
                <w:b/>
                <w:kern w:val="0"/>
              </w:rPr>
              <w:t>违反条款</w:t>
            </w:r>
          </w:p>
        </w:tc>
        <w:tc>
          <w:tcPr>
            <w:tcW w:w="1920" w:type="dxa"/>
            <w:tcBorders>
              <w:bottom w:val="single" w:color="000000" w:sz="4" w:space="0"/>
            </w:tcBorders>
            <w:vAlign w:val="center"/>
          </w:tcPr>
          <w:p w14:paraId="167235C4">
            <w:pPr>
              <w:spacing w:line="240" w:lineRule="exact"/>
              <w:jc w:val="center"/>
              <w:rPr>
                <w:rFonts w:ascii="宋体"/>
                <w:b/>
                <w:kern w:val="0"/>
              </w:rPr>
            </w:pPr>
            <w:r>
              <w:rPr>
                <w:rFonts w:hint="eastAsia" w:ascii="宋体"/>
                <w:b/>
                <w:kern w:val="0"/>
              </w:rPr>
              <w:t>处罚依据</w:t>
            </w:r>
          </w:p>
        </w:tc>
        <w:tc>
          <w:tcPr>
            <w:tcW w:w="966" w:type="dxa"/>
            <w:vMerge w:val="continue"/>
            <w:tcBorders>
              <w:bottom w:val="single" w:color="000000" w:sz="4" w:space="0"/>
            </w:tcBorders>
            <w:vAlign w:val="center"/>
          </w:tcPr>
          <w:p w14:paraId="63C29839">
            <w:pPr>
              <w:spacing w:line="240" w:lineRule="exact"/>
              <w:jc w:val="center"/>
              <w:rPr>
                <w:rFonts w:ascii="宋体"/>
                <w:b/>
                <w:kern w:val="0"/>
              </w:rPr>
            </w:pPr>
          </w:p>
        </w:tc>
        <w:tc>
          <w:tcPr>
            <w:tcW w:w="2499" w:type="dxa"/>
            <w:vMerge w:val="continue"/>
            <w:tcBorders>
              <w:bottom w:val="single" w:color="000000" w:sz="4" w:space="0"/>
            </w:tcBorders>
            <w:vAlign w:val="center"/>
          </w:tcPr>
          <w:p w14:paraId="60C53ED1">
            <w:pPr>
              <w:spacing w:line="240" w:lineRule="exact"/>
              <w:jc w:val="center"/>
              <w:rPr>
                <w:rFonts w:ascii="宋体"/>
                <w:b/>
                <w:kern w:val="0"/>
              </w:rPr>
            </w:pPr>
          </w:p>
        </w:tc>
        <w:tc>
          <w:tcPr>
            <w:tcW w:w="6750" w:type="dxa"/>
            <w:gridSpan w:val="2"/>
            <w:tcBorders>
              <w:top w:val="single" w:color="auto" w:sz="4" w:space="0"/>
              <w:right w:val="single" w:color="auto" w:sz="4" w:space="0"/>
            </w:tcBorders>
            <w:vAlign w:val="center"/>
          </w:tcPr>
          <w:p w14:paraId="6E520CCA">
            <w:pPr>
              <w:spacing w:line="240" w:lineRule="exact"/>
              <w:jc w:val="center"/>
              <w:rPr>
                <w:rFonts w:ascii="宋体"/>
                <w:b/>
                <w:kern w:val="0"/>
              </w:rPr>
            </w:pPr>
            <w:r>
              <w:rPr>
                <w:rFonts w:hint="eastAsia" w:ascii="宋体"/>
                <w:b/>
                <w:kern w:val="0"/>
              </w:rPr>
              <w:t xml:space="preserve">【对象】船舶的所有人、经营人或者管理人 </w:t>
            </w:r>
          </w:p>
        </w:tc>
        <w:tc>
          <w:tcPr>
            <w:tcW w:w="2340" w:type="dxa"/>
            <w:tcBorders>
              <w:top w:val="single" w:color="auto" w:sz="4" w:space="0"/>
              <w:left w:val="single" w:color="auto" w:sz="4" w:space="0"/>
            </w:tcBorders>
            <w:vAlign w:val="center"/>
          </w:tcPr>
          <w:p w14:paraId="171D6CB0">
            <w:pPr>
              <w:spacing w:line="240" w:lineRule="exact"/>
              <w:jc w:val="center"/>
              <w:rPr>
                <w:rFonts w:ascii="宋体"/>
                <w:b/>
                <w:kern w:val="0"/>
              </w:rPr>
            </w:pPr>
            <w:r>
              <w:rPr>
                <w:rFonts w:hint="eastAsia" w:ascii="宋体"/>
                <w:b/>
                <w:kern w:val="0"/>
              </w:rPr>
              <w:t>【对象】船长</w:t>
            </w:r>
          </w:p>
        </w:tc>
        <w:tc>
          <w:tcPr>
            <w:tcW w:w="3110" w:type="dxa"/>
            <w:tcBorders>
              <w:top w:val="single" w:color="auto" w:sz="4" w:space="0"/>
              <w:left w:val="single" w:color="auto" w:sz="4" w:space="0"/>
            </w:tcBorders>
            <w:vAlign w:val="center"/>
          </w:tcPr>
          <w:p w14:paraId="313D7B51">
            <w:pPr>
              <w:spacing w:line="240" w:lineRule="exact"/>
              <w:jc w:val="center"/>
              <w:rPr>
                <w:rFonts w:ascii="宋体"/>
                <w:b/>
                <w:kern w:val="0"/>
              </w:rPr>
            </w:pPr>
            <w:r>
              <w:rPr>
                <w:rFonts w:hint="eastAsia" w:ascii="宋体"/>
                <w:b/>
                <w:kern w:val="0"/>
              </w:rPr>
              <w:t>【对象】责任船员</w:t>
            </w:r>
          </w:p>
        </w:tc>
      </w:tr>
      <w:tr w14:paraId="3B29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9" w:hRule="atLeast"/>
        </w:trPr>
        <w:tc>
          <w:tcPr>
            <w:tcW w:w="959" w:type="dxa"/>
            <w:vMerge w:val="restart"/>
            <w:vAlign w:val="center"/>
          </w:tcPr>
          <w:p w14:paraId="5D98BF47">
            <w:pPr>
              <w:widowControl/>
              <w:spacing w:line="240" w:lineRule="exact"/>
              <w:jc w:val="left"/>
              <w:rPr>
                <w:rFonts w:ascii="宋体"/>
                <w:kern w:val="0"/>
              </w:rPr>
            </w:pPr>
            <w:r>
              <w:rPr>
                <w:rFonts w:hint="eastAsia" w:ascii="宋体"/>
                <w:kern w:val="0"/>
              </w:rPr>
              <w:t>从事可能影响海上交通安全的水上水下活动，未按规定提前报告海事管理机构</w:t>
            </w:r>
          </w:p>
        </w:tc>
        <w:tc>
          <w:tcPr>
            <w:tcW w:w="1164" w:type="dxa"/>
            <w:vMerge w:val="restart"/>
            <w:vAlign w:val="center"/>
          </w:tcPr>
          <w:p w14:paraId="2F840450">
            <w:pPr>
              <w:widowControl/>
              <w:spacing w:line="240" w:lineRule="exact"/>
              <w:jc w:val="left"/>
              <w:rPr>
                <w:rFonts w:ascii="宋体"/>
                <w:kern w:val="0"/>
              </w:rPr>
            </w:pPr>
            <w:r>
              <w:rPr>
                <w:rFonts w:hint="eastAsia" w:ascii="宋体"/>
                <w:kern w:val="0"/>
              </w:rPr>
              <w:t>1.《中华人民共和国海上交通安全法》第四十九条。</w:t>
            </w:r>
          </w:p>
        </w:tc>
        <w:tc>
          <w:tcPr>
            <w:tcW w:w="1920" w:type="dxa"/>
            <w:vMerge w:val="restart"/>
            <w:vAlign w:val="center"/>
          </w:tcPr>
          <w:p w14:paraId="69388989">
            <w:pPr>
              <w:spacing w:line="240" w:lineRule="exact"/>
              <w:jc w:val="left"/>
              <w:rPr>
                <w:rFonts w:ascii="宋体"/>
                <w:kern w:val="0"/>
              </w:rPr>
            </w:pPr>
            <w:r>
              <w:rPr>
                <w:rFonts w:hint="eastAsia" w:ascii="宋体"/>
                <w:kern w:val="0"/>
              </w:rPr>
              <w:t>1. 《中华人民共和国海上交通安全法》第一百零五条第二款；</w:t>
            </w:r>
          </w:p>
          <w:p w14:paraId="4C7C7BD6">
            <w:pPr>
              <w:spacing w:line="240" w:lineRule="exact"/>
              <w:jc w:val="left"/>
              <w:rPr>
                <w:rFonts w:ascii="宋体"/>
                <w:kern w:val="0"/>
              </w:rPr>
            </w:pPr>
            <w:r>
              <w:rPr>
                <w:rFonts w:hint="eastAsia" w:ascii="宋体"/>
                <w:kern w:val="0"/>
              </w:rPr>
              <w:t>2. 《中华人民共和国海上海事行政处罚规定》第七条。</w:t>
            </w:r>
          </w:p>
        </w:tc>
        <w:tc>
          <w:tcPr>
            <w:tcW w:w="966" w:type="dxa"/>
            <w:vAlign w:val="center"/>
          </w:tcPr>
          <w:p w14:paraId="7DDBF73F">
            <w:pPr>
              <w:spacing w:line="240" w:lineRule="exact"/>
              <w:jc w:val="center"/>
              <w:rPr>
                <w:rFonts w:ascii="宋体"/>
                <w:kern w:val="0"/>
              </w:rPr>
            </w:pPr>
            <w:r>
              <w:rPr>
                <w:rFonts w:hint="eastAsia" w:ascii="宋体"/>
                <w:kern w:val="0"/>
              </w:rPr>
              <w:t>从轻</w:t>
            </w:r>
          </w:p>
        </w:tc>
        <w:tc>
          <w:tcPr>
            <w:tcW w:w="2499" w:type="dxa"/>
            <w:vAlign w:val="center"/>
          </w:tcPr>
          <w:p w14:paraId="7E536A26">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750" w:type="dxa"/>
            <w:gridSpan w:val="2"/>
            <w:tcBorders>
              <w:right w:val="single" w:color="auto" w:sz="4" w:space="0"/>
            </w:tcBorders>
            <w:vAlign w:val="center"/>
          </w:tcPr>
          <w:p w14:paraId="1E25FA6A">
            <w:pPr>
              <w:spacing w:line="240" w:lineRule="exact"/>
              <w:jc w:val="center"/>
              <w:rPr>
                <w:rFonts w:ascii="宋体"/>
                <w:kern w:val="0"/>
              </w:rPr>
            </w:pPr>
            <w:r>
              <w:rPr>
                <w:rFonts w:hint="eastAsia" w:ascii="宋体"/>
                <w:kern w:val="0"/>
              </w:rPr>
              <w:t>1-1.5万元</w:t>
            </w:r>
          </w:p>
        </w:tc>
        <w:tc>
          <w:tcPr>
            <w:tcW w:w="2340" w:type="dxa"/>
            <w:tcBorders>
              <w:left w:val="single" w:color="auto" w:sz="4" w:space="0"/>
              <w:bottom w:val="single" w:color="auto" w:sz="4" w:space="0"/>
            </w:tcBorders>
            <w:vAlign w:val="center"/>
          </w:tcPr>
          <w:p w14:paraId="3C721E0F">
            <w:pPr>
              <w:spacing w:line="240" w:lineRule="exact"/>
              <w:jc w:val="center"/>
              <w:rPr>
                <w:rFonts w:ascii="宋体"/>
                <w:kern w:val="0"/>
              </w:rPr>
            </w:pPr>
            <w:r>
              <w:rPr>
                <w:rFonts w:hint="eastAsia" w:ascii="宋体"/>
                <w:kern w:val="0"/>
              </w:rPr>
              <w:t>2000-6000元</w:t>
            </w:r>
          </w:p>
        </w:tc>
        <w:tc>
          <w:tcPr>
            <w:tcW w:w="3110" w:type="dxa"/>
            <w:tcBorders>
              <w:left w:val="single" w:color="auto" w:sz="4" w:space="0"/>
              <w:bottom w:val="single" w:color="auto" w:sz="4" w:space="0"/>
            </w:tcBorders>
            <w:vAlign w:val="center"/>
          </w:tcPr>
          <w:p w14:paraId="5F1666F9">
            <w:pPr>
              <w:spacing w:line="240" w:lineRule="exact"/>
              <w:jc w:val="center"/>
              <w:rPr>
                <w:rFonts w:ascii="宋体"/>
                <w:kern w:val="0"/>
              </w:rPr>
            </w:pPr>
            <w:r>
              <w:rPr>
                <w:rFonts w:hint="eastAsia" w:ascii="宋体"/>
                <w:kern w:val="0"/>
              </w:rPr>
              <w:t>2000-4000元</w:t>
            </w:r>
          </w:p>
        </w:tc>
      </w:tr>
      <w:tr w14:paraId="2BA7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4" w:hRule="atLeast"/>
        </w:trPr>
        <w:tc>
          <w:tcPr>
            <w:tcW w:w="959" w:type="dxa"/>
            <w:vMerge w:val="continue"/>
            <w:vAlign w:val="center"/>
          </w:tcPr>
          <w:p w14:paraId="0259F8B7">
            <w:pPr>
              <w:spacing w:line="240" w:lineRule="exact"/>
              <w:jc w:val="left"/>
              <w:rPr>
                <w:rFonts w:ascii="宋体"/>
                <w:kern w:val="0"/>
              </w:rPr>
            </w:pPr>
          </w:p>
        </w:tc>
        <w:tc>
          <w:tcPr>
            <w:tcW w:w="1164" w:type="dxa"/>
            <w:vMerge w:val="continue"/>
            <w:vAlign w:val="center"/>
          </w:tcPr>
          <w:p w14:paraId="7DEF510F">
            <w:pPr>
              <w:widowControl/>
              <w:spacing w:line="240" w:lineRule="exact"/>
              <w:jc w:val="left"/>
              <w:rPr>
                <w:rFonts w:ascii="宋体"/>
                <w:kern w:val="0"/>
              </w:rPr>
            </w:pPr>
          </w:p>
        </w:tc>
        <w:tc>
          <w:tcPr>
            <w:tcW w:w="1920" w:type="dxa"/>
            <w:vMerge w:val="continue"/>
            <w:vAlign w:val="center"/>
          </w:tcPr>
          <w:p w14:paraId="79F6CAC4">
            <w:pPr>
              <w:spacing w:line="240" w:lineRule="exact"/>
              <w:jc w:val="left"/>
              <w:rPr>
                <w:rFonts w:ascii="宋体"/>
                <w:kern w:val="0"/>
              </w:rPr>
            </w:pPr>
          </w:p>
        </w:tc>
        <w:tc>
          <w:tcPr>
            <w:tcW w:w="966" w:type="dxa"/>
            <w:vMerge w:val="restart"/>
            <w:vAlign w:val="center"/>
          </w:tcPr>
          <w:p w14:paraId="5D7F7435">
            <w:pPr>
              <w:spacing w:line="240" w:lineRule="exact"/>
              <w:jc w:val="center"/>
              <w:rPr>
                <w:rFonts w:ascii="宋体"/>
                <w:kern w:val="0"/>
              </w:rPr>
            </w:pPr>
            <w:r>
              <w:rPr>
                <w:rFonts w:hint="eastAsia" w:ascii="宋体"/>
                <w:kern w:val="0"/>
              </w:rPr>
              <w:t>一般</w:t>
            </w:r>
          </w:p>
        </w:tc>
        <w:tc>
          <w:tcPr>
            <w:tcW w:w="2499" w:type="dxa"/>
            <w:vAlign w:val="center"/>
          </w:tcPr>
          <w:p w14:paraId="3F0C861B">
            <w:pPr>
              <w:widowControl/>
              <w:spacing w:line="240" w:lineRule="exact"/>
              <w:jc w:val="left"/>
              <w:rPr>
                <w:rFonts w:ascii="宋体"/>
                <w:kern w:val="0"/>
              </w:rPr>
            </w:pPr>
            <w:r>
              <w:rPr>
                <w:rFonts w:hint="eastAsia" w:ascii="宋体"/>
                <w:kern w:val="0"/>
              </w:rPr>
              <w:t>未造成事故或险情或不良影响的</w:t>
            </w:r>
          </w:p>
        </w:tc>
        <w:tc>
          <w:tcPr>
            <w:tcW w:w="6750" w:type="dxa"/>
            <w:gridSpan w:val="2"/>
            <w:tcBorders>
              <w:right w:val="single" w:color="auto" w:sz="4" w:space="0"/>
            </w:tcBorders>
            <w:vAlign w:val="center"/>
          </w:tcPr>
          <w:p w14:paraId="14A50F65">
            <w:pPr>
              <w:spacing w:line="240" w:lineRule="exact"/>
              <w:jc w:val="center"/>
              <w:rPr>
                <w:rFonts w:ascii="宋体"/>
                <w:kern w:val="0"/>
              </w:rPr>
            </w:pPr>
            <w:r>
              <w:rPr>
                <w:rFonts w:hint="eastAsia" w:ascii="宋体"/>
                <w:kern w:val="0"/>
              </w:rPr>
              <w:t>1.5-2万元</w:t>
            </w:r>
          </w:p>
        </w:tc>
        <w:tc>
          <w:tcPr>
            <w:tcW w:w="2340" w:type="dxa"/>
            <w:tcBorders>
              <w:top w:val="single" w:color="auto" w:sz="4" w:space="0"/>
              <w:left w:val="single" w:color="auto" w:sz="4" w:space="0"/>
              <w:bottom w:val="single" w:color="auto" w:sz="4" w:space="0"/>
            </w:tcBorders>
            <w:vAlign w:val="center"/>
          </w:tcPr>
          <w:p w14:paraId="5DF5EA24">
            <w:pPr>
              <w:spacing w:line="240" w:lineRule="exact"/>
              <w:jc w:val="center"/>
              <w:rPr>
                <w:rFonts w:ascii="宋体"/>
                <w:kern w:val="0"/>
              </w:rPr>
            </w:pPr>
            <w:r>
              <w:rPr>
                <w:rFonts w:hint="eastAsia" w:ascii="宋体"/>
                <w:kern w:val="0"/>
              </w:rPr>
              <w:t>6000-8000元</w:t>
            </w:r>
          </w:p>
        </w:tc>
        <w:tc>
          <w:tcPr>
            <w:tcW w:w="3110" w:type="dxa"/>
            <w:tcBorders>
              <w:top w:val="single" w:color="auto" w:sz="4" w:space="0"/>
              <w:left w:val="single" w:color="auto" w:sz="4" w:space="0"/>
              <w:bottom w:val="single" w:color="auto" w:sz="4" w:space="0"/>
            </w:tcBorders>
            <w:vAlign w:val="center"/>
          </w:tcPr>
          <w:p w14:paraId="07DF7631">
            <w:pPr>
              <w:spacing w:line="240" w:lineRule="exact"/>
              <w:jc w:val="center"/>
              <w:rPr>
                <w:rFonts w:ascii="宋体"/>
                <w:kern w:val="0"/>
              </w:rPr>
            </w:pPr>
            <w:r>
              <w:rPr>
                <w:rFonts w:hint="eastAsia" w:ascii="宋体"/>
                <w:kern w:val="0"/>
              </w:rPr>
              <w:t>4000-6000元</w:t>
            </w:r>
          </w:p>
        </w:tc>
      </w:tr>
      <w:tr w14:paraId="293D6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5" w:hRule="atLeast"/>
        </w:trPr>
        <w:tc>
          <w:tcPr>
            <w:tcW w:w="959" w:type="dxa"/>
            <w:vMerge w:val="continue"/>
            <w:vAlign w:val="center"/>
          </w:tcPr>
          <w:p w14:paraId="0997E8E9">
            <w:pPr>
              <w:spacing w:line="240" w:lineRule="exact"/>
              <w:jc w:val="left"/>
              <w:rPr>
                <w:rFonts w:ascii="宋体"/>
                <w:kern w:val="0"/>
              </w:rPr>
            </w:pPr>
          </w:p>
        </w:tc>
        <w:tc>
          <w:tcPr>
            <w:tcW w:w="1164" w:type="dxa"/>
            <w:vMerge w:val="continue"/>
            <w:vAlign w:val="center"/>
          </w:tcPr>
          <w:p w14:paraId="4C653DFC">
            <w:pPr>
              <w:spacing w:line="240" w:lineRule="exact"/>
              <w:jc w:val="left"/>
              <w:rPr>
                <w:rFonts w:ascii="宋体"/>
                <w:kern w:val="0"/>
              </w:rPr>
            </w:pPr>
          </w:p>
        </w:tc>
        <w:tc>
          <w:tcPr>
            <w:tcW w:w="1920" w:type="dxa"/>
            <w:vMerge w:val="continue"/>
            <w:vAlign w:val="center"/>
          </w:tcPr>
          <w:p w14:paraId="414A2073">
            <w:pPr>
              <w:spacing w:line="240" w:lineRule="exact"/>
              <w:jc w:val="left"/>
              <w:rPr>
                <w:rFonts w:ascii="宋体"/>
                <w:kern w:val="0"/>
              </w:rPr>
            </w:pPr>
          </w:p>
        </w:tc>
        <w:tc>
          <w:tcPr>
            <w:tcW w:w="966" w:type="dxa"/>
            <w:vMerge w:val="continue"/>
            <w:vAlign w:val="center"/>
          </w:tcPr>
          <w:p w14:paraId="1750C09D">
            <w:pPr>
              <w:spacing w:line="240" w:lineRule="exact"/>
              <w:jc w:val="center"/>
              <w:rPr>
                <w:rFonts w:ascii="宋体"/>
                <w:kern w:val="0"/>
              </w:rPr>
            </w:pPr>
          </w:p>
        </w:tc>
        <w:tc>
          <w:tcPr>
            <w:tcW w:w="2506" w:type="dxa"/>
            <w:gridSpan w:val="2"/>
            <w:tcBorders>
              <w:top w:val="single" w:color="auto" w:sz="4" w:space="0"/>
            </w:tcBorders>
            <w:vAlign w:val="center"/>
          </w:tcPr>
          <w:p w14:paraId="20F0276B">
            <w:pPr>
              <w:tabs>
                <w:tab w:val="left" w:pos="312"/>
              </w:tabs>
              <w:spacing w:line="240" w:lineRule="exact"/>
              <w:jc w:val="left"/>
              <w:rPr>
                <w:rFonts w:ascii="宋体"/>
              </w:rPr>
            </w:pPr>
            <w:r>
              <w:rPr>
                <w:rFonts w:hint="eastAsia" w:ascii="宋体"/>
              </w:rPr>
              <w:t>1.造成碍航、阻航事件持续4小时以下的；</w:t>
            </w:r>
          </w:p>
          <w:p w14:paraId="6AF5F5AC">
            <w:pPr>
              <w:tabs>
                <w:tab w:val="left" w:pos="312"/>
              </w:tabs>
              <w:spacing w:line="240" w:lineRule="exact"/>
              <w:jc w:val="left"/>
              <w:rPr>
                <w:rFonts w:ascii="宋体"/>
              </w:rPr>
            </w:pPr>
            <w:r>
              <w:rPr>
                <w:rFonts w:hint="eastAsia" w:ascii="宋体"/>
              </w:rPr>
              <w:t>2.造成小事故或险情的；</w:t>
            </w:r>
          </w:p>
          <w:p w14:paraId="18B175D5">
            <w:pPr>
              <w:spacing w:line="240" w:lineRule="exact"/>
              <w:jc w:val="left"/>
              <w:rPr>
                <w:rFonts w:ascii="宋体"/>
                <w:kern w:val="0"/>
              </w:rPr>
            </w:pPr>
            <w:r>
              <w:rPr>
                <w:rFonts w:hint="eastAsia" w:ascii="宋体"/>
                <w:kern w:val="0"/>
              </w:rPr>
              <w:t>3.具有其他较重情节的。</w:t>
            </w:r>
          </w:p>
        </w:tc>
        <w:tc>
          <w:tcPr>
            <w:tcW w:w="6743" w:type="dxa"/>
            <w:tcBorders>
              <w:top w:val="single" w:color="auto" w:sz="4" w:space="0"/>
            </w:tcBorders>
            <w:vAlign w:val="center"/>
          </w:tcPr>
          <w:p w14:paraId="4582A593">
            <w:pPr>
              <w:spacing w:line="240" w:lineRule="exact"/>
              <w:jc w:val="center"/>
              <w:rPr>
                <w:rFonts w:ascii="宋体"/>
                <w:kern w:val="0"/>
              </w:rPr>
            </w:pPr>
            <w:r>
              <w:rPr>
                <w:rFonts w:hint="eastAsia" w:ascii="宋体"/>
                <w:kern w:val="0"/>
              </w:rPr>
              <w:t>2-2.5万元</w:t>
            </w:r>
          </w:p>
        </w:tc>
        <w:tc>
          <w:tcPr>
            <w:tcW w:w="2340" w:type="dxa"/>
            <w:tcBorders>
              <w:top w:val="single" w:color="auto" w:sz="4" w:space="0"/>
            </w:tcBorders>
            <w:vAlign w:val="center"/>
          </w:tcPr>
          <w:p w14:paraId="0752C000">
            <w:pPr>
              <w:spacing w:line="240" w:lineRule="exact"/>
              <w:jc w:val="center"/>
              <w:rPr>
                <w:rFonts w:ascii="宋体"/>
                <w:kern w:val="0"/>
              </w:rPr>
            </w:pPr>
            <w:r>
              <w:rPr>
                <w:rFonts w:hint="eastAsia" w:ascii="宋体"/>
                <w:kern w:val="0"/>
              </w:rPr>
              <w:t>8000元-1万元</w:t>
            </w:r>
          </w:p>
        </w:tc>
        <w:tc>
          <w:tcPr>
            <w:tcW w:w="3110" w:type="dxa"/>
            <w:tcBorders>
              <w:top w:val="single" w:color="auto" w:sz="4" w:space="0"/>
              <w:bottom w:val="single" w:color="auto" w:sz="4" w:space="0"/>
            </w:tcBorders>
            <w:vAlign w:val="center"/>
          </w:tcPr>
          <w:p w14:paraId="6AFF2664">
            <w:pPr>
              <w:spacing w:line="240" w:lineRule="exact"/>
              <w:jc w:val="center"/>
              <w:rPr>
                <w:rFonts w:ascii="宋体"/>
                <w:kern w:val="0"/>
              </w:rPr>
            </w:pPr>
            <w:r>
              <w:rPr>
                <w:rFonts w:hint="eastAsia" w:ascii="宋体"/>
                <w:kern w:val="0"/>
              </w:rPr>
              <w:t>6000-8000元</w:t>
            </w:r>
          </w:p>
        </w:tc>
      </w:tr>
      <w:tr w14:paraId="0501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2" w:hRule="atLeast"/>
        </w:trPr>
        <w:tc>
          <w:tcPr>
            <w:tcW w:w="959" w:type="dxa"/>
            <w:vMerge w:val="continue"/>
            <w:vAlign w:val="center"/>
          </w:tcPr>
          <w:p w14:paraId="7D685B5A">
            <w:pPr>
              <w:spacing w:line="240" w:lineRule="exact"/>
              <w:jc w:val="left"/>
              <w:rPr>
                <w:rFonts w:ascii="宋体"/>
                <w:kern w:val="0"/>
              </w:rPr>
            </w:pPr>
          </w:p>
        </w:tc>
        <w:tc>
          <w:tcPr>
            <w:tcW w:w="1164" w:type="dxa"/>
            <w:vMerge w:val="continue"/>
            <w:vAlign w:val="center"/>
          </w:tcPr>
          <w:p w14:paraId="7A47E608">
            <w:pPr>
              <w:spacing w:line="240" w:lineRule="exact"/>
              <w:jc w:val="left"/>
              <w:rPr>
                <w:rFonts w:ascii="宋体"/>
                <w:kern w:val="0"/>
              </w:rPr>
            </w:pPr>
          </w:p>
        </w:tc>
        <w:tc>
          <w:tcPr>
            <w:tcW w:w="1920" w:type="dxa"/>
            <w:vMerge w:val="continue"/>
            <w:vAlign w:val="center"/>
          </w:tcPr>
          <w:p w14:paraId="6C6EC719">
            <w:pPr>
              <w:spacing w:line="240" w:lineRule="exact"/>
              <w:jc w:val="left"/>
              <w:rPr>
                <w:rFonts w:ascii="宋体"/>
                <w:kern w:val="0"/>
              </w:rPr>
            </w:pPr>
          </w:p>
        </w:tc>
        <w:tc>
          <w:tcPr>
            <w:tcW w:w="966" w:type="dxa"/>
            <w:vMerge w:val="continue"/>
            <w:vAlign w:val="center"/>
          </w:tcPr>
          <w:p w14:paraId="76862AE3">
            <w:pPr>
              <w:spacing w:line="240" w:lineRule="exact"/>
              <w:jc w:val="left"/>
              <w:rPr>
                <w:rFonts w:ascii="宋体"/>
                <w:kern w:val="0"/>
              </w:rPr>
            </w:pPr>
          </w:p>
        </w:tc>
        <w:tc>
          <w:tcPr>
            <w:tcW w:w="2506" w:type="dxa"/>
            <w:gridSpan w:val="2"/>
            <w:tcBorders>
              <w:top w:val="single" w:color="auto" w:sz="4" w:space="0"/>
              <w:bottom w:val="single" w:color="auto" w:sz="4" w:space="0"/>
            </w:tcBorders>
            <w:vAlign w:val="center"/>
          </w:tcPr>
          <w:p w14:paraId="7F98131D">
            <w:pPr>
              <w:spacing w:line="240" w:lineRule="exact"/>
              <w:jc w:val="left"/>
              <w:rPr>
                <w:rFonts w:ascii="宋体"/>
                <w:kern w:val="0"/>
              </w:rPr>
            </w:pPr>
            <w:r>
              <w:rPr>
                <w:rFonts w:hint="eastAsia" w:ascii="宋体"/>
              </w:rPr>
              <w:t>1.造成碍航、阻航事件持续时间超过4小时的；</w:t>
            </w:r>
          </w:p>
          <w:p w14:paraId="5342F677">
            <w:pPr>
              <w:spacing w:line="240" w:lineRule="exact"/>
              <w:jc w:val="left"/>
              <w:rPr>
                <w:rFonts w:ascii="宋体"/>
                <w:kern w:val="0"/>
              </w:rPr>
            </w:pPr>
            <w:r>
              <w:rPr>
                <w:rFonts w:hint="eastAsia" w:ascii="宋体"/>
                <w:kern w:val="0"/>
              </w:rPr>
              <w:t>2.造成一般等级以上事故的。</w:t>
            </w:r>
          </w:p>
          <w:p w14:paraId="4C58028D">
            <w:pPr>
              <w:spacing w:line="240" w:lineRule="exact"/>
              <w:jc w:val="left"/>
              <w:rPr>
                <w:rFonts w:ascii="宋体"/>
                <w:kern w:val="0"/>
              </w:rPr>
            </w:pPr>
            <w:r>
              <w:rPr>
                <w:rFonts w:hint="eastAsia" w:ascii="宋体"/>
                <w:kern w:val="0"/>
              </w:rPr>
              <w:t>3.具有其他严重情形的。</w:t>
            </w:r>
          </w:p>
        </w:tc>
        <w:tc>
          <w:tcPr>
            <w:tcW w:w="6743" w:type="dxa"/>
            <w:tcBorders>
              <w:top w:val="single" w:color="auto" w:sz="4" w:space="0"/>
              <w:bottom w:val="single" w:color="auto" w:sz="4" w:space="0"/>
            </w:tcBorders>
            <w:vAlign w:val="center"/>
          </w:tcPr>
          <w:p w14:paraId="01F094C6">
            <w:pPr>
              <w:spacing w:line="240" w:lineRule="exact"/>
              <w:jc w:val="center"/>
              <w:rPr>
                <w:rFonts w:ascii="宋体"/>
                <w:kern w:val="0"/>
              </w:rPr>
            </w:pPr>
            <w:r>
              <w:rPr>
                <w:rFonts w:hint="eastAsia" w:ascii="宋体"/>
                <w:kern w:val="0"/>
              </w:rPr>
              <w:t>2-3万元</w:t>
            </w:r>
          </w:p>
        </w:tc>
        <w:tc>
          <w:tcPr>
            <w:tcW w:w="2340" w:type="dxa"/>
            <w:tcBorders>
              <w:top w:val="single" w:color="auto" w:sz="4" w:space="0"/>
              <w:bottom w:val="single" w:color="auto" w:sz="4" w:space="0"/>
            </w:tcBorders>
            <w:vAlign w:val="center"/>
          </w:tcPr>
          <w:p w14:paraId="6A9E0FAD">
            <w:pPr>
              <w:spacing w:line="240" w:lineRule="exact"/>
              <w:jc w:val="center"/>
              <w:rPr>
                <w:rFonts w:ascii="宋体"/>
                <w:kern w:val="0"/>
              </w:rPr>
            </w:pPr>
            <w:r>
              <w:rPr>
                <w:rFonts w:hint="eastAsia" w:ascii="宋体"/>
                <w:kern w:val="0"/>
              </w:rPr>
              <w:t>1-2万元</w:t>
            </w:r>
          </w:p>
        </w:tc>
        <w:tc>
          <w:tcPr>
            <w:tcW w:w="3110" w:type="dxa"/>
            <w:tcBorders>
              <w:top w:val="single" w:color="auto" w:sz="4" w:space="0"/>
              <w:bottom w:val="single" w:color="auto" w:sz="4" w:space="0"/>
            </w:tcBorders>
            <w:vAlign w:val="center"/>
          </w:tcPr>
          <w:p w14:paraId="5556228A">
            <w:pPr>
              <w:spacing w:line="240" w:lineRule="exact"/>
              <w:jc w:val="center"/>
              <w:rPr>
                <w:rFonts w:ascii="宋体"/>
                <w:kern w:val="0"/>
              </w:rPr>
            </w:pPr>
            <w:r>
              <w:rPr>
                <w:rFonts w:hint="eastAsia" w:ascii="宋体"/>
                <w:kern w:val="0"/>
              </w:rPr>
              <w:t>8000元-2万元</w:t>
            </w:r>
          </w:p>
        </w:tc>
      </w:tr>
    </w:tbl>
    <w:p w14:paraId="6AB45E94">
      <w:pPr>
        <w:widowControl/>
        <w:jc w:val="lef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9"/>
        <w:gridCol w:w="2061"/>
        <w:gridCol w:w="2919"/>
        <w:gridCol w:w="1192"/>
        <w:gridCol w:w="5670"/>
        <w:gridCol w:w="6936"/>
      </w:tblGrid>
      <w:tr w14:paraId="4E304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449" w:type="dxa"/>
            <w:vMerge w:val="restart"/>
            <w:vAlign w:val="center"/>
          </w:tcPr>
          <w:p w14:paraId="0F417AC6">
            <w:pPr>
              <w:jc w:val="center"/>
              <w:rPr>
                <w:rFonts w:ascii="宋体"/>
                <w:b/>
              </w:rPr>
            </w:pPr>
            <w:r>
              <w:rPr>
                <w:rFonts w:hint="eastAsia" w:ascii="宋体"/>
                <w:b/>
              </w:rPr>
              <w:t>案由30</w:t>
            </w:r>
          </w:p>
        </w:tc>
        <w:tc>
          <w:tcPr>
            <w:tcW w:w="4980" w:type="dxa"/>
            <w:gridSpan w:val="2"/>
            <w:vAlign w:val="center"/>
          </w:tcPr>
          <w:p w14:paraId="5C8ABB22">
            <w:pPr>
              <w:jc w:val="center"/>
              <w:rPr>
                <w:rFonts w:ascii="宋体"/>
                <w:b/>
              </w:rPr>
            </w:pPr>
            <w:r>
              <w:rPr>
                <w:rFonts w:hint="eastAsia" w:ascii="宋体"/>
                <w:b/>
              </w:rPr>
              <w:t>法律依据</w:t>
            </w:r>
          </w:p>
        </w:tc>
        <w:tc>
          <w:tcPr>
            <w:tcW w:w="1192" w:type="dxa"/>
            <w:vMerge w:val="restart"/>
            <w:vAlign w:val="center"/>
          </w:tcPr>
          <w:p w14:paraId="38D056F7">
            <w:pPr>
              <w:jc w:val="center"/>
              <w:rPr>
                <w:rFonts w:ascii="宋体"/>
                <w:b/>
              </w:rPr>
            </w:pPr>
            <w:r>
              <w:rPr>
                <w:rFonts w:hint="eastAsia" w:ascii="宋体"/>
                <w:b/>
              </w:rPr>
              <w:t>违法情节</w:t>
            </w:r>
          </w:p>
        </w:tc>
        <w:tc>
          <w:tcPr>
            <w:tcW w:w="5670" w:type="dxa"/>
            <w:vMerge w:val="restart"/>
            <w:vAlign w:val="center"/>
          </w:tcPr>
          <w:p w14:paraId="0F0C433A">
            <w:pPr>
              <w:jc w:val="center"/>
              <w:rPr>
                <w:rFonts w:ascii="宋体"/>
                <w:b/>
              </w:rPr>
            </w:pPr>
            <w:r>
              <w:rPr>
                <w:rFonts w:hint="eastAsia" w:ascii="宋体"/>
                <w:b/>
              </w:rPr>
              <w:t>主要考虑因素（事实、性质、情节、危害程度和实际后果等）</w:t>
            </w:r>
          </w:p>
        </w:tc>
        <w:tc>
          <w:tcPr>
            <w:tcW w:w="6936" w:type="dxa"/>
            <w:tcBorders>
              <w:bottom w:val="single" w:color="auto" w:sz="4" w:space="0"/>
              <w:right w:val="single" w:color="auto" w:sz="4" w:space="0"/>
            </w:tcBorders>
            <w:vAlign w:val="center"/>
          </w:tcPr>
          <w:p w14:paraId="1B1E4B69">
            <w:pPr>
              <w:jc w:val="left"/>
              <w:rPr>
                <w:rFonts w:ascii="宋体"/>
                <w:b/>
              </w:rPr>
            </w:pPr>
            <w:r>
              <w:rPr>
                <w:rFonts w:hint="eastAsia" w:ascii="宋体"/>
                <w:b/>
              </w:rPr>
              <w:t>【法定幅度和种类】</w:t>
            </w:r>
            <w:r>
              <w:rPr>
                <w:rFonts w:hint="eastAsia" w:ascii="宋体"/>
                <w:bCs/>
              </w:rPr>
              <w:t>由海事管理机构责令改正，处二万元以上二十万元以下的罚款；逾期未改正的，海事管理机构有权依法实施代履行，代履行的费用由碍航物的所有人、经营人或者管理人承担。</w:t>
            </w:r>
          </w:p>
        </w:tc>
      </w:tr>
      <w:tr w14:paraId="0899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1449" w:type="dxa"/>
            <w:vMerge w:val="continue"/>
            <w:vAlign w:val="center"/>
          </w:tcPr>
          <w:p w14:paraId="4605DF9D">
            <w:pPr>
              <w:jc w:val="center"/>
              <w:rPr>
                <w:rFonts w:ascii="宋体"/>
                <w:b/>
              </w:rPr>
            </w:pPr>
          </w:p>
        </w:tc>
        <w:tc>
          <w:tcPr>
            <w:tcW w:w="2061" w:type="dxa"/>
            <w:tcBorders>
              <w:bottom w:val="single" w:color="000000" w:sz="4" w:space="0"/>
            </w:tcBorders>
            <w:vAlign w:val="center"/>
          </w:tcPr>
          <w:p w14:paraId="294950F9">
            <w:pPr>
              <w:jc w:val="center"/>
              <w:rPr>
                <w:rFonts w:ascii="宋体"/>
                <w:b/>
              </w:rPr>
            </w:pPr>
            <w:r>
              <w:rPr>
                <w:rFonts w:hint="eastAsia" w:ascii="宋体"/>
                <w:b/>
              </w:rPr>
              <w:t>违反条款</w:t>
            </w:r>
          </w:p>
        </w:tc>
        <w:tc>
          <w:tcPr>
            <w:tcW w:w="2919" w:type="dxa"/>
            <w:tcBorders>
              <w:bottom w:val="single" w:color="000000" w:sz="4" w:space="0"/>
            </w:tcBorders>
            <w:vAlign w:val="center"/>
          </w:tcPr>
          <w:p w14:paraId="62441ABD">
            <w:pPr>
              <w:jc w:val="center"/>
              <w:rPr>
                <w:rFonts w:ascii="宋体"/>
                <w:b/>
              </w:rPr>
            </w:pPr>
            <w:r>
              <w:rPr>
                <w:rFonts w:hint="eastAsia" w:ascii="宋体"/>
                <w:b/>
              </w:rPr>
              <w:t>处罚依据</w:t>
            </w:r>
          </w:p>
        </w:tc>
        <w:tc>
          <w:tcPr>
            <w:tcW w:w="1192" w:type="dxa"/>
            <w:vMerge w:val="continue"/>
            <w:tcBorders>
              <w:bottom w:val="single" w:color="000000" w:sz="4" w:space="0"/>
            </w:tcBorders>
            <w:vAlign w:val="center"/>
          </w:tcPr>
          <w:p w14:paraId="0EABE37E">
            <w:pPr>
              <w:jc w:val="center"/>
              <w:rPr>
                <w:rFonts w:ascii="宋体"/>
                <w:b/>
              </w:rPr>
            </w:pPr>
          </w:p>
        </w:tc>
        <w:tc>
          <w:tcPr>
            <w:tcW w:w="5670" w:type="dxa"/>
            <w:vMerge w:val="continue"/>
            <w:tcBorders>
              <w:bottom w:val="single" w:color="000000" w:sz="4" w:space="0"/>
            </w:tcBorders>
            <w:vAlign w:val="center"/>
          </w:tcPr>
          <w:p w14:paraId="42BC8C5D">
            <w:pPr>
              <w:jc w:val="center"/>
              <w:rPr>
                <w:rFonts w:ascii="宋体"/>
                <w:b/>
              </w:rPr>
            </w:pPr>
          </w:p>
        </w:tc>
        <w:tc>
          <w:tcPr>
            <w:tcW w:w="6936" w:type="dxa"/>
            <w:tcBorders>
              <w:top w:val="single" w:color="auto" w:sz="4" w:space="0"/>
              <w:bottom w:val="single" w:color="auto" w:sz="4" w:space="0"/>
              <w:right w:val="single" w:color="auto" w:sz="4" w:space="0"/>
            </w:tcBorders>
            <w:vAlign w:val="center"/>
          </w:tcPr>
          <w:p w14:paraId="05C7CF4E">
            <w:pPr>
              <w:jc w:val="center"/>
              <w:rPr>
                <w:rFonts w:ascii="宋体"/>
                <w:b/>
              </w:rPr>
            </w:pPr>
            <w:r>
              <w:rPr>
                <w:rFonts w:hint="eastAsia" w:ascii="宋体"/>
                <w:b/>
              </w:rPr>
              <w:t>【对象】碍航物的所有人、经营人或者管理人</w:t>
            </w:r>
          </w:p>
        </w:tc>
      </w:tr>
      <w:tr w14:paraId="5F92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449" w:type="dxa"/>
            <w:vMerge w:val="restart"/>
            <w:vAlign w:val="center"/>
          </w:tcPr>
          <w:p w14:paraId="0AA92D32">
            <w:pPr>
              <w:jc w:val="left"/>
              <w:rPr>
                <w:rFonts w:ascii="宋体"/>
              </w:rPr>
            </w:pPr>
            <w:r>
              <w:rPr>
                <w:rFonts w:hint="eastAsia" w:ascii="宋体"/>
                <w:kern w:val="0"/>
              </w:rPr>
              <w:t>未按照有关强制性标准和技术规范的要求及时设置警示标志</w:t>
            </w:r>
          </w:p>
        </w:tc>
        <w:tc>
          <w:tcPr>
            <w:tcW w:w="2061" w:type="dxa"/>
            <w:vMerge w:val="restart"/>
            <w:vAlign w:val="center"/>
          </w:tcPr>
          <w:p w14:paraId="3B17923D">
            <w:pPr>
              <w:jc w:val="left"/>
              <w:rPr>
                <w:rFonts w:ascii="宋体"/>
                <w:kern w:val="0"/>
              </w:rPr>
            </w:pPr>
            <w:r>
              <w:rPr>
                <w:rFonts w:hint="eastAsia" w:ascii="宋体"/>
                <w:kern w:val="0"/>
              </w:rPr>
              <w:t>1. 《中华人民共和国海上交通安全法》第五十一条第一款；</w:t>
            </w:r>
          </w:p>
          <w:p w14:paraId="1351C5DC">
            <w:pPr>
              <w:jc w:val="left"/>
              <w:rPr>
                <w:rFonts w:ascii="宋体"/>
                <w:kern w:val="0"/>
              </w:rPr>
            </w:pPr>
            <w:r>
              <w:rPr>
                <w:rFonts w:hint="eastAsia" w:ascii="宋体"/>
                <w:kern w:val="0"/>
              </w:rPr>
              <w:t>2. 其他法律、法规、规章、强制性标准、技术规范等。</w:t>
            </w:r>
          </w:p>
        </w:tc>
        <w:tc>
          <w:tcPr>
            <w:tcW w:w="2919" w:type="dxa"/>
            <w:vMerge w:val="restart"/>
            <w:vAlign w:val="center"/>
          </w:tcPr>
          <w:p w14:paraId="64B87F04">
            <w:pPr>
              <w:jc w:val="left"/>
              <w:rPr>
                <w:rFonts w:ascii="宋体"/>
              </w:rPr>
            </w:pPr>
            <w:r>
              <w:rPr>
                <w:rFonts w:hint="eastAsia" w:ascii="宋体"/>
              </w:rPr>
              <w:t xml:space="preserve">1. </w:t>
            </w:r>
            <w:r>
              <w:rPr>
                <w:rFonts w:hint="eastAsia" w:ascii="宋体"/>
                <w:kern w:val="0"/>
              </w:rPr>
              <w:t>《中华人民共和国海上交通安全法》第一百零六条第（一）项、《中华人民共和国海上海事行政处罚规定》第二十六条第（一）项。</w:t>
            </w:r>
          </w:p>
          <w:p w14:paraId="594F652F">
            <w:pPr>
              <w:jc w:val="left"/>
              <w:rPr>
                <w:rFonts w:ascii="宋体"/>
                <w:kern w:val="0"/>
              </w:rPr>
            </w:pPr>
            <w:r>
              <w:rPr>
                <w:rFonts w:hint="eastAsia" w:ascii="宋体"/>
                <w:kern w:val="0"/>
              </w:rPr>
              <w:t>2. 《中华人民共和国海上海事行政处罚规定》第七条。</w:t>
            </w:r>
          </w:p>
        </w:tc>
        <w:tc>
          <w:tcPr>
            <w:tcW w:w="1192" w:type="dxa"/>
            <w:vAlign w:val="center"/>
          </w:tcPr>
          <w:p w14:paraId="01D62787">
            <w:pPr>
              <w:jc w:val="center"/>
              <w:rPr>
                <w:rFonts w:ascii="宋体"/>
              </w:rPr>
            </w:pPr>
            <w:r>
              <w:rPr>
                <w:rFonts w:hint="eastAsia" w:ascii="宋体"/>
              </w:rPr>
              <w:t>从轻</w:t>
            </w:r>
          </w:p>
        </w:tc>
        <w:tc>
          <w:tcPr>
            <w:tcW w:w="5670" w:type="dxa"/>
            <w:vAlign w:val="center"/>
          </w:tcPr>
          <w:p w14:paraId="42F80F18">
            <w:pPr>
              <w:widowControl/>
              <w:jc w:val="left"/>
              <w:rPr>
                <w:rFonts w:ascii="宋体"/>
              </w:rPr>
            </w:pPr>
            <w:r>
              <w:rPr>
                <w:rFonts w:hint="eastAsia" w:ascii="宋体"/>
              </w:rPr>
              <w:t>具有法定从轻处罚情节的</w:t>
            </w:r>
          </w:p>
        </w:tc>
        <w:tc>
          <w:tcPr>
            <w:tcW w:w="6936" w:type="dxa"/>
            <w:tcBorders>
              <w:right w:val="single" w:color="auto" w:sz="4" w:space="0"/>
            </w:tcBorders>
            <w:vAlign w:val="center"/>
          </w:tcPr>
          <w:p w14:paraId="257D29AA">
            <w:pPr>
              <w:jc w:val="center"/>
              <w:rPr>
                <w:rFonts w:ascii="宋体"/>
              </w:rPr>
            </w:pPr>
            <w:r>
              <w:rPr>
                <w:rFonts w:hint="eastAsia" w:ascii="宋体"/>
              </w:rPr>
              <w:t>2-3万元</w:t>
            </w:r>
          </w:p>
        </w:tc>
      </w:tr>
      <w:tr w14:paraId="3BDA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449" w:type="dxa"/>
            <w:vMerge w:val="continue"/>
            <w:vAlign w:val="center"/>
          </w:tcPr>
          <w:p w14:paraId="0FA5EAE8">
            <w:pPr>
              <w:jc w:val="left"/>
              <w:rPr>
                <w:rFonts w:ascii="宋体"/>
              </w:rPr>
            </w:pPr>
          </w:p>
        </w:tc>
        <w:tc>
          <w:tcPr>
            <w:tcW w:w="2061" w:type="dxa"/>
            <w:vMerge w:val="continue"/>
            <w:vAlign w:val="center"/>
          </w:tcPr>
          <w:p w14:paraId="4AD02645">
            <w:pPr>
              <w:widowControl/>
              <w:jc w:val="left"/>
              <w:rPr>
                <w:rFonts w:ascii="宋体"/>
              </w:rPr>
            </w:pPr>
          </w:p>
        </w:tc>
        <w:tc>
          <w:tcPr>
            <w:tcW w:w="2919" w:type="dxa"/>
            <w:vMerge w:val="continue"/>
            <w:vAlign w:val="center"/>
          </w:tcPr>
          <w:p w14:paraId="5DBCB58F">
            <w:pPr>
              <w:jc w:val="left"/>
              <w:rPr>
                <w:rFonts w:ascii="宋体"/>
              </w:rPr>
            </w:pPr>
          </w:p>
        </w:tc>
        <w:tc>
          <w:tcPr>
            <w:tcW w:w="1192" w:type="dxa"/>
            <w:vMerge w:val="restart"/>
            <w:vAlign w:val="center"/>
          </w:tcPr>
          <w:p w14:paraId="05B2EE01">
            <w:pPr>
              <w:jc w:val="center"/>
              <w:rPr>
                <w:rFonts w:ascii="宋体"/>
              </w:rPr>
            </w:pPr>
            <w:r>
              <w:rPr>
                <w:rFonts w:hint="eastAsia" w:ascii="宋体"/>
              </w:rPr>
              <w:t>一般</w:t>
            </w:r>
          </w:p>
        </w:tc>
        <w:tc>
          <w:tcPr>
            <w:tcW w:w="5670" w:type="dxa"/>
            <w:vAlign w:val="center"/>
          </w:tcPr>
          <w:p w14:paraId="5F863BE8">
            <w:pPr>
              <w:jc w:val="left"/>
              <w:rPr>
                <w:rFonts w:ascii="宋体"/>
              </w:rPr>
            </w:pPr>
            <w:r>
              <w:rPr>
                <w:rFonts w:hint="eastAsia" w:ascii="宋体"/>
                <w:kern w:val="0"/>
              </w:rPr>
              <w:t>设置的警示标志不符合有关强制性标准和技术规范的要求</w:t>
            </w:r>
          </w:p>
        </w:tc>
        <w:tc>
          <w:tcPr>
            <w:tcW w:w="6936" w:type="dxa"/>
            <w:tcBorders>
              <w:right w:val="single" w:color="auto" w:sz="4" w:space="0"/>
            </w:tcBorders>
            <w:vAlign w:val="center"/>
          </w:tcPr>
          <w:p w14:paraId="28F3107D">
            <w:pPr>
              <w:jc w:val="center"/>
              <w:rPr>
                <w:rFonts w:ascii="宋体"/>
              </w:rPr>
            </w:pPr>
            <w:r>
              <w:rPr>
                <w:rFonts w:hint="eastAsia" w:ascii="宋体"/>
              </w:rPr>
              <w:t>3-4万元</w:t>
            </w:r>
          </w:p>
        </w:tc>
      </w:tr>
      <w:tr w14:paraId="5083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49" w:type="dxa"/>
            <w:vMerge w:val="continue"/>
            <w:vAlign w:val="center"/>
          </w:tcPr>
          <w:p w14:paraId="6BF41E46">
            <w:pPr>
              <w:jc w:val="left"/>
              <w:rPr>
                <w:rFonts w:ascii="宋体"/>
              </w:rPr>
            </w:pPr>
          </w:p>
        </w:tc>
        <w:tc>
          <w:tcPr>
            <w:tcW w:w="2061" w:type="dxa"/>
            <w:vMerge w:val="continue"/>
            <w:vAlign w:val="center"/>
          </w:tcPr>
          <w:p w14:paraId="6EB2A5F9">
            <w:pPr>
              <w:widowControl/>
              <w:jc w:val="left"/>
              <w:rPr>
                <w:rFonts w:ascii="宋体"/>
              </w:rPr>
            </w:pPr>
          </w:p>
        </w:tc>
        <w:tc>
          <w:tcPr>
            <w:tcW w:w="2919" w:type="dxa"/>
            <w:vMerge w:val="continue"/>
            <w:vAlign w:val="center"/>
          </w:tcPr>
          <w:p w14:paraId="6BB43072">
            <w:pPr>
              <w:jc w:val="left"/>
              <w:rPr>
                <w:rFonts w:ascii="宋体"/>
              </w:rPr>
            </w:pPr>
          </w:p>
        </w:tc>
        <w:tc>
          <w:tcPr>
            <w:tcW w:w="1192" w:type="dxa"/>
            <w:vMerge w:val="continue"/>
            <w:vAlign w:val="center"/>
          </w:tcPr>
          <w:p w14:paraId="4FC6B5E2">
            <w:pPr>
              <w:jc w:val="center"/>
              <w:rPr>
                <w:rFonts w:ascii="宋体"/>
              </w:rPr>
            </w:pPr>
          </w:p>
        </w:tc>
        <w:tc>
          <w:tcPr>
            <w:tcW w:w="5670" w:type="dxa"/>
            <w:vAlign w:val="center"/>
          </w:tcPr>
          <w:p w14:paraId="1BF65A07">
            <w:pPr>
              <w:jc w:val="left"/>
              <w:rPr>
                <w:rFonts w:ascii="宋体"/>
                <w:kern w:val="0"/>
              </w:rPr>
            </w:pPr>
            <w:r>
              <w:rPr>
                <w:rFonts w:hint="eastAsia" w:ascii="宋体"/>
                <w:kern w:val="0"/>
              </w:rPr>
              <w:t>未及时设置警示标志</w:t>
            </w:r>
          </w:p>
        </w:tc>
        <w:tc>
          <w:tcPr>
            <w:tcW w:w="6936" w:type="dxa"/>
            <w:tcBorders>
              <w:right w:val="single" w:color="auto" w:sz="4" w:space="0"/>
            </w:tcBorders>
            <w:vAlign w:val="center"/>
          </w:tcPr>
          <w:p w14:paraId="5194A3FD">
            <w:pPr>
              <w:jc w:val="center"/>
              <w:rPr>
                <w:rFonts w:ascii="宋体"/>
              </w:rPr>
            </w:pPr>
            <w:r>
              <w:rPr>
                <w:rFonts w:hint="eastAsia" w:ascii="宋体"/>
              </w:rPr>
              <w:t>4-4.5万元</w:t>
            </w:r>
          </w:p>
        </w:tc>
      </w:tr>
      <w:tr w14:paraId="64943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449" w:type="dxa"/>
            <w:vMerge w:val="continue"/>
            <w:vAlign w:val="center"/>
          </w:tcPr>
          <w:p w14:paraId="213541A4">
            <w:pPr>
              <w:jc w:val="left"/>
              <w:rPr>
                <w:rFonts w:ascii="宋体"/>
              </w:rPr>
            </w:pPr>
          </w:p>
        </w:tc>
        <w:tc>
          <w:tcPr>
            <w:tcW w:w="2061" w:type="dxa"/>
            <w:vMerge w:val="continue"/>
            <w:vAlign w:val="center"/>
          </w:tcPr>
          <w:p w14:paraId="3502C6D6">
            <w:pPr>
              <w:widowControl/>
              <w:jc w:val="left"/>
              <w:rPr>
                <w:rFonts w:ascii="宋体"/>
              </w:rPr>
            </w:pPr>
          </w:p>
        </w:tc>
        <w:tc>
          <w:tcPr>
            <w:tcW w:w="2919" w:type="dxa"/>
            <w:vMerge w:val="continue"/>
            <w:vAlign w:val="center"/>
          </w:tcPr>
          <w:p w14:paraId="56B0C211">
            <w:pPr>
              <w:jc w:val="left"/>
              <w:rPr>
                <w:rFonts w:ascii="宋体"/>
              </w:rPr>
            </w:pPr>
          </w:p>
        </w:tc>
        <w:tc>
          <w:tcPr>
            <w:tcW w:w="1192" w:type="dxa"/>
            <w:vMerge w:val="continue"/>
            <w:vAlign w:val="center"/>
          </w:tcPr>
          <w:p w14:paraId="55362967">
            <w:pPr>
              <w:jc w:val="center"/>
              <w:rPr>
                <w:rFonts w:ascii="宋体"/>
              </w:rPr>
            </w:pPr>
          </w:p>
        </w:tc>
        <w:tc>
          <w:tcPr>
            <w:tcW w:w="5670" w:type="dxa"/>
            <w:vAlign w:val="center"/>
          </w:tcPr>
          <w:p w14:paraId="4AC3E9E7">
            <w:pPr>
              <w:jc w:val="left"/>
              <w:rPr>
                <w:rFonts w:ascii="宋体"/>
                <w:kern w:val="0"/>
              </w:rPr>
            </w:pPr>
            <w:r>
              <w:rPr>
                <w:rFonts w:hint="eastAsia" w:ascii="宋体"/>
                <w:kern w:val="0"/>
              </w:rPr>
              <w:t>未在责令改正或者催告期限内设置警示标志</w:t>
            </w:r>
          </w:p>
        </w:tc>
        <w:tc>
          <w:tcPr>
            <w:tcW w:w="6936" w:type="dxa"/>
            <w:tcBorders>
              <w:right w:val="single" w:color="auto" w:sz="4" w:space="0"/>
            </w:tcBorders>
            <w:vAlign w:val="center"/>
          </w:tcPr>
          <w:p w14:paraId="79A012B1">
            <w:pPr>
              <w:jc w:val="center"/>
              <w:rPr>
                <w:rFonts w:ascii="宋体"/>
              </w:rPr>
            </w:pPr>
            <w:r>
              <w:rPr>
                <w:rFonts w:hint="eastAsia" w:ascii="宋体"/>
              </w:rPr>
              <w:t>4.5-5万元</w:t>
            </w:r>
          </w:p>
        </w:tc>
      </w:tr>
      <w:tr w14:paraId="3979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449" w:type="dxa"/>
            <w:vMerge w:val="continue"/>
            <w:vAlign w:val="center"/>
          </w:tcPr>
          <w:p w14:paraId="4728F98D">
            <w:pPr>
              <w:jc w:val="left"/>
              <w:rPr>
                <w:rFonts w:ascii="宋体"/>
              </w:rPr>
            </w:pPr>
          </w:p>
        </w:tc>
        <w:tc>
          <w:tcPr>
            <w:tcW w:w="2061" w:type="dxa"/>
            <w:vMerge w:val="continue"/>
            <w:vAlign w:val="center"/>
          </w:tcPr>
          <w:p w14:paraId="16ADC4E7">
            <w:pPr>
              <w:jc w:val="left"/>
              <w:rPr>
                <w:rFonts w:ascii="宋体"/>
              </w:rPr>
            </w:pPr>
          </w:p>
        </w:tc>
        <w:tc>
          <w:tcPr>
            <w:tcW w:w="2919" w:type="dxa"/>
            <w:vMerge w:val="continue"/>
            <w:vAlign w:val="center"/>
          </w:tcPr>
          <w:p w14:paraId="59E7CA8E">
            <w:pPr>
              <w:jc w:val="left"/>
              <w:rPr>
                <w:rFonts w:ascii="宋体"/>
              </w:rPr>
            </w:pPr>
          </w:p>
        </w:tc>
        <w:tc>
          <w:tcPr>
            <w:tcW w:w="1192" w:type="dxa"/>
            <w:vMerge w:val="continue"/>
            <w:vAlign w:val="center"/>
          </w:tcPr>
          <w:p w14:paraId="1EF91A33">
            <w:pPr>
              <w:jc w:val="center"/>
              <w:rPr>
                <w:rFonts w:ascii="宋体"/>
              </w:rPr>
            </w:pPr>
          </w:p>
        </w:tc>
        <w:tc>
          <w:tcPr>
            <w:tcW w:w="5670" w:type="dxa"/>
            <w:tcBorders>
              <w:top w:val="single" w:color="auto" w:sz="4" w:space="0"/>
              <w:bottom w:val="single" w:color="auto" w:sz="4" w:space="0"/>
            </w:tcBorders>
            <w:vAlign w:val="center"/>
          </w:tcPr>
          <w:p w14:paraId="087D1717">
            <w:pPr>
              <w:jc w:val="left"/>
              <w:rPr>
                <w:rFonts w:ascii="宋体"/>
              </w:rPr>
            </w:pPr>
            <w:r>
              <w:rPr>
                <w:rFonts w:hint="eastAsia" w:ascii="宋体"/>
              </w:rPr>
              <w:t>具有其他较重情节的</w:t>
            </w:r>
          </w:p>
        </w:tc>
        <w:tc>
          <w:tcPr>
            <w:tcW w:w="6936" w:type="dxa"/>
            <w:tcBorders>
              <w:top w:val="single" w:color="auto" w:sz="4" w:space="0"/>
              <w:bottom w:val="single" w:color="auto" w:sz="4" w:space="0"/>
              <w:right w:val="single" w:color="auto" w:sz="4" w:space="0"/>
            </w:tcBorders>
            <w:vAlign w:val="center"/>
          </w:tcPr>
          <w:p w14:paraId="129F4823">
            <w:pPr>
              <w:jc w:val="center"/>
              <w:rPr>
                <w:rFonts w:ascii="宋体"/>
              </w:rPr>
            </w:pPr>
            <w:r>
              <w:rPr>
                <w:rFonts w:hint="eastAsia" w:ascii="宋体"/>
              </w:rPr>
              <w:t>5-10万元</w:t>
            </w:r>
          </w:p>
        </w:tc>
      </w:tr>
      <w:tr w14:paraId="7335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449" w:type="dxa"/>
            <w:vMerge w:val="continue"/>
            <w:vAlign w:val="center"/>
          </w:tcPr>
          <w:p w14:paraId="7519D5E1">
            <w:pPr>
              <w:jc w:val="left"/>
              <w:rPr>
                <w:rFonts w:ascii="宋体"/>
              </w:rPr>
            </w:pPr>
          </w:p>
        </w:tc>
        <w:tc>
          <w:tcPr>
            <w:tcW w:w="2061" w:type="dxa"/>
            <w:vMerge w:val="continue"/>
            <w:vAlign w:val="center"/>
          </w:tcPr>
          <w:p w14:paraId="252F8BD6">
            <w:pPr>
              <w:jc w:val="left"/>
              <w:rPr>
                <w:rFonts w:ascii="宋体"/>
              </w:rPr>
            </w:pPr>
          </w:p>
        </w:tc>
        <w:tc>
          <w:tcPr>
            <w:tcW w:w="2919" w:type="dxa"/>
            <w:vMerge w:val="continue"/>
            <w:vAlign w:val="center"/>
          </w:tcPr>
          <w:p w14:paraId="5DA67439">
            <w:pPr>
              <w:jc w:val="left"/>
              <w:rPr>
                <w:rFonts w:ascii="宋体"/>
              </w:rPr>
            </w:pPr>
          </w:p>
        </w:tc>
        <w:tc>
          <w:tcPr>
            <w:tcW w:w="1192" w:type="dxa"/>
            <w:vMerge w:val="continue"/>
            <w:vAlign w:val="center"/>
          </w:tcPr>
          <w:p w14:paraId="4C87F085">
            <w:pPr>
              <w:jc w:val="center"/>
              <w:rPr>
                <w:rFonts w:ascii="宋体"/>
              </w:rPr>
            </w:pPr>
          </w:p>
        </w:tc>
        <w:tc>
          <w:tcPr>
            <w:tcW w:w="5670" w:type="dxa"/>
            <w:tcBorders>
              <w:top w:val="single" w:color="auto" w:sz="4" w:space="0"/>
              <w:bottom w:val="single" w:color="auto" w:sz="4" w:space="0"/>
            </w:tcBorders>
            <w:vAlign w:val="center"/>
          </w:tcPr>
          <w:p w14:paraId="5EDF04A8">
            <w:pPr>
              <w:jc w:val="left"/>
              <w:rPr>
                <w:rFonts w:ascii="宋体"/>
              </w:rPr>
            </w:pPr>
            <w:r>
              <w:rPr>
                <w:rFonts w:hint="eastAsia" w:ascii="宋体"/>
              </w:rPr>
              <w:t>造成小事故或险情的</w:t>
            </w:r>
          </w:p>
        </w:tc>
        <w:tc>
          <w:tcPr>
            <w:tcW w:w="6936" w:type="dxa"/>
            <w:tcBorders>
              <w:top w:val="single" w:color="auto" w:sz="4" w:space="0"/>
              <w:bottom w:val="single" w:color="auto" w:sz="4" w:space="0"/>
              <w:right w:val="single" w:color="auto" w:sz="4" w:space="0"/>
            </w:tcBorders>
            <w:vAlign w:val="center"/>
          </w:tcPr>
          <w:p w14:paraId="5C9FE7AA">
            <w:pPr>
              <w:jc w:val="center"/>
              <w:rPr>
                <w:rFonts w:ascii="宋体"/>
              </w:rPr>
            </w:pPr>
            <w:r>
              <w:rPr>
                <w:rFonts w:hint="eastAsia" w:ascii="宋体"/>
              </w:rPr>
              <w:t xml:space="preserve">10-15万元 </w:t>
            </w:r>
          </w:p>
        </w:tc>
      </w:tr>
      <w:tr w14:paraId="3B53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449" w:type="dxa"/>
            <w:vMerge w:val="continue"/>
            <w:vAlign w:val="center"/>
          </w:tcPr>
          <w:p w14:paraId="06778591">
            <w:pPr>
              <w:jc w:val="left"/>
              <w:rPr>
                <w:rFonts w:ascii="宋体"/>
              </w:rPr>
            </w:pPr>
          </w:p>
        </w:tc>
        <w:tc>
          <w:tcPr>
            <w:tcW w:w="2061" w:type="dxa"/>
            <w:vMerge w:val="continue"/>
            <w:vAlign w:val="center"/>
          </w:tcPr>
          <w:p w14:paraId="4CCF64A7">
            <w:pPr>
              <w:jc w:val="left"/>
              <w:rPr>
                <w:rFonts w:ascii="宋体"/>
              </w:rPr>
            </w:pPr>
          </w:p>
        </w:tc>
        <w:tc>
          <w:tcPr>
            <w:tcW w:w="2919" w:type="dxa"/>
            <w:vMerge w:val="continue"/>
            <w:vAlign w:val="center"/>
          </w:tcPr>
          <w:p w14:paraId="694A5A42">
            <w:pPr>
              <w:jc w:val="left"/>
              <w:rPr>
                <w:rFonts w:ascii="宋体"/>
              </w:rPr>
            </w:pPr>
          </w:p>
        </w:tc>
        <w:tc>
          <w:tcPr>
            <w:tcW w:w="1192" w:type="dxa"/>
            <w:vMerge w:val="continue"/>
            <w:vAlign w:val="center"/>
          </w:tcPr>
          <w:p w14:paraId="2BC7426E">
            <w:pPr>
              <w:jc w:val="center"/>
              <w:rPr>
                <w:rFonts w:ascii="宋体"/>
              </w:rPr>
            </w:pPr>
          </w:p>
        </w:tc>
        <w:tc>
          <w:tcPr>
            <w:tcW w:w="5670" w:type="dxa"/>
            <w:tcBorders>
              <w:top w:val="single" w:color="auto" w:sz="4" w:space="0"/>
              <w:bottom w:val="single" w:color="auto" w:sz="4" w:space="0"/>
            </w:tcBorders>
            <w:vAlign w:val="center"/>
          </w:tcPr>
          <w:p w14:paraId="182AD62E">
            <w:pPr>
              <w:jc w:val="left"/>
              <w:rPr>
                <w:rFonts w:ascii="宋体"/>
              </w:rPr>
            </w:pPr>
            <w:r>
              <w:rPr>
                <w:rFonts w:hint="eastAsia" w:ascii="宋体"/>
              </w:rPr>
              <w:t>造成一般等级以上事故的</w:t>
            </w:r>
          </w:p>
        </w:tc>
        <w:tc>
          <w:tcPr>
            <w:tcW w:w="6936" w:type="dxa"/>
            <w:tcBorders>
              <w:top w:val="single" w:color="auto" w:sz="4" w:space="0"/>
              <w:bottom w:val="single" w:color="auto" w:sz="4" w:space="0"/>
              <w:right w:val="single" w:color="auto" w:sz="4" w:space="0"/>
            </w:tcBorders>
            <w:vAlign w:val="center"/>
          </w:tcPr>
          <w:p w14:paraId="0C74CDD0">
            <w:pPr>
              <w:jc w:val="center"/>
              <w:rPr>
                <w:rFonts w:ascii="宋体"/>
              </w:rPr>
            </w:pPr>
            <w:r>
              <w:rPr>
                <w:rFonts w:hint="eastAsia" w:ascii="宋体"/>
              </w:rPr>
              <w:t xml:space="preserve">15-20万元 </w:t>
            </w:r>
          </w:p>
        </w:tc>
      </w:tr>
    </w:tbl>
    <w:p w14:paraId="1B0E17BA">
      <w:pPr>
        <w:spacing w:line="240" w:lineRule="exac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1"/>
        <w:gridCol w:w="2279"/>
        <w:gridCol w:w="2410"/>
        <w:gridCol w:w="1227"/>
        <w:gridCol w:w="5134"/>
        <w:gridCol w:w="7928"/>
      </w:tblGrid>
      <w:tr w14:paraId="0D2C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231" w:type="dxa"/>
            <w:vMerge w:val="restart"/>
            <w:vAlign w:val="center"/>
          </w:tcPr>
          <w:p w14:paraId="601153EB">
            <w:pPr>
              <w:spacing w:line="240" w:lineRule="exact"/>
              <w:jc w:val="center"/>
              <w:rPr>
                <w:rFonts w:ascii="宋体"/>
                <w:b/>
              </w:rPr>
            </w:pPr>
          </w:p>
          <w:p w14:paraId="033644DE">
            <w:pPr>
              <w:spacing w:line="240" w:lineRule="exact"/>
              <w:jc w:val="center"/>
              <w:rPr>
                <w:rFonts w:ascii="宋体"/>
                <w:b/>
              </w:rPr>
            </w:pPr>
            <w:r>
              <w:rPr>
                <w:rFonts w:hint="eastAsia" w:ascii="宋体"/>
                <w:b/>
              </w:rPr>
              <w:t>案由</w:t>
            </w:r>
            <w:r>
              <w:rPr>
                <w:rFonts w:hint="eastAsia" w:ascii="宋体"/>
                <w:b/>
                <w:bCs/>
              </w:rPr>
              <w:t>31</w:t>
            </w:r>
          </w:p>
        </w:tc>
        <w:tc>
          <w:tcPr>
            <w:tcW w:w="4689" w:type="dxa"/>
            <w:gridSpan w:val="2"/>
            <w:vAlign w:val="center"/>
          </w:tcPr>
          <w:p w14:paraId="6C3D0114">
            <w:pPr>
              <w:spacing w:line="240" w:lineRule="exact"/>
              <w:jc w:val="center"/>
              <w:rPr>
                <w:rFonts w:ascii="宋体"/>
                <w:b/>
              </w:rPr>
            </w:pPr>
            <w:r>
              <w:rPr>
                <w:rFonts w:hint="eastAsia" w:ascii="宋体"/>
                <w:b/>
              </w:rPr>
              <w:t>法律依据</w:t>
            </w:r>
          </w:p>
        </w:tc>
        <w:tc>
          <w:tcPr>
            <w:tcW w:w="1227" w:type="dxa"/>
            <w:vMerge w:val="restart"/>
            <w:vAlign w:val="center"/>
          </w:tcPr>
          <w:p w14:paraId="26CFB563">
            <w:pPr>
              <w:spacing w:line="240" w:lineRule="exact"/>
              <w:jc w:val="center"/>
              <w:rPr>
                <w:rFonts w:ascii="宋体"/>
                <w:b/>
              </w:rPr>
            </w:pPr>
            <w:r>
              <w:rPr>
                <w:rFonts w:hint="eastAsia" w:ascii="宋体"/>
                <w:b/>
              </w:rPr>
              <w:t>违法情节</w:t>
            </w:r>
          </w:p>
        </w:tc>
        <w:tc>
          <w:tcPr>
            <w:tcW w:w="5134" w:type="dxa"/>
            <w:vMerge w:val="restart"/>
            <w:vAlign w:val="center"/>
          </w:tcPr>
          <w:p w14:paraId="7961FD96">
            <w:pPr>
              <w:spacing w:line="240" w:lineRule="exact"/>
              <w:jc w:val="center"/>
              <w:rPr>
                <w:rFonts w:ascii="宋体"/>
                <w:b/>
              </w:rPr>
            </w:pPr>
            <w:r>
              <w:rPr>
                <w:rFonts w:hint="eastAsia" w:ascii="宋体"/>
                <w:b/>
              </w:rPr>
              <w:t>主要考虑因素（事实、性质、情节、危害程度和实际后果等）</w:t>
            </w:r>
          </w:p>
        </w:tc>
        <w:tc>
          <w:tcPr>
            <w:tcW w:w="7928" w:type="dxa"/>
            <w:tcBorders>
              <w:bottom w:val="single" w:color="auto" w:sz="4" w:space="0"/>
              <w:right w:val="single" w:color="auto" w:sz="4" w:space="0"/>
            </w:tcBorders>
            <w:vAlign w:val="center"/>
          </w:tcPr>
          <w:p w14:paraId="13A24CCF">
            <w:pPr>
              <w:spacing w:line="240" w:lineRule="exact"/>
              <w:jc w:val="left"/>
              <w:rPr>
                <w:rFonts w:ascii="宋体"/>
                <w:b/>
              </w:rPr>
            </w:pPr>
            <w:r>
              <w:rPr>
                <w:rFonts w:hint="eastAsia" w:ascii="宋体"/>
                <w:b/>
              </w:rPr>
              <w:t>【法定幅度和种类】</w:t>
            </w:r>
            <w:r>
              <w:rPr>
                <w:rFonts w:hint="eastAsia" w:ascii="宋体"/>
                <w:bCs/>
              </w:rPr>
              <w:t>由海事管理机构责令改正，处二万元以上二十万元以下的罚款。</w:t>
            </w:r>
          </w:p>
        </w:tc>
      </w:tr>
      <w:tr w14:paraId="704F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1231" w:type="dxa"/>
            <w:vMerge w:val="continue"/>
            <w:vAlign w:val="center"/>
          </w:tcPr>
          <w:p w14:paraId="7A419297">
            <w:pPr>
              <w:spacing w:line="240" w:lineRule="exact"/>
              <w:jc w:val="center"/>
              <w:rPr>
                <w:rFonts w:ascii="宋体"/>
                <w:b/>
              </w:rPr>
            </w:pPr>
          </w:p>
        </w:tc>
        <w:tc>
          <w:tcPr>
            <w:tcW w:w="2279" w:type="dxa"/>
            <w:tcBorders>
              <w:bottom w:val="single" w:color="000000" w:sz="4" w:space="0"/>
            </w:tcBorders>
            <w:vAlign w:val="center"/>
          </w:tcPr>
          <w:p w14:paraId="760D8AD2">
            <w:pPr>
              <w:spacing w:line="240" w:lineRule="exact"/>
              <w:jc w:val="center"/>
              <w:rPr>
                <w:rFonts w:ascii="宋体"/>
                <w:b/>
              </w:rPr>
            </w:pPr>
            <w:r>
              <w:rPr>
                <w:rFonts w:hint="eastAsia" w:ascii="宋体"/>
                <w:b/>
              </w:rPr>
              <w:t>违反条款</w:t>
            </w:r>
          </w:p>
        </w:tc>
        <w:tc>
          <w:tcPr>
            <w:tcW w:w="2410" w:type="dxa"/>
            <w:tcBorders>
              <w:bottom w:val="single" w:color="000000" w:sz="4" w:space="0"/>
            </w:tcBorders>
            <w:vAlign w:val="center"/>
          </w:tcPr>
          <w:p w14:paraId="3BB962AD">
            <w:pPr>
              <w:spacing w:line="240" w:lineRule="exact"/>
              <w:jc w:val="center"/>
              <w:rPr>
                <w:rFonts w:ascii="宋体"/>
                <w:b/>
              </w:rPr>
            </w:pPr>
            <w:r>
              <w:rPr>
                <w:rFonts w:hint="eastAsia" w:ascii="宋体"/>
                <w:b/>
              </w:rPr>
              <w:t>处罚依据</w:t>
            </w:r>
          </w:p>
        </w:tc>
        <w:tc>
          <w:tcPr>
            <w:tcW w:w="1227" w:type="dxa"/>
            <w:vMerge w:val="continue"/>
            <w:tcBorders>
              <w:bottom w:val="single" w:color="000000" w:sz="4" w:space="0"/>
            </w:tcBorders>
            <w:vAlign w:val="center"/>
          </w:tcPr>
          <w:p w14:paraId="23A5DB89">
            <w:pPr>
              <w:spacing w:line="240" w:lineRule="exact"/>
              <w:jc w:val="center"/>
              <w:rPr>
                <w:rFonts w:ascii="宋体"/>
                <w:b/>
              </w:rPr>
            </w:pPr>
          </w:p>
        </w:tc>
        <w:tc>
          <w:tcPr>
            <w:tcW w:w="5134" w:type="dxa"/>
            <w:vMerge w:val="continue"/>
            <w:tcBorders>
              <w:bottom w:val="single" w:color="000000" w:sz="4" w:space="0"/>
            </w:tcBorders>
            <w:vAlign w:val="center"/>
          </w:tcPr>
          <w:p w14:paraId="53A9A08C">
            <w:pPr>
              <w:spacing w:line="240" w:lineRule="exact"/>
              <w:jc w:val="center"/>
              <w:rPr>
                <w:rFonts w:ascii="宋体"/>
                <w:b/>
              </w:rPr>
            </w:pPr>
          </w:p>
        </w:tc>
        <w:tc>
          <w:tcPr>
            <w:tcW w:w="7928" w:type="dxa"/>
            <w:tcBorders>
              <w:top w:val="single" w:color="auto" w:sz="4" w:space="0"/>
              <w:bottom w:val="single" w:color="auto" w:sz="4" w:space="0"/>
              <w:right w:val="single" w:color="auto" w:sz="4" w:space="0"/>
            </w:tcBorders>
            <w:vAlign w:val="center"/>
          </w:tcPr>
          <w:p w14:paraId="0B7EFC3A">
            <w:pPr>
              <w:spacing w:line="240" w:lineRule="exact"/>
              <w:jc w:val="center"/>
              <w:rPr>
                <w:rFonts w:ascii="宋体"/>
                <w:b/>
              </w:rPr>
            </w:pPr>
            <w:r>
              <w:rPr>
                <w:rFonts w:hint="eastAsia" w:ascii="宋体"/>
                <w:b/>
              </w:rPr>
              <w:t>【对象】碍航物的所有人、经营人或者管理人</w:t>
            </w:r>
          </w:p>
        </w:tc>
      </w:tr>
      <w:tr w14:paraId="07F22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231" w:type="dxa"/>
            <w:vMerge w:val="restart"/>
            <w:vAlign w:val="center"/>
          </w:tcPr>
          <w:p w14:paraId="45FD7799">
            <w:pPr>
              <w:spacing w:line="240" w:lineRule="exact"/>
              <w:jc w:val="left"/>
              <w:rPr>
                <w:rFonts w:ascii="宋体"/>
                <w:kern w:val="0"/>
              </w:rPr>
            </w:pPr>
            <w:r>
              <w:rPr>
                <w:rFonts w:hint="eastAsia" w:ascii="宋体"/>
                <w:kern w:val="0"/>
              </w:rPr>
              <w:t>未向海事管理机构报告碍航物的名称、形状、尺寸、位置和深度</w:t>
            </w:r>
          </w:p>
        </w:tc>
        <w:tc>
          <w:tcPr>
            <w:tcW w:w="2279" w:type="dxa"/>
            <w:vMerge w:val="restart"/>
            <w:vAlign w:val="center"/>
          </w:tcPr>
          <w:p w14:paraId="7C07B43C">
            <w:pPr>
              <w:jc w:val="left"/>
              <w:rPr>
                <w:rFonts w:ascii="宋体"/>
              </w:rPr>
            </w:pPr>
            <w:r>
              <w:rPr>
                <w:rFonts w:hint="eastAsia" w:ascii="宋体"/>
              </w:rPr>
              <w:t>1.《中华人民共和国海上交通安全法》第五十一条第一款。</w:t>
            </w:r>
          </w:p>
          <w:p w14:paraId="7E3E048F">
            <w:pPr>
              <w:jc w:val="left"/>
              <w:rPr>
                <w:rFonts w:ascii="宋体"/>
              </w:rPr>
            </w:pPr>
          </w:p>
        </w:tc>
        <w:tc>
          <w:tcPr>
            <w:tcW w:w="2410" w:type="dxa"/>
            <w:vMerge w:val="restart"/>
            <w:vAlign w:val="center"/>
          </w:tcPr>
          <w:p w14:paraId="593A8523">
            <w:pPr>
              <w:jc w:val="left"/>
              <w:rPr>
                <w:rFonts w:ascii="宋体"/>
              </w:rPr>
            </w:pPr>
            <w:r>
              <w:rPr>
                <w:rFonts w:hint="eastAsia" w:ascii="宋体"/>
              </w:rPr>
              <w:t>1. 《中华人民共和国海上交通安全法》第一百零六条第（二）项、《中华人民共和国海上海事行政处罚规定》第二十六条第（二）项。</w:t>
            </w:r>
          </w:p>
          <w:p w14:paraId="223B8964">
            <w:pPr>
              <w:jc w:val="left"/>
              <w:rPr>
                <w:rFonts w:ascii="宋体"/>
              </w:rPr>
            </w:pPr>
            <w:r>
              <w:rPr>
                <w:rFonts w:hint="eastAsia" w:ascii="宋体"/>
              </w:rPr>
              <w:t>2. 《中华人民共和国海上海事行政处罚规定》第七条。</w:t>
            </w:r>
          </w:p>
        </w:tc>
        <w:tc>
          <w:tcPr>
            <w:tcW w:w="1227" w:type="dxa"/>
            <w:vAlign w:val="center"/>
          </w:tcPr>
          <w:p w14:paraId="6E2950DC">
            <w:pPr>
              <w:spacing w:line="240" w:lineRule="exact"/>
              <w:jc w:val="center"/>
              <w:rPr>
                <w:rFonts w:ascii="宋体"/>
              </w:rPr>
            </w:pPr>
            <w:r>
              <w:rPr>
                <w:rFonts w:hint="eastAsia" w:ascii="宋体"/>
              </w:rPr>
              <w:t>从轻</w:t>
            </w:r>
          </w:p>
        </w:tc>
        <w:tc>
          <w:tcPr>
            <w:tcW w:w="5134" w:type="dxa"/>
            <w:vAlign w:val="center"/>
          </w:tcPr>
          <w:p w14:paraId="3AC55514">
            <w:pPr>
              <w:widowControl/>
              <w:spacing w:line="240" w:lineRule="exact"/>
              <w:jc w:val="left"/>
              <w:rPr>
                <w:rFonts w:ascii="宋体"/>
              </w:rPr>
            </w:pPr>
            <w:r>
              <w:rPr>
                <w:rFonts w:hint="eastAsia" w:ascii="宋体"/>
              </w:rPr>
              <w:t>具有法定从轻处罚情节的</w:t>
            </w:r>
          </w:p>
        </w:tc>
        <w:tc>
          <w:tcPr>
            <w:tcW w:w="7928" w:type="dxa"/>
            <w:tcBorders>
              <w:right w:val="single" w:color="auto" w:sz="4" w:space="0"/>
            </w:tcBorders>
            <w:vAlign w:val="center"/>
          </w:tcPr>
          <w:p w14:paraId="411464EE">
            <w:pPr>
              <w:spacing w:line="240" w:lineRule="exact"/>
              <w:jc w:val="center"/>
              <w:rPr>
                <w:rFonts w:ascii="宋体"/>
              </w:rPr>
            </w:pPr>
            <w:r>
              <w:rPr>
                <w:rFonts w:hint="eastAsia" w:ascii="宋体"/>
              </w:rPr>
              <w:t>2-4万元</w:t>
            </w:r>
          </w:p>
        </w:tc>
      </w:tr>
      <w:tr w14:paraId="52EC7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1231" w:type="dxa"/>
            <w:vMerge w:val="continue"/>
            <w:vAlign w:val="center"/>
          </w:tcPr>
          <w:p w14:paraId="30E4C20A">
            <w:pPr>
              <w:spacing w:line="240" w:lineRule="exact"/>
              <w:jc w:val="left"/>
              <w:rPr>
                <w:rFonts w:ascii="宋体"/>
              </w:rPr>
            </w:pPr>
          </w:p>
        </w:tc>
        <w:tc>
          <w:tcPr>
            <w:tcW w:w="2279" w:type="dxa"/>
            <w:vMerge w:val="continue"/>
            <w:vAlign w:val="center"/>
          </w:tcPr>
          <w:p w14:paraId="6DAE7D11">
            <w:pPr>
              <w:widowControl/>
              <w:spacing w:line="240" w:lineRule="exact"/>
              <w:jc w:val="left"/>
              <w:rPr>
                <w:rFonts w:ascii="宋体"/>
              </w:rPr>
            </w:pPr>
          </w:p>
        </w:tc>
        <w:tc>
          <w:tcPr>
            <w:tcW w:w="2410" w:type="dxa"/>
            <w:vMerge w:val="continue"/>
            <w:vAlign w:val="center"/>
          </w:tcPr>
          <w:p w14:paraId="1818EC12">
            <w:pPr>
              <w:spacing w:line="240" w:lineRule="exact"/>
              <w:jc w:val="left"/>
              <w:rPr>
                <w:rFonts w:ascii="宋体"/>
              </w:rPr>
            </w:pPr>
          </w:p>
        </w:tc>
        <w:tc>
          <w:tcPr>
            <w:tcW w:w="1227" w:type="dxa"/>
            <w:vMerge w:val="restart"/>
            <w:vAlign w:val="center"/>
          </w:tcPr>
          <w:p w14:paraId="48843AA5">
            <w:pPr>
              <w:spacing w:line="240" w:lineRule="exact"/>
              <w:jc w:val="center"/>
              <w:rPr>
                <w:rFonts w:ascii="宋体"/>
              </w:rPr>
            </w:pPr>
            <w:r>
              <w:rPr>
                <w:rFonts w:hint="eastAsia" w:ascii="宋体"/>
              </w:rPr>
              <w:t>一般</w:t>
            </w:r>
          </w:p>
        </w:tc>
        <w:tc>
          <w:tcPr>
            <w:tcW w:w="5134" w:type="dxa"/>
            <w:vAlign w:val="center"/>
          </w:tcPr>
          <w:p w14:paraId="54ED70E3">
            <w:pPr>
              <w:spacing w:line="240" w:lineRule="exact"/>
              <w:jc w:val="left"/>
              <w:rPr>
                <w:rFonts w:ascii="宋体"/>
              </w:rPr>
            </w:pPr>
            <w:r>
              <w:rPr>
                <w:rFonts w:hint="eastAsia" w:ascii="宋体"/>
              </w:rPr>
              <w:t>未</w:t>
            </w:r>
            <w:r>
              <w:rPr>
                <w:rFonts w:hint="eastAsia" w:ascii="宋体"/>
                <w:kern w:val="0"/>
              </w:rPr>
              <w:t>向海事管理机构报告</w:t>
            </w:r>
          </w:p>
        </w:tc>
        <w:tc>
          <w:tcPr>
            <w:tcW w:w="7928" w:type="dxa"/>
            <w:tcBorders>
              <w:right w:val="single" w:color="auto" w:sz="4" w:space="0"/>
            </w:tcBorders>
            <w:vAlign w:val="center"/>
          </w:tcPr>
          <w:p w14:paraId="1DB0B311">
            <w:pPr>
              <w:spacing w:line="240" w:lineRule="exact"/>
              <w:jc w:val="center"/>
              <w:rPr>
                <w:rFonts w:ascii="宋体"/>
              </w:rPr>
            </w:pPr>
            <w:r>
              <w:rPr>
                <w:rFonts w:hint="eastAsia" w:ascii="宋体"/>
              </w:rPr>
              <w:t>4-6万元</w:t>
            </w:r>
          </w:p>
        </w:tc>
      </w:tr>
      <w:tr w14:paraId="0B8D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231" w:type="dxa"/>
            <w:vMerge w:val="continue"/>
            <w:vAlign w:val="center"/>
          </w:tcPr>
          <w:p w14:paraId="121314BE">
            <w:pPr>
              <w:spacing w:line="240" w:lineRule="exact"/>
              <w:jc w:val="left"/>
              <w:rPr>
                <w:rFonts w:ascii="宋体"/>
              </w:rPr>
            </w:pPr>
          </w:p>
        </w:tc>
        <w:tc>
          <w:tcPr>
            <w:tcW w:w="2279" w:type="dxa"/>
            <w:vMerge w:val="continue"/>
            <w:vAlign w:val="center"/>
          </w:tcPr>
          <w:p w14:paraId="454979B0">
            <w:pPr>
              <w:widowControl/>
              <w:spacing w:line="240" w:lineRule="exact"/>
              <w:jc w:val="left"/>
              <w:rPr>
                <w:rFonts w:ascii="宋体"/>
              </w:rPr>
            </w:pPr>
          </w:p>
        </w:tc>
        <w:tc>
          <w:tcPr>
            <w:tcW w:w="2410" w:type="dxa"/>
            <w:vMerge w:val="continue"/>
            <w:vAlign w:val="center"/>
          </w:tcPr>
          <w:p w14:paraId="53A5046F">
            <w:pPr>
              <w:spacing w:line="240" w:lineRule="exact"/>
              <w:jc w:val="left"/>
              <w:rPr>
                <w:rFonts w:ascii="宋体"/>
              </w:rPr>
            </w:pPr>
          </w:p>
        </w:tc>
        <w:tc>
          <w:tcPr>
            <w:tcW w:w="1227" w:type="dxa"/>
            <w:vMerge w:val="continue"/>
            <w:vAlign w:val="center"/>
          </w:tcPr>
          <w:p w14:paraId="39F39231">
            <w:pPr>
              <w:spacing w:line="240" w:lineRule="exact"/>
              <w:jc w:val="center"/>
              <w:rPr>
                <w:rFonts w:ascii="宋体"/>
              </w:rPr>
            </w:pPr>
          </w:p>
        </w:tc>
        <w:tc>
          <w:tcPr>
            <w:tcW w:w="5134" w:type="dxa"/>
            <w:vAlign w:val="center"/>
          </w:tcPr>
          <w:p w14:paraId="23D15486">
            <w:pPr>
              <w:spacing w:line="240" w:lineRule="exact"/>
              <w:jc w:val="left"/>
              <w:rPr>
                <w:rFonts w:ascii="宋体"/>
              </w:rPr>
            </w:pPr>
            <w:r>
              <w:rPr>
                <w:rFonts w:hint="eastAsia" w:ascii="宋体"/>
              </w:rPr>
              <w:t>存在瞒报、谎报的情形</w:t>
            </w:r>
          </w:p>
        </w:tc>
        <w:tc>
          <w:tcPr>
            <w:tcW w:w="7928" w:type="dxa"/>
            <w:tcBorders>
              <w:right w:val="single" w:color="auto" w:sz="4" w:space="0"/>
            </w:tcBorders>
            <w:vAlign w:val="center"/>
          </w:tcPr>
          <w:p w14:paraId="6695EA97">
            <w:pPr>
              <w:spacing w:line="240" w:lineRule="exact"/>
              <w:jc w:val="center"/>
              <w:rPr>
                <w:rFonts w:ascii="宋体"/>
              </w:rPr>
            </w:pPr>
            <w:r>
              <w:rPr>
                <w:rFonts w:hint="eastAsia" w:ascii="宋体"/>
              </w:rPr>
              <w:t>6-8万元</w:t>
            </w:r>
          </w:p>
        </w:tc>
      </w:tr>
      <w:tr w14:paraId="3C121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1231" w:type="dxa"/>
            <w:vMerge w:val="continue"/>
            <w:vAlign w:val="center"/>
          </w:tcPr>
          <w:p w14:paraId="5C379027">
            <w:pPr>
              <w:spacing w:line="240" w:lineRule="exact"/>
              <w:jc w:val="left"/>
              <w:rPr>
                <w:rFonts w:ascii="宋体"/>
              </w:rPr>
            </w:pPr>
          </w:p>
        </w:tc>
        <w:tc>
          <w:tcPr>
            <w:tcW w:w="2279" w:type="dxa"/>
            <w:vMerge w:val="continue"/>
            <w:vAlign w:val="center"/>
          </w:tcPr>
          <w:p w14:paraId="1175C71F">
            <w:pPr>
              <w:spacing w:line="240" w:lineRule="exact"/>
              <w:jc w:val="left"/>
              <w:rPr>
                <w:rFonts w:ascii="宋体"/>
              </w:rPr>
            </w:pPr>
          </w:p>
        </w:tc>
        <w:tc>
          <w:tcPr>
            <w:tcW w:w="2410" w:type="dxa"/>
            <w:vMerge w:val="continue"/>
            <w:vAlign w:val="center"/>
          </w:tcPr>
          <w:p w14:paraId="61820F41">
            <w:pPr>
              <w:spacing w:line="240" w:lineRule="exact"/>
              <w:jc w:val="left"/>
              <w:rPr>
                <w:rFonts w:ascii="宋体"/>
              </w:rPr>
            </w:pPr>
          </w:p>
        </w:tc>
        <w:tc>
          <w:tcPr>
            <w:tcW w:w="1227" w:type="dxa"/>
            <w:vMerge w:val="continue"/>
            <w:vAlign w:val="center"/>
          </w:tcPr>
          <w:p w14:paraId="5032D749">
            <w:pPr>
              <w:spacing w:line="240" w:lineRule="exact"/>
              <w:jc w:val="center"/>
              <w:rPr>
                <w:rFonts w:ascii="宋体"/>
              </w:rPr>
            </w:pPr>
          </w:p>
        </w:tc>
        <w:tc>
          <w:tcPr>
            <w:tcW w:w="5134" w:type="dxa"/>
            <w:tcBorders>
              <w:top w:val="single" w:color="auto" w:sz="4" w:space="0"/>
              <w:bottom w:val="single" w:color="auto" w:sz="4" w:space="0"/>
            </w:tcBorders>
            <w:vAlign w:val="center"/>
          </w:tcPr>
          <w:p w14:paraId="3FACC29D">
            <w:pPr>
              <w:spacing w:line="240" w:lineRule="exact"/>
              <w:jc w:val="left"/>
              <w:rPr>
                <w:rFonts w:ascii="宋体"/>
              </w:rPr>
            </w:pPr>
            <w:r>
              <w:rPr>
                <w:rFonts w:hint="eastAsia" w:ascii="宋体"/>
              </w:rPr>
              <w:t>具有其他较重情节的</w:t>
            </w:r>
          </w:p>
        </w:tc>
        <w:tc>
          <w:tcPr>
            <w:tcW w:w="7928" w:type="dxa"/>
            <w:tcBorders>
              <w:top w:val="single" w:color="auto" w:sz="4" w:space="0"/>
              <w:bottom w:val="single" w:color="auto" w:sz="4" w:space="0"/>
              <w:right w:val="single" w:color="auto" w:sz="4" w:space="0"/>
            </w:tcBorders>
            <w:vAlign w:val="center"/>
          </w:tcPr>
          <w:p w14:paraId="4C5C2505">
            <w:pPr>
              <w:spacing w:line="240" w:lineRule="exact"/>
              <w:jc w:val="center"/>
              <w:rPr>
                <w:rFonts w:ascii="宋体"/>
              </w:rPr>
            </w:pPr>
            <w:r>
              <w:rPr>
                <w:rFonts w:hint="eastAsia" w:ascii="宋体"/>
              </w:rPr>
              <w:t xml:space="preserve">8-15万元 </w:t>
            </w:r>
          </w:p>
        </w:tc>
      </w:tr>
      <w:tr w14:paraId="7505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1231" w:type="dxa"/>
            <w:vMerge w:val="continue"/>
            <w:vAlign w:val="center"/>
          </w:tcPr>
          <w:p w14:paraId="5B5FE186">
            <w:pPr>
              <w:spacing w:line="240" w:lineRule="exact"/>
              <w:jc w:val="center"/>
              <w:rPr>
                <w:rFonts w:ascii="宋体"/>
              </w:rPr>
            </w:pPr>
          </w:p>
        </w:tc>
        <w:tc>
          <w:tcPr>
            <w:tcW w:w="2279" w:type="dxa"/>
            <w:vMerge w:val="continue"/>
            <w:vAlign w:val="center"/>
          </w:tcPr>
          <w:p w14:paraId="287D2E19">
            <w:pPr>
              <w:spacing w:line="240" w:lineRule="exact"/>
              <w:jc w:val="center"/>
              <w:rPr>
                <w:rFonts w:ascii="宋体"/>
              </w:rPr>
            </w:pPr>
          </w:p>
        </w:tc>
        <w:tc>
          <w:tcPr>
            <w:tcW w:w="2410" w:type="dxa"/>
            <w:vMerge w:val="continue"/>
            <w:vAlign w:val="center"/>
          </w:tcPr>
          <w:p w14:paraId="2F5271DB">
            <w:pPr>
              <w:spacing w:line="240" w:lineRule="exact"/>
              <w:jc w:val="center"/>
              <w:rPr>
                <w:rFonts w:ascii="宋体"/>
              </w:rPr>
            </w:pPr>
          </w:p>
        </w:tc>
        <w:tc>
          <w:tcPr>
            <w:tcW w:w="1227" w:type="dxa"/>
            <w:vMerge w:val="continue"/>
            <w:tcBorders>
              <w:bottom w:val="single" w:color="auto" w:sz="4" w:space="0"/>
            </w:tcBorders>
            <w:vAlign w:val="center"/>
          </w:tcPr>
          <w:p w14:paraId="65036737">
            <w:pPr>
              <w:spacing w:line="240" w:lineRule="exact"/>
              <w:jc w:val="center"/>
              <w:rPr>
                <w:rFonts w:ascii="宋体"/>
              </w:rPr>
            </w:pPr>
          </w:p>
        </w:tc>
        <w:tc>
          <w:tcPr>
            <w:tcW w:w="5134" w:type="dxa"/>
            <w:tcBorders>
              <w:top w:val="single" w:color="auto" w:sz="4" w:space="0"/>
              <w:bottom w:val="single" w:color="auto" w:sz="4" w:space="0"/>
            </w:tcBorders>
            <w:vAlign w:val="center"/>
          </w:tcPr>
          <w:p w14:paraId="49383809">
            <w:pPr>
              <w:spacing w:line="240" w:lineRule="exact"/>
              <w:jc w:val="left"/>
              <w:rPr>
                <w:rFonts w:ascii="宋体"/>
              </w:rPr>
            </w:pPr>
            <w:r>
              <w:rPr>
                <w:rFonts w:hint="eastAsia" w:ascii="宋体"/>
              </w:rPr>
              <w:t>未按规定报告造成事故或险情的</w:t>
            </w:r>
          </w:p>
        </w:tc>
        <w:tc>
          <w:tcPr>
            <w:tcW w:w="7928" w:type="dxa"/>
            <w:tcBorders>
              <w:top w:val="single" w:color="auto" w:sz="4" w:space="0"/>
              <w:bottom w:val="single" w:color="auto" w:sz="4" w:space="0"/>
              <w:right w:val="single" w:color="auto" w:sz="4" w:space="0"/>
            </w:tcBorders>
            <w:vAlign w:val="center"/>
          </w:tcPr>
          <w:p w14:paraId="492D27D6">
            <w:pPr>
              <w:spacing w:line="240" w:lineRule="exact"/>
              <w:jc w:val="center"/>
              <w:rPr>
                <w:rFonts w:ascii="宋体"/>
              </w:rPr>
            </w:pPr>
            <w:r>
              <w:rPr>
                <w:rFonts w:hint="eastAsia" w:ascii="宋体"/>
              </w:rPr>
              <w:t xml:space="preserve">15-20万元 </w:t>
            </w:r>
          </w:p>
        </w:tc>
      </w:tr>
    </w:tbl>
    <w:p w14:paraId="20022400">
      <w:pPr>
        <w:widowControl/>
        <w:jc w:val="left"/>
        <w:rPr>
          <w:rFonts w:ascii="宋体"/>
          <w:b/>
          <w:kern w:val="0"/>
        </w:rPr>
      </w:pPr>
      <w:r>
        <w:rPr>
          <w:rFonts w:ascii="宋体"/>
          <w:b/>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2575"/>
        <w:gridCol w:w="2975"/>
        <w:gridCol w:w="1210"/>
        <w:gridCol w:w="5245"/>
        <w:gridCol w:w="7189"/>
      </w:tblGrid>
      <w:tr w14:paraId="64C9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1003" w:type="dxa"/>
            <w:vMerge w:val="restart"/>
            <w:vAlign w:val="center"/>
          </w:tcPr>
          <w:p w14:paraId="133BDA32">
            <w:pPr>
              <w:spacing w:line="240" w:lineRule="exact"/>
              <w:jc w:val="center"/>
              <w:rPr>
                <w:rFonts w:ascii="宋体"/>
                <w:b/>
              </w:rPr>
            </w:pPr>
            <w:r>
              <w:rPr>
                <w:rFonts w:hint="eastAsia" w:ascii="宋体"/>
                <w:b/>
              </w:rPr>
              <w:t>案由</w:t>
            </w:r>
            <w:r>
              <w:rPr>
                <w:rFonts w:hint="eastAsia" w:ascii="宋体"/>
                <w:b/>
                <w:bCs/>
              </w:rPr>
              <w:t>32</w:t>
            </w:r>
          </w:p>
        </w:tc>
        <w:tc>
          <w:tcPr>
            <w:tcW w:w="5550" w:type="dxa"/>
            <w:gridSpan w:val="2"/>
            <w:vAlign w:val="center"/>
          </w:tcPr>
          <w:p w14:paraId="55BCE4DC">
            <w:pPr>
              <w:spacing w:line="240" w:lineRule="exact"/>
              <w:jc w:val="center"/>
              <w:rPr>
                <w:rFonts w:ascii="宋体"/>
                <w:b/>
              </w:rPr>
            </w:pPr>
            <w:r>
              <w:rPr>
                <w:rFonts w:hint="eastAsia" w:ascii="宋体"/>
                <w:b/>
              </w:rPr>
              <w:t>法律依据</w:t>
            </w:r>
          </w:p>
        </w:tc>
        <w:tc>
          <w:tcPr>
            <w:tcW w:w="1210" w:type="dxa"/>
            <w:vMerge w:val="restart"/>
            <w:vAlign w:val="center"/>
          </w:tcPr>
          <w:p w14:paraId="1CE46A32">
            <w:pPr>
              <w:spacing w:line="240" w:lineRule="exact"/>
              <w:jc w:val="center"/>
              <w:rPr>
                <w:rFonts w:ascii="宋体"/>
                <w:b/>
              </w:rPr>
            </w:pPr>
            <w:r>
              <w:rPr>
                <w:rFonts w:hint="eastAsia" w:ascii="宋体"/>
                <w:b/>
              </w:rPr>
              <w:t>违法情节</w:t>
            </w:r>
          </w:p>
        </w:tc>
        <w:tc>
          <w:tcPr>
            <w:tcW w:w="5245" w:type="dxa"/>
            <w:vMerge w:val="restart"/>
            <w:vAlign w:val="center"/>
          </w:tcPr>
          <w:p w14:paraId="2A182D0F">
            <w:pPr>
              <w:spacing w:line="240" w:lineRule="exact"/>
              <w:jc w:val="center"/>
              <w:rPr>
                <w:rFonts w:ascii="宋体"/>
                <w:b/>
              </w:rPr>
            </w:pPr>
            <w:r>
              <w:rPr>
                <w:rFonts w:hint="eastAsia" w:ascii="宋体"/>
                <w:b/>
              </w:rPr>
              <w:t>主要考虑因素（事实、性质、情节、危害程度和实际后果等）</w:t>
            </w:r>
          </w:p>
        </w:tc>
        <w:tc>
          <w:tcPr>
            <w:tcW w:w="7189" w:type="dxa"/>
            <w:tcBorders>
              <w:bottom w:val="single" w:color="auto" w:sz="4" w:space="0"/>
              <w:right w:val="single" w:color="auto" w:sz="4" w:space="0"/>
            </w:tcBorders>
            <w:vAlign w:val="center"/>
          </w:tcPr>
          <w:p w14:paraId="7CACD698">
            <w:pPr>
              <w:spacing w:line="240" w:lineRule="exact"/>
              <w:jc w:val="left"/>
              <w:rPr>
                <w:rFonts w:ascii="宋体"/>
                <w:b/>
              </w:rPr>
            </w:pPr>
            <w:r>
              <w:rPr>
                <w:rFonts w:hint="eastAsia" w:ascii="宋体"/>
                <w:b/>
              </w:rPr>
              <w:t>【法定幅度和种类】</w:t>
            </w:r>
            <w:r>
              <w:rPr>
                <w:rFonts w:hint="eastAsia" w:ascii="宋体"/>
                <w:bCs/>
              </w:rPr>
              <w:t>由海事管理机构责令改正，处二万元以上二十万元以下的罚款；逾期未改正的，海事管理机构有权依法实施代履行，代履行的费用由碍航物的所有人、经营人或者管理人承担。</w:t>
            </w:r>
          </w:p>
        </w:tc>
      </w:tr>
      <w:tr w14:paraId="168F8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1003" w:type="dxa"/>
            <w:vMerge w:val="continue"/>
            <w:vAlign w:val="center"/>
          </w:tcPr>
          <w:p w14:paraId="1D7BFCF4">
            <w:pPr>
              <w:spacing w:line="240" w:lineRule="exact"/>
              <w:jc w:val="center"/>
              <w:rPr>
                <w:rFonts w:ascii="宋体"/>
                <w:b/>
              </w:rPr>
            </w:pPr>
          </w:p>
        </w:tc>
        <w:tc>
          <w:tcPr>
            <w:tcW w:w="2575" w:type="dxa"/>
            <w:tcBorders>
              <w:bottom w:val="single" w:color="000000" w:sz="4" w:space="0"/>
            </w:tcBorders>
            <w:vAlign w:val="center"/>
          </w:tcPr>
          <w:p w14:paraId="1FBDEA1A">
            <w:pPr>
              <w:spacing w:line="240" w:lineRule="exact"/>
              <w:jc w:val="center"/>
              <w:rPr>
                <w:rFonts w:ascii="宋体"/>
                <w:b/>
              </w:rPr>
            </w:pPr>
            <w:r>
              <w:rPr>
                <w:rFonts w:hint="eastAsia" w:ascii="宋体"/>
                <w:b/>
              </w:rPr>
              <w:t>违反条款</w:t>
            </w:r>
          </w:p>
        </w:tc>
        <w:tc>
          <w:tcPr>
            <w:tcW w:w="2975" w:type="dxa"/>
            <w:tcBorders>
              <w:bottom w:val="single" w:color="000000" w:sz="4" w:space="0"/>
            </w:tcBorders>
            <w:vAlign w:val="center"/>
          </w:tcPr>
          <w:p w14:paraId="12F2345C">
            <w:pPr>
              <w:spacing w:line="240" w:lineRule="exact"/>
              <w:jc w:val="center"/>
              <w:rPr>
                <w:rFonts w:ascii="宋体"/>
                <w:b/>
              </w:rPr>
            </w:pPr>
            <w:r>
              <w:rPr>
                <w:rFonts w:hint="eastAsia" w:ascii="宋体"/>
                <w:b/>
              </w:rPr>
              <w:t>处罚依据</w:t>
            </w:r>
          </w:p>
        </w:tc>
        <w:tc>
          <w:tcPr>
            <w:tcW w:w="1210" w:type="dxa"/>
            <w:vMerge w:val="continue"/>
            <w:tcBorders>
              <w:bottom w:val="single" w:color="000000" w:sz="4" w:space="0"/>
            </w:tcBorders>
            <w:vAlign w:val="center"/>
          </w:tcPr>
          <w:p w14:paraId="60ED7F61">
            <w:pPr>
              <w:spacing w:line="240" w:lineRule="exact"/>
              <w:jc w:val="center"/>
              <w:rPr>
                <w:rFonts w:ascii="宋体"/>
                <w:b/>
              </w:rPr>
            </w:pPr>
          </w:p>
        </w:tc>
        <w:tc>
          <w:tcPr>
            <w:tcW w:w="5245" w:type="dxa"/>
            <w:vMerge w:val="continue"/>
            <w:tcBorders>
              <w:bottom w:val="single" w:color="000000" w:sz="4" w:space="0"/>
            </w:tcBorders>
            <w:vAlign w:val="center"/>
          </w:tcPr>
          <w:p w14:paraId="3DBFFC7F">
            <w:pPr>
              <w:spacing w:line="240" w:lineRule="exact"/>
              <w:jc w:val="center"/>
              <w:rPr>
                <w:rFonts w:ascii="宋体"/>
                <w:b/>
              </w:rPr>
            </w:pPr>
          </w:p>
        </w:tc>
        <w:tc>
          <w:tcPr>
            <w:tcW w:w="7189" w:type="dxa"/>
            <w:tcBorders>
              <w:top w:val="single" w:color="auto" w:sz="4" w:space="0"/>
              <w:bottom w:val="single" w:color="auto" w:sz="4" w:space="0"/>
              <w:right w:val="single" w:color="auto" w:sz="4" w:space="0"/>
            </w:tcBorders>
            <w:vAlign w:val="center"/>
          </w:tcPr>
          <w:p w14:paraId="41CCFD21">
            <w:pPr>
              <w:spacing w:line="240" w:lineRule="exact"/>
              <w:jc w:val="center"/>
              <w:rPr>
                <w:rFonts w:ascii="宋体"/>
                <w:b/>
              </w:rPr>
            </w:pPr>
            <w:r>
              <w:rPr>
                <w:rFonts w:hint="eastAsia" w:ascii="宋体"/>
                <w:b/>
              </w:rPr>
              <w:t>【对象】碍航物的所有人、经营人或者管理人</w:t>
            </w:r>
          </w:p>
        </w:tc>
      </w:tr>
      <w:tr w14:paraId="47C25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003" w:type="dxa"/>
            <w:vMerge w:val="restart"/>
            <w:vAlign w:val="center"/>
          </w:tcPr>
          <w:p w14:paraId="737BE86F">
            <w:pPr>
              <w:spacing w:line="240" w:lineRule="exact"/>
              <w:jc w:val="left"/>
              <w:rPr>
                <w:rFonts w:ascii="宋体"/>
                <w:kern w:val="0"/>
              </w:rPr>
            </w:pPr>
            <w:r>
              <w:rPr>
                <w:rFonts w:hint="eastAsia" w:ascii="宋体"/>
                <w:kern w:val="0"/>
              </w:rPr>
              <w:t>未在海事管理机构限定的期限内打捞清除碍航物</w:t>
            </w:r>
          </w:p>
        </w:tc>
        <w:tc>
          <w:tcPr>
            <w:tcW w:w="2575" w:type="dxa"/>
            <w:vMerge w:val="restart"/>
            <w:vAlign w:val="center"/>
          </w:tcPr>
          <w:p w14:paraId="6B8D9AA9">
            <w:pPr>
              <w:spacing w:line="240" w:lineRule="exact"/>
              <w:jc w:val="left"/>
              <w:rPr>
                <w:rFonts w:ascii="宋体"/>
                <w:kern w:val="0"/>
              </w:rPr>
            </w:pPr>
            <w:r>
              <w:rPr>
                <w:rFonts w:hint="eastAsia" w:ascii="宋体"/>
                <w:kern w:val="0"/>
              </w:rPr>
              <w:t>1. 《中华人民共和国海上交通安全法》第五十一条第一款；</w:t>
            </w:r>
          </w:p>
          <w:p w14:paraId="542BE711">
            <w:pPr>
              <w:spacing w:line="240" w:lineRule="exact"/>
              <w:jc w:val="left"/>
              <w:rPr>
                <w:rFonts w:ascii="宋体"/>
                <w:kern w:val="0"/>
              </w:rPr>
            </w:pPr>
            <w:r>
              <w:rPr>
                <w:rFonts w:hint="eastAsia" w:ascii="宋体"/>
                <w:kern w:val="0"/>
              </w:rPr>
              <w:t>2. 其他法律、法规、规章、强制性标准、技术规范等。</w:t>
            </w:r>
          </w:p>
        </w:tc>
        <w:tc>
          <w:tcPr>
            <w:tcW w:w="2975" w:type="dxa"/>
            <w:vMerge w:val="restart"/>
            <w:vAlign w:val="center"/>
          </w:tcPr>
          <w:p w14:paraId="69AED1AD">
            <w:pPr>
              <w:spacing w:line="240" w:lineRule="exact"/>
              <w:jc w:val="left"/>
              <w:rPr>
                <w:rFonts w:ascii="宋体"/>
              </w:rPr>
            </w:pPr>
            <w:r>
              <w:rPr>
                <w:rFonts w:hint="eastAsia" w:ascii="宋体"/>
              </w:rPr>
              <w:t xml:space="preserve">1. </w:t>
            </w:r>
            <w:r>
              <w:rPr>
                <w:rFonts w:hint="eastAsia" w:ascii="宋体"/>
                <w:kern w:val="0"/>
              </w:rPr>
              <w:t>《中华人民共和国海上交通安全法》第一百零六条第（三）项</w:t>
            </w:r>
            <w:r>
              <w:rPr>
                <w:rFonts w:hint="eastAsia" w:ascii="宋体"/>
              </w:rPr>
              <w:t>、《中华人民共和国海上海事行政处罚规定》第二十六条第（三）项。</w:t>
            </w:r>
          </w:p>
          <w:p w14:paraId="1D5E05F7">
            <w:pPr>
              <w:spacing w:line="240" w:lineRule="exact"/>
              <w:jc w:val="left"/>
              <w:rPr>
                <w:rFonts w:ascii="宋体"/>
              </w:rPr>
            </w:pPr>
            <w:r>
              <w:rPr>
                <w:rFonts w:hint="eastAsia" w:ascii="宋体"/>
                <w:kern w:val="0"/>
              </w:rPr>
              <w:t>2. 《中华人民共和国海上海事行政处罚规定》第七条。</w:t>
            </w:r>
          </w:p>
        </w:tc>
        <w:tc>
          <w:tcPr>
            <w:tcW w:w="1210" w:type="dxa"/>
            <w:vAlign w:val="center"/>
          </w:tcPr>
          <w:p w14:paraId="2B2154A9">
            <w:pPr>
              <w:spacing w:line="240" w:lineRule="exact"/>
              <w:jc w:val="center"/>
              <w:rPr>
                <w:rFonts w:ascii="宋体"/>
              </w:rPr>
            </w:pPr>
            <w:r>
              <w:rPr>
                <w:rFonts w:hint="eastAsia" w:ascii="宋体"/>
              </w:rPr>
              <w:t>从轻</w:t>
            </w:r>
          </w:p>
        </w:tc>
        <w:tc>
          <w:tcPr>
            <w:tcW w:w="5245" w:type="dxa"/>
            <w:vAlign w:val="center"/>
          </w:tcPr>
          <w:p w14:paraId="66841139">
            <w:pPr>
              <w:widowControl/>
              <w:spacing w:line="240" w:lineRule="exact"/>
              <w:jc w:val="left"/>
              <w:rPr>
                <w:rFonts w:ascii="宋体"/>
              </w:rPr>
            </w:pPr>
            <w:r>
              <w:rPr>
                <w:rFonts w:hint="eastAsia" w:ascii="宋体"/>
              </w:rPr>
              <w:t>具有法定从轻处罚情节的</w:t>
            </w:r>
          </w:p>
        </w:tc>
        <w:tc>
          <w:tcPr>
            <w:tcW w:w="7189" w:type="dxa"/>
            <w:tcBorders>
              <w:right w:val="single" w:color="auto" w:sz="4" w:space="0"/>
            </w:tcBorders>
            <w:vAlign w:val="center"/>
          </w:tcPr>
          <w:p w14:paraId="53B0CFF9">
            <w:pPr>
              <w:spacing w:line="240" w:lineRule="exact"/>
              <w:jc w:val="center"/>
              <w:rPr>
                <w:rFonts w:ascii="宋体"/>
              </w:rPr>
            </w:pPr>
            <w:r>
              <w:rPr>
                <w:rFonts w:hint="eastAsia" w:ascii="宋体"/>
              </w:rPr>
              <w:t>2-3万元</w:t>
            </w:r>
          </w:p>
        </w:tc>
      </w:tr>
      <w:tr w14:paraId="0661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003" w:type="dxa"/>
            <w:vMerge w:val="continue"/>
            <w:vAlign w:val="center"/>
          </w:tcPr>
          <w:p w14:paraId="00870203">
            <w:pPr>
              <w:spacing w:line="240" w:lineRule="exact"/>
              <w:jc w:val="left"/>
              <w:rPr>
                <w:rFonts w:ascii="宋体"/>
              </w:rPr>
            </w:pPr>
          </w:p>
        </w:tc>
        <w:tc>
          <w:tcPr>
            <w:tcW w:w="2575" w:type="dxa"/>
            <w:vMerge w:val="continue"/>
            <w:vAlign w:val="center"/>
          </w:tcPr>
          <w:p w14:paraId="71E82578">
            <w:pPr>
              <w:widowControl/>
              <w:spacing w:line="240" w:lineRule="exact"/>
              <w:jc w:val="left"/>
              <w:rPr>
                <w:rFonts w:ascii="宋体"/>
              </w:rPr>
            </w:pPr>
          </w:p>
        </w:tc>
        <w:tc>
          <w:tcPr>
            <w:tcW w:w="2975" w:type="dxa"/>
            <w:vMerge w:val="continue"/>
            <w:vAlign w:val="center"/>
          </w:tcPr>
          <w:p w14:paraId="44BC1882">
            <w:pPr>
              <w:spacing w:line="240" w:lineRule="exact"/>
              <w:jc w:val="left"/>
              <w:rPr>
                <w:rFonts w:ascii="宋体"/>
              </w:rPr>
            </w:pPr>
          </w:p>
        </w:tc>
        <w:tc>
          <w:tcPr>
            <w:tcW w:w="1210" w:type="dxa"/>
            <w:vMerge w:val="restart"/>
            <w:vAlign w:val="center"/>
          </w:tcPr>
          <w:p w14:paraId="7BA5C750">
            <w:pPr>
              <w:spacing w:line="240" w:lineRule="exact"/>
              <w:jc w:val="center"/>
              <w:rPr>
                <w:rFonts w:ascii="宋体"/>
              </w:rPr>
            </w:pPr>
            <w:r>
              <w:rPr>
                <w:rFonts w:hint="eastAsia" w:ascii="宋体"/>
              </w:rPr>
              <w:t>一般</w:t>
            </w:r>
          </w:p>
        </w:tc>
        <w:tc>
          <w:tcPr>
            <w:tcW w:w="5245" w:type="dxa"/>
            <w:vAlign w:val="center"/>
          </w:tcPr>
          <w:p w14:paraId="2E310718">
            <w:pPr>
              <w:spacing w:line="240" w:lineRule="exact"/>
              <w:jc w:val="left"/>
              <w:rPr>
                <w:rFonts w:ascii="宋体"/>
              </w:rPr>
            </w:pPr>
            <w:r>
              <w:rPr>
                <w:rFonts w:hint="eastAsia" w:ascii="宋体"/>
              </w:rPr>
              <w:t>逾期完成打捞清除</w:t>
            </w:r>
          </w:p>
        </w:tc>
        <w:tc>
          <w:tcPr>
            <w:tcW w:w="7189" w:type="dxa"/>
            <w:tcBorders>
              <w:right w:val="single" w:color="auto" w:sz="4" w:space="0"/>
            </w:tcBorders>
            <w:vAlign w:val="center"/>
          </w:tcPr>
          <w:p w14:paraId="47782681">
            <w:pPr>
              <w:spacing w:line="240" w:lineRule="exact"/>
              <w:jc w:val="center"/>
              <w:rPr>
                <w:rFonts w:ascii="宋体"/>
              </w:rPr>
            </w:pPr>
            <w:r>
              <w:rPr>
                <w:rFonts w:hint="eastAsia" w:ascii="宋体"/>
              </w:rPr>
              <w:t>3-4万元</w:t>
            </w:r>
          </w:p>
        </w:tc>
      </w:tr>
      <w:tr w14:paraId="1DBA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1003" w:type="dxa"/>
            <w:vMerge w:val="continue"/>
            <w:vAlign w:val="center"/>
          </w:tcPr>
          <w:p w14:paraId="253B1115">
            <w:pPr>
              <w:spacing w:line="240" w:lineRule="exact"/>
              <w:jc w:val="left"/>
              <w:rPr>
                <w:rFonts w:ascii="宋体"/>
              </w:rPr>
            </w:pPr>
          </w:p>
        </w:tc>
        <w:tc>
          <w:tcPr>
            <w:tcW w:w="2575" w:type="dxa"/>
            <w:vMerge w:val="continue"/>
            <w:vAlign w:val="center"/>
          </w:tcPr>
          <w:p w14:paraId="75E0D1B5">
            <w:pPr>
              <w:widowControl/>
              <w:spacing w:line="240" w:lineRule="exact"/>
              <w:jc w:val="left"/>
              <w:rPr>
                <w:rFonts w:ascii="宋体"/>
              </w:rPr>
            </w:pPr>
          </w:p>
        </w:tc>
        <w:tc>
          <w:tcPr>
            <w:tcW w:w="2975" w:type="dxa"/>
            <w:vMerge w:val="continue"/>
            <w:vAlign w:val="center"/>
          </w:tcPr>
          <w:p w14:paraId="452D13B7">
            <w:pPr>
              <w:spacing w:line="240" w:lineRule="exact"/>
              <w:jc w:val="left"/>
              <w:rPr>
                <w:rFonts w:ascii="宋体"/>
              </w:rPr>
            </w:pPr>
          </w:p>
        </w:tc>
        <w:tc>
          <w:tcPr>
            <w:tcW w:w="1210" w:type="dxa"/>
            <w:vMerge w:val="continue"/>
            <w:vAlign w:val="center"/>
          </w:tcPr>
          <w:p w14:paraId="609BDA8A">
            <w:pPr>
              <w:spacing w:line="240" w:lineRule="exact"/>
              <w:jc w:val="center"/>
              <w:rPr>
                <w:rFonts w:ascii="宋体"/>
              </w:rPr>
            </w:pPr>
          </w:p>
        </w:tc>
        <w:tc>
          <w:tcPr>
            <w:tcW w:w="5245" w:type="dxa"/>
            <w:vAlign w:val="center"/>
          </w:tcPr>
          <w:p w14:paraId="6C721840">
            <w:pPr>
              <w:spacing w:line="240" w:lineRule="exact"/>
              <w:jc w:val="left"/>
              <w:rPr>
                <w:rFonts w:ascii="宋体"/>
              </w:rPr>
            </w:pPr>
            <w:r>
              <w:rPr>
                <w:rFonts w:hint="eastAsia" w:ascii="宋体"/>
              </w:rPr>
              <w:t>逾期未完成需代履行的</w:t>
            </w:r>
          </w:p>
        </w:tc>
        <w:tc>
          <w:tcPr>
            <w:tcW w:w="7189" w:type="dxa"/>
            <w:tcBorders>
              <w:right w:val="single" w:color="auto" w:sz="4" w:space="0"/>
            </w:tcBorders>
            <w:vAlign w:val="center"/>
          </w:tcPr>
          <w:p w14:paraId="47B6DCE4">
            <w:pPr>
              <w:spacing w:line="240" w:lineRule="exact"/>
              <w:jc w:val="center"/>
              <w:rPr>
                <w:rFonts w:ascii="宋体"/>
              </w:rPr>
            </w:pPr>
            <w:r>
              <w:rPr>
                <w:rFonts w:hint="eastAsia" w:ascii="宋体"/>
              </w:rPr>
              <w:t>4-6万元</w:t>
            </w:r>
          </w:p>
        </w:tc>
      </w:tr>
      <w:tr w14:paraId="251B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003" w:type="dxa"/>
            <w:vMerge w:val="continue"/>
            <w:vAlign w:val="center"/>
          </w:tcPr>
          <w:p w14:paraId="053B8455">
            <w:pPr>
              <w:spacing w:line="240" w:lineRule="exact"/>
              <w:jc w:val="left"/>
              <w:rPr>
                <w:rFonts w:ascii="宋体"/>
              </w:rPr>
            </w:pPr>
          </w:p>
        </w:tc>
        <w:tc>
          <w:tcPr>
            <w:tcW w:w="2575" w:type="dxa"/>
            <w:vMerge w:val="continue"/>
            <w:vAlign w:val="center"/>
          </w:tcPr>
          <w:p w14:paraId="467CCABC">
            <w:pPr>
              <w:spacing w:line="240" w:lineRule="exact"/>
              <w:jc w:val="left"/>
              <w:rPr>
                <w:rFonts w:ascii="宋体"/>
              </w:rPr>
            </w:pPr>
          </w:p>
        </w:tc>
        <w:tc>
          <w:tcPr>
            <w:tcW w:w="2975" w:type="dxa"/>
            <w:vMerge w:val="continue"/>
            <w:vAlign w:val="center"/>
          </w:tcPr>
          <w:p w14:paraId="460D47B2">
            <w:pPr>
              <w:spacing w:line="240" w:lineRule="exact"/>
              <w:jc w:val="left"/>
              <w:rPr>
                <w:rFonts w:ascii="宋体"/>
              </w:rPr>
            </w:pPr>
          </w:p>
        </w:tc>
        <w:tc>
          <w:tcPr>
            <w:tcW w:w="1210" w:type="dxa"/>
            <w:vMerge w:val="continue"/>
            <w:vAlign w:val="center"/>
          </w:tcPr>
          <w:p w14:paraId="561A3D4C">
            <w:pPr>
              <w:spacing w:line="240" w:lineRule="exact"/>
              <w:jc w:val="center"/>
              <w:rPr>
                <w:rFonts w:ascii="宋体"/>
              </w:rPr>
            </w:pPr>
          </w:p>
        </w:tc>
        <w:tc>
          <w:tcPr>
            <w:tcW w:w="5245" w:type="dxa"/>
            <w:tcBorders>
              <w:top w:val="single" w:color="auto" w:sz="4" w:space="0"/>
              <w:bottom w:val="single" w:color="auto" w:sz="4" w:space="0"/>
            </w:tcBorders>
            <w:vAlign w:val="center"/>
          </w:tcPr>
          <w:p w14:paraId="28764161">
            <w:pPr>
              <w:spacing w:line="240" w:lineRule="exact"/>
              <w:jc w:val="left"/>
              <w:rPr>
                <w:rFonts w:ascii="宋体"/>
              </w:rPr>
            </w:pPr>
            <w:r>
              <w:rPr>
                <w:rFonts w:hint="eastAsia" w:ascii="宋体"/>
              </w:rPr>
              <w:t>具有其他较重情节的</w:t>
            </w:r>
          </w:p>
        </w:tc>
        <w:tc>
          <w:tcPr>
            <w:tcW w:w="7189" w:type="dxa"/>
            <w:tcBorders>
              <w:top w:val="single" w:color="auto" w:sz="4" w:space="0"/>
              <w:bottom w:val="single" w:color="auto" w:sz="4" w:space="0"/>
              <w:right w:val="single" w:color="auto" w:sz="4" w:space="0"/>
            </w:tcBorders>
            <w:vAlign w:val="center"/>
          </w:tcPr>
          <w:p w14:paraId="335AFD87">
            <w:pPr>
              <w:spacing w:line="240" w:lineRule="exact"/>
              <w:jc w:val="center"/>
              <w:rPr>
                <w:rFonts w:ascii="宋体"/>
              </w:rPr>
            </w:pPr>
            <w:r>
              <w:rPr>
                <w:rFonts w:hint="eastAsia" w:ascii="宋体"/>
              </w:rPr>
              <w:t>6-15万元</w:t>
            </w:r>
          </w:p>
        </w:tc>
      </w:tr>
      <w:tr w14:paraId="7DCE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003" w:type="dxa"/>
            <w:vMerge w:val="continue"/>
            <w:vAlign w:val="center"/>
          </w:tcPr>
          <w:p w14:paraId="3D8A55D2">
            <w:pPr>
              <w:spacing w:line="240" w:lineRule="exact"/>
              <w:jc w:val="left"/>
              <w:rPr>
                <w:rFonts w:ascii="宋体"/>
              </w:rPr>
            </w:pPr>
          </w:p>
        </w:tc>
        <w:tc>
          <w:tcPr>
            <w:tcW w:w="2575" w:type="dxa"/>
            <w:vMerge w:val="continue"/>
            <w:vAlign w:val="center"/>
          </w:tcPr>
          <w:p w14:paraId="6008A9B3">
            <w:pPr>
              <w:spacing w:line="240" w:lineRule="exact"/>
              <w:jc w:val="left"/>
              <w:rPr>
                <w:rFonts w:ascii="宋体"/>
              </w:rPr>
            </w:pPr>
          </w:p>
        </w:tc>
        <w:tc>
          <w:tcPr>
            <w:tcW w:w="2975" w:type="dxa"/>
            <w:vMerge w:val="continue"/>
            <w:vAlign w:val="center"/>
          </w:tcPr>
          <w:p w14:paraId="065DBDFC">
            <w:pPr>
              <w:spacing w:line="240" w:lineRule="exact"/>
              <w:jc w:val="left"/>
              <w:rPr>
                <w:rFonts w:ascii="宋体"/>
              </w:rPr>
            </w:pPr>
          </w:p>
        </w:tc>
        <w:tc>
          <w:tcPr>
            <w:tcW w:w="1210" w:type="dxa"/>
            <w:vMerge w:val="continue"/>
            <w:vAlign w:val="center"/>
          </w:tcPr>
          <w:p w14:paraId="1D1A6359">
            <w:pPr>
              <w:spacing w:line="240" w:lineRule="exact"/>
              <w:jc w:val="center"/>
              <w:rPr>
                <w:rFonts w:ascii="宋体"/>
              </w:rPr>
            </w:pPr>
          </w:p>
        </w:tc>
        <w:tc>
          <w:tcPr>
            <w:tcW w:w="5245" w:type="dxa"/>
            <w:tcBorders>
              <w:top w:val="single" w:color="auto" w:sz="4" w:space="0"/>
              <w:bottom w:val="single" w:color="auto" w:sz="4" w:space="0"/>
            </w:tcBorders>
            <w:vAlign w:val="center"/>
          </w:tcPr>
          <w:p w14:paraId="16F423E5">
            <w:pPr>
              <w:spacing w:line="240" w:lineRule="exact"/>
              <w:jc w:val="left"/>
              <w:rPr>
                <w:rFonts w:ascii="宋体"/>
              </w:rPr>
            </w:pPr>
            <w:r>
              <w:rPr>
                <w:rFonts w:hint="eastAsia" w:ascii="宋体"/>
              </w:rPr>
              <w:t>逾期造成小事故或险情的</w:t>
            </w:r>
          </w:p>
        </w:tc>
        <w:tc>
          <w:tcPr>
            <w:tcW w:w="7189" w:type="dxa"/>
            <w:tcBorders>
              <w:top w:val="single" w:color="auto" w:sz="4" w:space="0"/>
              <w:bottom w:val="single" w:color="auto" w:sz="4" w:space="0"/>
              <w:right w:val="single" w:color="auto" w:sz="4" w:space="0"/>
            </w:tcBorders>
            <w:vAlign w:val="center"/>
          </w:tcPr>
          <w:p w14:paraId="4E05BF0C">
            <w:pPr>
              <w:spacing w:line="240" w:lineRule="exact"/>
              <w:jc w:val="center"/>
              <w:rPr>
                <w:rFonts w:ascii="宋体"/>
              </w:rPr>
            </w:pPr>
            <w:r>
              <w:rPr>
                <w:rFonts w:hint="eastAsia" w:ascii="宋体"/>
              </w:rPr>
              <w:t>10-15万元</w:t>
            </w:r>
          </w:p>
        </w:tc>
      </w:tr>
      <w:tr w14:paraId="5791F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003" w:type="dxa"/>
            <w:vMerge w:val="continue"/>
            <w:vAlign w:val="center"/>
          </w:tcPr>
          <w:p w14:paraId="7D189236">
            <w:pPr>
              <w:spacing w:line="240" w:lineRule="exact"/>
              <w:jc w:val="left"/>
              <w:rPr>
                <w:rFonts w:ascii="宋体"/>
              </w:rPr>
            </w:pPr>
          </w:p>
        </w:tc>
        <w:tc>
          <w:tcPr>
            <w:tcW w:w="2575" w:type="dxa"/>
            <w:vMerge w:val="continue"/>
            <w:vAlign w:val="center"/>
          </w:tcPr>
          <w:p w14:paraId="49278E9E">
            <w:pPr>
              <w:spacing w:line="240" w:lineRule="exact"/>
              <w:jc w:val="left"/>
              <w:rPr>
                <w:rFonts w:ascii="宋体"/>
              </w:rPr>
            </w:pPr>
          </w:p>
        </w:tc>
        <w:tc>
          <w:tcPr>
            <w:tcW w:w="2975" w:type="dxa"/>
            <w:vMerge w:val="continue"/>
            <w:vAlign w:val="center"/>
          </w:tcPr>
          <w:p w14:paraId="33E585F6">
            <w:pPr>
              <w:spacing w:line="240" w:lineRule="exact"/>
              <w:jc w:val="left"/>
              <w:rPr>
                <w:rFonts w:ascii="宋体"/>
              </w:rPr>
            </w:pPr>
          </w:p>
        </w:tc>
        <w:tc>
          <w:tcPr>
            <w:tcW w:w="1210" w:type="dxa"/>
            <w:vMerge w:val="continue"/>
            <w:vAlign w:val="center"/>
          </w:tcPr>
          <w:p w14:paraId="48BDEA32">
            <w:pPr>
              <w:spacing w:line="240" w:lineRule="exact"/>
              <w:jc w:val="center"/>
              <w:rPr>
                <w:rFonts w:ascii="宋体"/>
              </w:rPr>
            </w:pPr>
          </w:p>
        </w:tc>
        <w:tc>
          <w:tcPr>
            <w:tcW w:w="5245" w:type="dxa"/>
            <w:tcBorders>
              <w:top w:val="single" w:color="auto" w:sz="4" w:space="0"/>
              <w:bottom w:val="single" w:color="auto" w:sz="4" w:space="0"/>
            </w:tcBorders>
            <w:vAlign w:val="center"/>
          </w:tcPr>
          <w:p w14:paraId="4530911B">
            <w:pPr>
              <w:spacing w:line="240" w:lineRule="exact"/>
              <w:jc w:val="left"/>
              <w:rPr>
                <w:rFonts w:ascii="宋体"/>
              </w:rPr>
            </w:pPr>
            <w:r>
              <w:rPr>
                <w:rFonts w:hint="eastAsia" w:ascii="宋体"/>
              </w:rPr>
              <w:t>逾期造成一般等级以上事故的</w:t>
            </w:r>
          </w:p>
        </w:tc>
        <w:tc>
          <w:tcPr>
            <w:tcW w:w="7189" w:type="dxa"/>
            <w:tcBorders>
              <w:top w:val="single" w:color="auto" w:sz="4" w:space="0"/>
              <w:bottom w:val="single" w:color="auto" w:sz="4" w:space="0"/>
              <w:right w:val="single" w:color="auto" w:sz="4" w:space="0"/>
            </w:tcBorders>
            <w:vAlign w:val="center"/>
          </w:tcPr>
          <w:p w14:paraId="3A77C0D6">
            <w:pPr>
              <w:spacing w:line="240" w:lineRule="exact"/>
              <w:jc w:val="center"/>
              <w:rPr>
                <w:rFonts w:ascii="宋体"/>
              </w:rPr>
            </w:pPr>
            <w:r>
              <w:rPr>
                <w:rFonts w:hint="eastAsia" w:ascii="宋体"/>
              </w:rPr>
              <w:t>15-20万元</w:t>
            </w:r>
          </w:p>
        </w:tc>
      </w:tr>
    </w:tbl>
    <w:p w14:paraId="1D400F76">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3444"/>
        <w:gridCol w:w="3695"/>
        <w:gridCol w:w="1060"/>
        <w:gridCol w:w="4886"/>
        <w:gridCol w:w="4920"/>
      </w:tblGrid>
      <w:tr w14:paraId="78D7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1123" w:type="dxa"/>
            <w:vMerge w:val="restart"/>
            <w:vAlign w:val="center"/>
          </w:tcPr>
          <w:p w14:paraId="1A035F24">
            <w:pPr>
              <w:spacing w:line="240" w:lineRule="exact"/>
              <w:jc w:val="center"/>
              <w:rPr>
                <w:rFonts w:ascii="宋体"/>
                <w:b/>
              </w:rPr>
            </w:pPr>
            <w:r>
              <w:rPr>
                <w:rFonts w:hint="eastAsia" w:ascii="宋体"/>
                <w:b/>
              </w:rPr>
              <w:t>案由</w:t>
            </w:r>
            <w:r>
              <w:rPr>
                <w:rFonts w:hint="eastAsia" w:ascii="宋体"/>
                <w:b/>
                <w:bCs/>
              </w:rPr>
              <w:t>33</w:t>
            </w:r>
          </w:p>
        </w:tc>
        <w:tc>
          <w:tcPr>
            <w:tcW w:w="7139" w:type="dxa"/>
            <w:gridSpan w:val="2"/>
            <w:vAlign w:val="center"/>
          </w:tcPr>
          <w:p w14:paraId="64AA5F86">
            <w:pPr>
              <w:spacing w:line="240" w:lineRule="exact"/>
              <w:jc w:val="center"/>
              <w:rPr>
                <w:rFonts w:ascii="宋体"/>
                <w:b/>
              </w:rPr>
            </w:pPr>
            <w:r>
              <w:rPr>
                <w:rFonts w:hint="eastAsia" w:ascii="宋体"/>
                <w:b/>
              </w:rPr>
              <w:t>法律依据</w:t>
            </w:r>
          </w:p>
        </w:tc>
        <w:tc>
          <w:tcPr>
            <w:tcW w:w="1060" w:type="dxa"/>
            <w:vMerge w:val="restart"/>
            <w:vAlign w:val="center"/>
          </w:tcPr>
          <w:p w14:paraId="0A6D9510">
            <w:pPr>
              <w:spacing w:line="240" w:lineRule="exact"/>
              <w:jc w:val="center"/>
              <w:rPr>
                <w:rFonts w:ascii="宋体"/>
                <w:b/>
              </w:rPr>
            </w:pPr>
            <w:r>
              <w:rPr>
                <w:rFonts w:hint="eastAsia" w:ascii="宋体"/>
                <w:b/>
              </w:rPr>
              <w:t>违法情节</w:t>
            </w:r>
          </w:p>
        </w:tc>
        <w:tc>
          <w:tcPr>
            <w:tcW w:w="4886" w:type="dxa"/>
            <w:vMerge w:val="restart"/>
            <w:vAlign w:val="center"/>
          </w:tcPr>
          <w:p w14:paraId="0F12E4B0">
            <w:pPr>
              <w:spacing w:line="240" w:lineRule="exact"/>
              <w:jc w:val="center"/>
              <w:rPr>
                <w:rFonts w:ascii="宋体"/>
                <w:b/>
              </w:rPr>
            </w:pPr>
            <w:r>
              <w:rPr>
                <w:rFonts w:hint="eastAsia" w:ascii="宋体"/>
                <w:b/>
              </w:rPr>
              <w:t>主要考虑因素（事实、性质、情节、危害程度和实际后果等）</w:t>
            </w:r>
          </w:p>
        </w:tc>
        <w:tc>
          <w:tcPr>
            <w:tcW w:w="4920" w:type="dxa"/>
            <w:tcBorders>
              <w:bottom w:val="single" w:color="auto" w:sz="4" w:space="0"/>
              <w:right w:val="single" w:color="auto" w:sz="4" w:space="0"/>
            </w:tcBorders>
            <w:vAlign w:val="center"/>
          </w:tcPr>
          <w:p w14:paraId="7FC5784C">
            <w:pPr>
              <w:spacing w:line="240" w:lineRule="exact"/>
              <w:jc w:val="left"/>
              <w:rPr>
                <w:rFonts w:ascii="宋体"/>
                <w:b/>
              </w:rPr>
            </w:pPr>
            <w:r>
              <w:rPr>
                <w:rFonts w:hint="eastAsia" w:ascii="宋体"/>
                <w:b/>
              </w:rPr>
              <w:t>【法定幅度和种类】</w:t>
            </w:r>
            <w:r>
              <w:rPr>
                <w:rFonts w:hint="eastAsia" w:ascii="宋体"/>
                <w:bCs/>
              </w:rPr>
              <w:t>由国家主管机关或者区域主管机关责令其停止活动，并可以处2000元以下罚款。</w:t>
            </w:r>
          </w:p>
        </w:tc>
      </w:tr>
      <w:tr w14:paraId="23696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123" w:type="dxa"/>
            <w:vMerge w:val="continue"/>
            <w:vAlign w:val="center"/>
          </w:tcPr>
          <w:p w14:paraId="737CCDF4">
            <w:pPr>
              <w:spacing w:line="240" w:lineRule="exact"/>
              <w:jc w:val="center"/>
              <w:rPr>
                <w:rFonts w:ascii="宋体"/>
                <w:b/>
              </w:rPr>
            </w:pPr>
          </w:p>
        </w:tc>
        <w:tc>
          <w:tcPr>
            <w:tcW w:w="3444" w:type="dxa"/>
            <w:vAlign w:val="center"/>
          </w:tcPr>
          <w:p w14:paraId="491CB209">
            <w:pPr>
              <w:spacing w:line="240" w:lineRule="exact"/>
              <w:jc w:val="center"/>
              <w:rPr>
                <w:rFonts w:ascii="宋体"/>
                <w:b/>
              </w:rPr>
            </w:pPr>
            <w:r>
              <w:rPr>
                <w:rFonts w:hint="eastAsia" w:ascii="宋体"/>
                <w:b/>
              </w:rPr>
              <w:t>违反条款</w:t>
            </w:r>
          </w:p>
        </w:tc>
        <w:tc>
          <w:tcPr>
            <w:tcW w:w="3695" w:type="dxa"/>
            <w:vAlign w:val="center"/>
          </w:tcPr>
          <w:p w14:paraId="0316DC25">
            <w:pPr>
              <w:spacing w:line="240" w:lineRule="exact"/>
              <w:jc w:val="center"/>
              <w:rPr>
                <w:rFonts w:ascii="宋体"/>
                <w:b/>
              </w:rPr>
            </w:pPr>
            <w:r>
              <w:rPr>
                <w:rFonts w:hint="eastAsia" w:ascii="宋体"/>
                <w:b/>
              </w:rPr>
              <w:t>处罚依据</w:t>
            </w:r>
          </w:p>
        </w:tc>
        <w:tc>
          <w:tcPr>
            <w:tcW w:w="1060" w:type="dxa"/>
            <w:vMerge w:val="continue"/>
            <w:vAlign w:val="center"/>
          </w:tcPr>
          <w:p w14:paraId="62FB825A">
            <w:pPr>
              <w:spacing w:line="240" w:lineRule="exact"/>
              <w:jc w:val="center"/>
              <w:rPr>
                <w:rFonts w:ascii="宋体"/>
                <w:b/>
              </w:rPr>
            </w:pPr>
          </w:p>
        </w:tc>
        <w:tc>
          <w:tcPr>
            <w:tcW w:w="4886" w:type="dxa"/>
            <w:vMerge w:val="continue"/>
            <w:vAlign w:val="center"/>
          </w:tcPr>
          <w:p w14:paraId="4F6B6FFE">
            <w:pPr>
              <w:spacing w:line="240" w:lineRule="exact"/>
              <w:jc w:val="center"/>
              <w:rPr>
                <w:rFonts w:ascii="宋体"/>
                <w:b/>
              </w:rPr>
            </w:pPr>
          </w:p>
        </w:tc>
        <w:tc>
          <w:tcPr>
            <w:tcW w:w="4920" w:type="dxa"/>
            <w:tcBorders>
              <w:top w:val="single" w:color="auto" w:sz="4" w:space="0"/>
              <w:bottom w:val="single" w:color="auto" w:sz="4" w:space="0"/>
              <w:right w:val="single" w:color="auto" w:sz="4" w:space="0"/>
            </w:tcBorders>
            <w:vAlign w:val="center"/>
          </w:tcPr>
          <w:p w14:paraId="69D9185F">
            <w:pPr>
              <w:spacing w:line="240" w:lineRule="exact"/>
              <w:jc w:val="center"/>
              <w:rPr>
                <w:rFonts w:ascii="宋体"/>
                <w:b/>
              </w:rPr>
            </w:pPr>
            <w:r>
              <w:rPr>
                <w:rFonts w:hint="eastAsia" w:ascii="宋体"/>
                <w:b/>
              </w:rPr>
              <w:t>【对象】申请人</w:t>
            </w:r>
          </w:p>
        </w:tc>
      </w:tr>
      <w:tr w14:paraId="6C4F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123" w:type="dxa"/>
            <w:vMerge w:val="restart"/>
            <w:vAlign w:val="center"/>
          </w:tcPr>
          <w:p w14:paraId="04A1A0FD">
            <w:pPr>
              <w:spacing w:line="240" w:lineRule="exact"/>
              <w:jc w:val="left"/>
              <w:rPr>
                <w:rFonts w:ascii="宋体"/>
              </w:rPr>
            </w:pPr>
            <w:r>
              <w:rPr>
                <w:rFonts w:hint="eastAsia" w:ascii="宋体"/>
              </w:rPr>
              <w:t>未按规定重新申请发布海上航行警告、航行通告</w:t>
            </w:r>
          </w:p>
        </w:tc>
        <w:tc>
          <w:tcPr>
            <w:tcW w:w="3444" w:type="dxa"/>
            <w:vMerge w:val="restart"/>
            <w:vAlign w:val="center"/>
          </w:tcPr>
          <w:p w14:paraId="647CCB5F">
            <w:pPr>
              <w:widowControl/>
              <w:spacing w:line="240" w:lineRule="exact"/>
              <w:jc w:val="left"/>
              <w:rPr>
                <w:rFonts w:ascii="宋体"/>
                <w:kern w:val="0"/>
              </w:rPr>
            </w:pPr>
            <w:r>
              <w:rPr>
                <w:rFonts w:hint="eastAsia" w:ascii="宋体"/>
                <w:kern w:val="0"/>
              </w:rPr>
              <w:t>1.《中华人民共和国海上航行警告和航行通告管理规定》第八条。</w:t>
            </w:r>
          </w:p>
        </w:tc>
        <w:tc>
          <w:tcPr>
            <w:tcW w:w="3695" w:type="dxa"/>
            <w:vMerge w:val="restart"/>
            <w:vAlign w:val="center"/>
          </w:tcPr>
          <w:p w14:paraId="4C0E8A9A">
            <w:pPr>
              <w:spacing w:line="240" w:lineRule="exact"/>
              <w:jc w:val="left"/>
              <w:rPr>
                <w:rFonts w:ascii="宋体"/>
              </w:rPr>
            </w:pPr>
            <w:r>
              <w:rPr>
                <w:rFonts w:hint="eastAsia" w:ascii="宋体"/>
              </w:rPr>
              <w:t>1.《中华人民共和国海上航行警告和航行通告管理规定》第十七条。</w:t>
            </w:r>
          </w:p>
          <w:p w14:paraId="15F9EBD6">
            <w:pPr>
              <w:spacing w:line="240" w:lineRule="exact"/>
              <w:jc w:val="left"/>
              <w:rPr>
                <w:rFonts w:ascii="宋体"/>
              </w:rPr>
            </w:pPr>
            <w:r>
              <w:rPr>
                <w:rFonts w:hint="eastAsia" w:ascii="宋体"/>
                <w:kern w:val="0"/>
              </w:rPr>
              <w:t xml:space="preserve">2.《中华人民共和国海上海事行政处罚规定》第二十四条。 </w:t>
            </w:r>
          </w:p>
          <w:p w14:paraId="173ED6FF">
            <w:pPr>
              <w:spacing w:line="240" w:lineRule="exact"/>
              <w:jc w:val="left"/>
              <w:rPr>
                <w:rFonts w:ascii="宋体"/>
                <w:kern w:val="0"/>
              </w:rPr>
            </w:pPr>
            <w:r>
              <w:rPr>
                <w:rFonts w:hint="eastAsia" w:ascii="宋体"/>
                <w:kern w:val="0"/>
              </w:rPr>
              <w:t>3.《中华人民共和国海上海事行政处罚规定》第七条。</w:t>
            </w:r>
          </w:p>
        </w:tc>
        <w:tc>
          <w:tcPr>
            <w:tcW w:w="1060" w:type="dxa"/>
            <w:vAlign w:val="center"/>
          </w:tcPr>
          <w:p w14:paraId="34249B59">
            <w:pPr>
              <w:spacing w:line="240" w:lineRule="exact"/>
              <w:jc w:val="center"/>
              <w:rPr>
                <w:rFonts w:ascii="宋体"/>
              </w:rPr>
            </w:pPr>
            <w:r>
              <w:rPr>
                <w:rFonts w:hint="eastAsia" w:ascii="宋体"/>
              </w:rPr>
              <w:t>从轻</w:t>
            </w:r>
          </w:p>
        </w:tc>
        <w:tc>
          <w:tcPr>
            <w:tcW w:w="4886" w:type="dxa"/>
            <w:vAlign w:val="center"/>
          </w:tcPr>
          <w:p w14:paraId="596AAD25">
            <w:pPr>
              <w:widowControl/>
              <w:spacing w:line="240" w:lineRule="exact"/>
              <w:jc w:val="left"/>
              <w:rPr>
                <w:rFonts w:ascii="宋体"/>
                <w:kern w:val="0"/>
              </w:rPr>
            </w:pPr>
            <w:r>
              <w:rPr>
                <w:rFonts w:hint="eastAsia" w:ascii="宋体"/>
                <w:kern w:val="0"/>
              </w:rPr>
              <w:t>具有法定从轻处罚情节的</w:t>
            </w:r>
          </w:p>
        </w:tc>
        <w:tc>
          <w:tcPr>
            <w:tcW w:w="4920" w:type="dxa"/>
            <w:tcBorders>
              <w:bottom w:val="single" w:color="auto" w:sz="4" w:space="0"/>
              <w:right w:val="single" w:color="auto" w:sz="4" w:space="0"/>
            </w:tcBorders>
            <w:vAlign w:val="center"/>
          </w:tcPr>
          <w:p w14:paraId="008BB854">
            <w:pPr>
              <w:widowControl/>
              <w:spacing w:line="240" w:lineRule="exact"/>
              <w:jc w:val="center"/>
              <w:rPr>
                <w:rFonts w:ascii="宋体"/>
                <w:kern w:val="0"/>
              </w:rPr>
            </w:pPr>
            <w:r>
              <w:rPr>
                <w:rFonts w:hint="eastAsia" w:ascii="宋体"/>
                <w:kern w:val="0"/>
              </w:rPr>
              <w:t>500元以下，责令其停止</w:t>
            </w:r>
            <w:r>
              <w:rPr>
                <w:rFonts w:hint="eastAsia" w:ascii="宋体"/>
                <w:bCs/>
              </w:rPr>
              <w:t>施工作业或者</w:t>
            </w:r>
            <w:r>
              <w:rPr>
                <w:rFonts w:hint="eastAsia" w:ascii="宋体"/>
                <w:kern w:val="0"/>
              </w:rPr>
              <w:t>活动，</w:t>
            </w:r>
          </w:p>
        </w:tc>
      </w:tr>
      <w:tr w14:paraId="22C9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23" w:type="dxa"/>
            <w:vMerge w:val="continue"/>
            <w:vAlign w:val="center"/>
          </w:tcPr>
          <w:p w14:paraId="5663C24D">
            <w:pPr>
              <w:spacing w:line="240" w:lineRule="exact"/>
              <w:jc w:val="left"/>
              <w:rPr>
                <w:rFonts w:ascii="宋体"/>
              </w:rPr>
            </w:pPr>
          </w:p>
        </w:tc>
        <w:tc>
          <w:tcPr>
            <w:tcW w:w="3444" w:type="dxa"/>
            <w:vMerge w:val="continue"/>
            <w:vAlign w:val="center"/>
          </w:tcPr>
          <w:p w14:paraId="1BB19939">
            <w:pPr>
              <w:widowControl/>
              <w:spacing w:line="240" w:lineRule="exact"/>
              <w:jc w:val="left"/>
              <w:rPr>
                <w:rFonts w:ascii="宋体"/>
              </w:rPr>
            </w:pPr>
          </w:p>
        </w:tc>
        <w:tc>
          <w:tcPr>
            <w:tcW w:w="3695" w:type="dxa"/>
            <w:vMerge w:val="continue"/>
            <w:vAlign w:val="center"/>
          </w:tcPr>
          <w:p w14:paraId="3EA8A63D">
            <w:pPr>
              <w:spacing w:line="240" w:lineRule="exact"/>
              <w:jc w:val="left"/>
              <w:rPr>
                <w:rFonts w:ascii="宋体"/>
              </w:rPr>
            </w:pPr>
          </w:p>
        </w:tc>
        <w:tc>
          <w:tcPr>
            <w:tcW w:w="1060" w:type="dxa"/>
            <w:vMerge w:val="restart"/>
            <w:vAlign w:val="center"/>
          </w:tcPr>
          <w:p w14:paraId="222141D1">
            <w:pPr>
              <w:spacing w:line="240" w:lineRule="exact"/>
              <w:jc w:val="center"/>
              <w:rPr>
                <w:rFonts w:ascii="宋体"/>
              </w:rPr>
            </w:pPr>
            <w:r>
              <w:rPr>
                <w:rFonts w:hint="eastAsia" w:ascii="宋体"/>
              </w:rPr>
              <w:t>一般</w:t>
            </w:r>
          </w:p>
        </w:tc>
        <w:tc>
          <w:tcPr>
            <w:tcW w:w="4886" w:type="dxa"/>
            <w:tcBorders>
              <w:top w:val="single" w:color="auto" w:sz="4" w:space="0"/>
              <w:bottom w:val="single" w:color="auto" w:sz="4" w:space="0"/>
            </w:tcBorders>
            <w:vAlign w:val="center"/>
          </w:tcPr>
          <w:p w14:paraId="44532DBA">
            <w:pPr>
              <w:widowControl/>
              <w:spacing w:before="180" w:line="240" w:lineRule="exact"/>
              <w:jc w:val="left"/>
              <w:rPr>
                <w:rFonts w:ascii="宋体"/>
                <w:kern w:val="0"/>
              </w:rPr>
            </w:pPr>
            <w:r>
              <w:rPr>
                <w:rFonts w:hint="eastAsia" w:ascii="宋体"/>
                <w:kern w:val="0"/>
              </w:rPr>
              <w:t>变更施工作业或者活动时间或者改换区域未重新申请</w:t>
            </w:r>
          </w:p>
        </w:tc>
        <w:tc>
          <w:tcPr>
            <w:tcW w:w="4920" w:type="dxa"/>
            <w:tcBorders>
              <w:right w:val="single" w:color="auto" w:sz="4" w:space="0"/>
            </w:tcBorders>
            <w:vAlign w:val="center"/>
          </w:tcPr>
          <w:p w14:paraId="0B10089A">
            <w:pPr>
              <w:widowControl/>
              <w:spacing w:line="240" w:lineRule="exact"/>
              <w:jc w:val="center"/>
              <w:rPr>
                <w:rFonts w:ascii="宋体"/>
                <w:kern w:val="0"/>
              </w:rPr>
            </w:pPr>
            <w:r>
              <w:rPr>
                <w:rFonts w:hint="eastAsia" w:ascii="宋体"/>
                <w:kern w:val="0"/>
              </w:rPr>
              <w:t>500-1000元，责令其停止</w:t>
            </w:r>
            <w:r>
              <w:rPr>
                <w:rFonts w:hint="eastAsia" w:ascii="宋体"/>
                <w:bCs/>
              </w:rPr>
              <w:t>施工作业或者</w:t>
            </w:r>
            <w:r>
              <w:rPr>
                <w:rFonts w:hint="eastAsia" w:ascii="宋体"/>
                <w:kern w:val="0"/>
              </w:rPr>
              <w:t>活动，</w:t>
            </w:r>
          </w:p>
        </w:tc>
      </w:tr>
      <w:tr w14:paraId="05C86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123" w:type="dxa"/>
            <w:vMerge w:val="continue"/>
            <w:vAlign w:val="center"/>
          </w:tcPr>
          <w:p w14:paraId="199BA484">
            <w:pPr>
              <w:spacing w:line="240" w:lineRule="exact"/>
              <w:jc w:val="left"/>
              <w:rPr>
                <w:rFonts w:ascii="宋体"/>
              </w:rPr>
            </w:pPr>
          </w:p>
        </w:tc>
        <w:tc>
          <w:tcPr>
            <w:tcW w:w="3444" w:type="dxa"/>
            <w:vMerge w:val="continue"/>
            <w:vAlign w:val="center"/>
          </w:tcPr>
          <w:p w14:paraId="51C3529E">
            <w:pPr>
              <w:widowControl/>
              <w:spacing w:line="240" w:lineRule="exact"/>
              <w:jc w:val="left"/>
              <w:rPr>
                <w:rFonts w:ascii="宋体"/>
              </w:rPr>
            </w:pPr>
          </w:p>
        </w:tc>
        <w:tc>
          <w:tcPr>
            <w:tcW w:w="3695" w:type="dxa"/>
            <w:vMerge w:val="continue"/>
            <w:vAlign w:val="center"/>
          </w:tcPr>
          <w:p w14:paraId="314C44F7">
            <w:pPr>
              <w:spacing w:line="240" w:lineRule="exact"/>
              <w:jc w:val="left"/>
              <w:rPr>
                <w:rFonts w:ascii="宋体"/>
              </w:rPr>
            </w:pPr>
          </w:p>
        </w:tc>
        <w:tc>
          <w:tcPr>
            <w:tcW w:w="1060" w:type="dxa"/>
            <w:vMerge w:val="continue"/>
            <w:vAlign w:val="center"/>
          </w:tcPr>
          <w:p w14:paraId="596FD6B8">
            <w:pPr>
              <w:spacing w:line="240" w:lineRule="exact"/>
              <w:jc w:val="center"/>
              <w:rPr>
                <w:rFonts w:ascii="宋体"/>
              </w:rPr>
            </w:pPr>
          </w:p>
        </w:tc>
        <w:tc>
          <w:tcPr>
            <w:tcW w:w="4886" w:type="dxa"/>
            <w:tcBorders>
              <w:top w:val="single" w:color="auto" w:sz="4" w:space="0"/>
              <w:bottom w:val="single" w:color="auto" w:sz="4" w:space="0"/>
            </w:tcBorders>
            <w:vAlign w:val="center"/>
          </w:tcPr>
          <w:p w14:paraId="04BE8CB2">
            <w:pPr>
              <w:widowControl/>
              <w:spacing w:line="240" w:lineRule="exact"/>
              <w:jc w:val="left"/>
              <w:rPr>
                <w:rFonts w:ascii="宋体"/>
                <w:kern w:val="0"/>
              </w:rPr>
            </w:pPr>
            <w:r>
              <w:rPr>
                <w:rFonts w:hint="eastAsia" w:ascii="宋体"/>
                <w:kern w:val="0"/>
              </w:rPr>
              <w:t>具有其他较重情节的</w:t>
            </w:r>
          </w:p>
        </w:tc>
        <w:tc>
          <w:tcPr>
            <w:tcW w:w="4920" w:type="dxa"/>
            <w:tcBorders>
              <w:right w:val="single" w:color="auto" w:sz="4" w:space="0"/>
            </w:tcBorders>
            <w:vAlign w:val="center"/>
          </w:tcPr>
          <w:p w14:paraId="4463D193">
            <w:pPr>
              <w:widowControl/>
              <w:spacing w:line="240" w:lineRule="exact"/>
              <w:jc w:val="center"/>
              <w:rPr>
                <w:rFonts w:ascii="宋体"/>
                <w:kern w:val="0"/>
              </w:rPr>
            </w:pPr>
            <w:r>
              <w:rPr>
                <w:rFonts w:hint="eastAsia" w:ascii="宋体"/>
                <w:kern w:val="0"/>
              </w:rPr>
              <w:t>1000-2000元，责令其停止</w:t>
            </w:r>
            <w:r>
              <w:rPr>
                <w:rFonts w:hint="eastAsia" w:ascii="宋体"/>
                <w:bCs/>
              </w:rPr>
              <w:t>施工作业或者</w:t>
            </w:r>
            <w:r>
              <w:rPr>
                <w:rFonts w:hint="eastAsia" w:ascii="宋体"/>
                <w:kern w:val="0"/>
              </w:rPr>
              <w:t xml:space="preserve">活动 </w:t>
            </w:r>
          </w:p>
        </w:tc>
      </w:tr>
      <w:tr w14:paraId="603A9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123" w:type="dxa"/>
            <w:vMerge w:val="continue"/>
            <w:vAlign w:val="center"/>
          </w:tcPr>
          <w:p w14:paraId="62BF9DBC">
            <w:pPr>
              <w:spacing w:line="240" w:lineRule="exact"/>
              <w:jc w:val="left"/>
              <w:rPr>
                <w:rFonts w:ascii="宋体"/>
              </w:rPr>
            </w:pPr>
          </w:p>
        </w:tc>
        <w:tc>
          <w:tcPr>
            <w:tcW w:w="3444" w:type="dxa"/>
            <w:vMerge w:val="continue"/>
            <w:vAlign w:val="center"/>
          </w:tcPr>
          <w:p w14:paraId="4390F3DD">
            <w:pPr>
              <w:spacing w:line="240" w:lineRule="exact"/>
              <w:jc w:val="left"/>
              <w:rPr>
                <w:rFonts w:ascii="宋体"/>
              </w:rPr>
            </w:pPr>
          </w:p>
        </w:tc>
        <w:tc>
          <w:tcPr>
            <w:tcW w:w="3695" w:type="dxa"/>
            <w:vMerge w:val="continue"/>
            <w:vAlign w:val="center"/>
          </w:tcPr>
          <w:p w14:paraId="075B6096">
            <w:pPr>
              <w:spacing w:line="240" w:lineRule="exact"/>
              <w:jc w:val="left"/>
              <w:rPr>
                <w:rFonts w:ascii="宋体"/>
              </w:rPr>
            </w:pPr>
          </w:p>
        </w:tc>
        <w:tc>
          <w:tcPr>
            <w:tcW w:w="1060" w:type="dxa"/>
            <w:vMerge w:val="continue"/>
            <w:vAlign w:val="center"/>
          </w:tcPr>
          <w:p w14:paraId="1AFC7045">
            <w:pPr>
              <w:spacing w:line="240" w:lineRule="exact"/>
              <w:jc w:val="center"/>
              <w:rPr>
                <w:rFonts w:ascii="宋体"/>
              </w:rPr>
            </w:pPr>
          </w:p>
        </w:tc>
        <w:tc>
          <w:tcPr>
            <w:tcW w:w="4886" w:type="dxa"/>
            <w:tcBorders>
              <w:top w:val="single" w:color="auto" w:sz="4" w:space="0"/>
              <w:left w:val="single" w:color="auto" w:sz="4" w:space="0"/>
              <w:bottom w:val="single" w:color="auto" w:sz="4" w:space="0"/>
            </w:tcBorders>
            <w:vAlign w:val="center"/>
          </w:tcPr>
          <w:p w14:paraId="55345C50">
            <w:pPr>
              <w:widowControl/>
              <w:spacing w:line="240" w:lineRule="exact"/>
              <w:jc w:val="left"/>
              <w:rPr>
                <w:rFonts w:ascii="宋体"/>
                <w:kern w:val="0"/>
              </w:rPr>
            </w:pPr>
            <w:r>
              <w:rPr>
                <w:rFonts w:hint="eastAsia" w:ascii="宋体"/>
                <w:kern w:val="0"/>
              </w:rPr>
              <w:t>造成险情的</w:t>
            </w:r>
          </w:p>
        </w:tc>
        <w:tc>
          <w:tcPr>
            <w:tcW w:w="4920" w:type="dxa"/>
            <w:tcBorders>
              <w:top w:val="single" w:color="auto" w:sz="4" w:space="0"/>
              <w:bottom w:val="single" w:color="auto" w:sz="4" w:space="0"/>
              <w:right w:val="single" w:color="auto" w:sz="4" w:space="0"/>
            </w:tcBorders>
            <w:vAlign w:val="center"/>
          </w:tcPr>
          <w:p w14:paraId="457FA046">
            <w:pPr>
              <w:widowControl/>
              <w:spacing w:line="240" w:lineRule="exact"/>
              <w:jc w:val="center"/>
              <w:rPr>
                <w:rFonts w:ascii="宋体"/>
                <w:kern w:val="0"/>
              </w:rPr>
            </w:pPr>
            <w:r>
              <w:rPr>
                <w:rFonts w:hint="eastAsia" w:ascii="宋体"/>
                <w:kern w:val="0"/>
              </w:rPr>
              <w:t>1500-2000元，责令其停止</w:t>
            </w:r>
            <w:r>
              <w:rPr>
                <w:rFonts w:hint="eastAsia" w:ascii="宋体"/>
                <w:bCs/>
              </w:rPr>
              <w:t>施工作业或者</w:t>
            </w:r>
            <w:r>
              <w:rPr>
                <w:rFonts w:hint="eastAsia" w:ascii="宋体"/>
                <w:kern w:val="0"/>
              </w:rPr>
              <w:t>活动</w:t>
            </w:r>
          </w:p>
        </w:tc>
      </w:tr>
      <w:tr w14:paraId="7C74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123" w:type="dxa"/>
            <w:vMerge w:val="continue"/>
            <w:vAlign w:val="center"/>
          </w:tcPr>
          <w:p w14:paraId="14397B35">
            <w:pPr>
              <w:widowControl/>
              <w:spacing w:line="240" w:lineRule="exact"/>
              <w:jc w:val="center"/>
              <w:rPr>
                <w:rFonts w:ascii="宋体"/>
                <w:kern w:val="0"/>
              </w:rPr>
            </w:pPr>
          </w:p>
        </w:tc>
        <w:tc>
          <w:tcPr>
            <w:tcW w:w="3444" w:type="dxa"/>
            <w:vMerge w:val="continue"/>
            <w:vAlign w:val="center"/>
          </w:tcPr>
          <w:p w14:paraId="2900299C">
            <w:pPr>
              <w:widowControl/>
              <w:spacing w:line="240" w:lineRule="exact"/>
              <w:jc w:val="center"/>
              <w:rPr>
                <w:rFonts w:ascii="宋体"/>
                <w:kern w:val="0"/>
              </w:rPr>
            </w:pPr>
          </w:p>
        </w:tc>
        <w:tc>
          <w:tcPr>
            <w:tcW w:w="3695" w:type="dxa"/>
            <w:vMerge w:val="continue"/>
            <w:vAlign w:val="center"/>
          </w:tcPr>
          <w:p w14:paraId="55B21DE0">
            <w:pPr>
              <w:widowControl/>
              <w:spacing w:line="240" w:lineRule="exact"/>
              <w:jc w:val="center"/>
              <w:rPr>
                <w:rFonts w:ascii="宋体"/>
                <w:kern w:val="0"/>
              </w:rPr>
            </w:pPr>
          </w:p>
        </w:tc>
        <w:tc>
          <w:tcPr>
            <w:tcW w:w="1060" w:type="dxa"/>
            <w:vMerge w:val="continue"/>
            <w:vAlign w:val="center"/>
          </w:tcPr>
          <w:p w14:paraId="00FC7040">
            <w:pPr>
              <w:widowControl/>
              <w:spacing w:line="240" w:lineRule="exact"/>
              <w:jc w:val="center"/>
              <w:rPr>
                <w:rFonts w:ascii="宋体"/>
                <w:kern w:val="0"/>
              </w:rPr>
            </w:pPr>
          </w:p>
        </w:tc>
        <w:tc>
          <w:tcPr>
            <w:tcW w:w="4886" w:type="dxa"/>
            <w:tcBorders>
              <w:top w:val="single" w:color="auto" w:sz="4" w:space="0"/>
              <w:left w:val="single" w:color="auto" w:sz="4" w:space="0"/>
              <w:bottom w:val="single" w:color="auto" w:sz="4" w:space="0"/>
            </w:tcBorders>
            <w:vAlign w:val="center"/>
          </w:tcPr>
          <w:p w14:paraId="0266E693">
            <w:pPr>
              <w:widowControl/>
              <w:spacing w:line="240" w:lineRule="exact"/>
              <w:jc w:val="left"/>
              <w:rPr>
                <w:rFonts w:ascii="宋体"/>
                <w:kern w:val="0"/>
              </w:rPr>
            </w:pPr>
            <w:r>
              <w:rPr>
                <w:rFonts w:hint="eastAsia" w:ascii="宋体"/>
                <w:kern w:val="0"/>
              </w:rPr>
              <w:t>造成事故的</w:t>
            </w:r>
          </w:p>
        </w:tc>
        <w:tc>
          <w:tcPr>
            <w:tcW w:w="4920" w:type="dxa"/>
            <w:tcBorders>
              <w:top w:val="single" w:color="auto" w:sz="4" w:space="0"/>
              <w:bottom w:val="single" w:color="auto" w:sz="4" w:space="0"/>
              <w:right w:val="single" w:color="auto" w:sz="4" w:space="0"/>
            </w:tcBorders>
            <w:vAlign w:val="center"/>
          </w:tcPr>
          <w:p w14:paraId="36D4061F">
            <w:pPr>
              <w:widowControl/>
              <w:spacing w:line="240" w:lineRule="exact"/>
              <w:jc w:val="center"/>
              <w:rPr>
                <w:rFonts w:ascii="宋体"/>
                <w:kern w:val="0"/>
              </w:rPr>
            </w:pPr>
            <w:r>
              <w:rPr>
                <w:rFonts w:hint="eastAsia" w:ascii="宋体"/>
                <w:kern w:val="0"/>
              </w:rPr>
              <w:t>2000元，责令其停止</w:t>
            </w:r>
            <w:r>
              <w:rPr>
                <w:rFonts w:hint="eastAsia" w:ascii="宋体"/>
                <w:bCs/>
              </w:rPr>
              <w:t>施工作业或者</w:t>
            </w:r>
            <w:r>
              <w:rPr>
                <w:rFonts w:hint="eastAsia" w:ascii="宋体"/>
                <w:kern w:val="0"/>
              </w:rPr>
              <w:t>活动</w:t>
            </w:r>
          </w:p>
        </w:tc>
      </w:tr>
      <w:tr w14:paraId="2F1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19128" w:type="dxa"/>
            <w:gridSpan w:val="6"/>
            <w:tcBorders>
              <w:right w:val="single" w:color="auto" w:sz="4" w:space="0"/>
            </w:tcBorders>
            <w:vAlign w:val="center"/>
          </w:tcPr>
          <w:p w14:paraId="2A0B0BDE">
            <w:pPr>
              <w:spacing w:line="240" w:lineRule="atLeast"/>
              <w:jc w:val="left"/>
              <w:rPr>
                <w:rFonts w:ascii="宋体"/>
                <w:kern w:val="0"/>
              </w:rPr>
            </w:pPr>
            <w:r>
              <w:rPr>
                <w:rFonts w:hint="eastAsia" w:ascii="宋体"/>
                <w:kern w:val="0"/>
              </w:rPr>
              <w:t>注：</w:t>
            </w:r>
          </w:p>
          <w:p w14:paraId="3C4769FB">
            <w:pPr>
              <w:widowControl/>
              <w:spacing w:line="240" w:lineRule="exact"/>
              <w:rPr>
                <w:rFonts w:ascii="宋体"/>
                <w:kern w:val="0"/>
              </w:rPr>
            </w:pPr>
            <w:r>
              <w:rPr>
                <w:rFonts w:hint="eastAsia" w:ascii="宋体"/>
              </w:rPr>
              <w:t>若因该违法行为造成事故的，还应按照《中华人民共和国海上海事行政处罚规定》第二十五条对“违反《海上航行警告和航行通告管理规定》，造成海上交通事故”的行为进行处罚</w:t>
            </w:r>
          </w:p>
        </w:tc>
      </w:tr>
    </w:tbl>
    <w:p w14:paraId="0AA7B4B1">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50"/>
        <w:gridCol w:w="1417"/>
        <w:gridCol w:w="1843"/>
        <w:gridCol w:w="992"/>
        <w:gridCol w:w="3654"/>
        <w:gridCol w:w="7068"/>
        <w:gridCol w:w="2310"/>
        <w:gridCol w:w="2561"/>
      </w:tblGrid>
      <w:tr w14:paraId="0844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10" w:hRule="atLeast"/>
        </w:trPr>
        <w:tc>
          <w:tcPr>
            <w:tcW w:w="1050" w:type="dxa"/>
            <w:vMerge w:val="restart"/>
            <w:vAlign w:val="center"/>
          </w:tcPr>
          <w:p w14:paraId="7691DF06">
            <w:pPr>
              <w:spacing w:line="240" w:lineRule="exact"/>
              <w:jc w:val="center"/>
              <w:rPr>
                <w:rFonts w:ascii="宋体"/>
                <w:b/>
                <w:kern w:val="0"/>
              </w:rPr>
            </w:pPr>
            <w:r>
              <w:rPr>
                <w:rFonts w:hint="eastAsia" w:ascii="宋体"/>
                <w:b/>
                <w:kern w:val="0"/>
              </w:rPr>
              <w:t>案由34</w:t>
            </w:r>
          </w:p>
        </w:tc>
        <w:tc>
          <w:tcPr>
            <w:tcW w:w="3260" w:type="dxa"/>
            <w:gridSpan w:val="2"/>
            <w:vAlign w:val="center"/>
          </w:tcPr>
          <w:p w14:paraId="3D3858F9">
            <w:pPr>
              <w:spacing w:line="240" w:lineRule="exact"/>
              <w:jc w:val="center"/>
              <w:rPr>
                <w:rFonts w:ascii="宋体"/>
                <w:b/>
                <w:kern w:val="0"/>
              </w:rPr>
            </w:pPr>
            <w:r>
              <w:rPr>
                <w:rFonts w:hint="eastAsia" w:ascii="宋体"/>
                <w:b/>
                <w:kern w:val="0"/>
              </w:rPr>
              <w:t>法律依据</w:t>
            </w:r>
          </w:p>
        </w:tc>
        <w:tc>
          <w:tcPr>
            <w:tcW w:w="992" w:type="dxa"/>
            <w:vMerge w:val="restart"/>
            <w:vAlign w:val="center"/>
          </w:tcPr>
          <w:p w14:paraId="01422E64">
            <w:pPr>
              <w:spacing w:line="240" w:lineRule="exact"/>
              <w:jc w:val="center"/>
              <w:rPr>
                <w:rFonts w:ascii="宋体"/>
                <w:b/>
                <w:kern w:val="0"/>
              </w:rPr>
            </w:pPr>
            <w:r>
              <w:rPr>
                <w:rFonts w:hint="eastAsia" w:ascii="宋体"/>
                <w:b/>
                <w:kern w:val="0"/>
              </w:rPr>
              <w:t>违法情节</w:t>
            </w:r>
          </w:p>
        </w:tc>
        <w:tc>
          <w:tcPr>
            <w:tcW w:w="3654" w:type="dxa"/>
            <w:vMerge w:val="restart"/>
            <w:vAlign w:val="center"/>
          </w:tcPr>
          <w:p w14:paraId="1F7A922B">
            <w:pPr>
              <w:spacing w:line="240" w:lineRule="exact"/>
              <w:jc w:val="center"/>
              <w:rPr>
                <w:rFonts w:ascii="宋体"/>
                <w:b/>
                <w:kern w:val="0"/>
              </w:rPr>
            </w:pPr>
            <w:r>
              <w:rPr>
                <w:rFonts w:hint="eastAsia" w:ascii="宋体"/>
                <w:b/>
                <w:kern w:val="0"/>
              </w:rPr>
              <w:t>主要考虑因素（事实、性质、情节、危害程度和实际后果等）</w:t>
            </w:r>
          </w:p>
        </w:tc>
        <w:tc>
          <w:tcPr>
            <w:tcW w:w="11939" w:type="dxa"/>
            <w:gridSpan w:val="3"/>
            <w:vAlign w:val="center"/>
          </w:tcPr>
          <w:p w14:paraId="7C69C55E">
            <w:pPr>
              <w:spacing w:line="240" w:lineRule="exact"/>
              <w:jc w:val="left"/>
              <w:rPr>
                <w:rFonts w:ascii="宋体"/>
                <w:b/>
                <w:kern w:val="0"/>
              </w:rPr>
            </w:pPr>
            <w:r>
              <w:rPr>
                <w:rFonts w:hint="eastAsia" w:ascii="宋体"/>
                <w:b/>
                <w:kern w:val="0"/>
              </w:rPr>
              <w:t>【法定幅度和种类】</w:t>
            </w:r>
            <w:r>
              <w:rPr>
                <w:rFonts w:hint="eastAsia" w:ascii="宋体"/>
                <w:kern w:val="0"/>
              </w:rPr>
              <w:t>由海事管理机构对船舶、设施所有人、经营人或者管理人处3000元以上1万元以下罚款；对船长或者设施主要负责人处2000元以上1万元以下罚款并对其他直接责任人员处1000元以上1万元以下罚款；情节严重的，并给予暂扣船员适任证书6个月至24个月直至吊销船员适任证书的处罚。</w:t>
            </w:r>
          </w:p>
        </w:tc>
      </w:tr>
      <w:tr w14:paraId="57CE0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9" w:hRule="atLeast"/>
        </w:trPr>
        <w:tc>
          <w:tcPr>
            <w:tcW w:w="1050" w:type="dxa"/>
            <w:vMerge w:val="continue"/>
            <w:vAlign w:val="center"/>
          </w:tcPr>
          <w:p w14:paraId="6CF832FA">
            <w:pPr>
              <w:spacing w:line="240" w:lineRule="exact"/>
              <w:jc w:val="center"/>
              <w:rPr>
                <w:rFonts w:ascii="宋体"/>
                <w:b/>
                <w:kern w:val="0"/>
              </w:rPr>
            </w:pPr>
          </w:p>
        </w:tc>
        <w:tc>
          <w:tcPr>
            <w:tcW w:w="1417" w:type="dxa"/>
            <w:tcBorders>
              <w:bottom w:val="single" w:color="000000" w:sz="4" w:space="0"/>
            </w:tcBorders>
            <w:vAlign w:val="center"/>
          </w:tcPr>
          <w:p w14:paraId="0310C156">
            <w:pPr>
              <w:spacing w:line="240" w:lineRule="exact"/>
              <w:jc w:val="center"/>
              <w:rPr>
                <w:rFonts w:ascii="宋体"/>
                <w:b/>
                <w:kern w:val="0"/>
              </w:rPr>
            </w:pPr>
            <w:r>
              <w:rPr>
                <w:rFonts w:hint="eastAsia" w:ascii="宋体"/>
                <w:b/>
                <w:kern w:val="0"/>
              </w:rPr>
              <w:t>违反条款</w:t>
            </w:r>
          </w:p>
        </w:tc>
        <w:tc>
          <w:tcPr>
            <w:tcW w:w="1843" w:type="dxa"/>
            <w:tcBorders>
              <w:bottom w:val="single" w:color="000000" w:sz="4" w:space="0"/>
            </w:tcBorders>
            <w:vAlign w:val="center"/>
          </w:tcPr>
          <w:p w14:paraId="79E54587">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594030C4">
            <w:pPr>
              <w:spacing w:line="240" w:lineRule="exact"/>
              <w:jc w:val="center"/>
              <w:rPr>
                <w:rFonts w:ascii="宋体"/>
                <w:b/>
                <w:kern w:val="0"/>
              </w:rPr>
            </w:pPr>
          </w:p>
        </w:tc>
        <w:tc>
          <w:tcPr>
            <w:tcW w:w="3654" w:type="dxa"/>
            <w:vMerge w:val="continue"/>
            <w:tcBorders>
              <w:bottom w:val="single" w:color="000000" w:sz="4" w:space="0"/>
            </w:tcBorders>
            <w:vAlign w:val="center"/>
          </w:tcPr>
          <w:p w14:paraId="6F998176">
            <w:pPr>
              <w:spacing w:line="240" w:lineRule="exact"/>
              <w:jc w:val="center"/>
              <w:rPr>
                <w:rFonts w:ascii="宋体"/>
                <w:b/>
                <w:kern w:val="0"/>
              </w:rPr>
            </w:pPr>
          </w:p>
        </w:tc>
        <w:tc>
          <w:tcPr>
            <w:tcW w:w="7068" w:type="dxa"/>
            <w:tcBorders>
              <w:top w:val="single" w:color="auto" w:sz="4" w:space="0"/>
              <w:right w:val="single" w:color="auto" w:sz="4" w:space="0"/>
            </w:tcBorders>
            <w:vAlign w:val="center"/>
          </w:tcPr>
          <w:p w14:paraId="338E37B2">
            <w:pPr>
              <w:spacing w:line="240" w:lineRule="exact"/>
              <w:jc w:val="center"/>
              <w:rPr>
                <w:rFonts w:ascii="宋体"/>
                <w:b/>
                <w:kern w:val="0"/>
              </w:rPr>
            </w:pPr>
            <w:r>
              <w:rPr>
                <w:rFonts w:hint="eastAsia" w:ascii="宋体"/>
                <w:b/>
                <w:kern w:val="0"/>
              </w:rPr>
              <w:t>【对象】对船舶、设施所有人、经营人或管理人</w:t>
            </w:r>
          </w:p>
        </w:tc>
        <w:tc>
          <w:tcPr>
            <w:tcW w:w="2310" w:type="dxa"/>
            <w:tcBorders>
              <w:top w:val="single" w:color="auto" w:sz="4" w:space="0"/>
              <w:left w:val="single" w:color="auto" w:sz="4" w:space="0"/>
            </w:tcBorders>
            <w:vAlign w:val="center"/>
          </w:tcPr>
          <w:p w14:paraId="05D85F51">
            <w:pPr>
              <w:spacing w:line="240" w:lineRule="exact"/>
              <w:jc w:val="center"/>
              <w:rPr>
                <w:rFonts w:ascii="宋体"/>
                <w:b/>
                <w:kern w:val="0"/>
              </w:rPr>
            </w:pPr>
            <w:r>
              <w:rPr>
                <w:rFonts w:hint="eastAsia" w:ascii="宋体"/>
                <w:b/>
                <w:kern w:val="0"/>
              </w:rPr>
              <w:t>【对象】船长或设施主要负责人</w:t>
            </w:r>
          </w:p>
        </w:tc>
        <w:tc>
          <w:tcPr>
            <w:tcW w:w="2561" w:type="dxa"/>
            <w:tcBorders>
              <w:top w:val="single" w:color="auto" w:sz="4" w:space="0"/>
              <w:left w:val="single" w:color="auto" w:sz="4" w:space="0"/>
            </w:tcBorders>
            <w:vAlign w:val="center"/>
          </w:tcPr>
          <w:p w14:paraId="699A81C0">
            <w:pPr>
              <w:spacing w:line="240" w:lineRule="exact"/>
              <w:jc w:val="center"/>
              <w:rPr>
                <w:rFonts w:ascii="宋体"/>
                <w:b/>
                <w:kern w:val="0"/>
              </w:rPr>
            </w:pPr>
            <w:r>
              <w:rPr>
                <w:rFonts w:hint="eastAsia" w:ascii="宋体"/>
                <w:b/>
                <w:kern w:val="0"/>
              </w:rPr>
              <w:t>【对象】其他直接责任人员</w:t>
            </w:r>
          </w:p>
        </w:tc>
      </w:tr>
      <w:tr w14:paraId="6373C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3" w:hRule="atLeast"/>
        </w:trPr>
        <w:tc>
          <w:tcPr>
            <w:tcW w:w="1050" w:type="dxa"/>
            <w:vMerge w:val="restart"/>
            <w:vAlign w:val="center"/>
          </w:tcPr>
          <w:p w14:paraId="0C1316A0">
            <w:pPr>
              <w:widowControl/>
              <w:spacing w:line="240" w:lineRule="exact"/>
              <w:jc w:val="left"/>
              <w:rPr>
                <w:rFonts w:ascii="宋体"/>
                <w:kern w:val="0"/>
              </w:rPr>
            </w:pPr>
            <w:r>
              <w:rPr>
                <w:rFonts w:hint="eastAsia" w:ascii="宋体"/>
                <w:kern w:val="0"/>
              </w:rPr>
              <w:t>违反《海上航行警告和航行通告管理规定》，造成海上交通事故</w:t>
            </w:r>
          </w:p>
        </w:tc>
        <w:tc>
          <w:tcPr>
            <w:tcW w:w="1417" w:type="dxa"/>
            <w:vMerge w:val="restart"/>
            <w:vAlign w:val="center"/>
          </w:tcPr>
          <w:p w14:paraId="44F23E97">
            <w:pPr>
              <w:pStyle w:val="13"/>
              <w:spacing w:line="240" w:lineRule="exact"/>
              <w:jc w:val="left"/>
              <w:rPr>
                <w:rFonts w:ascii="宋体"/>
              </w:rPr>
            </w:pPr>
            <w:r>
              <w:rPr>
                <w:rFonts w:hint="eastAsia" w:ascii="宋体"/>
              </w:rPr>
              <w:t xml:space="preserve"> 1.《海上航行警告和航行通告管理规定》相关条款。</w:t>
            </w:r>
          </w:p>
        </w:tc>
        <w:tc>
          <w:tcPr>
            <w:tcW w:w="1843" w:type="dxa"/>
            <w:vMerge w:val="restart"/>
            <w:vAlign w:val="center"/>
          </w:tcPr>
          <w:p w14:paraId="3AD7D613">
            <w:pPr>
              <w:spacing w:line="240" w:lineRule="exact"/>
              <w:jc w:val="left"/>
              <w:rPr>
                <w:rFonts w:ascii="宋体"/>
                <w:kern w:val="0"/>
              </w:rPr>
            </w:pPr>
            <w:r>
              <w:rPr>
                <w:rFonts w:hint="eastAsia" w:ascii="宋体"/>
                <w:kern w:val="0"/>
              </w:rPr>
              <w:t>1.《中华人民共和国海上海事行政处罚规定》第二十五条。</w:t>
            </w:r>
          </w:p>
          <w:p w14:paraId="2309C51A">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14:paraId="308244AA">
            <w:pPr>
              <w:spacing w:line="240" w:lineRule="exact"/>
              <w:jc w:val="center"/>
              <w:rPr>
                <w:rFonts w:ascii="宋体"/>
                <w:kern w:val="0"/>
              </w:rPr>
            </w:pPr>
            <w:r>
              <w:rPr>
                <w:rFonts w:hint="eastAsia" w:ascii="宋体"/>
                <w:kern w:val="0"/>
              </w:rPr>
              <w:t>从轻</w:t>
            </w:r>
          </w:p>
        </w:tc>
        <w:tc>
          <w:tcPr>
            <w:tcW w:w="3654" w:type="dxa"/>
            <w:vAlign w:val="center"/>
          </w:tcPr>
          <w:p w14:paraId="7DB43F54">
            <w:pPr>
              <w:spacing w:line="240" w:lineRule="exac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068" w:type="dxa"/>
            <w:tcBorders>
              <w:right w:val="single" w:color="auto" w:sz="4" w:space="0"/>
            </w:tcBorders>
            <w:vAlign w:val="center"/>
          </w:tcPr>
          <w:p w14:paraId="50553EEC">
            <w:pPr>
              <w:spacing w:line="240" w:lineRule="exact"/>
              <w:jc w:val="center"/>
              <w:rPr>
                <w:rFonts w:ascii="宋体"/>
                <w:kern w:val="0"/>
              </w:rPr>
            </w:pPr>
            <w:r>
              <w:rPr>
                <w:rFonts w:hint="eastAsia" w:ascii="宋体"/>
                <w:kern w:val="0"/>
              </w:rPr>
              <w:t>3000-4000元</w:t>
            </w:r>
          </w:p>
        </w:tc>
        <w:tc>
          <w:tcPr>
            <w:tcW w:w="2310" w:type="dxa"/>
            <w:tcBorders>
              <w:left w:val="single" w:color="auto" w:sz="4" w:space="0"/>
              <w:bottom w:val="single" w:color="auto" w:sz="4" w:space="0"/>
            </w:tcBorders>
            <w:vAlign w:val="center"/>
          </w:tcPr>
          <w:p w14:paraId="763A25F7">
            <w:pPr>
              <w:spacing w:line="240" w:lineRule="exact"/>
              <w:jc w:val="center"/>
              <w:rPr>
                <w:rFonts w:ascii="宋体"/>
                <w:kern w:val="0"/>
              </w:rPr>
            </w:pPr>
            <w:r>
              <w:rPr>
                <w:rFonts w:hint="eastAsia" w:ascii="宋体"/>
                <w:kern w:val="0"/>
              </w:rPr>
              <w:t>2000-3000元</w:t>
            </w:r>
          </w:p>
        </w:tc>
        <w:tc>
          <w:tcPr>
            <w:tcW w:w="2561" w:type="dxa"/>
            <w:tcBorders>
              <w:left w:val="single" w:color="auto" w:sz="4" w:space="0"/>
              <w:bottom w:val="single" w:color="auto" w:sz="4" w:space="0"/>
            </w:tcBorders>
            <w:vAlign w:val="center"/>
          </w:tcPr>
          <w:p w14:paraId="09139951">
            <w:pPr>
              <w:spacing w:line="240" w:lineRule="exact"/>
              <w:jc w:val="center"/>
              <w:rPr>
                <w:rFonts w:ascii="宋体"/>
                <w:kern w:val="0"/>
              </w:rPr>
            </w:pPr>
            <w:r>
              <w:rPr>
                <w:rFonts w:hint="eastAsia" w:ascii="宋体"/>
                <w:kern w:val="0"/>
              </w:rPr>
              <w:t>1000-2000元</w:t>
            </w:r>
          </w:p>
        </w:tc>
      </w:tr>
      <w:tr w14:paraId="2E880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50" w:type="dxa"/>
            <w:vMerge w:val="continue"/>
            <w:vAlign w:val="center"/>
          </w:tcPr>
          <w:p w14:paraId="4C6EC763">
            <w:pPr>
              <w:spacing w:line="240" w:lineRule="exact"/>
              <w:jc w:val="left"/>
              <w:rPr>
                <w:rFonts w:ascii="宋体"/>
                <w:kern w:val="0"/>
              </w:rPr>
            </w:pPr>
          </w:p>
        </w:tc>
        <w:tc>
          <w:tcPr>
            <w:tcW w:w="1417" w:type="dxa"/>
            <w:vMerge w:val="continue"/>
            <w:vAlign w:val="center"/>
          </w:tcPr>
          <w:p w14:paraId="13E557DF">
            <w:pPr>
              <w:widowControl/>
              <w:spacing w:line="240" w:lineRule="exact"/>
              <w:jc w:val="left"/>
              <w:rPr>
                <w:rFonts w:ascii="宋体"/>
                <w:kern w:val="0"/>
              </w:rPr>
            </w:pPr>
          </w:p>
        </w:tc>
        <w:tc>
          <w:tcPr>
            <w:tcW w:w="1843" w:type="dxa"/>
            <w:vMerge w:val="continue"/>
            <w:vAlign w:val="center"/>
          </w:tcPr>
          <w:p w14:paraId="7BF6CE06">
            <w:pPr>
              <w:spacing w:line="240" w:lineRule="exact"/>
              <w:jc w:val="left"/>
              <w:rPr>
                <w:rFonts w:ascii="宋体"/>
                <w:kern w:val="0"/>
              </w:rPr>
            </w:pPr>
          </w:p>
        </w:tc>
        <w:tc>
          <w:tcPr>
            <w:tcW w:w="992" w:type="dxa"/>
            <w:vMerge w:val="restart"/>
            <w:vAlign w:val="center"/>
          </w:tcPr>
          <w:p w14:paraId="23B5480B">
            <w:pPr>
              <w:spacing w:line="240" w:lineRule="exact"/>
              <w:jc w:val="center"/>
              <w:rPr>
                <w:rFonts w:ascii="宋体"/>
                <w:kern w:val="0"/>
              </w:rPr>
            </w:pPr>
            <w:r>
              <w:rPr>
                <w:rFonts w:hint="eastAsia" w:ascii="宋体"/>
                <w:kern w:val="0"/>
              </w:rPr>
              <w:t>一般</w:t>
            </w:r>
          </w:p>
        </w:tc>
        <w:tc>
          <w:tcPr>
            <w:tcW w:w="3654" w:type="dxa"/>
            <w:vAlign w:val="center"/>
          </w:tcPr>
          <w:p w14:paraId="312FB9FC">
            <w:pPr>
              <w:spacing w:line="240" w:lineRule="exact"/>
              <w:rPr>
                <w:rFonts w:ascii="宋体"/>
                <w:kern w:val="0"/>
              </w:rPr>
            </w:pPr>
            <w:r>
              <w:rPr>
                <w:rFonts w:hint="eastAsia" w:ascii="宋体"/>
                <w:kern w:val="0"/>
              </w:rPr>
              <w:t>造成小事故</w:t>
            </w:r>
          </w:p>
        </w:tc>
        <w:tc>
          <w:tcPr>
            <w:tcW w:w="7068" w:type="dxa"/>
            <w:tcBorders>
              <w:right w:val="single" w:color="auto" w:sz="4" w:space="0"/>
            </w:tcBorders>
            <w:vAlign w:val="center"/>
          </w:tcPr>
          <w:p w14:paraId="6C227200">
            <w:pPr>
              <w:spacing w:line="240" w:lineRule="exact"/>
              <w:jc w:val="center"/>
              <w:rPr>
                <w:rFonts w:ascii="宋体"/>
                <w:kern w:val="0"/>
              </w:rPr>
            </w:pPr>
            <w:r>
              <w:rPr>
                <w:rFonts w:hint="eastAsia" w:ascii="宋体"/>
                <w:kern w:val="0"/>
              </w:rPr>
              <w:t>4000-5000元</w:t>
            </w:r>
          </w:p>
        </w:tc>
        <w:tc>
          <w:tcPr>
            <w:tcW w:w="2310" w:type="dxa"/>
            <w:tcBorders>
              <w:top w:val="single" w:color="auto" w:sz="4" w:space="0"/>
              <w:left w:val="single" w:color="auto" w:sz="4" w:space="0"/>
              <w:bottom w:val="single" w:color="auto" w:sz="4" w:space="0"/>
            </w:tcBorders>
            <w:vAlign w:val="center"/>
          </w:tcPr>
          <w:p w14:paraId="066A8243">
            <w:pPr>
              <w:spacing w:line="240" w:lineRule="exact"/>
              <w:jc w:val="center"/>
              <w:rPr>
                <w:rFonts w:ascii="宋体"/>
                <w:kern w:val="0"/>
              </w:rPr>
            </w:pPr>
            <w:r>
              <w:rPr>
                <w:rFonts w:hint="eastAsia" w:ascii="宋体"/>
                <w:kern w:val="0"/>
              </w:rPr>
              <w:t>3000-6000元</w:t>
            </w:r>
          </w:p>
        </w:tc>
        <w:tc>
          <w:tcPr>
            <w:tcW w:w="2561" w:type="dxa"/>
            <w:tcBorders>
              <w:top w:val="single" w:color="auto" w:sz="4" w:space="0"/>
              <w:left w:val="single" w:color="auto" w:sz="4" w:space="0"/>
              <w:bottom w:val="single" w:color="auto" w:sz="4" w:space="0"/>
            </w:tcBorders>
            <w:vAlign w:val="center"/>
          </w:tcPr>
          <w:p w14:paraId="2CA12C89">
            <w:pPr>
              <w:spacing w:line="240" w:lineRule="exact"/>
              <w:jc w:val="center"/>
              <w:rPr>
                <w:rFonts w:ascii="宋体"/>
                <w:kern w:val="0"/>
              </w:rPr>
            </w:pPr>
            <w:r>
              <w:rPr>
                <w:rFonts w:hint="eastAsia" w:ascii="宋体"/>
                <w:kern w:val="0"/>
              </w:rPr>
              <w:t>2000-5000元</w:t>
            </w:r>
          </w:p>
        </w:tc>
      </w:tr>
      <w:tr w14:paraId="32E2D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7" w:hRule="atLeast"/>
        </w:trPr>
        <w:tc>
          <w:tcPr>
            <w:tcW w:w="1050" w:type="dxa"/>
            <w:vMerge w:val="continue"/>
            <w:vAlign w:val="center"/>
          </w:tcPr>
          <w:p w14:paraId="775979BE">
            <w:pPr>
              <w:spacing w:line="240" w:lineRule="exact"/>
              <w:jc w:val="left"/>
              <w:rPr>
                <w:rFonts w:ascii="宋体"/>
                <w:kern w:val="0"/>
              </w:rPr>
            </w:pPr>
          </w:p>
        </w:tc>
        <w:tc>
          <w:tcPr>
            <w:tcW w:w="1417" w:type="dxa"/>
            <w:vMerge w:val="continue"/>
            <w:vAlign w:val="center"/>
          </w:tcPr>
          <w:p w14:paraId="33CF1FA3">
            <w:pPr>
              <w:spacing w:line="240" w:lineRule="exact"/>
              <w:jc w:val="left"/>
              <w:rPr>
                <w:rFonts w:ascii="宋体"/>
                <w:kern w:val="0"/>
              </w:rPr>
            </w:pPr>
          </w:p>
        </w:tc>
        <w:tc>
          <w:tcPr>
            <w:tcW w:w="1843" w:type="dxa"/>
            <w:vMerge w:val="continue"/>
            <w:vAlign w:val="center"/>
          </w:tcPr>
          <w:p w14:paraId="7BEC5624">
            <w:pPr>
              <w:spacing w:line="240" w:lineRule="exact"/>
              <w:jc w:val="left"/>
              <w:rPr>
                <w:rFonts w:ascii="宋体"/>
                <w:kern w:val="0"/>
              </w:rPr>
            </w:pPr>
          </w:p>
        </w:tc>
        <w:tc>
          <w:tcPr>
            <w:tcW w:w="992" w:type="dxa"/>
            <w:vMerge w:val="continue"/>
            <w:tcBorders>
              <w:bottom w:val="single" w:color="auto" w:sz="4" w:space="0"/>
            </w:tcBorders>
            <w:vAlign w:val="center"/>
          </w:tcPr>
          <w:p w14:paraId="0B951188">
            <w:pPr>
              <w:spacing w:line="240" w:lineRule="exact"/>
              <w:jc w:val="center"/>
              <w:rPr>
                <w:rFonts w:ascii="宋体"/>
                <w:kern w:val="0"/>
              </w:rPr>
            </w:pPr>
          </w:p>
        </w:tc>
        <w:tc>
          <w:tcPr>
            <w:tcW w:w="3654" w:type="dxa"/>
            <w:tcBorders>
              <w:top w:val="single" w:color="auto" w:sz="4" w:space="0"/>
              <w:bottom w:val="single" w:color="auto" w:sz="4" w:space="0"/>
            </w:tcBorders>
            <w:vAlign w:val="center"/>
          </w:tcPr>
          <w:p w14:paraId="16835F0B">
            <w:pPr>
              <w:numPr>
                <w:ilvl w:val="0"/>
                <w:numId w:val="5"/>
              </w:numPr>
              <w:spacing w:line="240" w:lineRule="exact"/>
              <w:rPr>
                <w:rFonts w:ascii="宋体"/>
                <w:kern w:val="0"/>
              </w:rPr>
            </w:pPr>
            <w:r>
              <w:rPr>
                <w:rFonts w:hint="eastAsia" w:ascii="宋体"/>
                <w:kern w:val="0"/>
              </w:rPr>
              <w:t>造成一般海上交通事故</w:t>
            </w:r>
          </w:p>
          <w:p w14:paraId="6D1CD7DC">
            <w:pPr>
              <w:numPr>
                <w:ilvl w:val="0"/>
                <w:numId w:val="5"/>
              </w:numPr>
              <w:spacing w:line="240" w:lineRule="exact"/>
              <w:rPr>
                <w:rFonts w:ascii="宋体"/>
                <w:kern w:val="0"/>
              </w:rPr>
            </w:pPr>
            <w:r>
              <w:rPr>
                <w:rFonts w:hint="eastAsia" w:ascii="宋体"/>
                <w:kern w:val="0"/>
              </w:rPr>
              <w:t>具有其他较重情节的</w:t>
            </w:r>
          </w:p>
        </w:tc>
        <w:tc>
          <w:tcPr>
            <w:tcW w:w="7068" w:type="dxa"/>
            <w:tcBorders>
              <w:top w:val="single" w:color="auto" w:sz="4" w:space="0"/>
              <w:bottom w:val="single" w:color="auto" w:sz="4" w:space="0"/>
              <w:right w:val="single" w:color="auto" w:sz="4" w:space="0"/>
            </w:tcBorders>
            <w:vAlign w:val="center"/>
          </w:tcPr>
          <w:p w14:paraId="658ED81B">
            <w:pPr>
              <w:spacing w:line="240" w:lineRule="exact"/>
              <w:jc w:val="center"/>
              <w:rPr>
                <w:rFonts w:ascii="宋体"/>
                <w:kern w:val="0"/>
              </w:rPr>
            </w:pPr>
            <w:r>
              <w:rPr>
                <w:rFonts w:hint="eastAsia" w:ascii="宋体"/>
                <w:kern w:val="0"/>
              </w:rPr>
              <w:t>5000-6000元</w:t>
            </w:r>
          </w:p>
        </w:tc>
        <w:tc>
          <w:tcPr>
            <w:tcW w:w="2310" w:type="dxa"/>
            <w:tcBorders>
              <w:top w:val="single" w:color="auto" w:sz="4" w:space="0"/>
              <w:left w:val="single" w:color="auto" w:sz="4" w:space="0"/>
              <w:bottom w:val="single" w:color="auto" w:sz="4" w:space="0"/>
            </w:tcBorders>
            <w:vAlign w:val="center"/>
          </w:tcPr>
          <w:p w14:paraId="223B6818">
            <w:pPr>
              <w:spacing w:line="240" w:lineRule="exact"/>
              <w:jc w:val="center"/>
              <w:rPr>
                <w:rFonts w:ascii="宋体"/>
                <w:kern w:val="0"/>
              </w:rPr>
            </w:pPr>
            <w:r>
              <w:rPr>
                <w:rFonts w:hint="eastAsia" w:ascii="宋体"/>
                <w:kern w:val="0"/>
              </w:rPr>
              <w:t>6000-1万元</w:t>
            </w:r>
          </w:p>
        </w:tc>
        <w:tc>
          <w:tcPr>
            <w:tcW w:w="2561" w:type="dxa"/>
            <w:tcBorders>
              <w:top w:val="single" w:color="auto" w:sz="4" w:space="0"/>
              <w:left w:val="single" w:color="auto" w:sz="4" w:space="0"/>
              <w:bottom w:val="single" w:color="auto" w:sz="4" w:space="0"/>
            </w:tcBorders>
            <w:vAlign w:val="center"/>
          </w:tcPr>
          <w:p w14:paraId="1178DC89">
            <w:pPr>
              <w:spacing w:line="240" w:lineRule="exact"/>
              <w:jc w:val="center"/>
              <w:rPr>
                <w:rFonts w:ascii="宋体"/>
                <w:kern w:val="0"/>
              </w:rPr>
            </w:pPr>
            <w:r>
              <w:rPr>
                <w:rFonts w:hint="eastAsia" w:ascii="宋体"/>
                <w:kern w:val="0"/>
              </w:rPr>
              <w:t>5000-1万元</w:t>
            </w:r>
          </w:p>
        </w:tc>
      </w:tr>
      <w:tr w14:paraId="2111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5" w:hRule="atLeast"/>
        </w:trPr>
        <w:tc>
          <w:tcPr>
            <w:tcW w:w="1050" w:type="dxa"/>
            <w:vMerge w:val="continue"/>
            <w:vAlign w:val="center"/>
          </w:tcPr>
          <w:p w14:paraId="6546C2C8">
            <w:pPr>
              <w:spacing w:line="240" w:lineRule="exact"/>
              <w:jc w:val="left"/>
              <w:rPr>
                <w:rFonts w:ascii="宋体"/>
                <w:kern w:val="0"/>
              </w:rPr>
            </w:pPr>
          </w:p>
        </w:tc>
        <w:tc>
          <w:tcPr>
            <w:tcW w:w="1417" w:type="dxa"/>
            <w:vMerge w:val="continue"/>
            <w:vAlign w:val="center"/>
          </w:tcPr>
          <w:p w14:paraId="5D4C168C">
            <w:pPr>
              <w:spacing w:line="240" w:lineRule="exact"/>
              <w:jc w:val="left"/>
              <w:rPr>
                <w:rFonts w:ascii="宋体"/>
                <w:kern w:val="0"/>
              </w:rPr>
            </w:pPr>
          </w:p>
        </w:tc>
        <w:tc>
          <w:tcPr>
            <w:tcW w:w="1843" w:type="dxa"/>
            <w:vMerge w:val="continue"/>
            <w:vAlign w:val="center"/>
          </w:tcPr>
          <w:p w14:paraId="220C2FC0">
            <w:pPr>
              <w:spacing w:line="240" w:lineRule="exact"/>
              <w:jc w:val="left"/>
              <w:rPr>
                <w:rFonts w:ascii="宋体"/>
                <w:kern w:val="0"/>
              </w:rPr>
            </w:pPr>
          </w:p>
        </w:tc>
        <w:tc>
          <w:tcPr>
            <w:tcW w:w="992" w:type="dxa"/>
            <w:vMerge w:val="restart"/>
            <w:tcBorders>
              <w:top w:val="single" w:color="auto" w:sz="4" w:space="0"/>
              <w:right w:val="single" w:color="auto" w:sz="4" w:space="0"/>
            </w:tcBorders>
            <w:vAlign w:val="center"/>
          </w:tcPr>
          <w:p w14:paraId="7A01E947">
            <w:pPr>
              <w:spacing w:line="240" w:lineRule="exact"/>
              <w:jc w:val="center"/>
              <w:rPr>
                <w:rFonts w:ascii="宋体"/>
                <w:kern w:val="0"/>
              </w:rPr>
            </w:pPr>
            <w:r>
              <w:rPr>
                <w:rFonts w:hint="eastAsia" w:ascii="宋体"/>
                <w:kern w:val="0"/>
              </w:rPr>
              <w:t>情节严重</w:t>
            </w:r>
          </w:p>
        </w:tc>
        <w:tc>
          <w:tcPr>
            <w:tcW w:w="3654" w:type="dxa"/>
            <w:tcBorders>
              <w:top w:val="single" w:color="auto" w:sz="4" w:space="0"/>
              <w:left w:val="single" w:color="auto" w:sz="4" w:space="0"/>
              <w:bottom w:val="single" w:color="auto" w:sz="4" w:space="0"/>
            </w:tcBorders>
            <w:vAlign w:val="center"/>
          </w:tcPr>
          <w:p w14:paraId="064A0D55">
            <w:pPr>
              <w:spacing w:line="240" w:lineRule="exact"/>
              <w:rPr>
                <w:rFonts w:ascii="宋体"/>
                <w:kern w:val="0"/>
              </w:rPr>
            </w:pPr>
            <w:r>
              <w:rPr>
                <w:rFonts w:hint="eastAsia" w:ascii="宋体"/>
                <w:kern w:val="0"/>
              </w:rPr>
              <w:t>1.造成较大海上交通事故</w:t>
            </w:r>
          </w:p>
          <w:p w14:paraId="360A7CAC">
            <w:pPr>
              <w:spacing w:line="240" w:lineRule="exact"/>
              <w:rPr>
                <w:rFonts w:ascii="宋体"/>
                <w:kern w:val="0"/>
              </w:rPr>
            </w:pPr>
            <w:r>
              <w:rPr>
                <w:rFonts w:hint="eastAsia" w:ascii="宋体"/>
                <w:kern w:val="0"/>
              </w:rPr>
              <w:t>2.具有其他严重情节</w:t>
            </w:r>
          </w:p>
        </w:tc>
        <w:tc>
          <w:tcPr>
            <w:tcW w:w="7068" w:type="dxa"/>
            <w:tcBorders>
              <w:top w:val="single" w:color="auto" w:sz="4" w:space="0"/>
              <w:left w:val="single" w:color="auto" w:sz="4" w:space="0"/>
            </w:tcBorders>
            <w:vAlign w:val="center"/>
          </w:tcPr>
          <w:p w14:paraId="69F4D5B8">
            <w:pPr>
              <w:spacing w:line="240" w:lineRule="exact"/>
              <w:jc w:val="center"/>
              <w:rPr>
                <w:rFonts w:ascii="宋体"/>
                <w:kern w:val="0"/>
              </w:rPr>
            </w:pPr>
            <w:r>
              <w:rPr>
                <w:rFonts w:hint="eastAsia" w:ascii="宋体"/>
                <w:kern w:val="0"/>
              </w:rPr>
              <w:t>6000-1万元</w:t>
            </w:r>
          </w:p>
        </w:tc>
        <w:tc>
          <w:tcPr>
            <w:tcW w:w="2310" w:type="dxa"/>
            <w:tcBorders>
              <w:top w:val="single" w:color="auto" w:sz="4" w:space="0"/>
              <w:left w:val="single" w:color="auto" w:sz="4" w:space="0"/>
            </w:tcBorders>
            <w:vAlign w:val="center"/>
          </w:tcPr>
          <w:p w14:paraId="1E73CDDE">
            <w:pPr>
              <w:spacing w:line="240" w:lineRule="exact"/>
              <w:jc w:val="left"/>
              <w:rPr>
                <w:rFonts w:ascii="宋体"/>
                <w:kern w:val="0"/>
              </w:rPr>
            </w:pPr>
            <w:r>
              <w:rPr>
                <w:rFonts w:hint="eastAsia" w:ascii="宋体"/>
                <w:kern w:val="0"/>
              </w:rPr>
              <w:t>6000-1万元，</w:t>
            </w:r>
            <w:r>
              <w:rPr>
                <w:rFonts w:hint="eastAsia" w:ascii="宋体"/>
              </w:rPr>
              <w:t>并</w:t>
            </w:r>
            <w:r>
              <w:rPr>
                <w:rFonts w:hint="eastAsia" w:ascii="宋体"/>
                <w:kern w:val="0"/>
              </w:rPr>
              <w:t>暂扣责任船员证书6-24个月</w:t>
            </w:r>
          </w:p>
        </w:tc>
        <w:tc>
          <w:tcPr>
            <w:tcW w:w="2561" w:type="dxa"/>
            <w:tcBorders>
              <w:top w:val="single" w:color="auto" w:sz="4" w:space="0"/>
              <w:left w:val="single" w:color="auto" w:sz="4" w:space="0"/>
            </w:tcBorders>
            <w:vAlign w:val="center"/>
          </w:tcPr>
          <w:p w14:paraId="2A6D8D78">
            <w:pPr>
              <w:spacing w:line="240" w:lineRule="exact"/>
              <w:jc w:val="left"/>
              <w:rPr>
                <w:rFonts w:ascii="宋体"/>
                <w:kern w:val="0"/>
              </w:rPr>
            </w:pPr>
            <w:r>
              <w:rPr>
                <w:rFonts w:hint="eastAsia" w:ascii="宋体"/>
                <w:kern w:val="0"/>
              </w:rPr>
              <w:t>5000-1万元，</w:t>
            </w:r>
            <w:r>
              <w:rPr>
                <w:rFonts w:hint="eastAsia" w:ascii="宋体"/>
              </w:rPr>
              <w:t>并</w:t>
            </w:r>
            <w:r>
              <w:rPr>
                <w:rFonts w:hint="eastAsia" w:ascii="宋体"/>
                <w:kern w:val="0"/>
              </w:rPr>
              <w:t>暂扣责任船员证书6-24个月</w:t>
            </w:r>
          </w:p>
        </w:tc>
      </w:tr>
      <w:tr w14:paraId="1CF78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3" w:hRule="atLeast"/>
        </w:trPr>
        <w:tc>
          <w:tcPr>
            <w:tcW w:w="1050" w:type="dxa"/>
            <w:vMerge w:val="continue"/>
            <w:vAlign w:val="center"/>
          </w:tcPr>
          <w:p w14:paraId="5FB6C5EF">
            <w:pPr>
              <w:spacing w:line="240" w:lineRule="exact"/>
              <w:jc w:val="left"/>
              <w:rPr>
                <w:rFonts w:ascii="宋体"/>
                <w:kern w:val="0"/>
              </w:rPr>
            </w:pPr>
          </w:p>
        </w:tc>
        <w:tc>
          <w:tcPr>
            <w:tcW w:w="1417" w:type="dxa"/>
            <w:vMerge w:val="continue"/>
            <w:vAlign w:val="center"/>
          </w:tcPr>
          <w:p w14:paraId="7E84851D">
            <w:pPr>
              <w:spacing w:line="240" w:lineRule="exact"/>
              <w:jc w:val="left"/>
              <w:rPr>
                <w:rFonts w:ascii="宋体"/>
                <w:kern w:val="0"/>
              </w:rPr>
            </w:pPr>
          </w:p>
        </w:tc>
        <w:tc>
          <w:tcPr>
            <w:tcW w:w="1843" w:type="dxa"/>
            <w:vMerge w:val="continue"/>
            <w:vAlign w:val="center"/>
          </w:tcPr>
          <w:p w14:paraId="742A7432">
            <w:pPr>
              <w:spacing w:line="240" w:lineRule="exact"/>
              <w:jc w:val="left"/>
              <w:rPr>
                <w:rFonts w:ascii="宋体"/>
                <w:kern w:val="0"/>
              </w:rPr>
            </w:pPr>
          </w:p>
        </w:tc>
        <w:tc>
          <w:tcPr>
            <w:tcW w:w="992" w:type="dxa"/>
            <w:vMerge w:val="continue"/>
            <w:tcBorders>
              <w:right w:val="single" w:color="auto" w:sz="4" w:space="0"/>
            </w:tcBorders>
            <w:vAlign w:val="center"/>
          </w:tcPr>
          <w:p w14:paraId="4FA3FFD1">
            <w:pPr>
              <w:spacing w:line="240" w:lineRule="exact"/>
              <w:jc w:val="left"/>
              <w:rPr>
                <w:rFonts w:ascii="宋体"/>
                <w:kern w:val="0"/>
              </w:rPr>
            </w:pPr>
          </w:p>
        </w:tc>
        <w:tc>
          <w:tcPr>
            <w:tcW w:w="3654" w:type="dxa"/>
            <w:tcBorders>
              <w:top w:val="single" w:color="auto" w:sz="4" w:space="0"/>
              <w:left w:val="single" w:color="auto" w:sz="4" w:space="0"/>
              <w:bottom w:val="single" w:color="auto" w:sz="4" w:space="0"/>
            </w:tcBorders>
            <w:vAlign w:val="center"/>
          </w:tcPr>
          <w:p w14:paraId="61170CD9">
            <w:pPr>
              <w:spacing w:line="240" w:lineRule="exact"/>
              <w:rPr>
                <w:rFonts w:ascii="宋体"/>
                <w:kern w:val="0"/>
              </w:rPr>
            </w:pPr>
            <w:r>
              <w:rPr>
                <w:rFonts w:hint="eastAsia" w:ascii="宋体"/>
                <w:kern w:val="0"/>
              </w:rPr>
              <w:t>造成重大等级以上海上交通事故</w:t>
            </w:r>
          </w:p>
        </w:tc>
        <w:tc>
          <w:tcPr>
            <w:tcW w:w="7068" w:type="dxa"/>
            <w:tcBorders>
              <w:left w:val="single" w:color="auto" w:sz="4" w:space="0"/>
              <w:bottom w:val="single" w:color="auto" w:sz="4" w:space="0"/>
            </w:tcBorders>
            <w:vAlign w:val="center"/>
          </w:tcPr>
          <w:p w14:paraId="332A962F">
            <w:pPr>
              <w:spacing w:line="240" w:lineRule="exact"/>
              <w:jc w:val="center"/>
              <w:rPr>
                <w:rFonts w:ascii="宋体"/>
                <w:kern w:val="0"/>
              </w:rPr>
            </w:pPr>
            <w:r>
              <w:rPr>
                <w:rFonts w:hint="eastAsia" w:ascii="宋体"/>
                <w:kern w:val="0"/>
              </w:rPr>
              <w:t>1万元</w:t>
            </w:r>
          </w:p>
        </w:tc>
        <w:tc>
          <w:tcPr>
            <w:tcW w:w="2310" w:type="dxa"/>
            <w:tcBorders>
              <w:left w:val="single" w:color="auto" w:sz="4" w:space="0"/>
              <w:bottom w:val="single" w:color="auto" w:sz="4" w:space="0"/>
            </w:tcBorders>
            <w:vAlign w:val="center"/>
          </w:tcPr>
          <w:p w14:paraId="6FFC6526">
            <w:pPr>
              <w:spacing w:line="240" w:lineRule="exact"/>
              <w:jc w:val="left"/>
              <w:rPr>
                <w:rFonts w:ascii="宋体"/>
                <w:kern w:val="0"/>
              </w:rPr>
            </w:pPr>
            <w:r>
              <w:rPr>
                <w:rFonts w:hint="eastAsia" w:ascii="宋体"/>
                <w:kern w:val="0"/>
              </w:rPr>
              <w:t>7000元-1万元，并吊销责任船员证书</w:t>
            </w:r>
          </w:p>
        </w:tc>
        <w:tc>
          <w:tcPr>
            <w:tcW w:w="2561" w:type="dxa"/>
            <w:tcBorders>
              <w:left w:val="single" w:color="auto" w:sz="4" w:space="0"/>
              <w:bottom w:val="single" w:color="auto" w:sz="4" w:space="0"/>
            </w:tcBorders>
            <w:vAlign w:val="center"/>
          </w:tcPr>
          <w:p w14:paraId="0572150A">
            <w:pPr>
              <w:spacing w:line="240" w:lineRule="exact"/>
              <w:jc w:val="left"/>
              <w:rPr>
                <w:rFonts w:ascii="宋体"/>
                <w:kern w:val="0"/>
              </w:rPr>
            </w:pPr>
            <w:r>
              <w:rPr>
                <w:rFonts w:hint="eastAsia" w:ascii="宋体"/>
                <w:kern w:val="0"/>
              </w:rPr>
              <w:t>6000元-1万元，</w:t>
            </w:r>
            <w:r>
              <w:rPr>
                <w:rFonts w:hint="eastAsia" w:ascii="宋体"/>
              </w:rPr>
              <w:t>并</w:t>
            </w:r>
            <w:r>
              <w:rPr>
                <w:rFonts w:hint="eastAsia" w:ascii="宋体"/>
                <w:kern w:val="0"/>
              </w:rPr>
              <w:t>吊销责任船员证书</w:t>
            </w:r>
          </w:p>
        </w:tc>
      </w:tr>
    </w:tbl>
    <w:p w14:paraId="5820BABF">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98"/>
        <w:gridCol w:w="1815"/>
        <w:gridCol w:w="1845"/>
        <w:gridCol w:w="1005"/>
        <w:gridCol w:w="2413"/>
        <w:gridCol w:w="4979"/>
        <w:gridCol w:w="3171"/>
        <w:gridCol w:w="3100"/>
      </w:tblGrid>
      <w:tr w14:paraId="2D3F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0" w:hRule="atLeast"/>
        </w:trPr>
        <w:tc>
          <w:tcPr>
            <w:tcW w:w="898" w:type="dxa"/>
            <w:vMerge w:val="restart"/>
            <w:vAlign w:val="center"/>
          </w:tcPr>
          <w:p w14:paraId="680CBA39">
            <w:pPr>
              <w:spacing w:line="240" w:lineRule="exact"/>
              <w:jc w:val="center"/>
              <w:rPr>
                <w:rFonts w:ascii="宋体"/>
                <w:b/>
                <w:kern w:val="0"/>
              </w:rPr>
            </w:pPr>
            <w:r>
              <w:rPr>
                <w:rFonts w:hint="eastAsia" w:ascii="宋体"/>
                <w:b/>
                <w:kern w:val="0"/>
              </w:rPr>
              <w:t>案由</w:t>
            </w:r>
            <w:r>
              <w:rPr>
                <w:rFonts w:hint="eastAsia" w:ascii="宋体"/>
                <w:b/>
                <w:bCs/>
                <w:kern w:val="0"/>
              </w:rPr>
              <w:t>35</w:t>
            </w:r>
          </w:p>
        </w:tc>
        <w:tc>
          <w:tcPr>
            <w:tcW w:w="3660" w:type="dxa"/>
            <w:gridSpan w:val="2"/>
            <w:vAlign w:val="center"/>
          </w:tcPr>
          <w:p w14:paraId="4D4C1A01">
            <w:pPr>
              <w:spacing w:line="240" w:lineRule="exact"/>
              <w:jc w:val="center"/>
              <w:rPr>
                <w:rFonts w:ascii="宋体"/>
                <w:b/>
                <w:kern w:val="0"/>
              </w:rPr>
            </w:pPr>
            <w:r>
              <w:rPr>
                <w:rFonts w:hint="eastAsia" w:ascii="宋体"/>
                <w:b/>
                <w:kern w:val="0"/>
              </w:rPr>
              <w:t>法律依据</w:t>
            </w:r>
          </w:p>
        </w:tc>
        <w:tc>
          <w:tcPr>
            <w:tcW w:w="1005" w:type="dxa"/>
            <w:vMerge w:val="restart"/>
            <w:vAlign w:val="center"/>
          </w:tcPr>
          <w:p w14:paraId="0367E3EE">
            <w:pPr>
              <w:spacing w:line="240" w:lineRule="exact"/>
              <w:jc w:val="center"/>
              <w:rPr>
                <w:rFonts w:ascii="宋体"/>
                <w:b/>
                <w:kern w:val="0"/>
              </w:rPr>
            </w:pPr>
            <w:r>
              <w:rPr>
                <w:rFonts w:hint="eastAsia" w:ascii="宋体"/>
                <w:b/>
                <w:kern w:val="0"/>
              </w:rPr>
              <w:t>违法情节</w:t>
            </w:r>
          </w:p>
        </w:tc>
        <w:tc>
          <w:tcPr>
            <w:tcW w:w="2413" w:type="dxa"/>
            <w:vMerge w:val="restart"/>
            <w:vAlign w:val="center"/>
          </w:tcPr>
          <w:p w14:paraId="5EE81DA1">
            <w:pPr>
              <w:spacing w:line="240" w:lineRule="exact"/>
              <w:jc w:val="center"/>
              <w:rPr>
                <w:rFonts w:ascii="宋体"/>
                <w:b/>
                <w:kern w:val="0"/>
              </w:rPr>
            </w:pPr>
            <w:r>
              <w:rPr>
                <w:rFonts w:hint="eastAsia" w:ascii="宋体"/>
                <w:b/>
                <w:kern w:val="0"/>
              </w:rPr>
              <w:t>主要考虑因素（事实、性质、情节、危害程度和实际后果等）</w:t>
            </w:r>
          </w:p>
        </w:tc>
        <w:tc>
          <w:tcPr>
            <w:tcW w:w="11250" w:type="dxa"/>
            <w:gridSpan w:val="3"/>
            <w:tcBorders>
              <w:bottom w:val="single" w:color="auto" w:sz="4" w:space="0"/>
            </w:tcBorders>
            <w:vAlign w:val="center"/>
          </w:tcPr>
          <w:p w14:paraId="31222BFF">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违法船舶、海上设施的所有人、经营人或者管理人处三千元以上三万元以下的罚款，对船长、责任船员处二千元以上二万元以下的罚款，暂扣船员适任证书六个月至二十四个月；情节严重的，对违法船舶、海上设施的所有人、经营人或者管理人处一万元以上十万元以下的罚款，吊销船长、责任船员的船员适任证书。</w:t>
            </w:r>
          </w:p>
        </w:tc>
      </w:tr>
      <w:tr w14:paraId="22FA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898" w:type="dxa"/>
            <w:vMerge w:val="continue"/>
            <w:tcBorders>
              <w:bottom w:val="single" w:color="000000" w:sz="4" w:space="0"/>
            </w:tcBorders>
            <w:vAlign w:val="center"/>
          </w:tcPr>
          <w:p w14:paraId="4D880B6C">
            <w:pPr>
              <w:spacing w:line="240" w:lineRule="exact"/>
              <w:jc w:val="center"/>
              <w:rPr>
                <w:rFonts w:ascii="宋体"/>
                <w:b/>
                <w:kern w:val="0"/>
              </w:rPr>
            </w:pPr>
          </w:p>
        </w:tc>
        <w:tc>
          <w:tcPr>
            <w:tcW w:w="1815" w:type="dxa"/>
            <w:tcBorders>
              <w:bottom w:val="single" w:color="000000" w:sz="4" w:space="0"/>
            </w:tcBorders>
            <w:vAlign w:val="center"/>
          </w:tcPr>
          <w:p w14:paraId="0407FB60">
            <w:pPr>
              <w:spacing w:line="240" w:lineRule="exact"/>
              <w:jc w:val="center"/>
              <w:rPr>
                <w:rFonts w:ascii="宋体"/>
                <w:b/>
                <w:kern w:val="0"/>
              </w:rPr>
            </w:pPr>
            <w:r>
              <w:rPr>
                <w:rFonts w:hint="eastAsia" w:ascii="宋体"/>
                <w:b/>
                <w:kern w:val="0"/>
              </w:rPr>
              <w:t>违反条款</w:t>
            </w:r>
          </w:p>
        </w:tc>
        <w:tc>
          <w:tcPr>
            <w:tcW w:w="1845" w:type="dxa"/>
            <w:tcBorders>
              <w:bottom w:val="single" w:color="000000" w:sz="4" w:space="0"/>
            </w:tcBorders>
            <w:vAlign w:val="center"/>
          </w:tcPr>
          <w:p w14:paraId="07CF8F0D">
            <w:pPr>
              <w:spacing w:line="240" w:lineRule="exact"/>
              <w:jc w:val="center"/>
              <w:rPr>
                <w:rFonts w:ascii="宋体"/>
                <w:b/>
                <w:kern w:val="0"/>
              </w:rPr>
            </w:pPr>
            <w:r>
              <w:rPr>
                <w:rFonts w:hint="eastAsia" w:ascii="宋体"/>
                <w:b/>
                <w:kern w:val="0"/>
              </w:rPr>
              <w:t>处罚依据</w:t>
            </w:r>
          </w:p>
        </w:tc>
        <w:tc>
          <w:tcPr>
            <w:tcW w:w="1005" w:type="dxa"/>
            <w:vMerge w:val="continue"/>
            <w:tcBorders>
              <w:bottom w:val="single" w:color="000000" w:sz="4" w:space="0"/>
            </w:tcBorders>
            <w:vAlign w:val="center"/>
          </w:tcPr>
          <w:p w14:paraId="459DC2DC">
            <w:pPr>
              <w:spacing w:line="240" w:lineRule="exact"/>
              <w:jc w:val="center"/>
              <w:rPr>
                <w:rFonts w:ascii="宋体"/>
                <w:b/>
                <w:kern w:val="0"/>
              </w:rPr>
            </w:pPr>
          </w:p>
        </w:tc>
        <w:tc>
          <w:tcPr>
            <w:tcW w:w="2413" w:type="dxa"/>
            <w:vMerge w:val="continue"/>
            <w:tcBorders>
              <w:bottom w:val="single" w:color="000000" w:sz="4" w:space="0"/>
            </w:tcBorders>
            <w:vAlign w:val="center"/>
          </w:tcPr>
          <w:p w14:paraId="4017665A">
            <w:pPr>
              <w:spacing w:line="240" w:lineRule="exact"/>
              <w:jc w:val="center"/>
              <w:rPr>
                <w:rFonts w:ascii="宋体"/>
                <w:b/>
                <w:kern w:val="0"/>
              </w:rPr>
            </w:pPr>
          </w:p>
        </w:tc>
        <w:tc>
          <w:tcPr>
            <w:tcW w:w="4979" w:type="dxa"/>
            <w:tcBorders>
              <w:top w:val="single" w:color="auto" w:sz="4" w:space="0"/>
              <w:right w:val="single" w:color="auto" w:sz="4" w:space="0"/>
            </w:tcBorders>
            <w:vAlign w:val="center"/>
          </w:tcPr>
          <w:p w14:paraId="3EF6AD75">
            <w:pPr>
              <w:spacing w:line="240" w:lineRule="exact"/>
              <w:jc w:val="center"/>
              <w:rPr>
                <w:rFonts w:ascii="宋体"/>
                <w:b/>
                <w:kern w:val="0"/>
              </w:rPr>
            </w:pPr>
            <w:r>
              <w:rPr>
                <w:rFonts w:hint="eastAsia" w:ascii="宋体"/>
                <w:b/>
                <w:kern w:val="0"/>
              </w:rPr>
              <w:t>【对象】船舶、海上设施的所有人、经营人或者管理人</w:t>
            </w:r>
          </w:p>
        </w:tc>
        <w:tc>
          <w:tcPr>
            <w:tcW w:w="3171" w:type="dxa"/>
            <w:tcBorders>
              <w:top w:val="single" w:color="auto" w:sz="4" w:space="0"/>
              <w:left w:val="single" w:color="auto" w:sz="4" w:space="0"/>
            </w:tcBorders>
            <w:vAlign w:val="center"/>
          </w:tcPr>
          <w:p w14:paraId="40DCF27C">
            <w:pPr>
              <w:spacing w:line="240" w:lineRule="exact"/>
              <w:jc w:val="center"/>
              <w:rPr>
                <w:rFonts w:ascii="宋体"/>
                <w:b/>
                <w:kern w:val="0"/>
              </w:rPr>
            </w:pPr>
            <w:r>
              <w:rPr>
                <w:rFonts w:hint="eastAsia" w:ascii="宋体"/>
                <w:b/>
                <w:kern w:val="0"/>
              </w:rPr>
              <w:t>【对象】船长</w:t>
            </w:r>
          </w:p>
        </w:tc>
        <w:tc>
          <w:tcPr>
            <w:tcW w:w="3100" w:type="dxa"/>
            <w:tcBorders>
              <w:top w:val="single" w:color="auto" w:sz="4" w:space="0"/>
              <w:left w:val="single" w:color="auto" w:sz="4" w:space="0"/>
            </w:tcBorders>
            <w:vAlign w:val="center"/>
          </w:tcPr>
          <w:p w14:paraId="1CAF2B15">
            <w:pPr>
              <w:spacing w:line="240" w:lineRule="exact"/>
              <w:jc w:val="center"/>
              <w:rPr>
                <w:rFonts w:ascii="宋体"/>
                <w:b/>
                <w:kern w:val="0"/>
              </w:rPr>
            </w:pPr>
            <w:r>
              <w:rPr>
                <w:rFonts w:hint="eastAsia" w:ascii="宋体"/>
                <w:b/>
                <w:kern w:val="0"/>
              </w:rPr>
              <w:t>【对象】责任船员</w:t>
            </w:r>
          </w:p>
        </w:tc>
      </w:tr>
      <w:tr w14:paraId="2E5D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9" w:hRule="atLeast"/>
        </w:trPr>
        <w:tc>
          <w:tcPr>
            <w:tcW w:w="898" w:type="dxa"/>
            <w:vMerge w:val="restart"/>
            <w:vAlign w:val="center"/>
          </w:tcPr>
          <w:p w14:paraId="5E72D615">
            <w:pPr>
              <w:widowControl/>
              <w:spacing w:line="240" w:lineRule="exact"/>
              <w:jc w:val="left"/>
              <w:rPr>
                <w:rFonts w:ascii="宋体"/>
                <w:kern w:val="0"/>
              </w:rPr>
            </w:pPr>
            <w:r>
              <w:rPr>
                <w:rFonts w:hint="eastAsia" w:ascii="宋体"/>
                <w:kern w:val="0"/>
              </w:rPr>
              <w:t>船舶、海上设施遇险或者发生海上交通事故后未履行报告义务，或者存在瞒报、谎报情形</w:t>
            </w:r>
          </w:p>
        </w:tc>
        <w:tc>
          <w:tcPr>
            <w:tcW w:w="1815" w:type="dxa"/>
            <w:vMerge w:val="restart"/>
            <w:vAlign w:val="center"/>
          </w:tcPr>
          <w:p w14:paraId="25C1259E">
            <w:pPr>
              <w:widowControl/>
              <w:spacing w:line="240" w:lineRule="exact"/>
              <w:rPr>
                <w:rFonts w:ascii="宋体"/>
              </w:rPr>
            </w:pPr>
            <w:r>
              <w:rPr>
                <w:rFonts w:hint="eastAsia" w:ascii="宋体"/>
                <w:kern w:val="0"/>
              </w:rPr>
              <w:t>1.《中华人民共和国海上交通安全法》第七十二</w:t>
            </w:r>
            <w:r>
              <w:rPr>
                <w:rFonts w:hint="eastAsia" w:ascii="宋体"/>
              </w:rPr>
              <w:t>条第一款、第八十条、第八十六条第一款。</w:t>
            </w:r>
          </w:p>
        </w:tc>
        <w:tc>
          <w:tcPr>
            <w:tcW w:w="1845" w:type="dxa"/>
            <w:vMerge w:val="restart"/>
            <w:vAlign w:val="center"/>
          </w:tcPr>
          <w:p w14:paraId="4347F372">
            <w:pPr>
              <w:spacing w:line="240" w:lineRule="exact"/>
              <w:jc w:val="left"/>
              <w:rPr>
                <w:rFonts w:ascii="宋体"/>
                <w:kern w:val="0"/>
              </w:rPr>
            </w:pPr>
            <w:r>
              <w:rPr>
                <w:rFonts w:hint="eastAsia" w:ascii="宋体"/>
                <w:kern w:val="0"/>
              </w:rPr>
              <w:t>1.《中华人民共和国海上交通安全法》第一百一十条、</w:t>
            </w:r>
            <w:r>
              <w:rPr>
                <w:rFonts w:hint="eastAsia" w:ascii="宋体"/>
              </w:rPr>
              <w:t>《中华人民共和国海上海事行政处罚规定》第三十二条。</w:t>
            </w:r>
            <w:r>
              <w:rPr>
                <w:rFonts w:hint="eastAsia" w:ascii="宋体"/>
                <w:kern w:val="0"/>
              </w:rPr>
              <w:t xml:space="preserve"> </w:t>
            </w:r>
          </w:p>
          <w:p w14:paraId="0BDED15D">
            <w:pPr>
              <w:spacing w:line="240" w:lineRule="exact"/>
              <w:jc w:val="left"/>
              <w:rPr>
                <w:rFonts w:ascii="宋体"/>
                <w:kern w:val="0"/>
              </w:rPr>
            </w:pPr>
            <w:r>
              <w:rPr>
                <w:rFonts w:hint="eastAsia" w:ascii="宋体"/>
                <w:kern w:val="0"/>
              </w:rPr>
              <w:t>2. 《中华人民共和国海上海事行政处罚规定》第七条。</w:t>
            </w:r>
          </w:p>
        </w:tc>
        <w:tc>
          <w:tcPr>
            <w:tcW w:w="1005" w:type="dxa"/>
            <w:vAlign w:val="center"/>
          </w:tcPr>
          <w:p w14:paraId="19128295">
            <w:pPr>
              <w:spacing w:line="240" w:lineRule="exact"/>
              <w:jc w:val="center"/>
              <w:rPr>
                <w:rFonts w:ascii="宋体"/>
                <w:kern w:val="0"/>
              </w:rPr>
            </w:pPr>
            <w:r>
              <w:rPr>
                <w:rFonts w:hint="eastAsia" w:ascii="宋体"/>
                <w:kern w:val="0"/>
              </w:rPr>
              <w:t>从轻</w:t>
            </w:r>
          </w:p>
        </w:tc>
        <w:tc>
          <w:tcPr>
            <w:tcW w:w="2413" w:type="dxa"/>
            <w:vAlign w:val="center"/>
          </w:tcPr>
          <w:p w14:paraId="25FF0E00">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979" w:type="dxa"/>
            <w:tcBorders>
              <w:right w:val="single" w:color="auto" w:sz="4" w:space="0"/>
            </w:tcBorders>
            <w:vAlign w:val="center"/>
          </w:tcPr>
          <w:p w14:paraId="30B844EF">
            <w:pPr>
              <w:spacing w:line="240" w:lineRule="exact"/>
              <w:jc w:val="center"/>
              <w:rPr>
                <w:rFonts w:ascii="宋体"/>
                <w:kern w:val="0"/>
              </w:rPr>
            </w:pPr>
            <w:r>
              <w:rPr>
                <w:rFonts w:hint="eastAsia" w:ascii="宋体"/>
                <w:kern w:val="0"/>
              </w:rPr>
              <w:t>3000-5000元</w:t>
            </w:r>
          </w:p>
        </w:tc>
        <w:tc>
          <w:tcPr>
            <w:tcW w:w="3171" w:type="dxa"/>
            <w:tcBorders>
              <w:left w:val="single" w:color="auto" w:sz="4" w:space="0"/>
              <w:bottom w:val="single" w:color="auto" w:sz="4" w:space="0"/>
              <w:right w:val="single" w:color="auto" w:sz="4" w:space="0"/>
            </w:tcBorders>
            <w:vAlign w:val="center"/>
          </w:tcPr>
          <w:p w14:paraId="64212819">
            <w:pPr>
              <w:spacing w:line="240" w:lineRule="exact"/>
              <w:jc w:val="center"/>
              <w:rPr>
                <w:rFonts w:ascii="宋体"/>
                <w:kern w:val="0"/>
              </w:rPr>
            </w:pPr>
            <w:r>
              <w:rPr>
                <w:rFonts w:hint="eastAsia" w:ascii="宋体"/>
                <w:kern w:val="0"/>
              </w:rPr>
              <w:t>2000-5000元，暂扣适任证书6个月至9个月</w:t>
            </w:r>
          </w:p>
        </w:tc>
        <w:tc>
          <w:tcPr>
            <w:tcW w:w="3100" w:type="dxa"/>
            <w:tcBorders>
              <w:left w:val="single" w:color="auto" w:sz="4" w:space="0"/>
              <w:bottom w:val="single" w:color="auto" w:sz="4" w:space="0"/>
            </w:tcBorders>
            <w:vAlign w:val="center"/>
          </w:tcPr>
          <w:p w14:paraId="6A7EC4B5">
            <w:pPr>
              <w:spacing w:line="240" w:lineRule="exact"/>
              <w:jc w:val="center"/>
              <w:rPr>
                <w:rFonts w:ascii="宋体"/>
                <w:kern w:val="0"/>
              </w:rPr>
            </w:pPr>
            <w:r>
              <w:rPr>
                <w:rFonts w:hint="eastAsia" w:ascii="宋体"/>
                <w:kern w:val="0"/>
              </w:rPr>
              <w:t>2000元-4000元，暂扣适任证书6个月至9个月</w:t>
            </w:r>
          </w:p>
        </w:tc>
      </w:tr>
      <w:tr w14:paraId="08B5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6" w:hRule="atLeast"/>
        </w:trPr>
        <w:tc>
          <w:tcPr>
            <w:tcW w:w="898" w:type="dxa"/>
            <w:vMerge w:val="continue"/>
            <w:vAlign w:val="center"/>
          </w:tcPr>
          <w:p w14:paraId="3310C577">
            <w:pPr>
              <w:spacing w:line="240" w:lineRule="exact"/>
              <w:jc w:val="left"/>
              <w:rPr>
                <w:rFonts w:ascii="宋体"/>
                <w:kern w:val="0"/>
              </w:rPr>
            </w:pPr>
          </w:p>
        </w:tc>
        <w:tc>
          <w:tcPr>
            <w:tcW w:w="1815" w:type="dxa"/>
            <w:vMerge w:val="continue"/>
            <w:vAlign w:val="center"/>
          </w:tcPr>
          <w:p w14:paraId="67D919EB">
            <w:pPr>
              <w:widowControl/>
              <w:spacing w:line="240" w:lineRule="exact"/>
              <w:jc w:val="left"/>
              <w:rPr>
                <w:rFonts w:ascii="宋体"/>
                <w:kern w:val="0"/>
              </w:rPr>
            </w:pPr>
          </w:p>
        </w:tc>
        <w:tc>
          <w:tcPr>
            <w:tcW w:w="1845" w:type="dxa"/>
            <w:vMerge w:val="continue"/>
            <w:vAlign w:val="center"/>
          </w:tcPr>
          <w:p w14:paraId="1346450B">
            <w:pPr>
              <w:spacing w:line="240" w:lineRule="exact"/>
              <w:jc w:val="left"/>
              <w:rPr>
                <w:rFonts w:ascii="宋体"/>
                <w:kern w:val="0"/>
              </w:rPr>
            </w:pPr>
          </w:p>
        </w:tc>
        <w:tc>
          <w:tcPr>
            <w:tcW w:w="1005" w:type="dxa"/>
            <w:vMerge w:val="restart"/>
            <w:vAlign w:val="center"/>
          </w:tcPr>
          <w:p w14:paraId="124BCF5D">
            <w:pPr>
              <w:spacing w:line="240" w:lineRule="exact"/>
              <w:jc w:val="center"/>
              <w:rPr>
                <w:rFonts w:ascii="宋体"/>
                <w:kern w:val="0"/>
              </w:rPr>
            </w:pPr>
            <w:r>
              <w:rPr>
                <w:rFonts w:hint="eastAsia" w:ascii="宋体"/>
                <w:kern w:val="0"/>
              </w:rPr>
              <w:t>一般</w:t>
            </w:r>
          </w:p>
        </w:tc>
        <w:tc>
          <w:tcPr>
            <w:tcW w:w="2413" w:type="dxa"/>
            <w:vAlign w:val="center"/>
          </w:tcPr>
          <w:p w14:paraId="005B5F71">
            <w:pPr>
              <w:widowControl/>
              <w:spacing w:line="240" w:lineRule="exact"/>
              <w:jc w:val="left"/>
              <w:rPr>
                <w:rFonts w:ascii="宋体"/>
                <w:kern w:val="0"/>
              </w:rPr>
            </w:pPr>
            <w:r>
              <w:rPr>
                <w:rFonts w:hint="eastAsia" w:ascii="宋体"/>
                <w:kern w:val="0"/>
              </w:rPr>
              <w:t xml:space="preserve">发生险情未报告，或者存在瞒报、谎报情形 </w:t>
            </w:r>
          </w:p>
        </w:tc>
        <w:tc>
          <w:tcPr>
            <w:tcW w:w="4979" w:type="dxa"/>
            <w:tcBorders>
              <w:right w:val="single" w:color="auto" w:sz="4" w:space="0"/>
            </w:tcBorders>
            <w:vAlign w:val="center"/>
          </w:tcPr>
          <w:p w14:paraId="41D18BED">
            <w:pPr>
              <w:spacing w:line="240" w:lineRule="exact"/>
              <w:jc w:val="center"/>
              <w:rPr>
                <w:rFonts w:ascii="宋体"/>
                <w:kern w:val="0"/>
              </w:rPr>
            </w:pPr>
            <w:r>
              <w:rPr>
                <w:rFonts w:hint="eastAsia" w:ascii="宋体"/>
                <w:kern w:val="0"/>
              </w:rPr>
              <w:t>5000-1万元</w:t>
            </w:r>
          </w:p>
        </w:tc>
        <w:tc>
          <w:tcPr>
            <w:tcW w:w="3171" w:type="dxa"/>
            <w:tcBorders>
              <w:top w:val="single" w:color="auto" w:sz="4" w:space="0"/>
              <w:left w:val="single" w:color="auto" w:sz="4" w:space="0"/>
              <w:bottom w:val="single" w:color="auto" w:sz="4" w:space="0"/>
              <w:right w:val="single" w:color="auto" w:sz="4" w:space="0"/>
            </w:tcBorders>
            <w:vAlign w:val="center"/>
          </w:tcPr>
          <w:p w14:paraId="1294C2AA">
            <w:pPr>
              <w:spacing w:line="240" w:lineRule="exact"/>
              <w:jc w:val="center"/>
              <w:rPr>
                <w:rFonts w:ascii="宋体"/>
                <w:kern w:val="0"/>
              </w:rPr>
            </w:pPr>
            <w:r>
              <w:rPr>
                <w:rFonts w:hint="eastAsia" w:ascii="宋体"/>
                <w:kern w:val="0"/>
              </w:rPr>
              <w:t>5000-8000元，暂扣适任证书9个月至12个月</w:t>
            </w:r>
          </w:p>
        </w:tc>
        <w:tc>
          <w:tcPr>
            <w:tcW w:w="3100" w:type="dxa"/>
            <w:tcBorders>
              <w:top w:val="single" w:color="auto" w:sz="4" w:space="0"/>
              <w:left w:val="single" w:color="auto" w:sz="4" w:space="0"/>
              <w:bottom w:val="single" w:color="auto" w:sz="4" w:space="0"/>
            </w:tcBorders>
            <w:vAlign w:val="center"/>
          </w:tcPr>
          <w:p w14:paraId="1976B9A5">
            <w:pPr>
              <w:spacing w:line="240" w:lineRule="exact"/>
              <w:jc w:val="center"/>
              <w:rPr>
                <w:rFonts w:ascii="宋体"/>
                <w:kern w:val="0"/>
              </w:rPr>
            </w:pPr>
            <w:r>
              <w:rPr>
                <w:rFonts w:hint="eastAsia" w:ascii="宋体"/>
                <w:kern w:val="0"/>
              </w:rPr>
              <w:t>4000-5000元，暂扣适任证书9个月至12个月</w:t>
            </w:r>
          </w:p>
        </w:tc>
      </w:tr>
      <w:tr w14:paraId="0CB2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6" w:hRule="atLeast"/>
        </w:trPr>
        <w:tc>
          <w:tcPr>
            <w:tcW w:w="898" w:type="dxa"/>
            <w:vMerge w:val="continue"/>
            <w:vAlign w:val="center"/>
          </w:tcPr>
          <w:p w14:paraId="71B69393">
            <w:pPr>
              <w:spacing w:line="240" w:lineRule="exact"/>
              <w:jc w:val="left"/>
              <w:rPr>
                <w:rFonts w:ascii="宋体"/>
                <w:kern w:val="0"/>
              </w:rPr>
            </w:pPr>
          </w:p>
        </w:tc>
        <w:tc>
          <w:tcPr>
            <w:tcW w:w="1815" w:type="dxa"/>
            <w:vMerge w:val="continue"/>
            <w:vAlign w:val="center"/>
          </w:tcPr>
          <w:p w14:paraId="69FF66DB">
            <w:pPr>
              <w:widowControl/>
              <w:spacing w:line="240" w:lineRule="exact"/>
              <w:jc w:val="left"/>
              <w:rPr>
                <w:rFonts w:ascii="宋体"/>
                <w:kern w:val="0"/>
              </w:rPr>
            </w:pPr>
          </w:p>
        </w:tc>
        <w:tc>
          <w:tcPr>
            <w:tcW w:w="1845" w:type="dxa"/>
            <w:vMerge w:val="continue"/>
            <w:vAlign w:val="center"/>
          </w:tcPr>
          <w:p w14:paraId="0F595F90">
            <w:pPr>
              <w:spacing w:line="240" w:lineRule="exact"/>
              <w:jc w:val="left"/>
              <w:rPr>
                <w:rFonts w:ascii="宋体"/>
                <w:kern w:val="0"/>
              </w:rPr>
            </w:pPr>
          </w:p>
        </w:tc>
        <w:tc>
          <w:tcPr>
            <w:tcW w:w="1005" w:type="dxa"/>
            <w:vMerge w:val="continue"/>
            <w:vAlign w:val="center"/>
          </w:tcPr>
          <w:p w14:paraId="7B175925">
            <w:pPr>
              <w:spacing w:line="240" w:lineRule="exact"/>
              <w:jc w:val="center"/>
              <w:rPr>
                <w:rFonts w:ascii="宋体"/>
                <w:kern w:val="0"/>
              </w:rPr>
            </w:pPr>
          </w:p>
        </w:tc>
        <w:tc>
          <w:tcPr>
            <w:tcW w:w="2413" w:type="dxa"/>
            <w:vAlign w:val="center"/>
          </w:tcPr>
          <w:p w14:paraId="1ECAA16D">
            <w:pPr>
              <w:widowControl/>
              <w:spacing w:line="240" w:lineRule="exact"/>
              <w:jc w:val="left"/>
              <w:rPr>
                <w:rFonts w:ascii="宋体"/>
                <w:kern w:val="0"/>
              </w:rPr>
            </w:pPr>
            <w:r>
              <w:rPr>
                <w:rFonts w:hint="eastAsia" w:ascii="宋体"/>
                <w:kern w:val="0"/>
              </w:rPr>
              <w:t>发生小事故未报告，或者存在瞒报、谎报情形</w:t>
            </w:r>
          </w:p>
        </w:tc>
        <w:tc>
          <w:tcPr>
            <w:tcW w:w="4979" w:type="dxa"/>
            <w:tcBorders>
              <w:right w:val="single" w:color="auto" w:sz="4" w:space="0"/>
            </w:tcBorders>
            <w:vAlign w:val="center"/>
          </w:tcPr>
          <w:p w14:paraId="66D76460">
            <w:pPr>
              <w:spacing w:line="240" w:lineRule="exact"/>
              <w:jc w:val="center"/>
              <w:rPr>
                <w:rFonts w:ascii="宋体"/>
                <w:kern w:val="0"/>
              </w:rPr>
            </w:pPr>
            <w:r>
              <w:rPr>
                <w:rFonts w:hint="eastAsia" w:ascii="宋体"/>
                <w:kern w:val="0"/>
              </w:rPr>
              <w:t>1-1.5万元</w:t>
            </w:r>
          </w:p>
        </w:tc>
        <w:tc>
          <w:tcPr>
            <w:tcW w:w="3171" w:type="dxa"/>
            <w:tcBorders>
              <w:top w:val="single" w:color="auto" w:sz="4" w:space="0"/>
              <w:left w:val="single" w:color="auto" w:sz="4" w:space="0"/>
              <w:bottom w:val="single" w:color="auto" w:sz="4" w:space="0"/>
              <w:right w:val="single" w:color="auto" w:sz="4" w:space="0"/>
            </w:tcBorders>
            <w:vAlign w:val="center"/>
          </w:tcPr>
          <w:p w14:paraId="0D6B94CD">
            <w:pPr>
              <w:spacing w:line="240" w:lineRule="exact"/>
              <w:jc w:val="center"/>
              <w:rPr>
                <w:rFonts w:ascii="宋体"/>
                <w:kern w:val="0"/>
              </w:rPr>
            </w:pPr>
            <w:r>
              <w:rPr>
                <w:rFonts w:hint="eastAsia" w:ascii="宋体"/>
                <w:kern w:val="0"/>
              </w:rPr>
              <w:t>8000元-1万元，暂扣适任证书12个月至15个月</w:t>
            </w:r>
          </w:p>
        </w:tc>
        <w:tc>
          <w:tcPr>
            <w:tcW w:w="3100" w:type="dxa"/>
            <w:tcBorders>
              <w:top w:val="single" w:color="auto" w:sz="4" w:space="0"/>
              <w:left w:val="single" w:color="auto" w:sz="4" w:space="0"/>
              <w:bottom w:val="single" w:color="auto" w:sz="4" w:space="0"/>
            </w:tcBorders>
            <w:vAlign w:val="center"/>
          </w:tcPr>
          <w:p w14:paraId="55136793">
            <w:pPr>
              <w:spacing w:line="240" w:lineRule="exact"/>
              <w:jc w:val="center"/>
              <w:rPr>
                <w:rFonts w:ascii="宋体"/>
                <w:kern w:val="0"/>
              </w:rPr>
            </w:pPr>
            <w:r>
              <w:rPr>
                <w:rFonts w:hint="eastAsia" w:ascii="宋体"/>
                <w:kern w:val="0"/>
              </w:rPr>
              <w:t>5000-8000元，暂扣适任证书12个月至15个月</w:t>
            </w:r>
          </w:p>
        </w:tc>
      </w:tr>
      <w:tr w14:paraId="35E4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898" w:type="dxa"/>
            <w:vMerge w:val="continue"/>
            <w:vAlign w:val="center"/>
          </w:tcPr>
          <w:p w14:paraId="7CFD3873">
            <w:pPr>
              <w:spacing w:line="240" w:lineRule="exact"/>
              <w:jc w:val="left"/>
              <w:rPr>
                <w:rFonts w:ascii="宋体"/>
                <w:kern w:val="0"/>
              </w:rPr>
            </w:pPr>
          </w:p>
        </w:tc>
        <w:tc>
          <w:tcPr>
            <w:tcW w:w="1815" w:type="dxa"/>
            <w:vMerge w:val="continue"/>
            <w:vAlign w:val="center"/>
          </w:tcPr>
          <w:p w14:paraId="33F97426">
            <w:pPr>
              <w:spacing w:line="240" w:lineRule="exact"/>
              <w:jc w:val="left"/>
              <w:rPr>
                <w:rFonts w:ascii="宋体"/>
                <w:kern w:val="0"/>
              </w:rPr>
            </w:pPr>
          </w:p>
        </w:tc>
        <w:tc>
          <w:tcPr>
            <w:tcW w:w="1845" w:type="dxa"/>
            <w:vMerge w:val="continue"/>
            <w:vAlign w:val="center"/>
          </w:tcPr>
          <w:p w14:paraId="0AA12093">
            <w:pPr>
              <w:spacing w:line="240" w:lineRule="exact"/>
              <w:jc w:val="left"/>
              <w:rPr>
                <w:rFonts w:ascii="宋体"/>
                <w:kern w:val="0"/>
              </w:rPr>
            </w:pPr>
          </w:p>
        </w:tc>
        <w:tc>
          <w:tcPr>
            <w:tcW w:w="1005" w:type="dxa"/>
            <w:vMerge w:val="continue"/>
            <w:vAlign w:val="center"/>
          </w:tcPr>
          <w:p w14:paraId="652C2B29">
            <w:pPr>
              <w:spacing w:line="240" w:lineRule="exact"/>
              <w:jc w:val="center"/>
              <w:rPr>
                <w:rFonts w:ascii="宋体"/>
                <w:kern w:val="0"/>
              </w:rPr>
            </w:pPr>
          </w:p>
        </w:tc>
        <w:tc>
          <w:tcPr>
            <w:tcW w:w="2413" w:type="dxa"/>
            <w:tcBorders>
              <w:top w:val="single" w:color="auto" w:sz="4" w:space="0"/>
            </w:tcBorders>
            <w:vAlign w:val="center"/>
          </w:tcPr>
          <w:p w14:paraId="38FFEE4A">
            <w:pPr>
              <w:widowControl/>
              <w:spacing w:line="240" w:lineRule="exact"/>
              <w:jc w:val="left"/>
              <w:rPr>
                <w:rFonts w:ascii="宋体"/>
                <w:kern w:val="0"/>
              </w:rPr>
            </w:pPr>
            <w:r>
              <w:rPr>
                <w:rFonts w:hint="eastAsia" w:ascii="宋体"/>
                <w:kern w:val="0"/>
              </w:rPr>
              <w:t>1.发生一般等级以上事故未报告，或者存在瞒报、谎报情形；</w:t>
            </w:r>
          </w:p>
          <w:p w14:paraId="36B18DA1">
            <w:pPr>
              <w:widowControl/>
              <w:spacing w:line="240" w:lineRule="exact"/>
              <w:jc w:val="left"/>
              <w:rPr>
                <w:rFonts w:ascii="宋体"/>
                <w:kern w:val="0"/>
              </w:rPr>
            </w:pPr>
            <w:r>
              <w:rPr>
                <w:rFonts w:hint="eastAsia" w:ascii="宋体"/>
                <w:kern w:val="0"/>
              </w:rPr>
              <w:t>2.具有其他较重情节的；</w:t>
            </w:r>
          </w:p>
        </w:tc>
        <w:tc>
          <w:tcPr>
            <w:tcW w:w="4979" w:type="dxa"/>
            <w:tcBorders>
              <w:top w:val="single" w:color="auto" w:sz="4" w:space="0"/>
              <w:bottom w:val="single" w:color="auto" w:sz="4" w:space="0"/>
              <w:right w:val="single" w:color="auto" w:sz="4" w:space="0"/>
            </w:tcBorders>
            <w:vAlign w:val="center"/>
          </w:tcPr>
          <w:p w14:paraId="55B8F91C">
            <w:pPr>
              <w:spacing w:line="240" w:lineRule="exact"/>
              <w:jc w:val="center"/>
              <w:rPr>
                <w:rFonts w:ascii="宋体"/>
                <w:kern w:val="0"/>
              </w:rPr>
            </w:pPr>
            <w:r>
              <w:rPr>
                <w:rFonts w:hint="eastAsia" w:ascii="宋体"/>
                <w:kern w:val="0"/>
              </w:rPr>
              <w:t>1.5-3万元</w:t>
            </w:r>
          </w:p>
        </w:tc>
        <w:tc>
          <w:tcPr>
            <w:tcW w:w="3171" w:type="dxa"/>
            <w:tcBorders>
              <w:top w:val="single" w:color="auto" w:sz="4" w:space="0"/>
              <w:left w:val="single" w:color="auto" w:sz="4" w:space="0"/>
              <w:bottom w:val="single" w:color="auto" w:sz="4" w:space="0"/>
              <w:right w:val="single" w:color="auto" w:sz="4" w:space="0"/>
            </w:tcBorders>
            <w:vAlign w:val="center"/>
          </w:tcPr>
          <w:p w14:paraId="66FB06EA">
            <w:pPr>
              <w:spacing w:line="240" w:lineRule="exact"/>
              <w:jc w:val="center"/>
              <w:rPr>
                <w:rFonts w:ascii="宋体"/>
                <w:kern w:val="0"/>
              </w:rPr>
            </w:pPr>
            <w:r>
              <w:rPr>
                <w:rFonts w:hint="eastAsia" w:ascii="宋体"/>
                <w:kern w:val="0"/>
              </w:rPr>
              <w:t>1-2万元，暂扣适任证书15个月至24个月</w:t>
            </w:r>
          </w:p>
        </w:tc>
        <w:tc>
          <w:tcPr>
            <w:tcW w:w="3100" w:type="dxa"/>
            <w:tcBorders>
              <w:top w:val="single" w:color="auto" w:sz="4" w:space="0"/>
              <w:left w:val="single" w:color="auto" w:sz="4" w:space="0"/>
            </w:tcBorders>
            <w:vAlign w:val="center"/>
          </w:tcPr>
          <w:p w14:paraId="086A2933">
            <w:pPr>
              <w:spacing w:line="240" w:lineRule="exact"/>
              <w:jc w:val="center"/>
              <w:rPr>
                <w:rFonts w:ascii="宋体"/>
                <w:kern w:val="0"/>
              </w:rPr>
            </w:pPr>
            <w:r>
              <w:rPr>
                <w:rFonts w:hint="eastAsia" w:ascii="宋体"/>
                <w:kern w:val="0"/>
              </w:rPr>
              <w:t>8000元-2万元，暂扣适任证书15个月至24个月</w:t>
            </w:r>
          </w:p>
        </w:tc>
      </w:tr>
      <w:tr w14:paraId="01D0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80" w:hRule="atLeast"/>
        </w:trPr>
        <w:tc>
          <w:tcPr>
            <w:tcW w:w="898" w:type="dxa"/>
            <w:vMerge w:val="continue"/>
            <w:vAlign w:val="center"/>
          </w:tcPr>
          <w:p w14:paraId="3AC9E348">
            <w:pPr>
              <w:spacing w:line="240" w:lineRule="exact"/>
              <w:jc w:val="left"/>
              <w:rPr>
                <w:rFonts w:ascii="宋体"/>
                <w:kern w:val="0"/>
              </w:rPr>
            </w:pPr>
          </w:p>
        </w:tc>
        <w:tc>
          <w:tcPr>
            <w:tcW w:w="1815" w:type="dxa"/>
            <w:vMerge w:val="continue"/>
            <w:vAlign w:val="center"/>
          </w:tcPr>
          <w:p w14:paraId="207F8EF9">
            <w:pPr>
              <w:spacing w:line="240" w:lineRule="exact"/>
              <w:jc w:val="left"/>
              <w:rPr>
                <w:rFonts w:ascii="宋体"/>
                <w:kern w:val="0"/>
              </w:rPr>
            </w:pPr>
          </w:p>
        </w:tc>
        <w:tc>
          <w:tcPr>
            <w:tcW w:w="1845" w:type="dxa"/>
            <w:vMerge w:val="continue"/>
            <w:vAlign w:val="center"/>
          </w:tcPr>
          <w:p w14:paraId="2DA8CB91">
            <w:pPr>
              <w:spacing w:line="240" w:lineRule="exact"/>
              <w:jc w:val="left"/>
              <w:rPr>
                <w:rFonts w:ascii="宋体"/>
                <w:kern w:val="0"/>
              </w:rPr>
            </w:pPr>
          </w:p>
        </w:tc>
        <w:tc>
          <w:tcPr>
            <w:tcW w:w="1005" w:type="dxa"/>
            <w:tcBorders>
              <w:top w:val="single" w:color="auto" w:sz="4" w:space="0"/>
              <w:bottom w:val="single" w:color="auto" w:sz="4" w:space="0"/>
              <w:right w:val="single" w:color="auto" w:sz="4" w:space="0"/>
            </w:tcBorders>
            <w:vAlign w:val="center"/>
          </w:tcPr>
          <w:p w14:paraId="515D354C">
            <w:pPr>
              <w:spacing w:line="240" w:lineRule="exact"/>
              <w:jc w:val="center"/>
              <w:rPr>
                <w:rFonts w:ascii="宋体"/>
                <w:kern w:val="0"/>
              </w:rPr>
            </w:pPr>
            <w:r>
              <w:rPr>
                <w:rFonts w:hint="eastAsia" w:ascii="宋体"/>
                <w:kern w:val="0"/>
              </w:rPr>
              <w:t>情节严重</w:t>
            </w:r>
          </w:p>
        </w:tc>
        <w:tc>
          <w:tcPr>
            <w:tcW w:w="2413" w:type="dxa"/>
            <w:tcBorders>
              <w:top w:val="single" w:color="auto" w:sz="4" w:space="0"/>
              <w:left w:val="single" w:color="auto" w:sz="4" w:space="0"/>
              <w:bottom w:val="single" w:color="auto" w:sz="4" w:space="0"/>
            </w:tcBorders>
            <w:vAlign w:val="center"/>
          </w:tcPr>
          <w:p w14:paraId="01B58777">
            <w:pPr>
              <w:numPr>
                <w:ilvl w:val="0"/>
                <w:numId w:val="6"/>
              </w:numPr>
              <w:spacing w:line="240" w:lineRule="exact"/>
              <w:jc w:val="left"/>
              <w:rPr>
                <w:rFonts w:ascii="宋体"/>
              </w:rPr>
            </w:pPr>
            <w:r>
              <w:rPr>
                <w:rFonts w:hint="eastAsia" w:ascii="宋体"/>
              </w:rPr>
              <w:t>造成事故损失或人员伤亡进一步扩大等不利后果的；</w:t>
            </w:r>
          </w:p>
          <w:p w14:paraId="7745BA90">
            <w:pPr>
              <w:spacing w:line="240" w:lineRule="exact"/>
              <w:jc w:val="left"/>
              <w:rPr>
                <w:rFonts w:ascii="宋体"/>
              </w:rPr>
            </w:pPr>
            <w:r>
              <w:rPr>
                <w:rFonts w:hint="eastAsia" w:ascii="宋体"/>
              </w:rPr>
              <w:t>2.对事故调查工作造成影响的；</w:t>
            </w:r>
          </w:p>
          <w:p w14:paraId="18C8B1E9">
            <w:pPr>
              <w:spacing w:line="240" w:lineRule="exact"/>
              <w:jc w:val="left"/>
              <w:rPr>
                <w:rFonts w:ascii="宋体"/>
              </w:rPr>
            </w:pPr>
            <w:r>
              <w:rPr>
                <w:rFonts w:hint="eastAsia" w:ascii="宋体"/>
              </w:rPr>
              <w:t>3.具有其他严重情节的。</w:t>
            </w:r>
          </w:p>
        </w:tc>
        <w:tc>
          <w:tcPr>
            <w:tcW w:w="4979" w:type="dxa"/>
            <w:tcBorders>
              <w:top w:val="single" w:color="auto" w:sz="4" w:space="0"/>
              <w:bottom w:val="single" w:color="auto" w:sz="4" w:space="0"/>
              <w:right w:val="single" w:color="auto" w:sz="4" w:space="0"/>
            </w:tcBorders>
            <w:vAlign w:val="center"/>
          </w:tcPr>
          <w:p w14:paraId="2B82C02B">
            <w:pPr>
              <w:spacing w:line="240" w:lineRule="exact"/>
              <w:jc w:val="center"/>
              <w:rPr>
                <w:rFonts w:ascii="宋体"/>
                <w:kern w:val="0"/>
              </w:rPr>
            </w:pPr>
            <w:r>
              <w:rPr>
                <w:rFonts w:hint="eastAsia" w:ascii="宋体"/>
                <w:kern w:val="0"/>
              </w:rPr>
              <w:t>1-10万元</w:t>
            </w:r>
          </w:p>
        </w:tc>
        <w:tc>
          <w:tcPr>
            <w:tcW w:w="3171" w:type="dxa"/>
            <w:tcBorders>
              <w:top w:val="single" w:color="auto" w:sz="4" w:space="0"/>
              <w:left w:val="single" w:color="auto" w:sz="4" w:space="0"/>
              <w:bottom w:val="single" w:color="auto" w:sz="4" w:space="0"/>
              <w:right w:val="single" w:color="auto" w:sz="4" w:space="0"/>
            </w:tcBorders>
            <w:vAlign w:val="center"/>
          </w:tcPr>
          <w:p w14:paraId="1601F015">
            <w:pPr>
              <w:spacing w:line="240" w:lineRule="exact"/>
              <w:jc w:val="center"/>
              <w:rPr>
                <w:rFonts w:ascii="宋体"/>
                <w:bCs/>
                <w:kern w:val="0"/>
              </w:rPr>
            </w:pPr>
            <w:r>
              <w:rPr>
                <w:rFonts w:hint="eastAsia" w:ascii="宋体"/>
                <w:bCs/>
                <w:kern w:val="0"/>
              </w:rPr>
              <w:t>吊销适任证书</w:t>
            </w:r>
          </w:p>
        </w:tc>
        <w:tc>
          <w:tcPr>
            <w:tcW w:w="3100" w:type="dxa"/>
            <w:tcBorders>
              <w:left w:val="single" w:color="auto" w:sz="4" w:space="0"/>
            </w:tcBorders>
            <w:vAlign w:val="center"/>
          </w:tcPr>
          <w:p w14:paraId="4A435B2B">
            <w:pPr>
              <w:spacing w:line="240" w:lineRule="exact"/>
              <w:jc w:val="center"/>
              <w:rPr>
                <w:rFonts w:ascii="宋体"/>
                <w:bCs/>
                <w:kern w:val="0"/>
              </w:rPr>
            </w:pPr>
            <w:r>
              <w:rPr>
                <w:rFonts w:hint="eastAsia" w:ascii="宋体"/>
                <w:bCs/>
                <w:kern w:val="0"/>
              </w:rPr>
              <w:t>吊销适任证书</w:t>
            </w:r>
          </w:p>
        </w:tc>
      </w:tr>
      <w:tr w14:paraId="3625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0" w:hRule="atLeast"/>
        </w:trPr>
        <w:tc>
          <w:tcPr>
            <w:tcW w:w="19226" w:type="dxa"/>
            <w:gridSpan w:val="8"/>
            <w:vAlign w:val="center"/>
          </w:tcPr>
          <w:p w14:paraId="7E673C07">
            <w:pPr>
              <w:spacing w:line="240" w:lineRule="exact"/>
              <w:jc w:val="left"/>
              <w:rPr>
                <w:rFonts w:ascii="宋体"/>
                <w:bCs/>
                <w:kern w:val="0"/>
              </w:rPr>
            </w:pPr>
            <w:r>
              <w:rPr>
                <w:rFonts w:hint="eastAsia" w:ascii="宋体"/>
                <w:kern w:val="0"/>
              </w:rPr>
              <w:t>注：如与《防治船舶污染海洋环境管理条例》第六十八条存在事实竞合的，按照《行政处罚法》第二十九的原则处理。</w:t>
            </w:r>
          </w:p>
        </w:tc>
      </w:tr>
    </w:tbl>
    <w:p w14:paraId="502B6054">
      <w:pPr>
        <w:spacing w:line="240" w:lineRule="exact"/>
        <w:rPr>
          <w:rFonts w:ascii="宋体"/>
          <w:b/>
          <w:bCs/>
          <w:kern w:val="0"/>
        </w:rPr>
      </w:pPr>
      <w:r>
        <w:rPr>
          <w:rFonts w:hint="eastAsia"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20"/>
        <w:gridCol w:w="1752"/>
        <w:gridCol w:w="1881"/>
        <w:gridCol w:w="991"/>
        <w:gridCol w:w="2532"/>
        <w:gridCol w:w="5137"/>
        <w:gridCol w:w="3013"/>
        <w:gridCol w:w="3876"/>
      </w:tblGrid>
      <w:tr w14:paraId="240E6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820" w:type="dxa"/>
            <w:vMerge w:val="restart"/>
            <w:vAlign w:val="center"/>
          </w:tcPr>
          <w:p w14:paraId="025DD4B2">
            <w:pPr>
              <w:spacing w:line="240" w:lineRule="exact"/>
              <w:jc w:val="center"/>
              <w:rPr>
                <w:rFonts w:ascii="宋体"/>
                <w:b/>
                <w:kern w:val="0"/>
              </w:rPr>
            </w:pPr>
            <w:r>
              <w:rPr>
                <w:rFonts w:hint="eastAsia" w:ascii="宋体"/>
                <w:b/>
                <w:kern w:val="0"/>
              </w:rPr>
              <w:t>案由</w:t>
            </w:r>
            <w:r>
              <w:rPr>
                <w:rFonts w:hint="eastAsia" w:ascii="宋体"/>
                <w:b/>
                <w:bCs/>
                <w:kern w:val="0"/>
              </w:rPr>
              <w:t>36</w:t>
            </w:r>
          </w:p>
        </w:tc>
        <w:tc>
          <w:tcPr>
            <w:tcW w:w="3633" w:type="dxa"/>
            <w:gridSpan w:val="2"/>
            <w:vAlign w:val="center"/>
          </w:tcPr>
          <w:p w14:paraId="579701BA">
            <w:pPr>
              <w:spacing w:line="240" w:lineRule="exact"/>
              <w:jc w:val="center"/>
              <w:rPr>
                <w:rFonts w:ascii="宋体"/>
                <w:b/>
                <w:kern w:val="0"/>
              </w:rPr>
            </w:pPr>
            <w:r>
              <w:rPr>
                <w:rFonts w:hint="eastAsia" w:ascii="宋体"/>
                <w:b/>
                <w:kern w:val="0"/>
              </w:rPr>
              <w:t>法律依据</w:t>
            </w:r>
          </w:p>
        </w:tc>
        <w:tc>
          <w:tcPr>
            <w:tcW w:w="991" w:type="dxa"/>
            <w:vMerge w:val="restart"/>
            <w:vAlign w:val="center"/>
          </w:tcPr>
          <w:p w14:paraId="4832A121">
            <w:pPr>
              <w:spacing w:line="240" w:lineRule="exact"/>
              <w:jc w:val="center"/>
              <w:rPr>
                <w:rFonts w:ascii="宋体"/>
                <w:b/>
                <w:kern w:val="0"/>
              </w:rPr>
            </w:pPr>
            <w:r>
              <w:rPr>
                <w:rFonts w:hint="eastAsia" w:ascii="宋体"/>
                <w:b/>
                <w:kern w:val="0"/>
              </w:rPr>
              <w:t>违法情节</w:t>
            </w:r>
          </w:p>
        </w:tc>
        <w:tc>
          <w:tcPr>
            <w:tcW w:w="2532" w:type="dxa"/>
            <w:vMerge w:val="restart"/>
            <w:vAlign w:val="center"/>
          </w:tcPr>
          <w:p w14:paraId="3D97888E">
            <w:pPr>
              <w:spacing w:line="240" w:lineRule="exact"/>
              <w:jc w:val="center"/>
              <w:rPr>
                <w:rFonts w:ascii="宋体"/>
                <w:b/>
                <w:kern w:val="0"/>
              </w:rPr>
            </w:pPr>
            <w:r>
              <w:rPr>
                <w:rFonts w:hint="eastAsia" w:ascii="宋体"/>
                <w:b/>
                <w:kern w:val="0"/>
              </w:rPr>
              <w:t>主要考虑因素（事实、性质、情节、危害程度和实际后果等）</w:t>
            </w:r>
          </w:p>
        </w:tc>
        <w:tc>
          <w:tcPr>
            <w:tcW w:w="12026" w:type="dxa"/>
            <w:gridSpan w:val="3"/>
            <w:tcBorders>
              <w:bottom w:val="single" w:color="auto" w:sz="4" w:space="0"/>
            </w:tcBorders>
            <w:vAlign w:val="center"/>
          </w:tcPr>
          <w:p w14:paraId="28F34553">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由海事管理机构对违法船舶的所有人、经营人或者管理人处十万元以上五十万元以下的罚款，对船长、责任船员处五千元以上五万元以下的罚款并吊销船员适任证书，受处罚者终身不得重新申请。</w:t>
            </w:r>
          </w:p>
        </w:tc>
      </w:tr>
      <w:tr w14:paraId="1984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820" w:type="dxa"/>
            <w:vMerge w:val="continue"/>
            <w:tcBorders>
              <w:bottom w:val="single" w:color="000000" w:sz="4" w:space="0"/>
            </w:tcBorders>
            <w:vAlign w:val="center"/>
          </w:tcPr>
          <w:p w14:paraId="51EBF9B0">
            <w:pPr>
              <w:spacing w:line="240" w:lineRule="exact"/>
              <w:jc w:val="center"/>
              <w:rPr>
                <w:rFonts w:ascii="宋体"/>
                <w:b/>
                <w:kern w:val="0"/>
              </w:rPr>
            </w:pPr>
          </w:p>
        </w:tc>
        <w:tc>
          <w:tcPr>
            <w:tcW w:w="1752" w:type="dxa"/>
            <w:tcBorders>
              <w:bottom w:val="single" w:color="000000" w:sz="4" w:space="0"/>
            </w:tcBorders>
            <w:vAlign w:val="center"/>
          </w:tcPr>
          <w:p w14:paraId="532E92F7">
            <w:pPr>
              <w:spacing w:line="240" w:lineRule="exact"/>
              <w:jc w:val="center"/>
              <w:rPr>
                <w:rFonts w:ascii="宋体"/>
                <w:b/>
                <w:kern w:val="0"/>
              </w:rPr>
            </w:pPr>
            <w:r>
              <w:rPr>
                <w:rFonts w:hint="eastAsia" w:ascii="宋体"/>
                <w:b/>
                <w:kern w:val="0"/>
              </w:rPr>
              <w:t>违反条款</w:t>
            </w:r>
          </w:p>
        </w:tc>
        <w:tc>
          <w:tcPr>
            <w:tcW w:w="1881" w:type="dxa"/>
            <w:tcBorders>
              <w:bottom w:val="single" w:color="000000" w:sz="4" w:space="0"/>
            </w:tcBorders>
            <w:vAlign w:val="center"/>
          </w:tcPr>
          <w:p w14:paraId="3D400F88">
            <w:pPr>
              <w:spacing w:line="240" w:lineRule="exact"/>
              <w:jc w:val="center"/>
              <w:rPr>
                <w:rFonts w:ascii="宋体"/>
                <w:b/>
                <w:kern w:val="0"/>
              </w:rPr>
            </w:pPr>
            <w:r>
              <w:rPr>
                <w:rFonts w:hint="eastAsia" w:ascii="宋体"/>
                <w:b/>
                <w:kern w:val="0"/>
              </w:rPr>
              <w:t>处罚依据</w:t>
            </w:r>
          </w:p>
        </w:tc>
        <w:tc>
          <w:tcPr>
            <w:tcW w:w="991" w:type="dxa"/>
            <w:vMerge w:val="continue"/>
            <w:tcBorders>
              <w:bottom w:val="single" w:color="000000" w:sz="4" w:space="0"/>
            </w:tcBorders>
            <w:vAlign w:val="center"/>
          </w:tcPr>
          <w:p w14:paraId="7E828E4B">
            <w:pPr>
              <w:spacing w:line="240" w:lineRule="exact"/>
              <w:jc w:val="center"/>
              <w:rPr>
                <w:rFonts w:ascii="宋体"/>
                <w:b/>
                <w:kern w:val="0"/>
              </w:rPr>
            </w:pPr>
          </w:p>
        </w:tc>
        <w:tc>
          <w:tcPr>
            <w:tcW w:w="2532" w:type="dxa"/>
            <w:vMerge w:val="continue"/>
            <w:tcBorders>
              <w:bottom w:val="single" w:color="000000" w:sz="4" w:space="0"/>
            </w:tcBorders>
            <w:vAlign w:val="center"/>
          </w:tcPr>
          <w:p w14:paraId="03C884AC">
            <w:pPr>
              <w:spacing w:line="240" w:lineRule="exact"/>
              <w:jc w:val="center"/>
              <w:rPr>
                <w:rFonts w:ascii="宋体"/>
                <w:b/>
                <w:kern w:val="0"/>
              </w:rPr>
            </w:pPr>
          </w:p>
        </w:tc>
        <w:tc>
          <w:tcPr>
            <w:tcW w:w="5137" w:type="dxa"/>
            <w:tcBorders>
              <w:top w:val="single" w:color="auto" w:sz="4" w:space="0"/>
              <w:right w:val="single" w:color="auto" w:sz="4" w:space="0"/>
            </w:tcBorders>
            <w:vAlign w:val="center"/>
          </w:tcPr>
          <w:p w14:paraId="776D9386">
            <w:pPr>
              <w:spacing w:line="240" w:lineRule="exact"/>
              <w:jc w:val="center"/>
              <w:rPr>
                <w:rFonts w:ascii="宋体"/>
                <w:b/>
                <w:kern w:val="0"/>
              </w:rPr>
            </w:pPr>
            <w:r>
              <w:rPr>
                <w:rFonts w:hint="eastAsia" w:ascii="宋体"/>
                <w:b/>
                <w:kern w:val="0"/>
              </w:rPr>
              <w:t>【对象】船舶、海上设施的所有人、经营人或者管理人</w:t>
            </w:r>
          </w:p>
        </w:tc>
        <w:tc>
          <w:tcPr>
            <w:tcW w:w="3013" w:type="dxa"/>
            <w:tcBorders>
              <w:top w:val="single" w:color="auto" w:sz="4" w:space="0"/>
              <w:left w:val="single" w:color="auto" w:sz="4" w:space="0"/>
            </w:tcBorders>
            <w:vAlign w:val="center"/>
          </w:tcPr>
          <w:p w14:paraId="21E25350">
            <w:pPr>
              <w:spacing w:line="240" w:lineRule="exact"/>
              <w:jc w:val="center"/>
              <w:rPr>
                <w:rFonts w:ascii="宋体"/>
                <w:b/>
                <w:kern w:val="0"/>
              </w:rPr>
            </w:pPr>
            <w:r>
              <w:rPr>
                <w:rFonts w:hint="eastAsia" w:ascii="宋体"/>
                <w:b/>
                <w:kern w:val="0"/>
              </w:rPr>
              <w:t>【对象】船长</w:t>
            </w:r>
          </w:p>
        </w:tc>
        <w:tc>
          <w:tcPr>
            <w:tcW w:w="3876" w:type="dxa"/>
            <w:tcBorders>
              <w:top w:val="single" w:color="auto" w:sz="4" w:space="0"/>
              <w:left w:val="single" w:color="auto" w:sz="4" w:space="0"/>
            </w:tcBorders>
            <w:vAlign w:val="center"/>
          </w:tcPr>
          <w:p w14:paraId="3E224B2E">
            <w:pPr>
              <w:spacing w:line="240" w:lineRule="exact"/>
              <w:jc w:val="center"/>
              <w:rPr>
                <w:rFonts w:ascii="宋体"/>
                <w:b/>
                <w:kern w:val="0"/>
              </w:rPr>
            </w:pPr>
            <w:r>
              <w:rPr>
                <w:rFonts w:hint="eastAsia" w:ascii="宋体"/>
                <w:b/>
                <w:kern w:val="0"/>
              </w:rPr>
              <w:t>【对象】责任船员</w:t>
            </w:r>
          </w:p>
        </w:tc>
      </w:tr>
      <w:tr w14:paraId="70D2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820" w:type="dxa"/>
            <w:vMerge w:val="restart"/>
            <w:vAlign w:val="center"/>
          </w:tcPr>
          <w:p w14:paraId="67ECFCC7">
            <w:pPr>
              <w:widowControl/>
              <w:spacing w:line="240" w:lineRule="exact"/>
              <w:jc w:val="left"/>
              <w:rPr>
                <w:rFonts w:ascii="宋体"/>
                <w:kern w:val="0"/>
              </w:rPr>
            </w:pPr>
            <w:r>
              <w:rPr>
                <w:rFonts w:hint="eastAsia" w:ascii="宋体"/>
                <w:kern w:val="0"/>
              </w:rPr>
              <w:t>船舶发生海上交通事故后逃逸的</w:t>
            </w:r>
          </w:p>
        </w:tc>
        <w:tc>
          <w:tcPr>
            <w:tcW w:w="1752" w:type="dxa"/>
            <w:vMerge w:val="restart"/>
            <w:vAlign w:val="center"/>
          </w:tcPr>
          <w:p w14:paraId="677B23EF">
            <w:pPr>
              <w:widowControl/>
              <w:spacing w:line="240" w:lineRule="exact"/>
              <w:rPr>
                <w:rFonts w:ascii="宋体"/>
              </w:rPr>
            </w:pPr>
            <w:r>
              <w:rPr>
                <w:rFonts w:hint="eastAsia" w:ascii="宋体"/>
                <w:kern w:val="0"/>
              </w:rPr>
              <w:t>1.《中华人民共和国海上交通安全法》第七十三</w:t>
            </w:r>
            <w:r>
              <w:rPr>
                <w:rFonts w:hint="eastAsia" w:ascii="宋体"/>
              </w:rPr>
              <w:t>条。</w:t>
            </w:r>
          </w:p>
        </w:tc>
        <w:tc>
          <w:tcPr>
            <w:tcW w:w="1881" w:type="dxa"/>
            <w:vMerge w:val="restart"/>
            <w:vAlign w:val="center"/>
          </w:tcPr>
          <w:p w14:paraId="51DCF374">
            <w:pPr>
              <w:spacing w:line="240" w:lineRule="exact"/>
              <w:jc w:val="left"/>
              <w:rPr>
                <w:rFonts w:ascii="宋体"/>
                <w:kern w:val="0"/>
              </w:rPr>
            </w:pPr>
            <w:r>
              <w:rPr>
                <w:rFonts w:hint="eastAsia" w:ascii="宋体"/>
                <w:kern w:val="0"/>
              </w:rPr>
              <w:t>1.《中华人民共和国海上交通安全法》第一百一十一条、</w:t>
            </w:r>
            <w:r>
              <w:rPr>
                <w:rFonts w:hint="eastAsia" w:ascii="宋体"/>
              </w:rPr>
              <w:t>《中华人民共和国海上海事行政处罚规定》第三十四条。</w:t>
            </w:r>
            <w:r>
              <w:rPr>
                <w:rFonts w:hint="eastAsia" w:ascii="宋体"/>
                <w:kern w:val="0"/>
              </w:rPr>
              <w:t xml:space="preserve"> </w:t>
            </w:r>
          </w:p>
          <w:p w14:paraId="6DD8D327">
            <w:pPr>
              <w:spacing w:line="240" w:lineRule="exact"/>
              <w:jc w:val="left"/>
              <w:rPr>
                <w:rFonts w:ascii="宋体"/>
                <w:kern w:val="0"/>
              </w:rPr>
            </w:pPr>
            <w:r>
              <w:rPr>
                <w:rFonts w:hint="eastAsia" w:ascii="宋体"/>
                <w:kern w:val="0"/>
              </w:rPr>
              <w:t>2. 《中华人民共和国海上海事行政处罚规定》第七条。</w:t>
            </w:r>
          </w:p>
        </w:tc>
        <w:tc>
          <w:tcPr>
            <w:tcW w:w="991" w:type="dxa"/>
            <w:vAlign w:val="center"/>
          </w:tcPr>
          <w:p w14:paraId="2E4C535F">
            <w:pPr>
              <w:spacing w:line="240" w:lineRule="exact"/>
              <w:jc w:val="center"/>
              <w:rPr>
                <w:rFonts w:ascii="宋体"/>
                <w:kern w:val="0"/>
              </w:rPr>
            </w:pPr>
            <w:r>
              <w:rPr>
                <w:rFonts w:hint="eastAsia" w:ascii="宋体"/>
                <w:kern w:val="0"/>
              </w:rPr>
              <w:t>从轻</w:t>
            </w:r>
          </w:p>
        </w:tc>
        <w:tc>
          <w:tcPr>
            <w:tcW w:w="2532" w:type="dxa"/>
            <w:vAlign w:val="center"/>
          </w:tcPr>
          <w:p w14:paraId="509C6EE4">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137" w:type="dxa"/>
            <w:tcBorders>
              <w:right w:val="single" w:color="auto" w:sz="4" w:space="0"/>
            </w:tcBorders>
            <w:vAlign w:val="center"/>
          </w:tcPr>
          <w:p w14:paraId="40D3766F">
            <w:pPr>
              <w:spacing w:line="240" w:lineRule="exact"/>
              <w:jc w:val="center"/>
              <w:rPr>
                <w:rFonts w:ascii="宋体"/>
                <w:kern w:val="0"/>
              </w:rPr>
            </w:pPr>
            <w:r>
              <w:rPr>
                <w:rFonts w:hint="eastAsia" w:ascii="宋体"/>
                <w:kern w:val="0"/>
              </w:rPr>
              <w:t>10-15万元</w:t>
            </w:r>
          </w:p>
        </w:tc>
        <w:tc>
          <w:tcPr>
            <w:tcW w:w="3013" w:type="dxa"/>
            <w:tcBorders>
              <w:left w:val="single" w:color="auto" w:sz="4" w:space="0"/>
              <w:bottom w:val="single" w:color="auto" w:sz="4" w:space="0"/>
              <w:right w:val="single" w:color="auto" w:sz="4" w:space="0"/>
            </w:tcBorders>
            <w:vAlign w:val="center"/>
          </w:tcPr>
          <w:p w14:paraId="15ED4ABA">
            <w:pPr>
              <w:spacing w:line="240" w:lineRule="exact"/>
              <w:jc w:val="center"/>
              <w:rPr>
                <w:rFonts w:ascii="宋体"/>
                <w:kern w:val="0"/>
              </w:rPr>
            </w:pPr>
            <w:r>
              <w:rPr>
                <w:rFonts w:hint="eastAsia" w:ascii="宋体"/>
                <w:kern w:val="0"/>
              </w:rPr>
              <w:t>5000元-1.2万，吊销适任证书，且终身不得重新申请</w:t>
            </w:r>
          </w:p>
        </w:tc>
        <w:tc>
          <w:tcPr>
            <w:tcW w:w="3876" w:type="dxa"/>
            <w:tcBorders>
              <w:left w:val="single" w:color="auto" w:sz="4" w:space="0"/>
              <w:bottom w:val="single" w:color="auto" w:sz="4" w:space="0"/>
            </w:tcBorders>
            <w:vAlign w:val="center"/>
          </w:tcPr>
          <w:p w14:paraId="084F36A8">
            <w:pPr>
              <w:spacing w:line="240" w:lineRule="exact"/>
              <w:jc w:val="center"/>
              <w:rPr>
                <w:rFonts w:ascii="宋体"/>
                <w:kern w:val="0"/>
              </w:rPr>
            </w:pPr>
            <w:r>
              <w:rPr>
                <w:rFonts w:hint="eastAsia" w:ascii="宋体"/>
                <w:kern w:val="0"/>
              </w:rPr>
              <w:t>5000-8000元，吊销适任证书，且终身不得重新申请</w:t>
            </w:r>
          </w:p>
        </w:tc>
      </w:tr>
      <w:tr w14:paraId="36DE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820" w:type="dxa"/>
            <w:vMerge w:val="continue"/>
            <w:vAlign w:val="center"/>
          </w:tcPr>
          <w:p w14:paraId="0CF2FE8A">
            <w:pPr>
              <w:spacing w:line="240" w:lineRule="exact"/>
              <w:jc w:val="left"/>
              <w:rPr>
                <w:rFonts w:ascii="宋体"/>
                <w:kern w:val="0"/>
              </w:rPr>
            </w:pPr>
          </w:p>
        </w:tc>
        <w:tc>
          <w:tcPr>
            <w:tcW w:w="1752" w:type="dxa"/>
            <w:vMerge w:val="continue"/>
            <w:vAlign w:val="center"/>
          </w:tcPr>
          <w:p w14:paraId="05FBA314">
            <w:pPr>
              <w:widowControl/>
              <w:spacing w:line="240" w:lineRule="exact"/>
              <w:jc w:val="left"/>
              <w:rPr>
                <w:rFonts w:ascii="宋体"/>
                <w:kern w:val="0"/>
              </w:rPr>
            </w:pPr>
          </w:p>
        </w:tc>
        <w:tc>
          <w:tcPr>
            <w:tcW w:w="1881" w:type="dxa"/>
            <w:vMerge w:val="continue"/>
            <w:vAlign w:val="center"/>
          </w:tcPr>
          <w:p w14:paraId="5E8D288F">
            <w:pPr>
              <w:spacing w:line="240" w:lineRule="exact"/>
              <w:jc w:val="left"/>
              <w:rPr>
                <w:rFonts w:ascii="宋体"/>
                <w:kern w:val="0"/>
              </w:rPr>
            </w:pPr>
          </w:p>
        </w:tc>
        <w:tc>
          <w:tcPr>
            <w:tcW w:w="991" w:type="dxa"/>
            <w:vMerge w:val="restart"/>
            <w:vAlign w:val="center"/>
          </w:tcPr>
          <w:p w14:paraId="6E0D316B">
            <w:pPr>
              <w:spacing w:line="240" w:lineRule="exact"/>
              <w:jc w:val="center"/>
              <w:rPr>
                <w:rFonts w:ascii="宋体"/>
                <w:kern w:val="0"/>
              </w:rPr>
            </w:pPr>
            <w:r>
              <w:rPr>
                <w:rFonts w:hint="eastAsia" w:ascii="宋体"/>
                <w:kern w:val="0"/>
              </w:rPr>
              <w:t>一般</w:t>
            </w:r>
          </w:p>
        </w:tc>
        <w:tc>
          <w:tcPr>
            <w:tcW w:w="2532" w:type="dxa"/>
            <w:vAlign w:val="center"/>
          </w:tcPr>
          <w:p w14:paraId="5CA655A7">
            <w:pPr>
              <w:widowControl/>
              <w:spacing w:line="240" w:lineRule="exact"/>
              <w:jc w:val="left"/>
              <w:rPr>
                <w:rFonts w:ascii="宋体"/>
                <w:kern w:val="0"/>
              </w:rPr>
            </w:pPr>
            <w:r>
              <w:rPr>
                <w:rFonts w:hint="eastAsia" w:ascii="宋体"/>
                <w:kern w:val="0"/>
              </w:rPr>
              <w:t>发生小事故后逃逸</w:t>
            </w:r>
          </w:p>
        </w:tc>
        <w:tc>
          <w:tcPr>
            <w:tcW w:w="5137" w:type="dxa"/>
            <w:tcBorders>
              <w:right w:val="single" w:color="auto" w:sz="4" w:space="0"/>
            </w:tcBorders>
            <w:vAlign w:val="center"/>
          </w:tcPr>
          <w:p w14:paraId="71BE777D">
            <w:pPr>
              <w:spacing w:line="240" w:lineRule="exact"/>
              <w:jc w:val="center"/>
              <w:rPr>
                <w:rFonts w:ascii="宋体"/>
                <w:kern w:val="0"/>
              </w:rPr>
            </w:pPr>
            <w:r>
              <w:rPr>
                <w:rFonts w:hint="eastAsia" w:ascii="宋体"/>
                <w:kern w:val="0"/>
              </w:rPr>
              <w:t>15-20万元</w:t>
            </w:r>
          </w:p>
        </w:tc>
        <w:tc>
          <w:tcPr>
            <w:tcW w:w="3013" w:type="dxa"/>
            <w:tcBorders>
              <w:top w:val="single" w:color="auto" w:sz="4" w:space="0"/>
              <w:left w:val="single" w:color="auto" w:sz="4" w:space="0"/>
              <w:bottom w:val="single" w:color="auto" w:sz="4" w:space="0"/>
              <w:right w:val="single" w:color="auto" w:sz="4" w:space="0"/>
            </w:tcBorders>
            <w:vAlign w:val="center"/>
          </w:tcPr>
          <w:p w14:paraId="6EF491D6">
            <w:pPr>
              <w:spacing w:line="240" w:lineRule="exact"/>
              <w:jc w:val="center"/>
              <w:rPr>
                <w:rFonts w:ascii="宋体"/>
                <w:kern w:val="0"/>
              </w:rPr>
            </w:pPr>
            <w:r>
              <w:rPr>
                <w:rFonts w:hint="eastAsia" w:ascii="宋体"/>
                <w:kern w:val="0"/>
              </w:rPr>
              <w:t>1.2-2万元，吊销适任证书，且终身不得重新申请</w:t>
            </w:r>
          </w:p>
        </w:tc>
        <w:tc>
          <w:tcPr>
            <w:tcW w:w="3876" w:type="dxa"/>
            <w:tcBorders>
              <w:top w:val="single" w:color="auto" w:sz="4" w:space="0"/>
              <w:left w:val="single" w:color="auto" w:sz="4" w:space="0"/>
              <w:bottom w:val="single" w:color="auto" w:sz="4" w:space="0"/>
            </w:tcBorders>
            <w:vAlign w:val="center"/>
          </w:tcPr>
          <w:p w14:paraId="59800288">
            <w:pPr>
              <w:spacing w:line="240" w:lineRule="exact"/>
              <w:jc w:val="center"/>
              <w:rPr>
                <w:rFonts w:ascii="宋体"/>
                <w:kern w:val="0"/>
              </w:rPr>
            </w:pPr>
            <w:r>
              <w:rPr>
                <w:rFonts w:hint="eastAsia" w:ascii="宋体"/>
                <w:kern w:val="0"/>
              </w:rPr>
              <w:t>8000元-1万元，吊销适任证书，且终身不得重新申请</w:t>
            </w:r>
          </w:p>
        </w:tc>
      </w:tr>
      <w:tr w14:paraId="2DD95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0" w:hRule="atLeast"/>
        </w:trPr>
        <w:tc>
          <w:tcPr>
            <w:tcW w:w="820" w:type="dxa"/>
            <w:vMerge w:val="continue"/>
            <w:vAlign w:val="center"/>
          </w:tcPr>
          <w:p w14:paraId="3EF8280E">
            <w:pPr>
              <w:spacing w:line="240" w:lineRule="exact"/>
              <w:jc w:val="left"/>
              <w:rPr>
                <w:rFonts w:ascii="宋体"/>
                <w:kern w:val="0"/>
              </w:rPr>
            </w:pPr>
          </w:p>
        </w:tc>
        <w:tc>
          <w:tcPr>
            <w:tcW w:w="1752" w:type="dxa"/>
            <w:vMerge w:val="continue"/>
            <w:vAlign w:val="center"/>
          </w:tcPr>
          <w:p w14:paraId="44D85617">
            <w:pPr>
              <w:spacing w:line="240" w:lineRule="exact"/>
              <w:jc w:val="left"/>
              <w:rPr>
                <w:rFonts w:ascii="宋体"/>
                <w:kern w:val="0"/>
              </w:rPr>
            </w:pPr>
          </w:p>
        </w:tc>
        <w:tc>
          <w:tcPr>
            <w:tcW w:w="1881" w:type="dxa"/>
            <w:vMerge w:val="continue"/>
            <w:vAlign w:val="center"/>
          </w:tcPr>
          <w:p w14:paraId="7752EAD7">
            <w:pPr>
              <w:spacing w:line="240" w:lineRule="exact"/>
              <w:jc w:val="left"/>
              <w:rPr>
                <w:rFonts w:ascii="宋体"/>
                <w:kern w:val="0"/>
              </w:rPr>
            </w:pPr>
          </w:p>
        </w:tc>
        <w:tc>
          <w:tcPr>
            <w:tcW w:w="991" w:type="dxa"/>
            <w:vMerge w:val="continue"/>
            <w:vAlign w:val="center"/>
          </w:tcPr>
          <w:p w14:paraId="20692A7B">
            <w:pPr>
              <w:spacing w:line="240" w:lineRule="exact"/>
              <w:jc w:val="center"/>
              <w:rPr>
                <w:rFonts w:ascii="宋体"/>
                <w:kern w:val="0"/>
              </w:rPr>
            </w:pPr>
          </w:p>
        </w:tc>
        <w:tc>
          <w:tcPr>
            <w:tcW w:w="2532" w:type="dxa"/>
            <w:tcBorders>
              <w:top w:val="single" w:color="auto" w:sz="4" w:space="0"/>
              <w:bottom w:val="single" w:color="auto" w:sz="4" w:space="0"/>
            </w:tcBorders>
            <w:vAlign w:val="center"/>
          </w:tcPr>
          <w:p w14:paraId="4DAA6D06">
            <w:pPr>
              <w:widowControl/>
              <w:spacing w:line="240" w:lineRule="exact"/>
              <w:jc w:val="left"/>
              <w:rPr>
                <w:rFonts w:ascii="宋体"/>
                <w:kern w:val="0"/>
              </w:rPr>
            </w:pPr>
            <w:r>
              <w:rPr>
                <w:rFonts w:hint="eastAsia" w:ascii="宋体"/>
                <w:kern w:val="0"/>
              </w:rPr>
              <w:t>发生一般事故后逃逸</w:t>
            </w:r>
          </w:p>
        </w:tc>
        <w:tc>
          <w:tcPr>
            <w:tcW w:w="5137" w:type="dxa"/>
            <w:tcBorders>
              <w:top w:val="single" w:color="auto" w:sz="4" w:space="0"/>
              <w:bottom w:val="single" w:color="auto" w:sz="4" w:space="0"/>
              <w:right w:val="single" w:color="auto" w:sz="4" w:space="0"/>
            </w:tcBorders>
            <w:vAlign w:val="center"/>
          </w:tcPr>
          <w:p w14:paraId="357354C9">
            <w:pPr>
              <w:spacing w:line="240" w:lineRule="exact"/>
              <w:jc w:val="center"/>
              <w:rPr>
                <w:rFonts w:ascii="宋体"/>
                <w:kern w:val="0"/>
              </w:rPr>
            </w:pPr>
            <w:r>
              <w:rPr>
                <w:rFonts w:hint="eastAsia" w:ascii="宋体"/>
                <w:kern w:val="0"/>
              </w:rPr>
              <w:t>20-40万元</w:t>
            </w:r>
          </w:p>
        </w:tc>
        <w:tc>
          <w:tcPr>
            <w:tcW w:w="3013" w:type="dxa"/>
            <w:tcBorders>
              <w:top w:val="single" w:color="auto" w:sz="4" w:space="0"/>
              <w:left w:val="single" w:color="auto" w:sz="4" w:space="0"/>
              <w:bottom w:val="single" w:color="auto" w:sz="4" w:space="0"/>
              <w:right w:val="single" w:color="auto" w:sz="4" w:space="0"/>
            </w:tcBorders>
            <w:vAlign w:val="center"/>
          </w:tcPr>
          <w:p w14:paraId="6792B701">
            <w:pPr>
              <w:spacing w:line="240" w:lineRule="exact"/>
              <w:jc w:val="center"/>
              <w:rPr>
                <w:rFonts w:ascii="宋体"/>
                <w:kern w:val="0"/>
              </w:rPr>
            </w:pPr>
            <w:r>
              <w:rPr>
                <w:rFonts w:hint="eastAsia" w:ascii="宋体"/>
                <w:kern w:val="0"/>
              </w:rPr>
              <w:t>2-4万元，吊销适任证书，且终身不得重新申请</w:t>
            </w:r>
          </w:p>
        </w:tc>
        <w:tc>
          <w:tcPr>
            <w:tcW w:w="3876" w:type="dxa"/>
            <w:tcBorders>
              <w:top w:val="single" w:color="auto" w:sz="4" w:space="0"/>
              <w:left w:val="single" w:color="auto" w:sz="4" w:space="0"/>
            </w:tcBorders>
            <w:vAlign w:val="center"/>
          </w:tcPr>
          <w:p w14:paraId="3BFB1909">
            <w:pPr>
              <w:spacing w:line="240" w:lineRule="exact"/>
              <w:jc w:val="center"/>
              <w:rPr>
                <w:rFonts w:ascii="宋体"/>
                <w:kern w:val="0"/>
              </w:rPr>
            </w:pPr>
            <w:r>
              <w:rPr>
                <w:rFonts w:hint="eastAsia" w:ascii="宋体"/>
                <w:kern w:val="0"/>
              </w:rPr>
              <w:t>1-3万元，吊销适任证书，且终身不得重新申请</w:t>
            </w:r>
          </w:p>
        </w:tc>
      </w:tr>
      <w:tr w14:paraId="2188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820" w:type="dxa"/>
            <w:vMerge w:val="continue"/>
            <w:vAlign w:val="center"/>
          </w:tcPr>
          <w:p w14:paraId="60EAD7DF">
            <w:pPr>
              <w:spacing w:line="240" w:lineRule="exact"/>
              <w:jc w:val="left"/>
              <w:rPr>
                <w:rFonts w:ascii="宋体"/>
                <w:kern w:val="0"/>
              </w:rPr>
            </w:pPr>
          </w:p>
        </w:tc>
        <w:tc>
          <w:tcPr>
            <w:tcW w:w="1752" w:type="dxa"/>
            <w:vMerge w:val="continue"/>
            <w:vAlign w:val="center"/>
          </w:tcPr>
          <w:p w14:paraId="28C5FEF1">
            <w:pPr>
              <w:spacing w:line="240" w:lineRule="exact"/>
              <w:jc w:val="left"/>
              <w:rPr>
                <w:rFonts w:ascii="宋体"/>
                <w:kern w:val="0"/>
              </w:rPr>
            </w:pPr>
          </w:p>
        </w:tc>
        <w:tc>
          <w:tcPr>
            <w:tcW w:w="1881" w:type="dxa"/>
            <w:vMerge w:val="continue"/>
            <w:vAlign w:val="center"/>
          </w:tcPr>
          <w:p w14:paraId="1490C5F6">
            <w:pPr>
              <w:spacing w:line="240" w:lineRule="exact"/>
              <w:jc w:val="left"/>
              <w:rPr>
                <w:rFonts w:ascii="宋体"/>
                <w:kern w:val="0"/>
              </w:rPr>
            </w:pPr>
          </w:p>
        </w:tc>
        <w:tc>
          <w:tcPr>
            <w:tcW w:w="991" w:type="dxa"/>
            <w:vMerge w:val="continue"/>
            <w:vAlign w:val="center"/>
          </w:tcPr>
          <w:p w14:paraId="7F667DB5">
            <w:pPr>
              <w:spacing w:line="240" w:lineRule="exact"/>
              <w:jc w:val="center"/>
              <w:rPr>
                <w:rFonts w:ascii="宋体"/>
                <w:kern w:val="0"/>
              </w:rPr>
            </w:pPr>
          </w:p>
        </w:tc>
        <w:tc>
          <w:tcPr>
            <w:tcW w:w="2532" w:type="dxa"/>
            <w:tcBorders>
              <w:top w:val="single" w:color="auto" w:sz="4" w:space="0"/>
              <w:bottom w:val="single" w:color="auto" w:sz="4" w:space="0"/>
            </w:tcBorders>
            <w:vAlign w:val="center"/>
          </w:tcPr>
          <w:p w14:paraId="5606E17D">
            <w:pPr>
              <w:numPr>
                <w:ilvl w:val="0"/>
                <w:numId w:val="7"/>
              </w:numPr>
              <w:spacing w:line="240" w:lineRule="exact"/>
              <w:jc w:val="left"/>
              <w:rPr>
                <w:rFonts w:ascii="宋体"/>
                <w:kern w:val="0"/>
              </w:rPr>
            </w:pPr>
            <w:r>
              <w:rPr>
                <w:rFonts w:hint="eastAsia" w:ascii="宋体"/>
                <w:kern w:val="0"/>
              </w:rPr>
              <w:t>发生较大等级以上事故或者有人员落水、人员伤亡、船舶溢油后逃逸</w:t>
            </w:r>
          </w:p>
          <w:p w14:paraId="2ED7BAF2">
            <w:pPr>
              <w:numPr>
                <w:ilvl w:val="0"/>
                <w:numId w:val="7"/>
              </w:numPr>
              <w:spacing w:line="240" w:lineRule="exact"/>
              <w:jc w:val="left"/>
              <w:rPr>
                <w:rFonts w:ascii="宋体"/>
                <w:kern w:val="0"/>
              </w:rPr>
            </w:pPr>
            <w:r>
              <w:rPr>
                <w:rFonts w:hint="eastAsia" w:ascii="宋体"/>
                <w:kern w:val="0"/>
              </w:rPr>
              <w:t>造成事故损失或人员伤亡进一步扩大等不利后果的</w:t>
            </w:r>
          </w:p>
          <w:p w14:paraId="1D6FB67C">
            <w:pPr>
              <w:numPr>
                <w:ilvl w:val="0"/>
                <w:numId w:val="7"/>
              </w:numPr>
              <w:spacing w:line="240" w:lineRule="exact"/>
              <w:jc w:val="left"/>
              <w:rPr>
                <w:rFonts w:ascii="宋体"/>
                <w:kern w:val="0"/>
              </w:rPr>
            </w:pPr>
            <w:r>
              <w:rPr>
                <w:rFonts w:hint="eastAsia" w:ascii="宋体"/>
                <w:kern w:val="0"/>
              </w:rPr>
              <w:t>具有其他较重情节的</w:t>
            </w:r>
          </w:p>
        </w:tc>
        <w:tc>
          <w:tcPr>
            <w:tcW w:w="5137" w:type="dxa"/>
            <w:tcBorders>
              <w:top w:val="single" w:color="auto" w:sz="4" w:space="0"/>
              <w:right w:val="single" w:color="auto" w:sz="4" w:space="0"/>
            </w:tcBorders>
            <w:vAlign w:val="center"/>
          </w:tcPr>
          <w:p w14:paraId="087DC039">
            <w:pPr>
              <w:spacing w:line="240" w:lineRule="exact"/>
              <w:jc w:val="center"/>
              <w:rPr>
                <w:rFonts w:ascii="宋体"/>
                <w:kern w:val="0"/>
              </w:rPr>
            </w:pPr>
            <w:r>
              <w:rPr>
                <w:rFonts w:hint="eastAsia" w:ascii="宋体"/>
                <w:kern w:val="0"/>
              </w:rPr>
              <w:t>40-50万元</w:t>
            </w:r>
          </w:p>
        </w:tc>
        <w:tc>
          <w:tcPr>
            <w:tcW w:w="3013" w:type="dxa"/>
            <w:tcBorders>
              <w:top w:val="single" w:color="auto" w:sz="4" w:space="0"/>
              <w:left w:val="single" w:color="auto" w:sz="4" w:space="0"/>
              <w:right w:val="single" w:color="auto" w:sz="4" w:space="0"/>
            </w:tcBorders>
            <w:vAlign w:val="center"/>
          </w:tcPr>
          <w:p w14:paraId="20879766">
            <w:pPr>
              <w:spacing w:line="240" w:lineRule="exact"/>
              <w:jc w:val="center"/>
              <w:rPr>
                <w:rFonts w:ascii="宋体"/>
                <w:kern w:val="0"/>
              </w:rPr>
            </w:pPr>
            <w:r>
              <w:rPr>
                <w:rFonts w:hint="eastAsia" w:ascii="宋体"/>
                <w:kern w:val="0"/>
              </w:rPr>
              <w:t>4-5万元，吊销适任证书，且终身不得重新申请</w:t>
            </w:r>
          </w:p>
        </w:tc>
        <w:tc>
          <w:tcPr>
            <w:tcW w:w="3876" w:type="dxa"/>
            <w:tcBorders>
              <w:left w:val="single" w:color="auto" w:sz="4" w:space="0"/>
            </w:tcBorders>
            <w:vAlign w:val="center"/>
          </w:tcPr>
          <w:p w14:paraId="3F2341A1">
            <w:pPr>
              <w:spacing w:line="240" w:lineRule="exact"/>
              <w:jc w:val="center"/>
              <w:rPr>
                <w:rFonts w:ascii="宋体"/>
                <w:kern w:val="0"/>
              </w:rPr>
            </w:pPr>
            <w:r>
              <w:rPr>
                <w:rFonts w:hint="eastAsia" w:ascii="宋体"/>
                <w:kern w:val="0"/>
              </w:rPr>
              <w:t>3-5万元，吊销适任证书，且终身不得重新申请</w:t>
            </w:r>
          </w:p>
        </w:tc>
      </w:tr>
    </w:tbl>
    <w:p w14:paraId="2BA26867">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88"/>
        <w:gridCol w:w="1484"/>
        <w:gridCol w:w="1726"/>
        <w:gridCol w:w="1035"/>
        <w:gridCol w:w="2805"/>
        <w:gridCol w:w="5400"/>
        <w:gridCol w:w="2655"/>
        <w:gridCol w:w="3465"/>
      </w:tblGrid>
      <w:tr w14:paraId="3329F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988" w:type="dxa"/>
            <w:vMerge w:val="restart"/>
            <w:vAlign w:val="center"/>
          </w:tcPr>
          <w:p w14:paraId="5D05A62C">
            <w:pPr>
              <w:spacing w:line="240" w:lineRule="exact"/>
              <w:jc w:val="center"/>
              <w:rPr>
                <w:rFonts w:ascii="宋体"/>
                <w:b/>
                <w:kern w:val="0"/>
              </w:rPr>
            </w:pPr>
            <w:r>
              <w:rPr>
                <w:rFonts w:hint="eastAsia" w:ascii="宋体"/>
                <w:b/>
                <w:kern w:val="0"/>
              </w:rPr>
              <w:t>案由37</w:t>
            </w:r>
          </w:p>
        </w:tc>
        <w:tc>
          <w:tcPr>
            <w:tcW w:w="3210" w:type="dxa"/>
            <w:gridSpan w:val="2"/>
            <w:vAlign w:val="center"/>
          </w:tcPr>
          <w:p w14:paraId="69A242FF">
            <w:pPr>
              <w:spacing w:line="240" w:lineRule="exact"/>
              <w:jc w:val="center"/>
              <w:rPr>
                <w:rFonts w:ascii="宋体"/>
                <w:b/>
                <w:kern w:val="0"/>
              </w:rPr>
            </w:pPr>
            <w:r>
              <w:rPr>
                <w:rFonts w:hint="eastAsia" w:ascii="宋体"/>
                <w:b/>
                <w:kern w:val="0"/>
              </w:rPr>
              <w:t>法律依据</w:t>
            </w:r>
          </w:p>
        </w:tc>
        <w:tc>
          <w:tcPr>
            <w:tcW w:w="1035" w:type="dxa"/>
            <w:vMerge w:val="restart"/>
            <w:vAlign w:val="center"/>
          </w:tcPr>
          <w:p w14:paraId="46134E1E">
            <w:pPr>
              <w:spacing w:line="240" w:lineRule="exact"/>
              <w:jc w:val="center"/>
              <w:rPr>
                <w:rFonts w:ascii="宋体"/>
                <w:b/>
                <w:kern w:val="0"/>
              </w:rPr>
            </w:pPr>
            <w:r>
              <w:rPr>
                <w:rFonts w:hint="eastAsia" w:ascii="宋体"/>
                <w:b/>
                <w:kern w:val="0"/>
              </w:rPr>
              <w:t>违法情节</w:t>
            </w:r>
          </w:p>
        </w:tc>
        <w:tc>
          <w:tcPr>
            <w:tcW w:w="2805" w:type="dxa"/>
            <w:vMerge w:val="restart"/>
            <w:vAlign w:val="center"/>
          </w:tcPr>
          <w:p w14:paraId="397FBAFA">
            <w:pPr>
              <w:spacing w:line="240" w:lineRule="exact"/>
              <w:jc w:val="center"/>
              <w:rPr>
                <w:rFonts w:ascii="宋体"/>
                <w:b/>
                <w:kern w:val="0"/>
              </w:rPr>
            </w:pPr>
            <w:r>
              <w:rPr>
                <w:rFonts w:hint="eastAsia" w:ascii="宋体"/>
                <w:b/>
                <w:kern w:val="0"/>
              </w:rPr>
              <w:t>主要考虑因素（事实、性质、情节、危害程度和实际后果等）</w:t>
            </w:r>
          </w:p>
        </w:tc>
        <w:tc>
          <w:tcPr>
            <w:tcW w:w="11520" w:type="dxa"/>
            <w:gridSpan w:val="3"/>
            <w:tcBorders>
              <w:bottom w:val="single" w:color="auto" w:sz="4" w:space="0"/>
            </w:tcBorders>
            <w:vAlign w:val="center"/>
          </w:tcPr>
          <w:p w14:paraId="7A15E0A7">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由海事管理机构对船舶、海上设施的所有人、经营人或者管理人处三万元以上三十万元以下的罚款，暂扣船长、责任船员的船员适任证书六个月至十二个月，直至吊销船员适任证书。</w:t>
            </w:r>
          </w:p>
        </w:tc>
      </w:tr>
      <w:tr w14:paraId="3179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40" w:hRule="atLeast"/>
        </w:trPr>
        <w:tc>
          <w:tcPr>
            <w:tcW w:w="988" w:type="dxa"/>
            <w:vMerge w:val="continue"/>
            <w:vAlign w:val="center"/>
          </w:tcPr>
          <w:p w14:paraId="2B238FBF">
            <w:pPr>
              <w:spacing w:line="240" w:lineRule="exact"/>
              <w:jc w:val="center"/>
              <w:rPr>
                <w:rFonts w:ascii="宋体"/>
                <w:b/>
                <w:kern w:val="0"/>
              </w:rPr>
            </w:pPr>
          </w:p>
        </w:tc>
        <w:tc>
          <w:tcPr>
            <w:tcW w:w="1484" w:type="dxa"/>
            <w:tcBorders>
              <w:bottom w:val="single" w:color="000000" w:sz="4" w:space="0"/>
            </w:tcBorders>
            <w:vAlign w:val="center"/>
          </w:tcPr>
          <w:p w14:paraId="14580877">
            <w:pPr>
              <w:spacing w:line="240" w:lineRule="exact"/>
              <w:jc w:val="center"/>
              <w:rPr>
                <w:rFonts w:ascii="宋体"/>
                <w:b/>
                <w:kern w:val="0"/>
              </w:rPr>
            </w:pPr>
            <w:r>
              <w:rPr>
                <w:rFonts w:hint="eastAsia" w:ascii="宋体"/>
                <w:b/>
                <w:kern w:val="0"/>
              </w:rPr>
              <w:t>违反条款</w:t>
            </w:r>
          </w:p>
        </w:tc>
        <w:tc>
          <w:tcPr>
            <w:tcW w:w="1726" w:type="dxa"/>
            <w:tcBorders>
              <w:bottom w:val="single" w:color="000000" w:sz="4" w:space="0"/>
            </w:tcBorders>
            <w:vAlign w:val="center"/>
          </w:tcPr>
          <w:p w14:paraId="22566C2F">
            <w:pPr>
              <w:spacing w:line="240" w:lineRule="exact"/>
              <w:jc w:val="center"/>
              <w:rPr>
                <w:rFonts w:ascii="宋体"/>
                <w:b/>
                <w:kern w:val="0"/>
              </w:rPr>
            </w:pPr>
            <w:r>
              <w:rPr>
                <w:rFonts w:hint="eastAsia" w:ascii="宋体"/>
                <w:b/>
                <w:kern w:val="0"/>
              </w:rPr>
              <w:t>处罚依据</w:t>
            </w:r>
          </w:p>
        </w:tc>
        <w:tc>
          <w:tcPr>
            <w:tcW w:w="1035" w:type="dxa"/>
            <w:vMerge w:val="continue"/>
            <w:tcBorders>
              <w:bottom w:val="single" w:color="000000" w:sz="4" w:space="0"/>
            </w:tcBorders>
            <w:vAlign w:val="center"/>
          </w:tcPr>
          <w:p w14:paraId="70A4EC53">
            <w:pPr>
              <w:spacing w:line="240" w:lineRule="exact"/>
              <w:jc w:val="center"/>
              <w:rPr>
                <w:rFonts w:ascii="宋体"/>
                <w:b/>
                <w:kern w:val="0"/>
              </w:rPr>
            </w:pPr>
          </w:p>
        </w:tc>
        <w:tc>
          <w:tcPr>
            <w:tcW w:w="2805" w:type="dxa"/>
            <w:vMerge w:val="continue"/>
            <w:tcBorders>
              <w:bottom w:val="single" w:color="000000" w:sz="4" w:space="0"/>
            </w:tcBorders>
            <w:vAlign w:val="center"/>
          </w:tcPr>
          <w:p w14:paraId="25E34E43">
            <w:pPr>
              <w:spacing w:line="240" w:lineRule="exact"/>
              <w:jc w:val="center"/>
              <w:rPr>
                <w:rFonts w:ascii="宋体"/>
                <w:b/>
                <w:kern w:val="0"/>
              </w:rPr>
            </w:pPr>
          </w:p>
        </w:tc>
        <w:tc>
          <w:tcPr>
            <w:tcW w:w="5400" w:type="dxa"/>
            <w:tcBorders>
              <w:top w:val="single" w:color="auto" w:sz="4" w:space="0"/>
              <w:right w:val="single" w:color="auto" w:sz="4" w:space="0"/>
            </w:tcBorders>
            <w:vAlign w:val="center"/>
          </w:tcPr>
          <w:p w14:paraId="3A831BB0">
            <w:pPr>
              <w:spacing w:line="240" w:lineRule="exact"/>
              <w:jc w:val="center"/>
              <w:rPr>
                <w:rFonts w:ascii="宋体"/>
                <w:b/>
                <w:kern w:val="0"/>
              </w:rPr>
            </w:pPr>
            <w:r>
              <w:rPr>
                <w:rFonts w:hint="eastAsia" w:ascii="宋体"/>
                <w:b/>
                <w:kern w:val="0"/>
              </w:rPr>
              <w:t>【对象】船舶、海上设施的所有人、经营人或者管理人</w:t>
            </w:r>
          </w:p>
        </w:tc>
        <w:tc>
          <w:tcPr>
            <w:tcW w:w="2655" w:type="dxa"/>
            <w:tcBorders>
              <w:top w:val="single" w:color="auto" w:sz="4" w:space="0"/>
              <w:left w:val="single" w:color="auto" w:sz="4" w:space="0"/>
            </w:tcBorders>
            <w:vAlign w:val="center"/>
          </w:tcPr>
          <w:p w14:paraId="20B0C948">
            <w:pPr>
              <w:spacing w:line="240" w:lineRule="exact"/>
              <w:jc w:val="center"/>
              <w:rPr>
                <w:rFonts w:ascii="宋体"/>
                <w:b/>
                <w:kern w:val="0"/>
              </w:rPr>
            </w:pPr>
            <w:r>
              <w:rPr>
                <w:rFonts w:hint="eastAsia" w:ascii="宋体"/>
                <w:b/>
                <w:kern w:val="0"/>
              </w:rPr>
              <w:t>【对象】船长</w:t>
            </w:r>
          </w:p>
        </w:tc>
        <w:tc>
          <w:tcPr>
            <w:tcW w:w="3465" w:type="dxa"/>
            <w:tcBorders>
              <w:top w:val="single" w:color="auto" w:sz="4" w:space="0"/>
              <w:left w:val="single" w:color="auto" w:sz="4" w:space="0"/>
            </w:tcBorders>
            <w:vAlign w:val="center"/>
          </w:tcPr>
          <w:p w14:paraId="5ED3B8C4">
            <w:pPr>
              <w:spacing w:line="240" w:lineRule="exact"/>
              <w:jc w:val="center"/>
              <w:rPr>
                <w:rFonts w:ascii="宋体"/>
                <w:b/>
                <w:kern w:val="0"/>
              </w:rPr>
            </w:pPr>
            <w:r>
              <w:rPr>
                <w:rFonts w:hint="eastAsia" w:ascii="宋体"/>
                <w:b/>
                <w:kern w:val="0"/>
              </w:rPr>
              <w:t>【对象】责任船员</w:t>
            </w:r>
          </w:p>
        </w:tc>
      </w:tr>
      <w:tr w14:paraId="0C11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988" w:type="dxa"/>
            <w:vMerge w:val="restart"/>
            <w:vAlign w:val="center"/>
          </w:tcPr>
          <w:p w14:paraId="10B9A554">
            <w:pPr>
              <w:widowControl/>
              <w:spacing w:line="240" w:lineRule="exact"/>
              <w:jc w:val="left"/>
              <w:rPr>
                <w:rFonts w:ascii="宋体"/>
                <w:kern w:val="0"/>
              </w:rPr>
            </w:pPr>
            <w:r>
              <w:rPr>
                <w:rFonts w:hint="eastAsia" w:ascii="宋体"/>
                <w:kern w:val="0"/>
              </w:rPr>
              <w:t xml:space="preserve">船舶、海上设施不依法履行海上救助义务，不服从海上搜救中心指挥的 </w:t>
            </w:r>
          </w:p>
        </w:tc>
        <w:tc>
          <w:tcPr>
            <w:tcW w:w="1484" w:type="dxa"/>
            <w:vMerge w:val="restart"/>
            <w:vAlign w:val="center"/>
          </w:tcPr>
          <w:p w14:paraId="173E8CD4">
            <w:pPr>
              <w:widowControl/>
              <w:spacing w:line="240" w:lineRule="exact"/>
              <w:rPr>
                <w:rFonts w:ascii="宋体"/>
              </w:rPr>
            </w:pPr>
            <w:r>
              <w:rPr>
                <w:rFonts w:hint="eastAsia" w:ascii="宋体"/>
                <w:kern w:val="0"/>
              </w:rPr>
              <w:t>《中华人民共和国海上交通安全法》第七十三</w:t>
            </w:r>
            <w:r>
              <w:rPr>
                <w:rFonts w:hint="eastAsia" w:ascii="宋体"/>
              </w:rPr>
              <w:t>条、</w:t>
            </w:r>
            <w:r>
              <w:rPr>
                <w:rFonts w:hint="eastAsia" w:ascii="宋体"/>
                <w:kern w:val="0"/>
              </w:rPr>
              <w:t>第七十四</w:t>
            </w:r>
            <w:r>
              <w:rPr>
                <w:rFonts w:hint="eastAsia" w:ascii="宋体"/>
              </w:rPr>
              <w:t>条</w:t>
            </w:r>
            <w:r>
              <w:rPr>
                <w:rFonts w:hint="eastAsia" w:ascii="宋体"/>
                <w:kern w:val="0"/>
              </w:rPr>
              <w:t>、第七十五</w:t>
            </w:r>
            <w:r>
              <w:rPr>
                <w:rFonts w:hint="eastAsia" w:ascii="宋体"/>
              </w:rPr>
              <w:t>条、</w:t>
            </w:r>
            <w:r>
              <w:rPr>
                <w:rFonts w:hint="eastAsia" w:ascii="宋体"/>
                <w:kern w:val="0"/>
              </w:rPr>
              <w:t>第七十六</w:t>
            </w:r>
            <w:r>
              <w:rPr>
                <w:rFonts w:hint="eastAsia" w:ascii="宋体"/>
              </w:rPr>
              <w:t>条、</w:t>
            </w:r>
            <w:r>
              <w:rPr>
                <w:rFonts w:hint="eastAsia" w:ascii="宋体"/>
                <w:kern w:val="0"/>
              </w:rPr>
              <w:t>第七十七</w:t>
            </w:r>
            <w:r>
              <w:rPr>
                <w:rFonts w:hint="eastAsia" w:ascii="宋体"/>
              </w:rPr>
              <w:t>条相关条款。</w:t>
            </w:r>
          </w:p>
        </w:tc>
        <w:tc>
          <w:tcPr>
            <w:tcW w:w="1726" w:type="dxa"/>
            <w:vMerge w:val="restart"/>
            <w:vAlign w:val="center"/>
          </w:tcPr>
          <w:p w14:paraId="45B5E0C2">
            <w:pPr>
              <w:spacing w:line="240" w:lineRule="exact"/>
              <w:jc w:val="left"/>
              <w:rPr>
                <w:rFonts w:ascii="宋体"/>
                <w:kern w:val="0"/>
              </w:rPr>
            </w:pPr>
            <w:r>
              <w:rPr>
                <w:rFonts w:hint="eastAsia" w:ascii="宋体"/>
                <w:kern w:val="0"/>
              </w:rPr>
              <w:t>1.《中华人民共和国海上交通安全法》第一百一十二条、</w:t>
            </w:r>
            <w:r>
              <w:rPr>
                <w:rFonts w:hint="eastAsia" w:ascii="宋体"/>
              </w:rPr>
              <w:t>《中华人民共和国海上海事行政处罚规定》第三十三条。</w:t>
            </w:r>
            <w:r>
              <w:rPr>
                <w:rFonts w:hint="eastAsia" w:ascii="宋体"/>
                <w:kern w:val="0"/>
              </w:rPr>
              <w:t xml:space="preserve"> </w:t>
            </w:r>
          </w:p>
          <w:p w14:paraId="7B19E43D">
            <w:pPr>
              <w:spacing w:line="240" w:lineRule="exact"/>
              <w:jc w:val="left"/>
              <w:rPr>
                <w:rFonts w:ascii="宋体"/>
                <w:kern w:val="0"/>
              </w:rPr>
            </w:pPr>
            <w:r>
              <w:rPr>
                <w:rFonts w:hint="eastAsia" w:ascii="宋体"/>
                <w:kern w:val="0"/>
              </w:rPr>
              <w:t>2. 《中华人民共和国海上海事行政处罚规定》第七条。</w:t>
            </w:r>
          </w:p>
        </w:tc>
        <w:tc>
          <w:tcPr>
            <w:tcW w:w="1035" w:type="dxa"/>
            <w:vAlign w:val="center"/>
          </w:tcPr>
          <w:p w14:paraId="11756C8A">
            <w:pPr>
              <w:spacing w:line="240" w:lineRule="exact"/>
              <w:jc w:val="center"/>
              <w:rPr>
                <w:rFonts w:ascii="宋体"/>
                <w:kern w:val="0"/>
              </w:rPr>
            </w:pPr>
            <w:r>
              <w:rPr>
                <w:rFonts w:hint="eastAsia" w:ascii="宋体"/>
                <w:kern w:val="0"/>
              </w:rPr>
              <w:t>从轻</w:t>
            </w:r>
          </w:p>
        </w:tc>
        <w:tc>
          <w:tcPr>
            <w:tcW w:w="2805" w:type="dxa"/>
            <w:vAlign w:val="center"/>
          </w:tcPr>
          <w:p w14:paraId="4AEF5A24">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400" w:type="dxa"/>
            <w:tcBorders>
              <w:right w:val="single" w:color="auto" w:sz="4" w:space="0"/>
            </w:tcBorders>
            <w:vAlign w:val="center"/>
          </w:tcPr>
          <w:p w14:paraId="29D88C55">
            <w:pPr>
              <w:spacing w:line="240" w:lineRule="exact"/>
              <w:jc w:val="center"/>
              <w:rPr>
                <w:rFonts w:ascii="宋体"/>
                <w:kern w:val="0"/>
              </w:rPr>
            </w:pPr>
            <w:r>
              <w:rPr>
                <w:rFonts w:hint="eastAsia" w:ascii="宋体"/>
                <w:kern w:val="0"/>
              </w:rPr>
              <w:t>3-5万元</w:t>
            </w:r>
          </w:p>
        </w:tc>
        <w:tc>
          <w:tcPr>
            <w:tcW w:w="2655" w:type="dxa"/>
            <w:tcBorders>
              <w:left w:val="single" w:color="auto" w:sz="4" w:space="0"/>
              <w:bottom w:val="single" w:color="auto" w:sz="4" w:space="0"/>
              <w:right w:val="single" w:color="auto" w:sz="4" w:space="0"/>
            </w:tcBorders>
            <w:vAlign w:val="center"/>
          </w:tcPr>
          <w:p w14:paraId="7872C0BA">
            <w:pPr>
              <w:spacing w:line="240" w:lineRule="exact"/>
              <w:jc w:val="center"/>
              <w:rPr>
                <w:rFonts w:ascii="宋体"/>
                <w:kern w:val="0"/>
              </w:rPr>
            </w:pPr>
            <w:r>
              <w:rPr>
                <w:rFonts w:hint="eastAsia" w:ascii="宋体"/>
                <w:kern w:val="0"/>
              </w:rPr>
              <w:t>暂扣适任证书6个月至8个月</w:t>
            </w:r>
          </w:p>
        </w:tc>
        <w:tc>
          <w:tcPr>
            <w:tcW w:w="3465" w:type="dxa"/>
            <w:tcBorders>
              <w:left w:val="single" w:color="auto" w:sz="4" w:space="0"/>
              <w:bottom w:val="single" w:color="auto" w:sz="4" w:space="0"/>
            </w:tcBorders>
            <w:vAlign w:val="center"/>
          </w:tcPr>
          <w:p w14:paraId="0E24E601">
            <w:pPr>
              <w:spacing w:line="240" w:lineRule="exact"/>
              <w:jc w:val="center"/>
              <w:rPr>
                <w:rFonts w:ascii="宋体"/>
                <w:kern w:val="0"/>
              </w:rPr>
            </w:pPr>
            <w:r>
              <w:rPr>
                <w:rFonts w:hint="eastAsia" w:ascii="宋体"/>
                <w:kern w:val="0"/>
              </w:rPr>
              <w:t>暂扣适任证书6个月至8个月</w:t>
            </w:r>
          </w:p>
        </w:tc>
      </w:tr>
      <w:tr w14:paraId="6EC3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988" w:type="dxa"/>
            <w:vMerge w:val="continue"/>
            <w:vAlign w:val="center"/>
          </w:tcPr>
          <w:p w14:paraId="2CEF1D1F">
            <w:pPr>
              <w:spacing w:line="240" w:lineRule="exact"/>
              <w:jc w:val="left"/>
              <w:rPr>
                <w:rFonts w:ascii="宋体"/>
                <w:kern w:val="0"/>
              </w:rPr>
            </w:pPr>
          </w:p>
        </w:tc>
        <w:tc>
          <w:tcPr>
            <w:tcW w:w="1484" w:type="dxa"/>
            <w:vMerge w:val="continue"/>
            <w:vAlign w:val="center"/>
          </w:tcPr>
          <w:p w14:paraId="218D9563">
            <w:pPr>
              <w:widowControl/>
              <w:spacing w:line="240" w:lineRule="exact"/>
              <w:jc w:val="left"/>
              <w:rPr>
                <w:rFonts w:ascii="宋体"/>
                <w:kern w:val="0"/>
              </w:rPr>
            </w:pPr>
          </w:p>
        </w:tc>
        <w:tc>
          <w:tcPr>
            <w:tcW w:w="1726" w:type="dxa"/>
            <w:vMerge w:val="continue"/>
            <w:vAlign w:val="center"/>
          </w:tcPr>
          <w:p w14:paraId="38E18900">
            <w:pPr>
              <w:spacing w:line="240" w:lineRule="exact"/>
              <w:jc w:val="left"/>
              <w:rPr>
                <w:rFonts w:ascii="宋体"/>
                <w:kern w:val="0"/>
              </w:rPr>
            </w:pPr>
          </w:p>
        </w:tc>
        <w:tc>
          <w:tcPr>
            <w:tcW w:w="1035" w:type="dxa"/>
            <w:vMerge w:val="restart"/>
            <w:vAlign w:val="center"/>
          </w:tcPr>
          <w:p w14:paraId="1A4BBD85">
            <w:pPr>
              <w:spacing w:line="240" w:lineRule="exact"/>
              <w:jc w:val="center"/>
              <w:rPr>
                <w:rFonts w:ascii="宋体"/>
                <w:kern w:val="0"/>
              </w:rPr>
            </w:pPr>
            <w:r>
              <w:rPr>
                <w:rFonts w:hint="eastAsia" w:ascii="宋体"/>
                <w:kern w:val="0"/>
              </w:rPr>
              <w:t>一般</w:t>
            </w:r>
          </w:p>
        </w:tc>
        <w:tc>
          <w:tcPr>
            <w:tcW w:w="2805" w:type="dxa"/>
            <w:vAlign w:val="center"/>
          </w:tcPr>
          <w:p w14:paraId="54ADDD41">
            <w:pPr>
              <w:widowControl/>
              <w:spacing w:line="240" w:lineRule="exact"/>
              <w:jc w:val="left"/>
              <w:rPr>
                <w:rFonts w:ascii="宋体"/>
                <w:kern w:val="0"/>
              </w:rPr>
            </w:pPr>
            <w:r>
              <w:rPr>
                <w:rFonts w:hint="eastAsia" w:ascii="宋体"/>
                <w:kern w:val="0"/>
              </w:rPr>
              <w:t>不服从海上搜救中心指挥</w:t>
            </w:r>
          </w:p>
        </w:tc>
        <w:tc>
          <w:tcPr>
            <w:tcW w:w="5400" w:type="dxa"/>
            <w:tcBorders>
              <w:right w:val="single" w:color="auto" w:sz="4" w:space="0"/>
            </w:tcBorders>
            <w:vAlign w:val="center"/>
          </w:tcPr>
          <w:p w14:paraId="0158EBDC">
            <w:pPr>
              <w:spacing w:line="240" w:lineRule="exact"/>
              <w:jc w:val="center"/>
              <w:rPr>
                <w:rFonts w:ascii="宋体"/>
                <w:kern w:val="0"/>
              </w:rPr>
            </w:pPr>
            <w:r>
              <w:rPr>
                <w:rFonts w:hint="eastAsia" w:ascii="宋体"/>
                <w:kern w:val="0"/>
              </w:rPr>
              <w:t>5-8万元</w:t>
            </w:r>
          </w:p>
        </w:tc>
        <w:tc>
          <w:tcPr>
            <w:tcW w:w="2655" w:type="dxa"/>
            <w:tcBorders>
              <w:top w:val="single" w:color="auto" w:sz="4" w:space="0"/>
              <w:left w:val="single" w:color="auto" w:sz="4" w:space="0"/>
              <w:bottom w:val="single" w:color="auto" w:sz="4" w:space="0"/>
              <w:right w:val="single" w:color="auto" w:sz="4" w:space="0"/>
            </w:tcBorders>
            <w:vAlign w:val="center"/>
          </w:tcPr>
          <w:p w14:paraId="5A4D0876">
            <w:pPr>
              <w:spacing w:line="240" w:lineRule="exact"/>
              <w:jc w:val="center"/>
              <w:rPr>
                <w:rFonts w:ascii="宋体"/>
                <w:kern w:val="0"/>
              </w:rPr>
            </w:pPr>
            <w:r>
              <w:rPr>
                <w:rFonts w:hint="eastAsia" w:ascii="宋体"/>
                <w:kern w:val="0"/>
              </w:rPr>
              <w:t>暂扣适任证书7个月至10个月</w:t>
            </w:r>
          </w:p>
        </w:tc>
        <w:tc>
          <w:tcPr>
            <w:tcW w:w="3465" w:type="dxa"/>
            <w:tcBorders>
              <w:top w:val="single" w:color="auto" w:sz="4" w:space="0"/>
              <w:left w:val="single" w:color="auto" w:sz="4" w:space="0"/>
              <w:bottom w:val="single" w:color="auto" w:sz="4" w:space="0"/>
            </w:tcBorders>
            <w:vAlign w:val="center"/>
          </w:tcPr>
          <w:p w14:paraId="51C689CB">
            <w:pPr>
              <w:spacing w:line="240" w:lineRule="exact"/>
              <w:jc w:val="center"/>
              <w:rPr>
                <w:rFonts w:ascii="宋体"/>
                <w:kern w:val="0"/>
              </w:rPr>
            </w:pPr>
            <w:r>
              <w:rPr>
                <w:rFonts w:hint="eastAsia" w:ascii="宋体"/>
                <w:kern w:val="0"/>
              </w:rPr>
              <w:t>暂扣适任证书7个月至10个月</w:t>
            </w:r>
          </w:p>
        </w:tc>
      </w:tr>
      <w:tr w14:paraId="6A681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3" w:hRule="atLeast"/>
        </w:trPr>
        <w:tc>
          <w:tcPr>
            <w:tcW w:w="988" w:type="dxa"/>
            <w:vMerge w:val="continue"/>
            <w:vAlign w:val="center"/>
          </w:tcPr>
          <w:p w14:paraId="416A7B6D">
            <w:pPr>
              <w:spacing w:line="240" w:lineRule="exact"/>
              <w:jc w:val="left"/>
              <w:rPr>
                <w:rFonts w:ascii="宋体"/>
                <w:kern w:val="0"/>
              </w:rPr>
            </w:pPr>
          </w:p>
        </w:tc>
        <w:tc>
          <w:tcPr>
            <w:tcW w:w="1484" w:type="dxa"/>
            <w:vMerge w:val="continue"/>
            <w:vAlign w:val="center"/>
          </w:tcPr>
          <w:p w14:paraId="5DBEE4E3">
            <w:pPr>
              <w:spacing w:line="240" w:lineRule="exact"/>
              <w:jc w:val="left"/>
              <w:rPr>
                <w:rFonts w:ascii="宋体"/>
                <w:kern w:val="0"/>
              </w:rPr>
            </w:pPr>
          </w:p>
        </w:tc>
        <w:tc>
          <w:tcPr>
            <w:tcW w:w="1726" w:type="dxa"/>
            <w:vMerge w:val="continue"/>
            <w:vAlign w:val="center"/>
          </w:tcPr>
          <w:p w14:paraId="3C3328D0">
            <w:pPr>
              <w:spacing w:line="240" w:lineRule="exact"/>
              <w:jc w:val="left"/>
              <w:rPr>
                <w:rFonts w:ascii="宋体"/>
                <w:kern w:val="0"/>
              </w:rPr>
            </w:pPr>
          </w:p>
        </w:tc>
        <w:tc>
          <w:tcPr>
            <w:tcW w:w="1035" w:type="dxa"/>
            <w:vMerge w:val="continue"/>
            <w:vAlign w:val="center"/>
          </w:tcPr>
          <w:p w14:paraId="44918107">
            <w:pPr>
              <w:spacing w:line="240" w:lineRule="exact"/>
              <w:jc w:val="center"/>
              <w:rPr>
                <w:rFonts w:ascii="宋体"/>
                <w:kern w:val="0"/>
              </w:rPr>
            </w:pPr>
          </w:p>
        </w:tc>
        <w:tc>
          <w:tcPr>
            <w:tcW w:w="2805" w:type="dxa"/>
            <w:tcBorders>
              <w:top w:val="single" w:color="auto" w:sz="4" w:space="0"/>
              <w:bottom w:val="single" w:color="auto" w:sz="4" w:space="0"/>
            </w:tcBorders>
            <w:vAlign w:val="center"/>
          </w:tcPr>
          <w:p w14:paraId="2A5678F0">
            <w:pPr>
              <w:spacing w:line="240" w:lineRule="exact"/>
              <w:jc w:val="left"/>
              <w:rPr>
                <w:rFonts w:ascii="宋体"/>
                <w:kern w:val="0"/>
              </w:rPr>
            </w:pPr>
            <w:r>
              <w:rPr>
                <w:rFonts w:hint="eastAsia" w:ascii="宋体"/>
                <w:kern w:val="0"/>
              </w:rPr>
              <w:t xml:space="preserve">不依法履行海上救助义务 </w:t>
            </w:r>
          </w:p>
        </w:tc>
        <w:tc>
          <w:tcPr>
            <w:tcW w:w="5400" w:type="dxa"/>
            <w:tcBorders>
              <w:top w:val="single" w:color="auto" w:sz="4" w:space="0"/>
              <w:bottom w:val="single" w:color="auto" w:sz="4" w:space="0"/>
              <w:right w:val="single" w:color="auto" w:sz="4" w:space="0"/>
            </w:tcBorders>
            <w:vAlign w:val="center"/>
          </w:tcPr>
          <w:p w14:paraId="487D76BE">
            <w:pPr>
              <w:spacing w:line="240" w:lineRule="exact"/>
              <w:jc w:val="center"/>
              <w:rPr>
                <w:rFonts w:ascii="宋体"/>
                <w:kern w:val="0"/>
              </w:rPr>
            </w:pPr>
            <w:r>
              <w:rPr>
                <w:rFonts w:hint="eastAsia" w:ascii="宋体"/>
                <w:kern w:val="0"/>
              </w:rPr>
              <w:t>6-10万元</w:t>
            </w:r>
          </w:p>
        </w:tc>
        <w:tc>
          <w:tcPr>
            <w:tcW w:w="2655" w:type="dxa"/>
            <w:tcBorders>
              <w:top w:val="single" w:color="auto" w:sz="4" w:space="0"/>
              <w:left w:val="single" w:color="auto" w:sz="4" w:space="0"/>
              <w:bottom w:val="single" w:color="auto" w:sz="4" w:space="0"/>
              <w:right w:val="single" w:color="auto" w:sz="4" w:space="0"/>
            </w:tcBorders>
            <w:vAlign w:val="center"/>
          </w:tcPr>
          <w:p w14:paraId="23A29399">
            <w:pPr>
              <w:spacing w:line="240" w:lineRule="exact"/>
              <w:jc w:val="center"/>
              <w:rPr>
                <w:rFonts w:ascii="宋体"/>
                <w:kern w:val="0"/>
              </w:rPr>
            </w:pPr>
            <w:r>
              <w:rPr>
                <w:rFonts w:hint="eastAsia" w:ascii="宋体"/>
                <w:kern w:val="0"/>
              </w:rPr>
              <w:t>暂扣适任证书8个月至12个月</w:t>
            </w:r>
          </w:p>
        </w:tc>
        <w:tc>
          <w:tcPr>
            <w:tcW w:w="3465" w:type="dxa"/>
            <w:tcBorders>
              <w:top w:val="single" w:color="auto" w:sz="4" w:space="0"/>
              <w:left w:val="single" w:color="auto" w:sz="4" w:space="0"/>
            </w:tcBorders>
            <w:vAlign w:val="center"/>
          </w:tcPr>
          <w:p w14:paraId="7AE1C571">
            <w:pPr>
              <w:spacing w:line="240" w:lineRule="exact"/>
              <w:jc w:val="center"/>
              <w:rPr>
                <w:rFonts w:ascii="宋体"/>
                <w:kern w:val="0"/>
              </w:rPr>
            </w:pPr>
            <w:r>
              <w:rPr>
                <w:rFonts w:hint="eastAsia" w:ascii="宋体"/>
                <w:kern w:val="0"/>
              </w:rPr>
              <w:t>暂扣适任证书8个月至12个月</w:t>
            </w:r>
          </w:p>
        </w:tc>
      </w:tr>
      <w:tr w14:paraId="6454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14:paraId="669AB6E6">
            <w:pPr>
              <w:spacing w:line="240" w:lineRule="exact"/>
              <w:jc w:val="left"/>
              <w:rPr>
                <w:rFonts w:ascii="宋体"/>
                <w:kern w:val="0"/>
              </w:rPr>
            </w:pPr>
          </w:p>
        </w:tc>
        <w:tc>
          <w:tcPr>
            <w:tcW w:w="1484" w:type="dxa"/>
            <w:vMerge w:val="continue"/>
            <w:vAlign w:val="center"/>
          </w:tcPr>
          <w:p w14:paraId="38959E75">
            <w:pPr>
              <w:spacing w:line="240" w:lineRule="exact"/>
              <w:jc w:val="left"/>
              <w:rPr>
                <w:rFonts w:ascii="宋体"/>
                <w:kern w:val="0"/>
              </w:rPr>
            </w:pPr>
          </w:p>
        </w:tc>
        <w:tc>
          <w:tcPr>
            <w:tcW w:w="1726" w:type="dxa"/>
            <w:vMerge w:val="continue"/>
            <w:vAlign w:val="center"/>
          </w:tcPr>
          <w:p w14:paraId="74D4CC9A">
            <w:pPr>
              <w:spacing w:line="240" w:lineRule="exact"/>
              <w:jc w:val="left"/>
              <w:rPr>
                <w:rFonts w:ascii="宋体"/>
                <w:kern w:val="0"/>
              </w:rPr>
            </w:pPr>
          </w:p>
        </w:tc>
        <w:tc>
          <w:tcPr>
            <w:tcW w:w="1035" w:type="dxa"/>
            <w:vMerge w:val="continue"/>
            <w:vAlign w:val="center"/>
          </w:tcPr>
          <w:p w14:paraId="4DF5928E">
            <w:pPr>
              <w:spacing w:line="240" w:lineRule="exact"/>
              <w:jc w:val="center"/>
              <w:rPr>
                <w:rFonts w:ascii="宋体"/>
                <w:kern w:val="0"/>
              </w:rPr>
            </w:pPr>
          </w:p>
        </w:tc>
        <w:tc>
          <w:tcPr>
            <w:tcW w:w="2805" w:type="dxa"/>
            <w:tcBorders>
              <w:top w:val="single" w:color="auto" w:sz="4" w:space="0"/>
              <w:bottom w:val="single" w:color="auto" w:sz="4" w:space="0"/>
            </w:tcBorders>
            <w:vAlign w:val="center"/>
          </w:tcPr>
          <w:p w14:paraId="60401E4A">
            <w:pPr>
              <w:spacing w:line="240" w:lineRule="exact"/>
              <w:jc w:val="left"/>
              <w:rPr>
                <w:rFonts w:ascii="宋体"/>
                <w:kern w:val="0"/>
              </w:rPr>
            </w:pPr>
            <w:r>
              <w:rPr>
                <w:rFonts w:hint="eastAsia" w:ascii="宋体"/>
              </w:rPr>
              <w:t>造成事故损失进一步扩大等不利后果的</w:t>
            </w:r>
          </w:p>
        </w:tc>
        <w:tc>
          <w:tcPr>
            <w:tcW w:w="5400" w:type="dxa"/>
            <w:tcBorders>
              <w:top w:val="single" w:color="auto" w:sz="4" w:space="0"/>
              <w:right w:val="single" w:color="auto" w:sz="4" w:space="0"/>
            </w:tcBorders>
            <w:vAlign w:val="center"/>
          </w:tcPr>
          <w:p w14:paraId="5C3E0807">
            <w:pPr>
              <w:spacing w:line="240" w:lineRule="exact"/>
              <w:jc w:val="center"/>
              <w:rPr>
                <w:rFonts w:ascii="宋体"/>
                <w:kern w:val="0"/>
              </w:rPr>
            </w:pPr>
            <w:r>
              <w:rPr>
                <w:rFonts w:hint="eastAsia" w:ascii="宋体"/>
                <w:kern w:val="0"/>
              </w:rPr>
              <w:t>10-20万元</w:t>
            </w:r>
          </w:p>
        </w:tc>
        <w:tc>
          <w:tcPr>
            <w:tcW w:w="2655" w:type="dxa"/>
            <w:tcBorders>
              <w:top w:val="single" w:color="auto" w:sz="4" w:space="0"/>
              <w:left w:val="single" w:color="auto" w:sz="4" w:space="0"/>
              <w:right w:val="single" w:color="auto" w:sz="4" w:space="0"/>
            </w:tcBorders>
            <w:vAlign w:val="center"/>
          </w:tcPr>
          <w:p w14:paraId="004CE107">
            <w:pPr>
              <w:spacing w:line="240" w:lineRule="exact"/>
              <w:jc w:val="center"/>
              <w:rPr>
                <w:rFonts w:ascii="宋体"/>
                <w:kern w:val="0"/>
              </w:rPr>
            </w:pPr>
            <w:r>
              <w:rPr>
                <w:rFonts w:hint="eastAsia" w:ascii="宋体"/>
                <w:kern w:val="0"/>
              </w:rPr>
              <w:t>暂扣适任证书10个月至12个月</w:t>
            </w:r>
          </w:p>
        </w:tc>
        <w:tc>
          <w:tcPr>
            <w:tcW w:w="3465" w:type="dxa"/>
            <w:tcBorders>
              <w:left w:val="single" w:color="auto" w:sz="4" w:space="0"/>
            </w:tcBorders>
            <w:vAlign w:val="center"/>
          </w:tcPr>
          <w:p w14:paraId="381BF699">
            <w:pPr>
              <w:spacing w:line="240" w:lineRule="exact"/>
              <w:jc w:val="center"/>
              <w:rPr>
                <w:rFonts w:ascii="宋体"/>
                <w:kern w:val="0"/>
              </w:rPr>
            </w:pPr>
            <w:r>
              <w:rPr>
                <w:rFonts w:hint="eastAsia" w:ascii="宋体"/>
                <w:kern w:val="0"/>
              </w:rPr>
              <w:t>暂扣适任证书9个月至12个月</w:t>
            </w:r>
          </w:p>
        </w:tc>
      </w:tr>
      <w:tr w14:paraId="48FE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14:paraId="205CD54E">
            <w:pPr>
              <w:spacing w:line="240" w:lineRule="exact"/>
              <w:jc w:val="left"/>
              <w:rPr>
                <w:rFonts w:ascii="宋体"/>
                <w:kern w:val="0"/>
              </w:rPr>
            </w:pPr>
          </w:p>
        </w:tc>
        <w:tc>
          <w:tcPr>
            <w:tcW w:w="1484" w:type="dxa"/>
            <w:vMerge w:val="continue"/>
            <w:vAlign w:val="center"/>
          </w:tcPr>
          <w:p w14:paraId="47B38314">
            <w:pPr>
              <w:spacing w:line="240" w:lineRule="exact"/>
              <w:jc w:val="left"/>
              <w:rPr>
                <w:rFonts w:ascii="宋体"/>
                <w:kern w:val="0"/>
              </w:rPr>
            </w:pPr>
          </w:p>
        </w:tc>
        <w:tc>
          <w:tcPr>
            <w:tcW w:w="1726" w:type="dxa"/>
            <w:vMerge w:val="continue"/>
            <w:vAlign w:val="center"/>
          </w:tcPr>
          <w:p w14:paraId="21854AD6">
            <w:pPr>
              <w:spacing w:line="240" w:lineRule="exact"/>
              <w:jc w:val="left"/>
              <w:rPr>
                <w:rFonts w:ascii="宋体"/>
                <w:kern w:val="0"/>
              </w:rPr>
            </w:pPr>
          </w:p>
        </w:tc>
        <w:tc>
          <w:tcPr>
            <w:tcW w:w="1035" w:type="dxa"/>
            <w:vMerge w:val="continue"/>
            <w:vAlign w:val="center"/>
          </w:tcPr>
          <w:p w14:paraId="24FC4572">
            <w:pPr>
              <w:spacing w:line="240" w:lineRule="exact"/>
              <w:jc w:val="left"/>
              <w:rPr>
                <w:rFonts w:ascii="宋体"/>
                <w:kern w:val="0"/>
              </w:rPr>
            </w:pPr>
          </w:p>
        </w:tc>
        <w:tc>
          <w:tcPr>
            <w:tcW w:w="2805" w:type="dxa"/>
            <w:tcBorders>
              <w:top w:val="single" w:color="auto" w:sz="4" w:space="0"/>
              <w:bottom w:val="single" w:color="auto" w:sz="4" w:space="0"/>
            </w:tcBorders>
            <w:vAlign w:val="center"/>
          </w:tcPr>
          <w:p w14:paraId="787A7959">
            <w:pPr>
              <w:spacing w:line="240" w:lineRule="exact"/>
              <w:jc w:val="left"/>
              <w:rPr>
                <w:rFonts w:ascii="宋体"/>
              </w:rPr>
            </w:pPr>
            <w:r>
              <w:rPr>
                <w:rFonts w:hint="eastAsia" w:ascii="宋体"/>
              </w:rPr>
              <w:t>1.造成事故损失进一步明显扩大等不利后果的</w:t>
            </w:r>
          </w:p>
          <w:p w14:paraId="7A701893">
            <w:pPr>
              <w:spacing w:line="240" w:lineRule="exact"/>
              <w:jc w:val="left"/>
              <w:rPr>
                <w:rFonts w:ascii="宋体"/>
              </w:rPr>
            </w:pPr>
            <w:r>
              <w:rPr>
                <w:rFonts w:hint="eastAsia" w:ascii="宋体"/>
              </w:rPr>
              <w:t>2.造成人员伤亡进一步扩大等不利后果的</w:t>
            </w:r>
          </w:p>
        </w:tc>
        <w:tc>
          <w:tcPr>
            <w:tcW w:w="5400" w:type="dxa"/>
            <w:tcBorders>
              <w:top w:val="single" w:color="auto" w:sz="4" w:space="0"/>
              <w:right w:val="single" w:color="auto" w:sz="4" w:space="0"/>
            </w:tcBorders>
            <w:vAlign w:val="center"/>
          </w:tcPr>
          <w:p w14:paraId="24B5A924">
            <w:pPr>
              <w:spacing w:line="240" w:lineRule="exact"/>
              <w:jc w:val="center"/>
              <w:rPr>
                <w:rFonts w:ascii="宋体"/>
                <w:kern w:val="0"/>
              </w:rPr>
            </w:pPr>
            <w:r>
              <w:rPr>
                <w:rFonts w:hint="eastAsia" w:ascii="宋体"/>
                <w:kern w:val="0"/>
              </w:rPr>
              <w:t>20-30万元</w:t>
            </w:r>
          </w:p>
        </w:tc>
        <w:tc>
          <w:tcPr>
            <w:tcW w:w="2655" w:type="dxa"/>
            <w:tcBorders>
              <w:top w:val="single" w:color="auto" w:sz="4" w:space="0"/>
              <w:left w:val="single" w:color="auto" w:sz="4" w:space="0"/>
              <w:right w:val="single" w:color="auto" w:sz="4" w:space="0"/>
            </w:tcBorders>
            <w:vAlign w:val="center"/>
          </w:tcPr>
          <w:p w14:paraId="2A79F893">
            <w:pPr>
              <w:spacing w:line="240" w:lineRule="exact"/>
              <w:jc w:val="center"/>
              <w:rPr>
                <w:rFonts w:ascii="宋体"/>
                <w:kern w:val="0"/>
              </w:rPr>
            </w:pPr>
            <w:r>
              <w:rPr>
                <w:rFonts w:hint="eastAsia" w:ascii="宋体"/>
                <w:kern w:val="0"/>
              </w:rPr>
              <w:t>吊销适任证书</w:t>
            </w:r>
          </w:p>
        </w:tc>
        <w:tc>
          <w:tcPr>
            <w:tcW w:w="3465" w:type="dxa"/>
            <w:tcBorders>
              <w:left w:val="single" w:color="auto" w:sz="4" w:space="0"/>
            </w:tcBorders>
            <w:vAlign w:val="center"/>
          </w:tcPr>
          <w:p w14:paraId="33CA3943">
            <w:pPr>
              <w:spacing w:line="240" w:lineRule="exact"/>
              <w:jc w:val="center"/>
              <w:rPr>
                <w:rFonts w:ascii="宋体"/>
                <w:kern w:val="0"/>
              </w:rPr>
            </w:pPr>
            <w:r>
              <w:rPr>
                <w:rFonts w:hint="eastAsia" w:ascii="宋体"/>
                <w:kern w:val="0"/>
              </w:rPr>
              <w:t>吊销适任证书</w:t>
            </w:r>
          </w:p>
        </w:tc>
      </w:tr>
      <w:tr w14:paraId="4B07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988" w:type="dxa"/>
            <w:vMerge w:val="continue"/>
            <w:vAlign w:val="center"/>
          </w:tcPr>
          <w:p w14:paraId="330111E6">
            <w:pPr>
              <w:spacing w:line="240" w:lineRule="exact"/>
              <w:jc w:val="left"/>
              <w:rPr>
                <w:rFonts w:ascii="宋体"/>
                <w:kern w:val="0"/>
              </w:rPr>
            </w:pPr>
          </w:p>
        </w:tc>
        <w:tc>
          <w:tcPr>
            <w:tcW w:w="1484" w:type="dxa"/>
            <w:vMerge w:val="continue"/>
            <w:vAlign w:val="center"/>
          </w:tcPr>
          <w:p w14:paraId="7FD2E237">
            <w:pPr>
              <w:spacing w:line="240" w:lineRule="exact"/>
              <w:jc w:val="left"/>
              <w:rPr>
                <w:rFonts w:ascii="宋体"/>
                <w:kern w:val="0"/>
              </w:rPr>
            </w:pPr>
          </w:p>
        </w:tc>
        <w:tc>
          <w:tcPr>
            <w:tcW w:w="1726" w:type="dxa"/>
            <w:vMerge w:val="continue"/>
            <w:vAlign w:val="center"/>
          </w:tcPr>
          <w:p w14:paraId="5215BFC4">
            <w:pPr>
              <w:spacing w:line="240" w:lineRule="exact"/>
              <w:jc w:val="left"/>
              <w:rPr>
                <w:rFonts w:ascii="宋体"/>
                <w:kern w:val="0"/>
              </w:rPr>
            </w:pPr>
          </w:p>
        </w:tc>
        <w:tc>
          <w:tcPr>
            <w:tcW w:w="1035" w:type="dxa"/>
            <w:vMerge w:val="continue"/>
            <w:vAlign w:val="center"/>
          </w:tcPr>
          <w:p w14:paraId="040E18F6">
            <w:pPr>
              <w:spacing w:line="240" w:lineRule="exact"/>
              <w:jc w:val="left"/>
              <w:rPr>
                <w:rFonts w:ascii="宋体"/>
                <w:kern w:val="0"/>
              </w:rPr>
            </w:pPr>
          </w:p>
        </w:tc>
        <w:tc>
          <w:tcPr>
            <w:tcW w:w="2805" w:type="dxa"/>
            <w:tcBorders>
              <w:top w:val="single" w:color="auto" w:sz="4" w:space="0"/>
              <w:bottom w:val="single" w:color="auto" w:sz="4" w:space="0"/>
            </w:tcBorders>
            <w:vAlign w:val="center"/>
          </w:tcPr>
          <w:p w14:paraId="5376091E">
            <w:pPr>
              <w:spacing w:line="240" w:lineRule="exact"/>
              <w:jc w:val="left"/>
              <w:rPr>
                <w:rFonts w:ascii="宋体"/>
                <w:kern w:val="0"/>
              </w:rPr>
            </w:pPr>
            <w:r>
              <w:rPr>
                <w:rFonts w:hint="eastAsia" w:ascii="宋体"/>
                <w:kern w:val="0"/>
              </w:rPr>
              <w:t>具有其他较重情节的</w:t>
            </w:r>
          </w:p>
        </w:tc>
        <w:tc>
          <w:tcPr>
            <w:tcW w:w="5400" w:type="dxa"/>
            <w:tcBorders>
              <w:right w:val="single" w:color="auto" w:sz="4" w:space="0"/>
            </w:tcBorders>
            <w:vAlign w:val="center"/>
          </w:tcPr>
          <w:p w14:paraId="72A03F6C">
            <w:pPr>
              <w:spacing w:line="240" w:lineRule="exact"/>
              <w:jc w:val="center"/>
              <w:rPr>
                <w:rFonts w:ascii="宋体"/>
                <w:kern w:val="0"/>
              </w:rPr>
            </w:pPr>
            <w:r>
              <w:rPr>
                <w:rFonts w:hint="eastAsia" w:ascii="宋体"/>
                <w:kern w:val="0"/>
              </w:rPr>
              <w:t>20-30万元</w:t>
            </w:r>
          </w:p>
        </w:tc>
        <w:tc>
          <w:tcPr>
            <w:tcW w:w="2655" w:type="dxa"/>
            <w:tcBorders>
              <w:left w:val="single" w:color="auto" w:sz="4" w:space="0"/>
              <w:right w:val="single" w:color="auto" w:sz="4" w:space="0"/>
            </w:tcBorders>
            <w:vAlign w:val="center"/>
          </w:tcPr>
          <w:p w14:paraId="35FD9619">
            <w:pPr>
              <w:spacing w:line="240" w:lineRule="exact"/>
              <w:jc w:val="center"/>
              <w:rPr>
                <w:rFonts w:ascii="宋体"/>
                <w:kern w:val="0"/>
              </w:rPr>
            </w:pPr>
            <w:r>
              <w:rPr>
                <w:rFonts w:hint="eastAsia" w:ascii="宋体"/>
                <w:kern w:val="0"/>
              </w:rPr>
              <w:t>吊销适任证书</w:t>
            </w:r>
          </w:p>
        </w:tc>
        <w:tc>
          <w:tcPr>
            <w:tcW w:w="3465" w:type="dxa"/>
            <w:tcBorders>
              <w:left w:val="single" w:color="auto" w:sz="4" w:space="0"/>
            </w:tcBorders>
            <w:vAlign w:val="center"/>
          </w:tcPr>
          <w:p w14:paraId="4B97C4CB">
            <w:pPr>
              <w:spacing w:line="240" w:lineRule="exact"/>
              <w:jc w:val="center"/>
              <w:rPr>
                <w:rFonts w:ascii="宋体"/>
                <w:kern w:val="0"/>
              </w:rPr>
            </w:pPr>
            <w:r>
              <w:rPr>
                <w:rFonts w:hint="eastAsia" w:ascii="宋体"/>
                <w:kern w:val="0"/>
              </w:rPr>
              <w:t>吊销适任证书</w:t>
            </w:r>
          </w:p>
        </w:tc>
      </w:tr>
    </w:tbl>
    <w:p w14:paraId="0D415F3C">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64"/>
        <w:gridCol w:w="1178"/>
        <w:gridCol w:w="1559"/>
        <w:gridCol w:w="992"/>
        <w:gridCol w:w="3544"/>
        <w:gridCol w:w="6946"/>
        <w:gridCol w:w="2835"/>
        <w:gridCol w:w="2835"/>
      </w:tblGrid>
      <w:tr w14:paraId="390C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864" w:type="dxa"/>
            <w:vMerge w:val="restart"/>
            <w:vAlign w:val="center"/>
          </w:tcPr>
          <w:p w14:paraId="48D63B8F">
            <w:pPr>
              <w:jc w:val="left"/>
              <w:rPr>
                <w:rFonts w:ascii="宋体"/>
                <w:b/>
                <w:kern w:val="0"/>
              </w:rPr>
            </w:pPr>
            <w:r>
              <w:rPr>
                <w:rFonts w:hint="eastAsia" w:ascii="宋体"/>
                <w:b/>
                <w:kern w:val="0"/>
              </w:rPr>
              <w:t>案由38</w:t>
            </w:r>
          </w:p>
        </w:tc>
        <w:tc>
          <w:tcPr>
            <w:tcW w:w="2737" w:type="dxa"/>
            <w:gridSpan w:val="2"/>
            <w:vAlign w:val="center"/>
          </w:tcPr>
          <w:p w14:paraId="3EE8BB7E">
            <w:pPr>
              <w:jc w:val="center"/>
              <w:rPr>
                <w:rFonts w:ascii="宋体"/>
                <w:b/>
                <w:kern w:val="0"/>
              </w:rPr>
            </w:pPr>
            <w:r>
              <w:rPr>
                <w:rFonts w:hint="eastAsia" w:ascii="宋体"/>
                <w:b/>
                <w:kern w:val="0"/>
              </w:rPr>
              <w:t>法律依据</w:t>
            </w:r>
          </w:p>
        </w:tc>
        <w:tc>
          <w:tcPr>
            <w:tcW w:w="992" w:type="dxa"/>
            <w:vMerge w:val="restart"/>
            <w:vAlign w:val="center"/>
          </w:tcPr>
          <w:p w14:paraId="6CAD4241">
            <w:pPr>
              <w:jc w:val="center"/>
              <w:rPr>
                <w:rFonts w:ascii="宋体"/>
                <w:b/>
                <w:kern w:val="0"/>
              </w:rPr>
            </w:pPr>
            <w:r>
              <w:rPr>
                <w:rFonts w:hint="eastAsia" w:ascii="宋体"/>
                <w:b/>
                <w:kern w:val="0"/>
              </w:rPr>
              <w:t>违法情节</w:t>
            </w:r>
          </w:p>
        </w:tc>
        <w:tc>
          <w:tcPr>
            <w:tcW w:w="3544" w:type="dxa"/>
            <w:vMerge w:val="restart"/>
            <w:vAlign w:val="center"/>
          </w:tcPr>
          <w:p w14:paraId="15C820C7">
            <w:pPr>
              <w:jc w:val="center"/>
              <w:rPr>
                <w:rFonts w:ascii="宋体"/>
                <w:b/>
                <w:kern w:val="0"/>
              </w:rPr>
            </w:pPr>
            <w:r>
              <w:rPr>
                <w:rFonts w:hint="eastAsia" w:ascii="宋体"/>
                <w:b/>
                <w:kern w:val="0"/>
              </w:rPr>
              <w:t>主要考虑因素（事实、性质、情节、危害程度和实际后果等）</w:t>
            </w:r>
          </w:p>
        </w:tc>
        <w:tc>
          <w:tcPr>
            <w:tcW w:w="12616" w:type="dxa"/>
            <w:gridSpan w:val="3"/>
            <w:vAlign w:val="center"/>
          </w:tcPr>
          <w:p w14:paraId="374E29E8">
            <w:pPr>
              <w:jc w:val="left"/>
              <w:rPr>
                <w:rFonts w:ascii="宋体"/>
                <w:b/>
                <w:kern w:val="0"/>
              </w:rPr>
            </w:pPr>
            <w:r>
              <w:rPr>
                <w:rFonts w:hint="eastAsia" w:ascii="宋体"/>
                <w:b/>
                <w:kern w:val="0"/>
              </w:rPr>
              <w:t>【法定幅度和种类】</w:t>
            </w:r>
            <w:r>
              <w:rPr>
                <w:rFonts w:hint="eastAsia" w:ascii="宋体"/>
                <w:kern w:val="0"/>
              </w:rPr>
              <w:t>由海事管理机构责令改正，对违法船舶或者海上设施的所有人、经营人或者管理人处三万元以上三十万元以下的罚款，对船长和有关责任人员处三千元以上三万元以下的罚款；情节严重的，暂扣船长、责任船员的船员适任证书十八个月至三十个月，直至吊销船员适任证书；对船舶持有的伪造、变造证书、文书，予以没收；对存在严重安全隐患的船舶，可以依法予以没收。</w:t>
            </w:r>
          </w:p>
        </w:tc>
      </w:tr>
      <w:tr w14:paraId="7B23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864" w:type="dxa"/>
            <w:vMerge w:val="continue"/>
            <w:tcBorders>
              <w:bottom w:val="single" w:color="000000" w:sz="4" w:space="0"/>
            </w:tcBorders>
            <w:vAlign w:val="center"/>
          </w:tcPr>
          <w:p w14:paraId="3F70FACC">
            <w:pPr>
              <w:jc w:val="left"/>
              <w:rPr>
                <w:rFonts w:ascii="宋体"/>
                <w:b/>
                <w:kern w:val="0"/>
              </w:rPr>
            </w:pPr>
          </w:p>
        </w:tc>
        <w:tc>
          <w:tcPr>
            <w:tcW w:w="1178" w:type="dxa"/>
            <w:tcBorders>
              <w:bottom w:val="single" w:color="000000" w:sz="4" w:space="0"/>
            </w:tcBorders>
            <w:vAlign w:val="center"/>
          </w:tcPr>
          <w:p w14:paraId="4021B0B2">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14:paraId="0A0AC63D">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5B77FC81">
            <w:pPr>
              <w:jc w:val="center"/>
              <w:rPr>
                <w:rFonts w:ascii="宋体"/>
                <w:b/>
                <w:kern w:val="0"/>
              </w:rPr>
            </w:pPr>
          </w:p>
        </w:tc>
        <w:tc>
          <w:tcPr>
            <w:tcW w:w="3544" w:type="dxa"/>
            <w:vMerge w:val="continue"/>
            <w:tcBorders>
              <w:bottom w:val="single" w:color="000000" w:sz="4" w:space="0"/>
            </w:tcBorders>
            <w:vAlign w:val="center"/>
          </w:tcPr>
          <w:p w14:paraId="3991320E">
            <w:pPr>
              <w:jc w:val="left"/>
              <w:rPr>
                <w:rFonts w:ascii="宋体"/>
                <w:b/>
                <w:kern w:val="0"/>
              </w:rPr>
            </w:pPr>
          </w:p>
        </w:tc>
        <w:tc>
          <w:tcPr>
            <w:tcW w:w="6946" w:type="dxa"/>
            <w:tcBorders>
              <w:top w:val="single" w:color="auto" w:sz="4" w:space="0"/>
              <w:right w:val="single" w:color="auto" w:sz="4" w:space="0"/>
            </w:tcBorders>
            <w:vAlign w:val="center"/>
          </w:tcPr>
          <w:p w14:paraId="21C04F15">
            <w:pPr>
              <w:jc w:val="center"/>
              <w:rPr>
                <w:rFonts w:ascii="宋体"/>
                <w:b/>
                <w:kern w:val="0"/>
              </w:rPr>
            </w:pPr>
            <w:r>
              <w:rPr>
                <w:rFonts w:hint="eastAsia" w:ascii="宋体"/>
                <w:b/>
                <w:kern w:val="0"/>
              </w:rPr>
              <w:t>【对象】对船舶的所有人、经营人或者管理人</w:t>
            </w:r>
          </w:p>
        </w:tc>
        <w:tc>
          <w:tcPr>
            <w:tcW w:w="2835" w:type="dxa"/>
            <w:tcBorders>
              <w:top w:val="single" w:color="auto" w:sz="4" w:space="0"/>
              <w:left w:val="single" w:color="auto" w:sz="4" w:space="0"/>
            </w:tcBorders>
            <w:vAlign w:val="center"/>
          </w:tcPr>
          <w:p w14:paraId="2C99B04D">
            <w:pPr>
              <w:jc w:val="center"/>
              <w:rPr>
                <w:rFonts w:ascii="宋体"/>
                <w:b/>
                <w:kern w:val="0"/>
              </w:rPr>
            </w:pPr>
            <w:r>
              <w:rPr>
                <w:rFonts w:hint="eastAsia" w:ascii="宋体"/>
                <w:b/>
                <w:kern w:val="0"/>
              </w:rPr>
              <w:t>【对象】船长</w:t>
            </w:r>
          </w:p>
        </w:tc>
        <w:tc>
          <w:tcPr>
            <w:tcW w:w="2835" w:type="dxa"/>
            <w:tcBorders>
              <w:top w:val="single" w:color="auto" w:sz="4" w:space="0"/>
              <w:left w:val="single" w:color="auto" w:sz="4" w:space="0"/>
            </w:tcBorders>
            <w:vAlign w:val="center"/>
          </w:tcPr>
          <w:p w14:paraId="14AAD088">
            <w:pPr>
              <w:jc w:val="center"/>
              <w:rPr>
                <w:rFonts w:ascii="宋体"/>
                <w:b/>
                <w:kern w:val="0"/>
              </w:rPr>
            </w:pPr>
            <w:r>
              <w:rPr>
                <w:rFonts w:hint="eastAsia" w:ascii="宋体"/>
                <w:b/>
                <w:kern w:val="0"/>
              </w:rPr>
              <w:t>【对象】责任人员</w:t>
            </w:r>
          </w:p>
        </w:tc>
      </w:tr>
      <w:tr w14:paraId="38DC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82" w:hRule="atLeast"/>
        </w:trPr>
        <w:tc>
          <w:tcPr>
            <w:tcW w:w="864" w:type="dxa"/>
            <w:vMerge w:val="restart"/>
            <w:vAlign w:val="center"/>
          </w:tcPr>
          <w:p w14:paraId="25DB8546">
            <w:pPr>
              <w:widowControl/>
              <w:jc w:val="left"/>
              <w:rPr>
                <w:rFonts w:ascii="宋体"/>
                <w:kern w:val="0"/>
              </w:rPr>
            </w:pPr>
            <w:r>
              <w:rPr>
                <w:rFonts w:hint="eastAsia" w:ascii="宋体"/>
                <w:kern w:val="0"/>
              </w:rPr>
              <w:t>船舶、海上设施未持有有效的证书、文书</w:t>
            </w:r>
          </w:p>
        </w:tc>
        <w:tc>
          <w:tcPr>
            <w:tcW w:w="1178" w:type="dxa"/>
            <w:vMerge w:val="restart"/>
            <w:vAlign w:val="center"/>
          </w:tcPr>
          <w:p w14:paraId="1C4AD413">
            <w:pPr>
              <w:widowControl/>
              <w:rPr>
                <w:rFonts w:ascii="宋体"/>
                <w:kern w:val="0"/>
              </w:rPr>
            </w:pPr>
            <w:r>
              <w:rPr>
                <w:rFonts w:hint="eastAsia" w:ascii="宋体"/>
                <w:kern w:val="0"/>
              </w:rPr>
              <w:t>1.《中华人民共和国海上交通安全法》第九条；</w:t>
            </w:r>
          </w:p>
          <w:p w14:paraId="7A4C08E1">
            <w:pPr>
              <w:widowControl/>
              <w:rPr>
                <w:rFonts w:ascii="宋体"/>
              </w:rPr>
            </w:pPr>
            <w:r>
              <w:rPr>
                <w:rFonts w:hint="eastAsia" w:ascii="宋体"/>
              </w:rPr>
              <w:t>2.其他法律、法规、规章等。</w:t>
            </w:r>
          </w:p>
        </w:tc>
        <w:tc>
          <w:tcPr>
            <w:tcW w:w="1559" w:type="dxa"/>
            <w:vMerge w:val="restart"/>
            <w:vAlign w:val="center"/>
          </w:tcPr>
          <w:p w14:paraId="705D5BC3">
            <w:pPr>
              <w:jc w:val="left"/>
              <w:rPr>
                <w:rFonts w:ascii="宋体"/>
                <w:kern w:val="0"/>
              </w:rPr>
            </w:pPr>
            <w:r>
              <w:rPr>
                <w:rFonts w:hint="eastAsia" w:ascii="宋体"/>
                <w:kern w:val="0"/>
              </w:rPr>
              <w:t>1.《中华人民共和国海上交通安全法》第九十五条、《中华人民共和国海上海事行政处罚规定》第九条；</w:t>
            </w:r>
          </w:p>
          <w:p w14:paraId="6AEB6B7E">
            <w:pPr>
              <w:jc w:val="left"/>
              <w:rPr>
                <w:rFonts w:ascii="宋体"/>
                <w:kern w:val="0"/>
              </w:rPr>
            </w:pPr>
            <w:r>
              <w:rPr>
                <w:rFonts w:hint="eastAsia" w:ascii="宋体"/>
                <w:kern w:val="0"/>
              </w:rPr>
              <w:t>2. 《中华人民共和国海上海事行政处罚规定》第七条。</w:t>
            </w:r>
          </w:p>
        </w:tc>
        <w:tc>
          <w:tcPr>
            <w:tcW w:w="992" w:type="dxa"/>
            <w:vAlign w:val="center"/>
          </w:tcPr>
          <w:p w14:paraId="73F215FC">
            <w:pPr>
              <w:jc w:val="center"/>
              <w:rPr>
                <w:rFonts w:ascii="宋体"/>
                <w:kern w:val="0"/>
              </w:rPr>
            </w:pPr>
            <w:r>
              <w:rPr>
                <w:rFonts w:hint="eastAsia" w:ascii="宋体"/>
                <w:kern w:val="0"/>
              </w:rPr>
              <w:t>从轻</w:t>
            </w:r>
          </w:p>
        </w:tc>
        <w:tc>
          <w:tcPr>
            <w:tcW w:w="3544" w:type="dxa"/>
            <w:vAlign w:val="center"/>
          </w:tcPr>
          <w:p w14:paraId="58FA394B">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946" w:type="dxa"/>
            <w:tcBorders>
              <w:right w:val="single" w:color="auto" w:sz="4" w:space="0"/>
            </w:tcBorders>
            <w:vAlign w:val="center"/>
          </w:tcPr>
          <w:p w14:paraId="43F3DE1C">
            <w:pPr>
              <w:jc w:val="center"/>
              <w:rPr>
                <w:rFonts w:ascii="宋体"/>
                <w:kern w:val="0"/>
              </w:rPr>
            </w:pPr>
            <w:r>
              <w:rPr>
                <w:rFonts w:hint="eastAsia" w:ascii="宋体"/>
                <w:kern w:val="0"/>
              </w:rPr>
              <w:t>3-4万元</w:t>
            </w:r>
          </w:p>
        </w:tc>
        <w:tc>
          <w:tcPr>
            <w:tcW w:w="2835" w:type="dxa"/>
            <w:tcBorders>
              <w:left w:val="single" w:color="auto" w:sz="4" w:space="0"/>
              <w:bottom w:val="single" w:color="auto" w:sz="4" w:space="0"/>
              <w:right w:val="single" w:color="auto" w:sz="4" w:space="0"/>
            </w:tcBorders>
            <w:vAlign w:val="center"/>
          </w:tcPr>
          <w:p w14:paraId="4596AD48">
            <w:pPr>
              <w:jc w:val="center"/>
              <w:rPr>
                <w:rFonts w:ascii="宋体"/>
                <w:kern w:val="0"/>
              </w:rPr>
            </w:pPr>
            <w:r>
              <w:rPr>
                <w:rFonts w:hint="eastAsia" w:ascii="宋体"/>
                <w:kern w:val="0"/>
              </w:rPr>
              <w:t>3000-5000元</w:t>
            </w:r>
          </w:p>
        </w:tc>
        <w:tc>
          <w:tcPr>
            <w:tcW w:w="2835" w:type="dxa"/>
            <w:tcBorders>
              <w:left w:val="single" w:color="auto" w:sz="4" w:space="0"/>
              <w:bottom w:val="single" w:color="auto" w:sz="4" w:space="0"/>
            </w:tcBorders>
            <w:vAlign w:val="center"/>
          </w:tcPr>
          <w:p w14:paraId="40BF8099">
            <w:pPr>
              <w:jc w:val="center"/>
              <w:rPr>
                <w:rFonts w:ascii="宋体"/>
                <w:kern w:val="0"/>
              </w:rPr>
            </w:pPr>
            <w:r>
              <w:rPr>
                <w:rFonts w:hint="eastAsia" w:ascii="宋体"/>
                <w:kern w:val="0"/>
              </w:rPr>
              <w:t>3000-4000元</w:t>
            </w:r>
          </w:p>
        </w:tc>
      </w:tr>
      <w:tr w14:paraId="20710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19" w:hRule="atLeast"/>
        </w:trPr>
        <w:tc>
          <w:tcPr>
            <w:tcW w:w="864" w:type="dxa"/>
            <w:vMerge w:val="continue"/>
            <w:vAlign w:val="center"/>
          </w:tcPr>
          <w:p w14:paraId="6C561DCD">
            <w:pPr>
              <w:jc w:val="left"/>
              <w:rPr>
                <w:rFonts w:ascii="宋体"/>
                <w:kern w:val="0"/>
              </w:rPr>
            </w:pPr>
          </w:p>
        </w:tc>
        <w:tc>
          <w:tcPr>
            <w:tcW w:w="1178" w:type="dxa"/>
            <w:vMerge w:val="continue"/>
            <w:vAlign w:val="center"/>
          </w:tcPr>
          <w:p w14:paraId="10A24E66">
            <w:pPr>
              <w:widowControl/>
              <w:jc w:val="left"/>
              <w:rPr>
                <w:rFonts w:ascii="宋体"/>
                <w:kern w:val="0"/>
              </w:rPr>
            </w:pPr>
          </w:p>
        </w:tc>
        <w:tc>
          <w:tcPr>
            <w:tcW w:w="1559" w:type="dxa"/>
            <w:vMerge w:val="continue"/>
            <w:vAlign w:val="center"/>
          </w:tcPr>
          <w:p w14:paraId="618AC7E2">
            <w:pPr>
              <w:jc w:val="left"/>
              <w:rPr>
                <w:rFonts w:ascii="宋体"/>
                <w:kern w:val="0"/>
              </w:rPr>
            </w:pPr>
          </w:p>
        </w:tc>
        <w:tc>
          <w:tcPr>
            <w:tcW w:w="992" w:type="dxa"/>
            <w:vMerge w:val="restart"/>
            <w:vAlign w:val="center"/>
          </w:tcPr>
          <w:p w14:paraId="082A2D6C">
            <w:pPr>
              <w:jc w:val="center"/>
              <w:rPr>
                <w:rFonts w:ascii="宋体"/>
                <w:kern w:val="0"/>
              </w:rPr>
            </w:pPr>
            <w:r>
              <w:rPr>
                <w:rFonts w:hint="eastAsia" w:ascii="宋体"/>
                <w:kern w:val="0"/>
              </w:rPr>
              <w:t>一般</w:t>
            </w:r>
          </w:p>
        </w:tc>
        <w:tc>
          <w:tcPr>
            <w:tcW w:w="3544" w:type="dxa"/>
            <w:vAlign w:val="center"/>
          </w:tcPr>
          <w:p w14:paraId="593895A8">
            <w:pPr>
              <w:pStyle w:val="13"/>
              <w:jc w:val="left"/>
              <w:rPr>
                <w:rFonts w:ascii="宋体"/>
              </w:rPr>
            </w:pPr>
            <w:r>
              <w:rPr>
                <w:rFonts w:hint="eastAsia" w:ascii="宋体"/>
              </w:rPr>
              <w:t>1.持有过期的证书一本且时间不超过6个月；</w:t>
            </w:r>
          </w:p>
          <w:p w14:paraId="7EF15341">
            <w:pPr>
              <w:pStyle w:val="13"/>
              <w:jc w:val="left"/>
              <w:rPr>
                <w:rFonts w:ascii="宋体"/>
              </w:rPr>
            </w:pPr>
            <w:r>
              <w:rPr>
                <w:rFonts w:hint="eastAsia" w:ascii="宋体"/>
              </w:rPr>
              <w:t>2.未持有有效的文书两本以内。</w:t>
            </w:r>
          </w:p>
        </w:tc>
        <w:tc>
          <w:tcPr>
            <w:tcW w:w="6946" w:type="dxa"/>
            <w:tcBorders>
              <w:bottom w:val="single" w:color="auto" w:sz="4" w:space="0"/>
              <w:right w:val="single" w:color="auto" w:sz="4" w:space="0"/>
            </w:tcBorders>
            <w:vAlign w:val="center"/>
          </w:tcPr>
          <w:p w14:paraId="6D722A32">
            <w:pPr>
              <w:jc w:val="center"/>
              <w:rPr>
                <w:rFonts w:ascii="宋体"/>
                <w:kern w:val="0"/>
              </w:rPr>
            </w:pPr>
            <w:r>
              <w:rPr>
                <w:rFonts w:hint="eastAsia" w:ascii="宋体"/>
                <w:kern w:val="0"/>
              </w:rPr>
              <w:t>4-5万元</w:t>
            </w:r>
          </w:p>
        </w:tc>
        <w:tc>
          <w:tcPr>
            <w:tcW w:w="2835" w:type="dxa"/>
            <w:tcBorders>
              <w:top w:val="single" w:color="auto" w:sz="4" w:space="0"/>
              <w:left w:val="single" w:color="auto" w:sz="4" w:space="0"/>
              <w:bottom w:val="single" w:color="auto" w:sz="4" w:space="0"/>
              <w:right w:val="single" w:color="auto" w:sz="4" w:space="0"/>
            </w:tcBorders>
            <w:vAlign w:val="center"/>
          </w:tcPr>
          <w:p w14:paraId="5CA09782">
            <w:pPr>
              <w:jc w:val="center"/>
              <w:rPr>
                <w:rFonts w:ascii="宋体"/>
                <w:kern w:val="0"/>
              </w:rPr>
            </w:pPr>
            <w:r>
              <w:rPr>
                <w:rFonts w:hint="eastAsia" w:ascii="宋体"/>
                <w:kern w:val="0"/>
              </w:rPr>
              <w:t>5000元-1万</w:t>
            </w:r>
          </w:p>
        </w:tc>
        <w:tc>
          <w:tcPr>
            <w:tcW w:w="2835" w:type="dxa"/>
            <w:tcBorders>
              <w:top w:val="single" w:color="auto" w:sz="4" w:space="0"/>
              <w:left w:val="single" w:color="auto" w:sz="4" w:space="0"/>
              <w:bottom w:val="single" w:color="auto" w:sz="4" w:space="0"/>
            </w:tcBorders>
            <w:vAlign w:val="center"/>
          </w:tcPr>
          <w:p w14:paraId="36A9E174">
            <w:pPr>
              <w:jc w:val="center"/>
              <w:rPr>
                <w:rFonts w:ascii="宋体"/>
                <w:kern w:val="0"/>
              </w:rPr>
            </w:pPr>
            <w:r>
              <w:rPr>
                <w:rFonts w:hint="eastAsia" w:ascii="宋体"/>
                <w:kern w:val="0"/>
              </w:rPr>
              <w:t>4000-6000元</w:t>
            </w:r>
          </w:p>
        </w:tc>
      </w:tr>
      <w:tr w14:paraId="6543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8" w:hRule="atLeast"/>
        </w:trPr>
        <w:tc>
          <w:tcPr>
            <w:tcW w:w="864" w:type="dxa"/>
            <w:vMerge w:val="continue"/>
            <w:vAlign w:val="center"/>
          </w:tcPr>
          <w:p w14:paraId="42FD6DAF">
            <w:pPr>
              <w:jc w:val="left"/>
              <w:rPr>
                <w:rFonts w:ascii="宋体"/>
                <w:kern w:val="0"/>
              </w:rPr>
            </w:pPr>
          </w:p>
        </w:tc>
        <w:tc>
          <w:tcPr>
            <w:tcW w:w="1178" w:type="dxa"/>
            <w:vMerge w:val="continue"/>
            <w:vAlign w:val="center"/>
          </w:tcPr>
          <w:p w14:paraId="000D77EC">
            <w:pPr>
              <w:widowControl/>
              <w:jc w:val="left"/>
              <w:rPr>
                <w:rFonts w:ascii="宋体"/>
                <w:kern w:val="0"/>
              </w:rPr>
            </w:pPr>
          </w:p>
        </w:tc>
        <w:tc>
          <w:tcPr>
            <w:tcW w:w="1559" w:type="dxa"/>
            <w:vMerge w:val="continue"/>
            <w:vAlign w:val="center"/>
          </w:tcPr>
          <w:p w14:paraId="16E84D07">
            <w:pPr>
              <w:jc w:val="left"/>
              <w:rPr>
                <w:rFonts w:ascii="宋体"/>
                <w:kern w:val="0"/>
              </w:rPr>
            </w:pPr>
          </w:p>
        </w:tc>
        <w:tc>
          <w:tcPr>
            <w:tcW w:w="992" w:type="dxa"/>
            <w:vMerge w:val="continue"/>
            <w:vAlign w:val="center"/>
          </w:tcPr>
          <w:p w14:paraId="40BEB408">
            <w:pPr>
              <w:jc w:val="center"/>
              <w:rPr>
                <w:rFonts w:ascii="宋体"/>
                <w:kern w:val="0"/>
              </w:rPr>
            </w:pPr>
          </w:p>
        </w:tc>
        <w:tc>
          <w:tcPr>
            <w:tcW w:w="3544" w:type="dxa"/>
            <w:vAlign w:val="center"/>
          </w:tcPr>
          <w:p w14:paraId="69CC852F">
            <w:pPr>
              <w:pStyle w:val="13"/>
              <w:jc w:val="left"/>
              <w:rPr>
                <w:rFonts w:ascii="宋体"/>
              </w:rPr>
            </w:pPr>
            <w:r>
              <w:rPr>
                <w:rFonts w:hint="eastAsia" w:ascii="宋体"/>
              </w:rPr>
              <w:t>1.未持有有效的证书一本；</w:t>
            </w:r>
          </w:p>
          <w:p w14:paraId="044C5DA0">
            <w:pPr>
              <w:pStyle w:val="13"/>
              <w:jc w:val="left"/>
              <w:rPr>
                <w:rFonts w:ascii="宋体"/>
              </w:rPr>
            </w:pPr>
            <w:r>
              <w:rPr>
                <w:rFonts w:hint="eastAsia" w:ascii="宋体"/>
              </w:rPr>
              <w:t>2.未持有有效文书三本以上。</w:t>
            </w:r>
          </w:p>
        </w:tc>
        <w:tc>
          <w:tcPr>
            <w:tcW w:w="6946" w:type="dxa"/>
            <w:tcBorders>
              <w:top w:val="single" w:color="auto" w:sz="4" w:space="0"/>
              <w:right w:val="single" w:color="auto" w:sz="4" w:space="0"/>
            </w:tcBorders>
            <w:vAlign w:val="center"/>
          </w:tcPr>
          <w:p w14:paraId="08EF6623">
            <w:pPr>
              <w:jc w:val="center"/>
              <w:rPr>
                <w:rFonts w:ascii="宋体"/>
                <w:kern w:val="0"/>
              </w:rPr>
            </w:pPr>
            <w:r>
              <w:rPr>
                <w:rFonts w:hint="eastAsia" w:ascii="宋体"/>
                <w:kern w:val="0"/>
              </w:rPr>
              <w:t>5-10万元</w:t>
            </w:r>
          </w:p>
        </w:tc>
        <w:tc>
          <w:tcPr>
            <w:tcW w:w="2835" w:type="dxa"/>
            <w:tcBorders>
              <w:top w:val="single" w:color="auto" w:sz="4" w:space="0"/>
              <w:left w:val="single" w:color="auto" w:sz="4" w:space="0"/>
              <w:bottom w:val="single" w:color="auto" w:sz="4" w:space="0"/>
              <w:right w:val="single" w:color="auto" w:sz="4" w:space="0"/>
            </w:tcBorders>
            <w:vAlign w:val="center"/>
          </w:tcPr>
          <w:p w14:paraId="0B7CB996">
            <w:pPr>
              <w:jc w:val="center"/>
              <w:rPr>
                <w:rFonts w:ascii="宋体"/>
                <w:kern w:val="0"/>
              </w:rPr>
            </w:pPr>
            <w:r>
              <w:rPr>
                <w:rFonts w:hint="eastAsia" w:ascii="宋体"/>
                <w:kern w:val="0"/>
              </w:rPr>
              <w:t>1-1.5万</w:t>
            </w:r>
          </w:p>
        </w:tc>
        <w:tc>
          <w:tcPr>
            <w:tcW w:w="2835" w:type="dxa"/>
            <w:tcBorders>
              <w:top w:val="single" w:color="auto" w:sz="4" w:space="0"/>
              <w:left w:val="single" w:color="auto" w:sz="4" w:space="0"/>
              <w:bottom w:val="single" w:color="auto" w:sz="4" w:space="0"/>
            </w:tcBorders>
            <w:vAlign w:val="center"/>
          </w:tcPr>
          <w:p w14:paraId="64BF48D2">
            <w:pPr>
              <w:jc w:val="center"/>
              <w:rPr>
                <w:rFonts w:ascii="宋体"/>
                <w:kern w:val="0"/>
              </w:rPr>
            </w:pPr>
            <w:r>
              <w:rPr>
                <w:rFonts w:hint="eastAsia" w:ascii="宋体"/>
                <w:kern w:val="0"/>
              </w:rPr>
              <w:t>6000元-1万</w:t>
            </w:r>
          </w:p>
        </w:tc>
      </w:tr>
      <w:tr w14:paraId="5478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0" w:hRule="atLeast"/>
        </w:trPr>
        <w:tc>
          <w:tcPr>
            <w:tcW w:w="864" w:type="dxa"/>
            <w:vMerge w:val="continue"/>
            <w:vAlign w:val="center"/>
          </w:tcPr>
          <w:p w14:paraId="33A4830F">
            <w:pPr>
              <w:jc w:val="left"/>
              <w:rPr>
                <w:rFonts w:ascii="宋体"/>
                <w:kern w:val="0"/>
              </w:rPr>
            </w:pPr>
          </w:p>
        </w:tc>
        <w:tc>
          <w:tcPr>
            <w:tcW w:w="1178" w:type="dxa"/>
            <w:vMerge w:val="continue"/>
            <w:vAlign w:val="center"/>
          </w:tcPr>
          <w:p w14:paraId="603DC7D2">
            <w:pPr>
              <w:jc w:val="left"/>
              <w:rPr>
                <w:rFonts w:ascii="宋体"/>
                <w:kern w:val="0"/>
              </w:rPr>
            </w:pPr>
          </w:p>
        </w:tc>
        <w:tc>
          <w:tcPr>
            <w:tcW w:w="1559" w:type="dxa"/>
            <w:vMerge w:val="continue"/>
            <w:vAlign w:val="center"/>
          </w:tcPr>
          <w:p w14:paraId="5F494CCB">
            <w:pPr>
              <w:jc w:val="left"/>
              <w:rPr>
                <w:rFonts w:ascii="宋体"/>
                <w:kern w:val="0"/>
              </w:rPr>
            </w:pPr>
          </w:p>
        </w:tc>
        <w:tc>
          <w:tcPr>
            <w:tcW w:w="992" w:type="dxa"/>
            <w:vMerge w:val="continue"/>
            <w:vAlign w:val="center"/>
          </w:tcPr>
          <w:p w14:paraId="72BCA874">
            <w:pPr>
              <w:jc w:val="center"/>
              <w:rPr>
                <w:rFonts w:ascii="宋体"/>
                <w:kern w:val="0"/>
              </w:rPr>
            </w:pPr>
          </w:p>
        </w:tc>
        <w:tc>
          <w:tcPr>
            <w:tcW w:w="3544" w:type="dxa"/>
            <w:tcBorders>
              <w:top w:val="single" w:color="auto" w:sz="4" w:space="0"/>
              <w:bottom w:val="single" w:color="auto" w:sz="4" w:space="0"/>
            </w:tcBorders>
            <w:vAlign w:val="center"/>
          </w:tcPr>
          <w:p w14:paraId="5FF6F842">
            <w:pPr>
              <w:jc w:val="left"/>
              <w:rPr>
                <w:rFonts w:ascii="宋体"/>
              </w:rPr>
            </w:pPr>
            <w:r>
              <w:rPr>
                <w:rFonts w:hint="eastAsia" w:ascii="宋体"/>
              </w:rPr>
              <w:t>1.未持有有效的证书两本以上；</w:t>
            </w:r>
          </w:p>
          <w:p w14:paraId="2F4E44B2">
            <w:pPr>
              <w:jc w:val="left"/>
              <w:rPr>
                <w:rFonts w:ascii="宋体"/>
              </w:rPr>
            </w:pPr>
            <w:r>
              <w:rPr>
                <w:rFonts w:hint="eastAsia" w:ascii="宋体"/>
                <w:kern w:val="0"/>
              </w:rPr>
              <w:t>2.具有其他较重情节的。</w:t>
            </w:r>
          </w:p>
        </w:tc>
        <w:tc>
          <w:tcPr>
            <w:tcW w:w="6946" w:type="dxa"/>
            <w:tcBorders>
              <w:top w:val="single" w:color="auto" w:sz="4" w:space="0"/>
              <w:bottom w:val="single" w:color="auto" w:sz="4" w:space="0"/>
              <w:right w:val="single" w:color="auto" w:sz="4" w:space="0"/>
            </w:tcBorders>
            <w:vAlign w:val="center"/>
          </w:tcPr>
          <w:p w14:paraId="6210CE90">
            <w:pPr>
              <w:jc w:val="center"/>
              <w:rPr>
                <w:rFonts w:ascii="宋体"/>
                <w:kern w:val="0"/>
              </w:rPr>
            </w:pPr>
            <w:r>
              <w:rPr>
                <w:rFonts w:hint="eastAsia" w:ascii="宋体"/>
                <w:kern w:val="0"/>
              </w:rPr>
              <w:t>10-15万元</w:t>
            </w:r>
          </w:p>
        </w:tc>
        <w:tc>
          <w:tcPr>
            <w:tcW w:w="2835" w:type="dxa"/>
            <w:tcBorders>
              <w:top w:val="single" w:color="auto" w:sz="4" w:space="0"/>
              <w:left w:val="single" w:color="auto" w:sz="4" w:space="0"/>
              <w:bottom w:val="single" w:color="auto" w:sz="4" w:space="0"/>
              <w:right w:val="single" w:color="auto" w:sz="4" w:space="0"/>
            </w:tcBorders>
            <w:vAlign w:val="center"/>
          </w:tcPr>
          <w:p w14:paraId="2CA64273">
            <w:pPr>
              <w:jc w:val="center"/>
              <w:rPr>
                <w:rFonts w:ascii="宋体"/>
                <w:kern w:val="0"/>
              </w:rPr>
            </w:pPr>
            <w:r>
              <w:rPr>
                <w:rFonts w:hint="eastAsia" w:ascii="宋体"/>
                <w:kern w:val="0"/>
              </w:rPr>
              <w:t>1.5-3万元</w:t>
            </w:r>
          </w:p>
        </w:tc>
        <w:tc>
          <w:tcPr>
            <w:tcW w:w="2835" w:type="dxa"/>
            <w:tcBorders>
              <w:top w:val="single" w:color="auto" w:sz="4" w:space="0"/>
              <w:left w:val="single" w:color="auto" w:sz="4" w:space="0"/>
            </w:tcBorders>
            <w:vAlign w:val="center"/>
          </w:tcPr>
          <w:p w14:paraId="54642E54">
            <w:pPr>
              <w:jc w:val="center"/>
              <w:rPr>
                <w:rFonts w:ascii="宋体"/>
                <w:kern w:val="0"/>
              </w:rPr>
            </w:pPr>
            <w:r>
              <w:rPr>
                <w:rFonts w:hint="eastAsia" w:ascii="宋体"/>
                <w:kern w:val="0"/>
              </w:rPr>
              <w:t>1-3万</w:t>
            </w:r>
          </w:p>
        </w:tc>
      </w:tr>
      <w:tr w14:paraId="0FCB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864" w:type="dxa"/>
            <w:vMerge w:val="continue"/>
            <w:vAlign w:val="center"/>
          </w:tcPr>
          <w:p w14:paraId="3E135951">
            <w:pPr>
              <w:jc w:val="left"/>
              <w:rPr>
                <w:rFonts w:ascii="宋体"/>
                <w:kern w:val="0"/>
              </w:rPr>
            </w:pPr>
          </w:p>
        </w:tc>
        <w:tc>
          <w:tcPr>
            <w:tcW w:w="1178" w:type="dxa"/>
            <w:vMerge w:val="continue"/>
            <w:vAlign w:val="center"/>
          </w:tcPr>
          <w:p w14:paraId="7D865FB3">
            <w:pPr>
              <w:jc w:val="left"/>
              <w:rPr>
                <w:rFonts w:ascii="宋体"/>
                <w:kern w:val="0"/>
              </w:rPr>
            </w:pPr>
          </w:p>
        </w:tc>
        <w:tc>
          <w:tcPr>
            <w:tcW w:w="1559" w:type="dxa"/>
            <w:vMerge w:val="continue"/>
            <w:vAlign w:val="center"/>
          </w:tcPr>
          <w:p w14:paraId="036EDD24">
            <w:pPr>
              <w:jc w:val="left"/>
              <w:rPr>
                <w:rFonts w:ascii="宋体"/>
                <w:kern w:val="0"/>
              </w:rPr>
            </w:pPr>
          </w:p>
        </w:tc>
        <w:tc>
          <w:tcPr>
            <w:tcW w:w="992" w:type="dxa"/>
            <w:vMerge w:val="restart"/>
            <w:tcBorders>
              <w:top w:val="single" w:color="auto" w:sz="4" w:space="0"/>
              <w:right w:val="single" w:color="auto" w:sz="4" w:space="0"/>
            </w:tcBorders>
            <w:vAlign w:val="center"/>
          </w:tcPr>
          <w:p w14:paraId="7D230130">
            <w:pPr>
              <w:jc w:val="center"/>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14:paraId="2C4C23C7">
            <w:pPr>
              <w:jc w:val="left"/>
              <w:rPr>
                <w:rFonts w:ascii="宋体"/>
                <w:kern w:val="0"/>
              </w:rPr>
            </w:pPr>
            <w:r>
              <w:rPr>
                <w:rFonts w:hint="eastAsia" w:ascii="宋体"/>
                <w:kern w:val="0"/>
              </w:rPr>
              <w:t>造成小事故或险情的。</w:t>
            </w:r>
          </w:p>
        </w:tc>
        <w:tc>
          <w:tcPr>
            <w:tcW w:w="6946" w:type="dxa"/>
            <w:tcBorders>
              <w:top w:val="single" w:color="auto" w:sz="4" w:space="0"/>
              <w:right w:val="single" w:color="auto" w:sz="4" w:space="0"/>
            </w:tcBorders>
            <w:vAlign w:val="center"/>
          </w:tcPr>
          <w:p w14:paraId="33098859">
            <w:pPr>
              <w:jc w:val="center"/>
              <w:rPr>
                <w:rFonts w:ascii="宋体"/>
                <w:kern w:val="0"/>
              </w:rPr>
            </w:pPr>
            <w:r>
              <w:rPr>
                <w:rFonts w:hint="eastAsia" w:ascii="宋体"/>
                <w:kern w:val="0"/>
              </w:rPr>
              <w:t>15-20万元</w:t>
            </w:r>
          </w:p>
        </w:tc>
        <w:tc>
          <w:tcPr>
            <w:tcW w:w="2835" w:type="dxa"/>
            <w:tcBorders>
              <w:top w:val="single" w:color="auto" w:sz="4" w:space="0"/>
              <w:left w:val="single" w:color="auto" w:sz="4" w:space="0"/>
              <w:right w:val="single" w:color="auto" w:sz="4" w:space="0"/>
            </w:tcBorders>
            <w:vAlign w:val="center"/>
          </w:tcPr>
          <w:p w14:paraId="25CC82CC">
            <w:pPr>
              <w:jc w:val="center"/>
              <w:rPr>
                <w:rFonts w:ascii="宋体"/>
                <w:kern w:val="0"/>
              </w:rPr>
            </w:pPr>
            <w:r>
              <w:rPr>
                <w:rFonts w:hint="eastAsia" w:ascii="宋体"/>
                <w:kern w:val="0"/>
              </w:rPr>
              <w:t>暂扣船员适任证书18个月至24个月</w:t>
            </w:r>
          </w:p>
        </w:tc>
        <w:tc>
          <w:tcPr>
            <w:tcW w:w="2835" w:type="dxa"/>
            <w:tcBorders>
              <w:left w:val="single" w:color="auto" w:sz="4" w:space="0"/>
            </w:tcBorders>
            <w:vAlign w:val="center"/>
          </w:tcPr>
          <w:p w14:paraId="45CB51FB">
            <w:pPr>
              <w:jc w:val="center"/>
              <w:rPr>
                <w:rFonts w:ascii="宋体"/>
                <w:kern w:val="0"/>
              </w:rPr>
            </w:pPr>
            <w:r>
              <w:rPr>
                <w:rFonts w:hint="eastAsia" w:ascii="宋体"/>
                <w:kern w:val="0"/>
              </w:rPr>
              <w:t>暂扣船员适任证书18个月至24个月</w:t>
            </w:r>
          </w:p>
        </w:tc>
      </w:tr>
      <w:tr w14:paraId="738CB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4" w:hRule="atLeast"/>
        </w:trPr>
        <w:tc>
          <w:tcPr>
            <w:tcW w:w="864" w:type="dxa"/>
            <w:vMerge w:val="continue"/>
            <w:vAlign w:val="center"/>
          </w:tcPr>
          <w:p w14:paraId="6F5EF903">
            <w:pPr>
              <w:jc w:val="left"/>
              <w:rPr>
                <w:rFonts w:ascii="宋体"/>
                <w:kern w:val="0"/>
              </w:rPr>
            </w:pPr>
          </w:p>
        </w:tc>
        <w:tc>
          <w:tcPr>
            <w:tcW w:w="1178" w:type="dxa"/>
            <w:vMerge w:val="continue"/>
            <w:vAlign w:val="center"/>
          </w:tcPr>
          <w:p w14:paraId="16250515">
            <w:pPr>
              <w:jc w:val="left"/>
              <w:rPr>
                <w:rFonts w:ascii="宋体"/>
                <w:kern w:val="0"/>
              </w:rPr>
            </w:pPr>
          </w:p>
        </w:tc>
        <w:tc>
          <w:tcPr>
            <w:tcW w:w="1559" w:type="dxa"/>
            <w:vMerge w:val="continue"/>
            <w:vAlign w:val="center"/>
          </w:tcPr>
          <w:p w14:paraId="6B168BD1">
            <w:pPr>
              <w:jc w:val="left"/>
              <w:rPr>
                <w:rFonts w:ascii="宋体"/>
                <w:kern w:val="0"/>
              </w:rPr>
            </w:pPr>
          </w:p>
        </w:tc>
        <w:tc>
          <w:tcPr>
            <w:tcW w:w="992" w:type="dxa"/>
            <w:vMerge w:val="continue"/>
            <w:tcBorders>
              <w:right w:val="single" w:color="auto" w:sz="4" w:space="0"/>
            </w:tcBorders>
            <w:vAlign w:val="center"/>
          </w:tcPr>
          <w:p w14:paraId="20D1CBA3">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14:paraId="5605CEA9">
            <w:pPr>
              <w:numPr>
                <w:ilvl w:val="0"/>
                <w:numId w:val="8"/>
              </w:numPr>
              <w:jc w:val="left"/>
              <w:rPr>
                <w:rFonts w:ascii="宋体"/>
                <w:kern w:val="0"/>
              </w:rPr>
            </w:pPr>
            <w:r>
              <w:rPr>
                <w:rFonts w:hint="eastAsia" w:ascii="宋体"/>
                <w:kern w:val="0"/>
              </w:rPr>
              <w:t>造成一般事故</w:t>
            </w:r>
          </w:p>
          <w:p w14:paraId="786EE0D3">
            <w:pPr>
              <w:jc w:val="left"/>
              <w:rPr>
                <w:rFonts w:ascii="宋体"/>
                <w:kern w:val="0"/>
              </w:rPr>
            </w:pPr>
            <w:r>
              <w:rPr>
                <w:rFonts w:hint="eastAsia" w:ascii="宋体"/>
                <w:kern w:val="0"/>
              </w:rPr>
              <w:t>2.持有涂改、伪造、变造证书、文书的；</w:t>
            </w:r>
          </w:p>
          <w:p w14:paraId="446AF3E8">
            <w:pPr>
              <w:jc w:val="left"/>
              <w:rPr>
                <w:rFonts w:ascii="宋体"/>
                <w:kern w:val="0"/>
              </w:rPr>
            </w:pPr>
            <w:r>
              <w:rPr>
                <w:rFonts w:hint="eastAsia" w:ascii="宋体"/>
                <w:kern w:val="0"/>
              </w:rPr>
              <w:t>3.具有其他严重情节的。</w:t>
            </w:r>
          </w:p>
        </w:tc>
        <w:tc>
          <w:tcPr>
            <w:tcW w:w="6946" w:type="dxa"/>
            <w:tcBorders>
              <w:top w:val="single" w:color="auto" w:sz="4" w:space="0"/>
              <w:right w:val="single" w:color="auto" w:sz="4" w:space="0"/>
            </w:tcBorders>
            <w:vAlign w:val="center"/>
          </w:tcPr>
          <w:p w14:paraId="3D026C99">
            <w:pPr>
              <w:jc w:val="center"/>
              <w:rPr>
                <w:rFonts w:ascii="宋体"/>
                <w:kern w:val="0"/>
              </w:rPr>
            </w:pPr>
            <w:r>
              <w:rPr>
                <w:rFonts w:hint="eastAsia" w:ascii="宋体"/>
                <w:kern w:val="0"/>
              </w:rPr>
              <w:t>20-25万元</w:t>
            </w:r>
          </w:p>
        </w:tc>
        <w:tc>
          <w:tcPr>
            <w:tcW w:w="2835" w:type="dxa"/>
            <w:tcBorders>
              <w:top w:val="single" w:color="auto" w:sz="4" w:space="0"/>
              <w:left w:val="single" w:color="auto" w:sz="4" w:space="0"/>
              <w:right w:val="single" w:color="auto" w:sz="4" w:space="0"/>
            </w:tcBorders>
            <w:vAlign w:val="center"/>
          </w:tcPr>
          <w:p w14:paraId="6D35D9AE">
            <w:pPr>
              <w:jc w:val="center"/>
              <w:rPr>
                <w:rFonts w:ascii="宋体"/>
                <w:kern w:val="0"/>
              </w:rPr>
            </w:pPr>
            <w:r>
              <w:rPr>
                <w:rFonts w:hint="eastAsia" w:ascii="宋体"/>
                <w:kern w:val="0"/>
              </w:rPr>
              <w:t>暂扣船员适任证书24个月至30个月</w:t>
            </w:r>
          </w:p>
        </w:tc>
        <w:tc>
          <w:tcPr>
            <w:tcW w:w="2835" w:type="dxa"/>
            <w:tcBorders>
              <w:left w:val="single" w:color="auto" w:sz="4" w:space="0"/>
            </w:tcBorders>
            <w:vAlign w:val="center"/>
          </w:tcPr>
          <w:p w14:paraId="2E984ACE">
            <w:pPr>
              <w:jc w:val="center"/>
              <w:rPr>
                <w:rFonts w:ascii="宋体"/>
                <w:kern w:val="0"/>
              </w:rPr>
            </w:pPr>
            <w:r>
              <w:rPr>
                <w:rFonts w:hint="eastAsia" w:ascii="宋体"/>
                <w:kern w:val="0"/>
              </w:rPr>
              <w:t>暂扣船员适任证书24个月至30个月</w:t>
            </w:r>
          </w:p>
        </w:tc>
      </w:tr>
      <w:tr w14:paraId="0513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50" w:hRule="atLeast"/>
        </w:trPr>
        <w:tc>
          <w:tcPr>
            <w:tcW w:w="864" w:type="dxa"/>
            <w:vMerge w:val="continue"/>
            <w:vAlign w:val="center"/>
          </w:tcPr>
          <w:p w14:paraId="5415F91E">
            <w:pPr>
              <w:jc w:val="left"/>
              <w:rPr>
                <w:rFonts w:ascii="宋体"/>
                <w:kern w:val="0"/>
              </w:rPr>
            </w:pPr>
          </w:p>
        </w:tc>
        <w:tc>
          <w:tcPr>
            <w:tcW w:w="1178" w:type="dxa"/>
            <w:vMerge w:val="continue"/>
            <w:vAlign w:val="center"/>
          </w:tcPr>
          <w:p w14:paraId="233BCD1A">
            <w:pPr>
              <w:jc w:val="left"/>
              <w:rPr>
                <w:rFonts w:ascii="宋体"/>
                <w:kern w:val="0"/>
              </w:rPr>
            </w:pPr>
          </w:p>
        </w:tc>
        <w:tc>
          <w:tcPr>
            <w:tcW w:w="1559" w:type="dxa"/>
            <w:vMerge w:val="continue"/>
            <w:vAlign w:val="center"/>
          </w:tcPr>
          <w:p w14:paraId="676ADA35">
            <w:pPr>
              <w:jc w:val="left"/>
              <w:rPr>
                <w:rFonts w:ascii="宋体"/>
                <w:kern w:val="0"/>
              </w:rPr>
            </w:pPr>
          </w:p>
        </w:tc>
        <w:tc>
          <w:tcPr>
            <w:tcW w:w="992" w:type="dxa"/>
            <w:vMerge w:val="continue"/>
            <w:tcBorders>
              <w:right w:val="single" w:color="auto" w:sz="4" w:space="0"/>
            </w:tcBorders>
            <w:vAlign w:val="center"/>
          </w:tcPr>
          <w:p w14:paraId="79DF30E2">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14:paraId="117EF535">
            <w:pPr>
              <w:jc w:val="left"/>
              <w:rPr>
                <w:rFonts w:ascii="宋体"/>
                <w:kern w:val="0"/>
              </w:rPr>
            </w:pPr>
            <w:r>
              <w:rPr>
                <w:rFonts w:hint="eastAsia" w:ascii="宋体"/>
                <w:kern w:val="0"/>
              </w:rPr>
              <w:t>造成较大等级以上事故</w:t>
            </w:r>
          </w:p>
        </w:tc>
        <w:tc>
          <w:tcPr>
            <w:tcW w:w="6946" w:type="dxa"/>
            <w:tcBorders>
              <w:top w:val="single" w:color="auto" w:sz="4" w:space="0"/>
              <w:right w:val="single" w:color="auto" w:sz="4" w:space="0"/>
            </w:tcBorders>
            <w:vAlign w:val="center"/>
          </w:tcPr>
          <w:p w14:paraId="183D180B">
            <w:pPr>
              <w:jc w:val="center"/>
              <w:rPr>
                <w:rFonts w:ascii="宋体"/>
                <w:kern w:val="0"/>
              </w:rPr>
            </w:pPr>
            <w:r>
              <w:rPr>
                <w:rFonts w:hint="eastAsia" w:ascii="宋体"/>
                <w:kern w:val="0"/>
              </w:rPr>
              <w:t>25-30万元</w:t>
            </w:r>
          </w:p>
        </w:tc>
        <w:tc>
          <w:tcPr>
            <w:tcW w:w="2835" w:type="dxa"/>
            <w:tcBorders>
              <w:top w:val="single" w:color="auto" w:sz="4" w:space="0"/>
              <w:left w:val="single" w:color="auto" w:sz="4" w:space="0"/>
              <w:right w:val="single" w:color="auto" w:sz="4" w:space="0"/>
            </w:tcBorders>
            <w:vAlign w:val="center"/>
          </w:tcPr>
          <w:p w14:paraId="05C859C2">
            <w:pPr>
              <w:jc w:val="center"/>
              <w:rPr>
                <w:rFonts w:ascii="宋体"/>
                <w:kern w:val="0"/>
              </w:rPr>
            </w:pPr>
            <w:r>
              <w:rPr>
                <w:rFonts w:hint="eastAsia" w:ascii="宋体"/>
                <w:kern w:val="0"/>
              </w:rPr>
              <w:t>吊销船员适任证书</w:t>
            </w:r>
          </w:p>
        </w:tc>
        <w:tc>
          <w:tcPr>
            <w:tcW w:w="2835" w:type="dxa"/>
            <w:tcBorders>
              <w:left w:val="single" w:color="auto" w:sz="4" w:space="0"/>
            </w:tcBorders>
            <w:vAlign w:val="center"/>
          </w:tcPr>
          <w:p w14:paraId="3CBC4596">
            <w:pPr>
              <w:jc w:val="center"/>
              <w:rPr>
                <w:rFonts w:ascii="宋体"/>
                <w:kern w:val="0"/>
              </w:rPr>
            </w:pPr>
            <w:r>
              <w:rPr>
                <w:rFonts w:hint="eastAsia" w:ascii="宋体"/>
                <w:kern w:val="0"/>
              </w:rPr>
              <w:t>吊销船员适任证书</w:t>
            </w:r>
          </w:p>
        </w:tc>
      </w:tr>
      <w:tr w14:paraId="3E3D2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55" w:hRule="atLeast"/>
        </w:trPr>
        <w:tc>
          <w:tcPr>
            <w:tcW w:w="864" w:type="dxa"/>
            <w:vMerge w:val="continue"/>
            <w:vAlign w:val="center"/>
          </w:tcPr>
          <w:p w14:paraId="011F20E4">
            <w:pPr>
              <w:jc w:val="left"/>
              <w:rPr>
                <w:rFonts w:ascii="宋体"/>
                <w:kern w:val="0"/>
              </w:rPr>
            </w:pPr>
          </w:p>
        </w:tc>
        <w:tc>
          <w:tcPr>
            <w:tcW w:w="1178" w:type="dxa"/>
            <w:vMerge w:val="continue"/>
            <w:vAlign w:val="center"/>
          </w:tcPr>
          <w:p w14:paraId="2BD03310">
            <w:pPr>
              <w:jc w:val="left"/>
              <w:rPr>
                <w:rFonts w:ascii="宋体"/>
                <w:kern w:val="0"/>
              </w:rPr>
            </w:pPr>
          </w:p>
        </w:tc>
        <w:tc>
          <w:tcPr>
            <w:tcW w:w="1559" w:type="dxa"/>
            <w:vMerge w:val="continue"/>
            <w:vAlign w:val="center"/>
          </w:tcPr>
          <w:p w14:paraId="2EC0E4C8">
            <w:pPr>
              <w:jc w:val="left"/>
              <w:rPr>
                <w:rFonts w:ascii="宋体"/>
                <w:kern w:val="0"/>
              </w:rPr>
            </w:pPr>
          </w:p>
        </w:tc>
        <w:tc>
          <w:tcPr>
            <w:tcW w:w="992" w:type="dxa"/>
            <w:vMerge w:val="continue"/>
            <w:tcBorders>
              <w:right w:val="single" w:color="auto" w:sz="4" w:space="0"/>
            </w:tcBorders>
            <w:vAlign w:val="center"/>
          </w:tcPr>
          <w:p w14:paraId="4E9EF620">
            <w:pPr>
              <w:jc w:val="left"/>
              <w:rPr>
                <w:rFonts w:ascii="宋体"/>
                <w:kern w:val="0"/>
              </w:rPr>
            </w:pPr>
          </w:p>
        </w:tc>
        <w:tc>
          <w:tcPr>
            <w:tcW w:w="3544" w:type="dxa"/>
            <w:tcBorders>
              <w:top w:val="single" w:color="auto" w:sz="4" w:space="0"/>
              <w:left w:val="single" w:color="auto" w:sz="4" w:space="0"/>
              <w:bottom w:val="single" w:color="auto" w:sz="4" w:space="0"/>
            </w:tcBorders>
            <w:vAlign w:val="center"/>
          </w:tcPr>
          <w:p w14:paraId="51FB2A1B">
            <w:pPr>
              <w:jc w:val="left"/>
              <w:rPr>
                <w:rFonts w:ascii="宋体"/>
                <w:kern w:val="0"/>
              </w:rPr>
            </w:pPr>
            <w:r>
              <w:rPr>
                <w:rFonts w:hint="eastAsia" w:ascii="宋体"/>
              </w:rPr>
              <w:t>船舶存在严重安全隐患</w:t>
            </w:r>
          </w:p>
        </w:tc>
        <w:tc>
          <w:tcPr>
            <w:tcW w:w="6946" w:type="dxa"/>
            <w:vAlign w:val="center"/>
          </w:tcPr>
          <w:p w14:paraId="685E0C7E">
            <w:pPr>
              <w:jc w:val="center"/>
              <w:rPr>
                <w:rFonts w:ascii="宋体"/>
                <w:kern w:val="0"/>
              </w:rPr>
            </w:pPr>
            <w:r>
              <w:rPr>
                <w:rFonts w:hint="eastAsia" w:ascii="宋体"/>
                <w:kern w:val="0"/>
              </w:rPr>
              <w:t>可以</w:t>
            </w:r>
            <w:r>
              <w:rPr>
                <w:rFonts w:hint="eastAsia" w:ascii="宋体"/>
              </w:rPr>
              <w:t>依法没收船舶</w:t>
            </w:r>
          </w:p>
        </w:tc>
        <w:tc>
          <w:tcPr>
            <w:tcW w:w="2835" w:type="dxa"/>
            <w:vAlign w:val="center"/>
          </w:tcPr>
          <w:p w14:paraId="7AE0F6A6">
            <w:pPr>
              <w:jc w:val="center"/>
              <w:rPr>
                <w:rFonts w:ascii="宋体"/>
                <w:kern w:val="0"/>
              </w:rPr>
            </w:pPr>
            <w:r>
              <w:rPr>
                <w:rFonts w:hint="eastAsia" w:ascii="宋体"/>
                <w:kern w:val="0"/>
              </w:rPr>
              <w:t>吊销船员适任证书</w:t>
            </w:r>
          </w:p>
        </w:tc>
        <w:tc>
          <w:tcPr>
            <w:tcW w:w="2835" w:type="dxa"/>
            <w:vAlign w:val="center"/>
          </w:tcPr>
          <w:p w14:paraId="4A86226C">
            <w:pPr>
              <w:jc w:val="center"/>
              <w:rPr>
                <w:rFonts w:ascii="宋体"/>
                <w:kern w:val="0"/>
              </w:rPr>
            </w:pPr>
            <w:r>
              <w:rPr>
                <w:rFonts w:hint="eastAsia" w:ascii="宋体"/>
                <w:kern w:val="0"/>
              </w:rPr>
              <w:t>吊销船员适任证书</w:t>
            </w:r>
          </w:p>
        </w:tc>
      </w:tr>
    </w:tbl>
    <w:p w14:paraId="04540557">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98"/>
        <w:gridCol w:w="1527"/>
        <w:gridCol w:w="1327"/>
        <w:gridCol w:w="1053"/>
        <w:gridCol w:w="3432"/>
        <w:gridCol w:w="6662"/>
        <w:gridCol w:w="2268"/>
        <w:gridCol w:w="2977"/>
      </w:tblGrid>
      <w:tr w14:paraId="1D4D9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798" w:type="dxa"/>
            <w:vMerge w:val="restart"/>
            <w:vAlign w:val="center"/>
          </w:tcPr>
          <w:p w14:paraId="1462D9D3">
            <w:pPr>
              <w:jc w:val="left"/>
              <w:rPr>
                <w:rFonts w:ascii="宋体"/>
                <w:b/>
                <w:kern w:val="0"/>
              </w:rPr>
            </w:pPr>
            <w:r>
              <w:rPr>
                <w:rFonts w:hint="eastAsia" w:ascii="宋体"/>
                <w:b/>
                <w:kern w:val="0"/>
              </w:rPr>
              <w:t>案由39</w:t>
            </w:r>
          </w:p>
        </w:tc>
        <w:tc>
          <w:tcPr>
            <w:tcW w:w="2854" w:type="dxa"/>
            <w:gridSpan w:val="2"/>
            <w:vAlign w:val="center"/>
          </w:tcPr>
          <w:p w14:paraId="5053AFD8">
            <w:pPr>
              <w:jc w:val="center"/>
              <w:rPr>
                <w:rFonts w:ascii="宋体"/>
                <w:b/>
                <w:kern w:val="0"/>
              </w:rPr>
            </w:pPr>
            <w:r>
              <w:rPr>
                <w:rFonts w:hint="eastAsia" w:ascii="宋体"/>
                <w:b/>
                <w:kern w:val="0"/>
              </w:rPr>
              <w:t>法律依据</w:t>
            </w:r>
          </w:p>
        </w:tc>
        <w:tc>
          <w:tcPr>
            <w:tcW w:w="1053" w:type="dxa"/>
            <w:vMerge w:val="restart"/>
            <w:vAlign w:val="center"/>
          </w:tcPr>
          <w:p w14:paraId="2FD83EA8">
            <w:pPr>
              <w:jc w:val="center"/>
              <w:rPr>
                <w:rFonts w:ascii="宋体"/>
                <w:b/>
                <w:kern w:val="0"/>
              </w:rPr>
            </w:pPr>
            <w:r>
              <w:rPr>
                <w:rFonts w:hint="eastAsia" w:ascii="宋体"/>
                <w:b/>
                <w:kern w:val="0"/>
              </w:rPr>
              <w:t>违法情节</w:t>
            </w:r>
          </w:p>
        </w:tc>
        <w:tc>
          <w:tcPr>
            <w:tcW w:w="3432" w:type="dxa"/>
            <w:vMerge w:val="restart"/>
            <w:vAlign w:val="center"/>
          </w:tcPr>
          <w:p w14:paraId="58126C5B">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14:paraId="0C9124EB">
            <w:pPr>
              <w:jc w:val="left"/>
              <w:rPr>
                <w:rFonts w:ascii="宋体"/>
                <w:b/>
                <w:kern w:val="0"/>
              </w:rPr>
            </w:pPr>
            <w:r>
              <w:rPr>
                <w:rFonts w:hint="eastAsia" w:ascii="宋体"/>
                <w:b/>
                <w:kern w:val="0"/>
              </w:rPr>
              <w:t>【法定幅度和种类】</w:t>
            </w:r>
            <w:r>
              <w:rPr>
                <w:rFonts w:hint="eastAsia" w:ascii="宋体"/>
                <w:bCs/>
                <w:kern w:val="0"/>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14:paraId="1748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798" w:type="dxa"/>
            <w:vMerge w:val="continue"/>
            <w:tcBorders>
              <w:bottom w:val="single" w:color="000000" w:sz="4" w:space="0"/>
            </w:tcBorders>
            <w:vAlign w:val="center"/>
          </w:tcPr>
          <w:p w14:paraId="09394D6D">
            <w:pPr>
              <w:jc w:val="left"/>
              <w:rPr>
                <w:rFonts w:ascii="宋体"/>
                <w:b/>
                <w:kern w:val="0"/>
              </w:rPr>
            </w:pPr>
          </w:p>
        </w:tc>
        <w:tc>
          <w:tcPr>
            <w:tcW w:w="1527" w:type="dxa"/>
            <w:tcBorders>
              <w:bottom w:val="single" w:color="000000" w:sz="4" w:space="0"/>
            </w:tcBorders>
            <w:vAlign w:val="center"/>
          </w:tcPr>
          <w:p w14:paraId="692FAD20">
            <w:pPr>
              <w:jc w:val="center"/>
              <w:rPr>
                <w:rFonts w:ascii="宋体"/>
                <w:b/>
                <w:kern w:val="0"/>
              </w:rPr>
            </w:pPr>
            <w:r>
              <w:rPr>
                <w:rFonts w:hint="eastAsia" w:ascii="宋体"/>
                <w:b/>
                <w:kern w:val="0"/>
              </w:rPr>
              <w:t>违反条款</w:t>
            </w:r>
          </w:p>
        </w:tc>
        <w:tc>
          <w:tcPr>
            <w:tcW w:w="1327" w:type="dxa"/>
            <w:tcBorders>
              <w:bottom w:val="single" w:color="000000" w:sz="4" w:space="0"/>
            </w:tcBorders>
            <w:vAlign w:val="center"/>
          </w:tcPr>
          <w:p w14:paraId="0672114B">
            <w:pPr>
              <w:jc w:val="center"/>
              <w:rPr>
                <w:rFonts w:ascii="宋体"/>
                <w:b/>
                <w:kern w:val="0"/>
              </w:rPr>
            </w:pPr>
            <w:r>
              <w:rPr>
                <w:rFonts w:hint="eastAsia" w:ascii="宋体"/>
                <w:b/>
                <w:kern w:val="0"/>
              </w:rPr>
              <w:t>处罚依据</w:t>
            </w:r>
          </w:p>
        </w:tc>
        <w:tc>
          <w:tcPr>
            <w:tcW w:w="1053" w:type="dxa"/>
            <w:vMerge w:val="continue"/>
            <w:tcBorders>
              <w:bottom w:val="single" w:color="000000" w:sz="4" w:space="0"/>
            </w:tcBorders>
            <w:vAlign w:val="center"/>
          </w:tcPr>
          <w:p w14:paraId="059CFB1C">
            <w:pPr>
              <w:jc w:val="center"/>
              <w:rPr>
                <w:rFonts w:ascii="宋体"/>
                <w:b/>
                <w:kern w:val="0"/>
              </w:rPr>
            </w:pPr>
          </w:p>
        </w:tc>
        <w:tc>
          <w:tcPr>
            <w:tcW w:w="3432" w:type="dxa"/>
            <w:vMerge w:val="continue"/>
            <w:tcBorders>
              <w:bottom w:val="single" w:color="000000" w:sz="4" w:space="0"/>
            </w:tcBorders>
            <w:vAlign w:val="center"/>
          </w:tcPr>
          <w:p w14:paraId="403A9710">
            <w:pPr>
              <w:jc w:val="left"/>
              <w:rPr>
                <w:rFonts w:ascii="宋体"/>
                <w:b/>
                <w:kern w:val="0"/>
              </w:rPr>
            </w:pPr>
          </w:p>
        </w:tc>
        <w:tc>
          <w:tcPr>
            <w:tcW w:w="6662" w:type="dxa"/>
            <w:tcBorders>
              <w:top w:val="single" w:color="auto" w:sz="4" w:space="0"/>
              <w:right w:val="single" w:color="auto" w:sz="4" w:space="0"/>
            </w:tcBorders>
            <w:vAlign w:val="center"/>
          </w:tcPr>
          <w:p w14:paraId="1960D45B">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14:paraId="721E8065">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14:paraId="2F862759">
            <w:pPr>
              <w:jc w:val="center"/>
              <w:rPr>
                <w:rFonts w:ascii="宋体"/>
                <w:b/>
                <w:kern w:val="0"/>
              </w:rPr>
            </w:pPr>
            <w:r>
              <w:rPr>
                <w:rFonts w:hint="eastAsia" w:ascii="宋体"/>
                <w:b/>
                <w:kern w:val="0"/>
              </w:rPr>
              <w:t>【对象】责任人员</w:t>
            </w:r>
          </w:p>
        </w:tc>
      </w:tr>
      <w:tr w14:paraId="0E812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798" w:type="dxa"/>
            <w:vMerge w:val="restart"/>
            <w:vAlign w:val="center"/>
          </w:tcPr>
          <w:p w14:paraId="7C93005E">
            <w:pPr>
              <w:widowControl/>
              <w:jc w:val="left"/>
              <w:rPr>
                <w:rFonts w:ascii="宋体"/>
                <w:kern w:val="0"/>
              </w:rPr>
            </w:pPr>
            <w:r>
              <w:rPr>
                <w:rFonts w:hint="eastAsia" w:ascii="宋体"/>
                <w:kern w:val="0"/>
              </w:rPr>
              <w:t>船舶、海上设施的实际状况与持有的证书、文书不符</w:t>
            </w:r>
          </w:p>
        </w:tc>
        <w:tc>
          <w:tcPr>
            <w:tcW w:w="1527" w:type="dxa"/>
            <w:vMerge w:val="restart"/>
            <w:vAlign w:val="center"/>
          </w:tcPr>
          <w:p w14:paraId="6ABC5630">
            <w:pPr>
              <w:widowControl/>
              <w:rPr>
                <w:rFonts w:ascii="宋体"/>
                <w:kern w:val="0"/>
              </w:rPr>
            </w:pPr>
            <w:r>
              <w:rPr>
                <w:rFonts w:hint="eastAsia" w:ascii="宋体"/>
                <w:kern w:val="0"/>
              </w:rPr>
              <w:t>1.《中华人民共和国海上交通安全法》第九条第三款；</w:t>
            </w:r>
          </w:p>
          <w:p w14:paraId="01196612">
            <w:pPr>
              <w:widowControl/>
              <w:rPr>
                <w:rFonts w:ascii="宋体"/>
                <w:kern w:val="0"/>
              </w:rPr>
            </w:pPr>
            <w:r>
              <w:rPr>
                <w:rFonts w:hint="eastAsia" w:ascii="宋体"/>
                <w:kern w:val="0"/>
              </w:rPr>
              <w:t>2.《中华人民共和国船舶和海上设施检验条例》《船舶检验管理规定》等；</w:t>
            </w:r>
          </w:p>
          <w:p w14:paraId="1C919150">
            <w:pPr>
              <w:widowControl/>
              <w:rPr>
                <w:rFonts w:ascii="宋体"/>
              </w:rPr>
            </w:pPr>
            <w:r>
              <w:rPr>
                <w:rFonts w:hint="eastAsia" w:ascii="宋体"/>
                <w:kern w:val="0"/>
              </w:rPr>
              <w:t>3.其他法律、法规、规章等。</w:t>
            </w:r>
          </w:p>
        </w:tc>
        <w:tc>
          <w:tcPr>
            <w:tcW w:w="1327" w:type="dxa"/>
            <w:vMerge w:val="restart"/>
            <w:vAlign w:val="center"/>
          </w:tcPr>
          <w:p w14:paraId="5E4E0F5F">
            <w:pPr>
              <w:jc w:val="left"/>
              <w:rPr>
                <w:rFonts w:ascii="宋体"/>
                <w:kern w:val="0"/>
              </w:rPr>
            </w:pPr>
            <w:r>
              <w:rPr>
                <w:rFonts w:hint="eastAsia" w:ascii="宋体"/>
                <w:kern w:val="0"/>
              </w:rPr>
              <w:t>1.《中华人民共和国海上交通安全法》第九十六条第（一）项、《中华人民共和国海上海事行政处罚规定》第十一条第（一）项；</w:t>
            </w:r>
          </w:p>
          <w:p w14:paraId="094F19AE">
            <w:pPr>
              <w:jc w:val="left"/>
              <w:rPr>
                <w:rFonts w:ascii="宋体"/>
                <w:kern w:val="0"/>
              </w:rPr>
            </w:pPr>
            <w:r>
              <w:rPr>
                <w:rFonts w:hint="eastAsia" w:ascii="宋体"/>
                <w:kern w:val="0"/>
              </w:rPr>
              <w:t>2. 《中华人民共和国海上海事行政处罚规定》第七条。</w:t>
            </w:r>
          </w:p>
        </w:tc>
        <w:tc>
          <w:tcPr>
            <w:tcW w:w="1053" w:type="dxa"/>
            <w:vAlign w:val="center"/>
          </w:tcPr>
          <w:p w14:paraId="51158BF0">
            <w:pPr>
              <w:jc w:val="center"/>
              <w:rPr>
                <w:rFonts w:ascii="宋体"/>
                <w:kern w:val="0"/>
              </w:rPr>
            </w:pPr>
            <w:r>
              <w:rPr>
                <w:rFonts w:hint="eastAsia" w:ascii="宋体"/>
                <w:kern w:val="0"/>
              </w:rPr>
              <w:t>从轻</w:t>
            </w:r>
          </w:p>
        </w:tc>
        <w:tc>
          <w:tcPr>
            <w:tcW w:w="3432" w:type="dxa"/>
            <w:vAlign w:val="center"/>
          </w:tcPr>
          <w:p w14:paraId="54796B67">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14:paraId="4E686147">
            <w:pPr>
              <w:jc w:val="center"/>
              <w:rPr>
                <w:rFonts w:ascii="宋体"/>
                <w:kern w:val="0"/>
              </w:rPr>
            </w:pPr>
            <w:r>
              <w:rPr>
                <w:rFonts w:hint="eastAsia" w:ascii="宋体"/>
                <w:kern w:val="0"/>
              </w:rPr>
              <w:t>2-4万元</w:t>
            </w:r>
          </w:p>
        </w:tc>
        <w:tc>
          <w:tcPr>
            <w:tcW w:w="2268" w:type="dxa"/>
            <w:tcBorders>
              <w:left w:val="single" w:color="auto" w:sz="4" w:space="0"/>
              <w:bottom w:val="single" w:color="auto" w:sz="4" w:space="0"/>
              <w:right w:val="single" w:color="auto" w:sz="4" w:space="0"/>
            </w:tcBorders>
            <w:vAlign w:val="center"/>
          </w:tcPr>
          <w:p w14:paraId="5D1B1056">
            <w:pPr>
              <w:jc w:val="center"/>
              <w:rPr>
                <w:rFonts w:ascii="宋体"/>
                <w:kern w:val="0"/>
              </w:rPr>
            </w:pPr>
            <w:r>
              <w:rPr>
                <w:rFonts w:hint="eastAsia" w:ascii="宋体"/>
                <w:kern w:val="0"/>
              </w:rPr>
              <w:t>2000-4000元</w:t>
            </w:r>
          </w:p>
        </w:tc>
        <w:tc>
          <w:tcPr>
            <w:tcW w:w="2977" w:type="dxa"/>
            <w:tcBorders>
              <w:left w:val="single" w:color="auto" w:sz="4" w:space="0"/>
              <w:bottom w:val="single" w:color="auto" w:sz="4" w:space="0"/>
            </w:tcBorders>
            <w:vAlign w:val="center"/>
          </w:tcPr>
          <w:p w14:paraId="3715A3D6">
            <w:pPr>
              <w:jc w:val="center"/>
              <w:rPr>
                <w:rFonts w:ascii="宋体"/>
                <w:kern w:val="0"/>
              </w:rPr>
            </w:pPr>
            <w:r>
              <w:rPr>
                <w:rFonts w:hint="eastAsia" w:ascii="宋体"/>
                <w:kern w:val="0"/>
              </w:rPr>
              <w:t>2000-3000元</w:t>
            </w:r>
          </w:p>
        </w:tc>
      </w:tr>
      <w:tr w14:paraId="3D5B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4" w:hRule="atLeast"/>
        </w:trPr>
        <w:tc>
          <w:tcPr>
            <w:tcW w:w="798" w:type="dxa"/>
            <w:vMerge w:val="continue"/>
            <w:vAlign w:val="center"/>
          </w:tcPr>
          <w:p w14:paraId="4172D7DD">
            <w:pPr>
              <w:jc w:val="left"/>
              <w:rPr>
                <w:rFonts w:ascii="宋体"/>
                <w:kern w:val="0"/>
              </w:rPr>
            </w:pPr>
          </w:p>
        </w:tc>
        <w:tc>
          <w:tcPr>
            <w:tcW w:w="1527" w:type="dxa"/>
            <w:vMerge w:val="continue"/>
            <w:vAlign w:val="center"/>
          </w:tcPr>
          <w:p w14:paraId="52031E48">
            <w:pPr>
              <w:widowControl/>
              <w:jc w:val="left"/>
              <w:rPr>
                <w:rFonts w:ascii="宋体"/>
                <w:kern w:val="0"/>
              </w:rPr>
            </w:pPr>
          </w:p>
        </w:tc>
        <w:tc>
          <w:tcPr>
            <w:tcW w:w="1327" w:type="dxa"/>
            <w:vMerge w:val="continue"/>
            <w:vAlign w:val="center"/>
          </w:tcPr>
          <w:p w14:paraId="3A1C9D7E">
            <w:pPr>
              <w:jc w:val="left"/>
              <w:rPr>
                <w:rFonts w:ascii="宋体"/>
                <w:kern w:val="0"/>
              </w:rPr>
            </w:pPr>
          </w:p>
        </w:tc>
        <w:tc>
          <w:tcPr>
            <w:tcW w:w="1053" w:type="dxa"/>
            <w:vMerge w:val="restart"/>
            <w:vAlign w:val="center"/>
          </w:tcPr>
          <w:p w14:paraId="794CF365">
            <w:pPr>
              <w:jc w:val="center"/>
              <w:rPr>
                <w:rFonts w:ascii="宋体"/>
                <w:kern w:val="0"/>
              </w:rPr>
            </w:pPr>
            <w:r>
              <w:rPr>
                <w:rFonts w:hint="eastAsia" w:ascii="宋体"/>
                <w:kern w:val="0"/>
              </w:rPr>
              <w:t>一般</w:t>
            </w:r>
          </w:p>
        </w:tc>
        <w:tc>
          <w:tcPr>
            <w:tcW w:w="3432" w:type="dxa"/>
            <w:vAlign w:val="center"/>
          </w:tcPr>
          <w:p w14:paraId="076A3A33">
            <w:pPr>
              <w:pStyle w:val="13"/>
              <w:jc w:val="left"/>
              <w:rPr>
                <w:rFonts w:ascii="宋体"/>
                <w:bCs/>
              </w:rPr>
            </w:pPr>
            <w:r>
              <w:rPr>
                <w:rFonts w:hint="eastAsia" w:ascii="宋体"/>
                <w:bCs/>
              </w:rPr>
              <w:t>普通设施的实际状况与持有的证书、文书不符</w:t>
            </w:r>
          </w:p>
        </w:tc>
        <w:tc>
          <w:tcPr>
            <w:tcW w:w="6662" w:type="dxa"/>
            <w:tcBorders>
              <w:bottom w:val="single" w:color="auto" w:sz="4" w:space="0"/>
              <w:right w:val="single" w:color="auto" w:sz="4" w:space="0"/>
            </w:tcBorders>
            <w:vAlign w:val="center"/>
          </w:tcPr>
          <w:p w14:paraId="43B4EDDA">
            <w:pPr>
              <w:jc w:val="center"/>
              <w:rPr>
                <w:rFonts w:ascii="宋体"/>
                <w:kern w:val="0"/>
              </w:rPr>
            </w:pPr>
            <w:r>
              <w:rPr>
                <w:rFonts w:hint="eastAsia" w:ascii="宋体"/>
                <w:kern w:val="0"/>
              </w:rPr>
              <w:t>4-8万元</w:t>
            </w:r>
          </w:p>
        </w:tc>
        <w:tc>
          <w:tcPr>
            <w:tcW w:w="2268" w:type="dxa"/>
            <w:tcBorders>
              <w:top w:val="single" w:color="auto" w:sz="4" w:space="0"/>
              <w:left w:val="single" w:color="auto" w:sz="4" w:space="0"/>
              <w:bottom w:val="single" w:color="auto" w:sz="4" w:space="0"/>
              <w:right w:val="single" w:color="auto" w:sz="4" w:space="0"/>
            </w:tcBorders>
            <w:vAlign w:val="center"/>
          </w:tcPr>
          <w:p w14:paraId="15DE5D3D">
            <w:pPr>
              <w:jc w:val="center"/>
              <w:rPr>
                <w:rFonts w:ascii="宋体"/>
                <w:kern w:val="0"/>
              </w:rPr>
            </w:pPr>
            <w:r>
              <w:rPr>
                <w:rFonts w:hint="eastAsia" w:ascii="宋体"/>
                <w:kern w:val="0"/>
              </w:rPr>
              <w:t>4000-8000元</w:t>
            </w:r>
          </w:p>
        </w:tc>
        <w:tc>
          <w:tcPr>
            <w:tcW w:w="2977" w:type="dxa"/>
            <w:tcBorders>
              <w:top w:val="single" w:color="auto" w:sz="4" w:space="0"/>
              <w:left w:val="single" w:color="auto" w:sz="4" w:space="0"/>
              <w:bottom w:val="single" w:color="auto" w:sz="4" w:space="0"/>
            </w:tcBorders>
            <w:vAlign w:val="center"/>
          </w:tcPr>
          <w:p w14:paraId="3D1ED7FD">
            <w:pPr>
              <w:jc w:val="center"/>
              <w:rPr>
                <w:rFonts w:ascii="宋体"/>
                <w:kern w:val="0"/>
              </w:rPr>
            </w:pPr>
            <w:r>
              <w:rPr>
                <w:rFonts w:hint="eastAsia" w:ascii="宋体"/>
                <w:kern w:val="0"/>
              </w:rPr>
              <w:t>3000-6000元</w:t>
            </w:r>
          </w:p>
        </w:tc>
      </w:tr>
      <w:tr w14:paraId="6A2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9" w:hRule="atLeast"/>
        </w:trPr>
        <w:tc>
          <w:tcPr>
            <w:tcW w:w="798" w:type="dxa"/>
            <w:vMerge w:val="continue"/>
            <w:vAlign w:val="center"/>
          </w:tcPr>
          <w:p w14:paraId="60BA7DCD">
            <w:pPr>
              <w:jc w:val="left"/>
              <w:rPr>
                <w:rFonts w:ascii="宋体"/>
                <w:kern w:val="0"/>
              </w:rPr>
            </w:pPr>
          </w:p>
        </w:tc>
        <w:tc>
          <w:tcPr>
            <w:tcW w:w="1527" w:type="dxa"/>
            <w:vMerge w:val="continue"/>
            <w:vAlign w:val="center"/>
          </w:tcPr>
          <w:p w14:paraId="24980F3B">
            <w:pPr>
              <w:widowControl/>
              <w:jc w:val="left"/>
              <w:rPr>
                <w:rFonts w:ascii="宋体"/>
                <w:kern w:val="0"/>
              </w:rPr>
            </w:pPr>
          </w:p>
        </w:tc>
        <w:tc>
          <w:tcPr>
            <w:tcW w:w="1327" w:type="dxa"/>
            <w:vMerge w:val="continue"/>
            <w:vAlign w:val="center"/>
          </w:tcPr>
          <w:p w14:paraId="10DB14DA">
            <w:pPr>
              <w:jc w:val="left"/>
              <w:rPr>
                <w:rFonts w:ascii="宋体"/>
                <w:kern w:val="0"/>
              </w:rPr>
            </w:pPr>
          </w:p>
        </w:tc>
        <w:tc>
          <w:tcPr>
            <w:tcW w:w="1053" w:type="dxa"/>
            <w:vMerge w:val="continue"/>
            <w:vAlign w:val="center"/>
          </w:tcPr>
          <w:p w14:paraId="0590E835">
            <w:pPr>
              <w:jc w:val="center"/>
              <w:rPr>
                <w:rFonts w:ascii="宋体"/>
                <w:kern w:val="0"/>
              </w:rPr>
            </w:pPr>
          </w:p>
        </w:tc>
        <w:tc>
          <w:tcPr>
            <w:tcW w:w="3432" w:type="dxa"/>
            <w:vAlign w:val="center"/>
          </w:tcPr>
          <w:p w14:paraId="0C3C9A11">
            <w:pPr>
              <w:pStyle w:val="13"/>
              <w:jc w:val="left"/>
              <w:rPr>
                <w:rFonts w:ascii="宋体"/>
                <w:bCs/>
              </w:rPr>
            </w:pPr>
            <w:r>
              <w:rPr>
                <w:rFonts w:hint="eastAsia" w:ascii="宋体"/>
                <w:bCs/>
              </w:rPr>
              <w:t>航行安全、救生消防设施的实际状况与持有的证书、文书不符</w:t>
            </w:r>
          </w:p>
        </w:tc>
        <w:tc>
          <w:tcPr>
            <w:tcW w:w="6662" w:type="dxa"/>
            <w:tcBorders>
              <w:top w:val="single" w:color="auto" w:sz="4" w:space="0"/>
              <w:right w:val="single" w:color="auto" w:sz="4" w:space="0"/>
            </w:tcBorders>
            <w:vAlign w:val="center"/>
          </w:tcPr>
          <w:p w14:paraId="31791A4A">
            <w:pPr>
              <w:jc w:val="center"/>
              <w:rPr>
                <w:rFonts w:ascii="宋体"/>
                <w:kern w:val="0"/>
              </w:rPr>
            </w:pPr>
            <w:r>
              <w:rPr>
                <w:rFonts w:hint="eastAsia" w:ascii="宋体"/>
                <w:kern w:val="0"/>
              </w:rPr>
              <w:t>6-10万元</w:t>
            </w:r>
          </w:p>
        </w:tc>
        <w:tc>
          <w:tcPr>
            <w:tcW w:w="2268" w:type="dxa"/>
            <w:tcBorders>
              <w:top w:val="single" w:color="auto" w:sz="4" w:space="0"/>
              <w:left w:val="single" w:color="auto" w:sz="4" w:space="0"/>
              <w:right w:val="single" w:color="auto" w:sz="4" w:space="0"/>
            </w:tcBorders>
            <w:vAlign w:val="center"/>
          </w:tcPr>
          <w:p w14:paraId="031A54E9">
            <w:pPr>
              <w:jc w:val="center"/>
              <w:rPr>
                <w:rFonts w:ascii="宋体"/>
                <w:kern w:val="0"/>
              </w:rPr>
            </w:pPr>
            <w:r>
              <w:rPr>
                <w:rFonts w:hint="eastAsia" w:ascii="宋体"/>
                <w:kern w:val="0"/>
              </w:rPr>
              <w:t>6000元-1万</w:t>
            </w:r>
          </w:p>
        </w:tc>
        <w:tc>
          <w:tcPr>
            <w:tcW w:w="2977" w:type="dxa"/>
            <w:tcBorders>
              <w:top w:val="single" w:color="auto" w:sz="4" w:space="0"/>
              <w:left w:val="single" w:color="auto" w:sz="4" w:space="0"/>
            </w:tcBorders>
            <w:vAlign w:val="center"/>
          </w:tcPr>
          <w:p w14:paraId="138B30ED">
            <w:pPr>
              <w:jc w:val="center"/>
              <w:rPr>
                <w:rFonts w:ascii="宋体"/>
                <w:kern w:val="0"/>
              </w:rPr>
            </w:pPr>
            <w:r>
              <w:rPr>
                <w:rFonts w:hint="eastAsia" w:ascii="宋体"/>
                <w:kern w:val="0"/>
              </w:rPr>
              <w:t>5000元-1万</w:t>
            </w:r>
          </w:p>
        </w:tc>
      </w:tr>
      <w:tr w14:paraId="682FB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70" w:hRule="atLeast"/>
        </w:trPr>
        <w:tc>
          <w:tcPr>
            <w:tcW w:w="798" w:type="dxa"/>
            <w:vMerge w:val="continue"/>
            <w:vAlign w:val="center"/>
          </w:tcPr>
          <w:p w14:paraId="4BDD8F80">
            <w:pPr>
              <w:jc w:val="left"/>
              <w:rPr>
                <w:rFonts w:ascii="宋体"/>
                <w:kern w:val="0"/>
              </w:rPr>
            </w:pPr>
          </w:p>
        </w:tc>
        <w:tc>
          <w:tcPr>
            <w:tcW w:w="1527" w:type="dxa"/>
            <w:vMerge w:val="continue"/>
            <w:vAlign w:val="center"/>
          </w:tcPr>
          <w:p w14:paraId="70BF14F6">
            <w:pPr>
              <w:jc w:val="left"/>
              <w:rPr>
                <w:rFonts w:ascii="宋体"/>
                <w:kern w:val="0"/>
              </w:rPr>
            </w:pPr>
          </w:p>
        </w:tc>
        <w:tc>
          <w:tcPr>
            <w:tcW w:w="1327" w:type="dxa"/>
            <w:vMerge w:val="continue"/>
            <w:vAlign w:val="center"/>
          </w:tcPr>
          <w:p w14:paraId="27053E1A">
            <w:pPr>
              <w:jc w:val="left"/>
              <w:rPr>
                <w:rFonts w:ascii="宋体"/>
                <w:kern w:val="0"/>
              </w:rPr>
            </w:pPr>
          </w:p>
        </w:tc>
        <w:tc>
          <w:tcPr>
            <w:tcW w:w="1053" w:type="dxa"/>
            <w:vMerge w:val="continue"/>
            <w:tcBorders>
              <w:bottom w:val="single" w:color="auto" w:sz="4" w:space="0"/>
            </w:tcBorders>
            <w:vAlign w:val="center"/>
          </w:tcPr>
          <w:p w14:paraId="7E1FC0AB">
            <w:pPr>
              <w:jc w:val="center"/>
              <w:rPr>
                <w:rFonts w:ascii="宋体"/>
                <w:kern w:val="0"/>
              </w:rPr>
            </w:pPr>
          </w:p>
        </w:tc>
        <w:tc>
          <w:tcPr>
            <w:tcW w:w="3432" w:type="dxa"/>
            <w:tcBorders>
              <w:top w:val="single" w:color="auto" w:sz="4" w:space="0"/>
              <w:bottom w:val="single" w:color="auto" w:sz="4" w:space="0"/>
            </w:tcBorders>
            <w:vAlign w:val="center"/>
          </w:tcPr>
          <w:p w14:paraId="4A6D2ECC">
            <w:pPr>
              <w:numPr>
                <w:ilvl w:val="0"/>
                <w:numId w:val="9"/>
              </w:numPr>
              <w:jc w:val="left"/>
              <w:rPr>
                <w:rFonts w:ascii="宋体"/>
                <w:kern w:val="0"/>
              </w:rPr>
            </w:pPr>
            <w:r>
              <w:rPr>
                <w:rFonts w:hint="eastAsia" w:ascii="宋体"/>
                <w:kern w:val="0"/>
              </w:rPr>
              <w:t>船舶、设施存在重大改建的；</w:t>
            </w:r>
          </w:p>
          <w:p w14:paraId="40B254A1">
            <w:pPr>
              <w:numPr>
                <w:ilvl w:val="0"/>
                <w:numId w:val="9"/>
              </w:numPr>
              <w:jc w:val="left"/>
              <w:rPr>
                <w:rFonts w:ascii="宋体"/>
                <w:kern w:val="0"/>
              </w:rPr>
            </w:pPr>
            <w:r>
              <w:rPr>
                <w:rFonts w:hint="eastAsia" w:ascii="宋体"/>
                <w:kern w:val="0"/>
              </w:rPr>
              <w:t>造成一般事故或险情的；</w:t>
            </w:r>
          </w:p>
          <w:p w14:paraId="066F96F1">
            <w:pPr>
              <w:jc w:val="left"/>
              <w:rPr>
                <w:rFonts w:ascii="宋体"/>
                <w:kern w:val="0"/>
              </w:rPr>
            </w:pPr>
            <w:r>
              <w:rPr>
                <w:rFonts w:hint="eastAsia" w:ascii="宋体"/>
                <w:kern w:val="0"/>
              </w:rPr>
              <w:t>3.具有其他较重情节的。</w:t>
            </w:r>
          </w:p>
          <w:p w14:paraId="40165C15">
            <w:pPr>
              <w:jc w:val="left"/>
              <w:rPr>
                <w:rFonts w:ascii="宋体"/>
                <w:kern w:val="0"/>
              </w:rPr>
            </w:pPr>
          </w:p>
        </w:tc>
        <w:tc>
          <w:tcPr>
            <w:tcW w:w="6662" w:type="dxa"/>
            <w:tcBorders>
              <w:top w:val="single" w:color="auto" w:sz="4" w:space="0"/>
              <w:bottom w:val="single" w:color="auto" w:sz="4" w:space="0"/>
              <w:right w:val="single" w:color="auto" w:sz="4" w:space="0"/>
            </w:tcBorders>
            <w:vAlign w:val="center"/>
          </w:tcPr>
          <w:p w14:paraId="4FD00059">
            <w:pPr>
              <w:jc w:val="center"/>
              <w:rPr>
                <w:rFonts w:ascii="宋体"/>
                <w:kern w:val="0"/>
              </w:rPr>
            </w:pPr>
            <w:r>
              <w:rPr>
                <w:rFonts w:hint="eastAsia" w:ascii="宋体"/>
                <w:kern w:val="0"/>
              </w:rPr>
              <w:t>10-20万元</w:t>
            </w:r>
          </w:p>
        </w:tc>
        <w:tc>
          <w:tcPr>
            <w:tcW w:w="2268" w:type="dxa"/>
            <w:tcBorders>
              <w:top w:val="single" w:color="auto" w:sz="4" w:space="0"/>
              <w:left w:val="single" w:color="auto" w:sz="4" w:space="0"/>
              <w:bottom w:val="single" w:color="auto" w:sz="4" w:space="0"/>
              <w:right w:val="single" w:color="auto" w:sz="4" w:space="0"/>
            </w:tcBorders>
            <w:vAlign w:val="center"/>
          </w:tcPr>
          <w:p w14:paraId="48C5C20C">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14:paraId="376118A1">
            <w:pPr>
              <w:jc w:val="center"/>
              <w:rPr>
                <w:rFonts w:ascii="宋体"/>
                <w:kern w:val="0"/>
              </w:rPr>
            </w:pPr>
            <w:r>
              <w:rPr>
                <w:rFonts w:hint="eastAsia" w:ascii="宋体"/>
                <w:kern w:val="0"/>
              </w:rPr>
              <w:t>1-2万</w:t>
            </w:r>
          </w:p>
        </w:tc>
      </w:tr>
      <w:tr w14:paraId="68D5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798" w:type="dxa"/>
            <w:vMerge w:val="continue"/>
            <w:vAlign w:val="center"/>
          </w:tcPr>
          <w:p w14:paraId="144F166A">
            <w:pPr>
              <w:jc w:val="left"/>
              <w:rPr>
                <w:rFonts w:ascii="宋体"/>
                <w:kern w:val="0"/>
              </w:rPr>
            </w:pPr>
          </w:p>
        </w:tc>
        <w:tc>
          <w:tcPr>
            <w:tcW w:w="1527" w:type="dxa"/>
            <w:vMerge w:val="continue"/>
            <w:vAlign w:val="center"/>
          </w:tcPr>
          <w:p w14:paraId="52BDC8BF">
            <w:pPr>
              <w:jc w:val="left"/>
              <w:rPr>
                <w:rFonts w:ascii="宋体"/>
                <w:kern w:val="0"/>
              </w:rPr>
            </w:pPr>
          </w:p>
        </w:tc>
        <w:tc>
          <w:tcPr>
            <w:tcW w:w="1327" w:type="dxa"/>
            <w:vMerge w:val="continue"/>
            <w:vAlign w:val="center"/>
          </w:tcPr>
          <w:p w14:paraId="14445F73">
            <w:pPr>
              <w:jc w:val="left"/>
              <w:rPr>
                <w:rFonts w:ascii="宋体"/>
                <w:kern w:val="0"/>
              </w:rPr>
            </w:pPr>
          </w:p>
        </w:tc>
        <w:tc>
          <w:tcPr>
            <w:tcW w:w="1053" w:type="dxa"/>
            <w:vMerge w:val="restart"/>
            <w:tcBorders>
              <w:top w:val="single" w:color="auto" w:sz="4" w:space="0"/>
              <w:right w:val="single" w:color="auto" w:sz="4" w:space="0"/>
            </w:tcBorders>
            <w:vAlign w:val="center"/>
          </w:tcPr>
          <w:p w14:paraId="160BEE20">
            <w:pPr>
              <w:jc w:val="center"/>
              <w:rPr>
                <w:rFonts w:ascii="宋体"/>
                <w:kern w:val="0"/>
              </w:rPr>
            </w:pPr>
            <w:r>
              <w:rPr>
                <w:rFonts w:hint="eastAsia" w:ascii="宋体"/>
                <w:kern w:val="0"/>
              </w:rPr>
              <w:t>情节严重</w:t>
            </w:r>
          </w:p>
        </w:tc>
        <w:tc>
          <w:tcPr>
            <w:tcW w:w="3432" w:type="dxa"/>
            <w:tcBorders>
              <w:top w:val="single" w:color="auto" w:sz="4" w:space="0"/>
              <w:left w:val="single" w:color="auto" w:sz="4" w:space="0"/>
            </w:tcBorders>
            <w:vAlign w:val="center"/>
          </w:tcPr>
          <w:p w14:paraId="113646E8">
            <w:pPr>
              <w:jc w:val="left"/>
              <w:rPr>
                <w:rFonts w:ascii="宋体"/>
                <w:kern w:val="0"/>
              </w:rPr>
            </w:pPr>
            <w:r>
              <w:rPr>
                <w:rFonts w:hint="eastAsia" w:ascii="宋体"/>
                <w:kern w:val="0"/>
              </w:rPr>
              <w:t>具有其他严重情节的</w:t>
            </w:r>
          </w:p>
        </w:tc>
        <w:tc>
          <w:tcPr>
            <w:tcW w:w="6662" w:type="dxa"/>
            <w:tcBorders>
              <w:top w:val="single" w:color="auto" w:sz="4" w:space="0"/>
              <w:right w:val="single" w:color="auto" w:sz="4" w:space="0"/>
            </w:tcBorders>
            <w:vAlign w:val="center"/>
          </w:tcPr>
          <w:p w14:paraId="229E1FB2">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right w:val="single" w:color="auto" w:sz="4" w:space="0"/>
            </w:tcBorders>
            <w:vAlign w:val="center"/>
          </w:tcPr>
          <w:p w14:paraId="520A7403">
            <w:pPr>
              <w:jc w:val="center"/>
              <w:rPr>
                <w:rFonts w:ascii="宋体"/>
                <w:kern w:val="0"/>
              </w:rPr>
            </w:pPr>
            <w:r>
              <w:rPr>
                <w:rFonts w:hint="eastAsia" w:ascii="宋体"/>
                <w:kern w:val="0"/>
              </w:rPr>
              <w:t>暂扣船员适任证书12个月至24个月</w:t>
            </w:r>
          </w:p>
        </w:tc>
        <w:tc>
          <w:tcPr>
            <w:tcW w:w="2977" w:type="dxa"/>
            <w:tcBorders>
              <w:left w:val="single" w:color="auto" w:sz="4" w:space="0"/>
            </w:tcBorders>
            <w:vAlign w:val="center"/>
          </w:tcPr>
          <w:p w14:paraId="385255E4">
            <w:pPr>
              <w:jc w:val="center"/>
              <w:rPr>
                <w:rFonts w:ascii="宋体"/>
                <w:kern w:val="0"/>
              </w:rPr>
            </w:pPr>
            <w:r>
              <w:rPr>
                <w:rFonts w:hint="eastAsia" w:ascii="宋体"/>
                <w:kern w:val="0"/>
              </w:rPr>
              <w:t>暂扣船员适任证书12个月至24个月</w:t>
            </w:r>
          </w:p>
        </w:tc>
      </w:tr>
      <w:tr w14:paraId="46BA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798" w:type="dxa"/>
            <w:vMerge w:val="continue"/>
            <w:vAlign w:val="center"/>
          </w:tcPr>
          <w:p w14:paraId="6C6DFBBC">
            <w:pPr>
              <w:jc w:val="left"/>
              <w:rPr>
                <w:rFonts w:ascii="宋体"/>
                <w:kern w:val="0"/>
              </w:rPr>
            </w:pPr>
          </w:p>
        </w:tc>
        <w:tc>
          <w:tcPr>
            <w:tcW w:w="1527" w:type="dxa"/>
            <w:vMerge w:val="continue"/>
            <w:vAlign w:val="center"/>
          </w:tcPr>
          <w:p w14:paraId="4D959F10">
            <w:pPr>
              <w:jc w:val="left"/>
              <w:rPr>
                <w:rFonts w:ascii="宋体"/>
                <w:kern w:val="0"/>
              </w:rPr>
            </w:pPr>
          </w:p>
        </w:tc>
        <w:tc>
          <w:tcPr>
            <w:tcW w:w="1327" w:type="dxa"/>
            <w:vMerge w:val="continue"/>
            <w:vAlign w:val="center"/>
          </w:tcPr>
          <w:p w14:paraId="44B0D010">
            <w:pPr>
              <w:jc w:val="left"/>
              <w:rPr>
                <w:rFonts w:ascii="宋体"/>
                <w:kern w:val="0"/>
              </w:rPr>
            </w:pPr>
          </w:p>
        </w:tc>
        <w:tc>
          <w:tcPr>
            <w:tcW w:w="1053" w:type="dxa"/>
            <w:vMerge w:val="continue"/>
            <w:tcBorders>
              <w:right w:val="single" w:color="auto" w:sz="4" w:space="0"/>
            </w:tcBorders>
            <w:vAlign w:val="center"/>
          </w:tcPr>
          <w:p w14:paraId="7427D8C8">
            <w:pPr>
              <w:jc w:val="center"/>
              <w:rPr>
                <w:rFonts w:ascii="宋体"/>
                <w:kern w:val="0"/>
              </w:rPr>
            </w:pPr>
          </w:p>
        </w:tc>
        <w:tc>
          <w:tcPr>
            <w:tcW w:w="3432" w:type="dxa"/>
            <w:tcBorders>
              <w:top w:val="single" w:color="auto" w:sz="4" w:space="0"/>
              <w:left w:val="single" w:color="auto" w:sz="4" w:space="0"/>
            </w:tcBorders>
            <w:vAlign w:val="center"/>
          </w:tcPr>
          <w:p w14:paraId="67E69EE5">
            <w:pPr>
              <w:jc w:val="left"/>
              <w:rPr>
                <w:rFonts w:ascii="宋体"/>
                <w:kern w:val="0"/>
              </w:rPr>
            </w:pPr>
            <w:r>
              <w:rPr>
                <w:rFonts w:hint="eastAsia" w:ascii="宋体"/>
                <w:kern w:val="0"/>
              </w:rPr>
              <w:t>造成较大等级以上事故的</w:t>
            </w:r>
          </w:p>
        </w:tc>
        <w:tc>
          <w:tcPr>
            <w:tcW w:w="6662" w:type="dxa"/>
            <w:tcBorders>
              <w:top w:val="single" w:color="auto" w:sz="4" w:space="0"/>
              <w:right w:val="single" w:color="auto" w:sz="4" w:space="0"/>
            </w:tcBorders>
            <w:vAlign w:val="center"/>
          </w:tcPr>
          <w:p w14:paraId="211163B2">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right w:val="single" w:color="auto" w:sz="4" w:space="0"/>
            </w:tcBorders>
            <w:vAlign w:val="center"/>
          </w:tcPr>
          <w:p w14:paraId="52B5DAF9">
            <w:pPr>
              <w:jc w:val="center"/>
              <w:rPr>
                <w:rFonts w:ascii="宋体"/>
                <w:kern w:val="0"/>
              </w:rPr>
            </w:pPr>
            <w:r>
              <w:rPr>
                <w:rFonts w:hint="eastAsia" w:ascii="宋体"/>
                <w:kern w:val="0"/>
              </w:rPr>
              <w:t>吊销船员适任证书</w:t>
            </w:r>
          </w:p>
        </w:tc>
        <w:tc>
          <w:tcPr>
            <w:tcW w:w="2977" w:type="dxa"/>
            <w:tcBorders>
              <w:left w:val="single" w:color="auto" w:sz="4" w:space="0"/>
            </w:tcBorders>
            <w:vAlign w:val="center"/>
          </w:tcPr>
          <w:p w14:paraId="6A58BBFE">
            <w:pPr>
              <w:jc w:val="center"/>
              <w:rPr>
                <w:rFonts w:ascii="宋体"/>
                <w:kern w:val="0"/>
              </w:rPr>
            </w:pPr>
            <w:r>
              <w:rPr>
                <w:rFonts w:hint="eastAsia" w:ascii="宋体"/>
                <w:kern w:val="0"/>
              </w:rPr>
              <w:t>吊销船员适任证书</w:t>
            </w:r>
          </w:p>
        </w:tc>
      </w:tr>
      <w:tr w14:paraId="67315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14:paraId="16302A75">
            <w:pPr>
              <w:jc w:val="left"/>
              <w:rPr>
                <w:rFonts w:ascii="宋体"/>
                <w:kern w:val="0"/>
              </w:rPr>
            </w:pPr>
            <w:r>
              <w:rPr>
                <w:rFonts w:hint="eastAsia" w:ascii="宋体"/>
                <w:kern w:val="0"/>
              </w:rPr>
              <w:t>注：</w:t>
            </w:r>
          </w:p>
          <w:p w14:paraId="46944344">
            <w:pPr>
              <w:numPr>
                <w:ilvl w:val="0"/>
                <w:numId w:val="10"/>
              </w:numPr>
              <w:jc w:val="left"/>
              <w:rPr>
                <w:rFonts w:ascii="宋体"/>
                <w:kern w:val="0"/>
              </w:rPr>
            </w:pPr>
            <w:r>
              <w:rPr>
                <w:rFonts w:hint="eastAsia" w:ascii="宋体"/>
                <w:lang w:val="zh-CN"/>
              </w:rPr>
              <w:t>安全管理体系运行存在重大不符合规定情况的，吊销DOC、SMC</w:t>
            </w:r>
            <w:r>
              <w:rPr>
                <w:rFonts w:hint="eastAsia" w:ascii="宋体"/>
                <w:kern w:val="0"/>
              </w:rPr>
              <w:t>。</w:t>
            </w:r>
          </w:p>
          <w:p w14:paraId="750984C2">
            <w:pPr>
              <w:numPr>
                <w:ilvl w:val="0"/>
                <w:numId w:val="10"/>
              </w:numPr>
              <w:jc w:val="left"/>
              <w:rPr>
                <w:rFonts w:ascii="宋体"/>
                <w:kern w:val="0"/>
              </w:rPr>
            </w:pPr>
            <w:r>
              <w:rPr>
                <w:rFonts w:hint="eastAsia" w:ascii="宋体"/>
                <w:kern w:val="0"/>
              </w:rPr>
              <w:t>船舶劳工条件与海事劳工证书不符的，吊销海事劳工证书。</w:t>
            </w:r>
          </w:p>
        </w:tc>
      </w:tr>
    </w:tbl>
    <w:p w14:paraId="7CA45F14">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38"/>
        <w:gridCol w:w="1160"/>
        <w:gridCol w:w="1403"/>
        <w:gridCol w:w="992"/>
        <w:gridCol w:w="3544"/>
        <w:gridCol w:w="11907"/>
      </w:tblGrid>
      <w:tr w14:paraId="0C9F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38" w:type="dxa"/>
            <w:vMerge w:val="restart"/>
            <w:vAlign w:val="center"/>
          </w:tcPr>
          <w:p w14:paraId="2CC923A8">
            <w:pPr>
              <w:jc w:val="left"/>
              <w:rPr>
                <w:rFonts w:ascii="宋体"/>
                <w:b/>
                <w:kern w:val="0"/>
              </w:rPr>
            </w:pPr>
            <w:r>
              <w:rPr>
                <w:rFonts w:hint="eastAsia" w:ascii="宋体"/>
                <w:b/>
                <w:kern w:val="0"/>
              </w:rPr>
              <w:t>案由40</w:t>
            </w:r>
          </w:p>
        </w:tc>
        <w:tc>
          <w:tcPr>
            <w:tcW w:w="2563" w:type="dxa"/>
            <w:gridSpan w:val="2"/>
            <w:vAlign w:val="center"/>
          </w:tcPr>
          <w:p w14:paraId="7F35C850">
            <w:pPr>
              <w:jc w:val="center"/>
              <w:rPr>
                <w:rFonts w:ascii="宋体"/>
                <w:b/>
                <w:kern w:val="0"/>
              </w:rPr>
            </w:pPr>
            <w:r>
              <w:rPr>
                <w:rFonts w:hint="eastAsia" w:ascii="宋体"/>
                <w:b/>
                <w:kern w:val="0"/>
              </w:rPr>
              <w:t>法律依据</w:t>
            </w:r>
          </w:p>
        </w:tc>
        <w:tc>
          <w:tcPr>
            <w:tcW w:w="992" w:type="dxa"/>
            <w:vMerge w:val="restart"/>
            <w:vAlign w:val="center"/>
          </w:tcPr>
          <w:p w14:paraId="06577683">
            <w:pPr>
              <w:jc w:val="left"/>
              <w:rPr>
                <w:rFonts w:ascii="宋体"/>
                <w:b/>
                <w:kern w:val="0"/>
              </w:rPr>
            </w:pPr>
            <w:r>
              <w:rPr>
                <w:rFonts w:hint="eastAsia" w:ascii="宋体"/>
                <w:b/>
                <w:kern w:val="0"/>
              </w:rPr>
              <w:t>违法情节</w:t>
            </w:r>
          </w:p>
        </w:tc>
        <w:tc>
          <w:tcPr>
            <w:tcW w:w="3544" w:type="dxa"/>
            <w:vMerge w:val="restart"/>
            <w:vAlign w:val="center"/>
          </w:tcPr>
          <w:p w14:paraId="67C9B8C2">
            <w:pPr>
              <w:jc w:val="center"/>
              <w:rPr>
                <w:rFonts w:ascii="宋体"/>
                <w:b/>
                <w:kern w:val="0"/>
              </w:rPr>
            </w:pPr>
            <w:r>
              <w:rPr>
                <w:rFonts w:hint="eastAsia" w:ascii="宋体"/>
                <w:b/>
                <w:kern w:val="0"/>
              </w:rPr>
              <w:t>主要考虑因素（事实、性质、情节、危害程度和实际后果等）</w:t>
            </w:r>
          </w:p>
        </w:tc>
        <w:tc>
          <w:tcPr>
            <w:tcW w:w="11907" w:type="dxa"/>
            <w:vAlign w:val="center"/>
          </w:tcPr>
          <w:p w14:paraId="4892C7BE">
            <w:pPr>
              <w:jc w:val="left"/>
              <w:rPr>
                <w:rFonts w:ascii="宋体"/>
                <w:b/>
                <w:kern w:val="0"/>
              </w:rPr>
            </w:pPr>
            <w:r>
              <w:rPr>
                <w:rFonts w:hint="eastAsia" w:ascii="宋体"/>
                <w:b/>
                <w:kern w:val="0"/>
              </w:rPr>
              <w:t>【法定幅度和种类】</w:t>
            </w:r>
            <w:r>
              <w:rPr>
                <w:rFonts w:hint="eastAsia" w:ascii="宋体"/>
              </w:rPr>
              <w:t>由海事管理机构撤销有关许可，没收相关证书、文书，对船舶所有人、经营人或者管理人处四万元以上四十万元以下的罚款。</w:t>
            </w:r>
          </w:p>
        </w:tc>
      </w:tr>
      <w:tr w14:paraId="63999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38" w:type="dxa"/>
            <w:vMerge w:val="continue"/>
            <w:tcBorders>
              <w:bottom w:val="single" w:color="000000" w:sz="4" w:space="0"/>
            </w:tcBorders>
            <w:vAlign w:val="center"/>
          </w:tcPr>
          <w:p w14:paraId="69090BF1">
            <w:pPr>
              <w:jc w:val="left"/>
              <w:rPr>
                <w:rFonts w:ascii="宋体"/>
                <w:b/>
                <w:kern w:val="0"/>
              </w:rPr>
            </w:pPr>
          </w:p>
        </w:tc>
        <w:tc>
          <w:tcPr>
            <w:tcW w:w="1160" w:type="dxa"/>
            <w:tcBorders>
              <w:bottom w:val="single" w:color="000000" w:sz="4" w:space="0"/>
            </w:tcBorders>
            <w:vAlign w:val="center"/>
          </w:tcPr>
          <w:p w14:paraId="3EF5B996">
            <w:pPr>
              <w:jc w:val="center"/>
              <w:rPr>
                <w:rFonts w:ascii="宋体"/>
                <w:b/>
                <w:kern w:val="0"/>
              </w:rPr>
            </w:pPr>
            <w:r>
              <w:rPr>
                <w:rFonts w:hint="eastAsia" w:ascii="宋体"/>
                <w:b/>
                <w:kern w:val="0"/>
              </w:rPr>
              <w:t>违反条款</w:t>
            </w:r>
          </w:p>
        </w:tc>
        <w:tc>
          <w:tcPr>
            <w:tcW w:w="1403" w:type="dxa"/>
            <w:tcBorders>
              <w:bottom w:val="single" w:color="000000" w:sz="4" w:space="0"/>
            </w:tcBorders>
            <w:vAlign w:val="center"/>
          </w:tcPr>
          <w:p w14:paraId="233C449E">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39280783">
            <w:pPr>
              <w:jc w:val="left"/>
              <w:rPr>
                <w:rFonts w:ascii="宋体"/>
                <w:b/>
                <w:kern w:val="0"/>
              </w:rPr>
            </w:pPr>
          </w:p>
        </w:tc>
        <w:tc>
          <w:tcPr>
            <w:tcW w:w="3544" w:type="dxa"/>
            <w:vMerge w:val="continue"/>
            <w:tcBorders>
              <w:bottom w:val="single" w:color="000000" w:sz="4" w:space="0"/>
            </w:tcBorders>
            <w:vAlign w:val="center"/>
          </w:tcPr>
          <w:p w14:paraId="5F57B835">
            <w:pPr>
              <w:jc w:val="left"/>
              <w:rPr>
                <w:rFonts w:ascii="宋体"/>
                <w:b/>
                <w:kern w:val="0"/>
              </w:rPr>
            </w:pPr>
          </w:p>
        </w:tc>
        <w:tc>
          <w:tcPr>
            <w:tcW w:w="11907" w:type="dxa"/>
            <w:tcBorders>
              <w:top w:val="single" w:color="auto" w:sz="4" w:space="0"/>
              <w:bottom w:val="single" w:color="auto" w:sz="4" w:space="0"/>
            </w:tcBorders>
            <w:vAlign w:val="center"/>
          </w:tcPr>
          <w:p w14:paraId="6E5CD49F">
            <w:pPr>
              <w:jc w:val="center"/>
              <w:rPr>
                <w:rFonts w:ascii="宋体"/>
                <w:b/>
                <w:kern w:val="0"/>
              </w:rPr>
            </w:pPr>
            <w:r>
              <w:rPr>
                <w:rFonts w:hint="eastAsia" w:ascii="宋体"/>
                <w:b/>
                <w:kern w:val="0"/>
              </w:rPr>
              <w:t>【对象】对船舶的所有人、经营人或者管理人</w:t>
            </w:r>
          </w:p>
        </w:tc>
      </w:tr>
      <w:tr w14:paraId="38EF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38" w:type="dxa"/>
            <w:vMerge w:val="restart"/>
            <w:vAlign w:val="center"/>
          </w:tcPr>
          <w:p w14:paraId="119F6B64">
            <w:pPr>
              <w:widowControl/>
              <w:jc w:val="left"/>
              <w:rPr>
                <w:rFonts w:ascii="宋体"/>
                <w:kern w:val="0"/>
              </w:rPr>
            </w:pPr>
            <w:r>
              <w:rPr>
                <w:rFonts w:hint="eastAsia" w:ascii="宋体"/>
                <w:kern w:val="0"/>
              </w:rPr>
              <w:t>以欺骗、贿赂等不正当手段为中国籍船舶取得相关证书、文书</w:t>
            </w:r>
          </w:p>
        </w:tc>
        <w:tc>
          <w:tcPr>
            <w:tcW w:w="1160" w:type="dxa"/>
            <w:vMerge w:val="restart"/>
            <w:vAlign w:val="center"/>
          </w:tcPr>
          <w:p w14:paraId="69C4BF7C">
            <w:pPr>
              <w:widowControl/>
              <w:jc w:val="left"/>
              <w:rPr>
                <w:rFonts w:ascii="宋体"/>
                <w:kern w:val="0"/>
              </w:rPr>
            </w:pPr>
            <w:r>
              <w:rPr>
                <w:rFonts w:hint="eastAsia" w:ascii="宋体"/>
                <w:kern w:val="0"/>
              </w:rPr>
              <w:t>1.《中华人民共和国海上交通安全法》第九条第一款；</w:t>
            </w:r>
          </w:p>
          <w:p w14:paraId="510CADE5">
            <w:pPr>
              <w:widowControl/>
              <w:jc w:val="left"/>
              <w:rPr>
                <w:rFonts w:ascii="宋体"/>
              </w:rPr>
            </w:pPr>
            <w:r>
              <w:rPr>
                <w:rFonts w:hint="eastAsia" w:ascii="宋体"/>
              </w:rPr>
              <w:t>2.其他法律、法规、规章等。</w:t>
            </w:r>
          </w:p>
        </w:tc>
        <w:tc>
          <w:tcPr>
            <w:tcW w:w="1403" w:type="dxa"/>
            <w:vMerge w:val="restart"/>
            <w:vAlign w:val="center"/>
          </w:tcPr>
          <w:p w14:paraId="12DB6214">
            <w:pPr>
              <w:jc w:val="left"/>
              <w:rPr>
                <w:rFonts w:ascii="宋体"/>
                <w:kern w:val="0"/>
              </w:rPr>
            </w:pPr>
            <w:r>
              <w:rPr>
                <w:rFonts w:hint="eastAsia" w:ascii="宋体"/>
                <w:kern w:val="0"/>
              </w:rPr>
              <w:t>1.《中华人民共和国海上交通安全法》第九十八条第一款、《中华人民共和国海上海事行政处罚规定》第十条；</w:t>
            </w:r>
          </w:p>
          <w:p w14:paraId="71AF663E">
            <w:pPr>
              <w:jc w:val="left"/>
              <w:rPr>
                <w:rFonts w:ascii="宋体"/>
                <w:kern w:val="0"/>
              </w:rPr>
            </w:pPr>
            <w:r>
              <w:rPr>
                <w:rFonts w:hint="eastAsia" w:ascii="宋体"/>
                <w:kern w:val="0"/>
              </w:rPr>
              <w:t>2.《中华人民共和国海上海事行政处罚规定》第七条。</w:t>
            </w:r>
          </w:p>
        </w:tc>
        <w:tc>
          <w:tcPr>
            <w:tcW w:w="992" w:type="dxa"/>
            <w:vAlign w:val="center"/>
          </w:tcPr>
          <w:p w14:paraId="6366B4C5">
            <w:pPr>
              <w:jc w:val="center"/>
              <w:rPr>
                <w:rFonts w:ascii="宋体"/>
                <w:kern w:val="0"/>
              </w:rPr>
            </w:pPr>
            <w:r>
              <w:rPr>
                <w:rFonts w:hint="eastAsia" w:ascii="宋体"/>
                <w:kern w:val="0"/>
              </w:rPr>
              <w:t>从轻</w:t>
            </w:r>
          </w:p>
        </w:tc>
        <w:tc>
          <w:tcPr>
            <w:tcW w:w="3544" w:type="dxa"/>
            <w:vAlign w:val="center"/>
          </w:tcPr>
          <w:p w14:paraId="2623676C">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11907" w:type="dxa"/>
            <w:vAlign w:val="center"/>
          </w:tcPr>
          <w:p w14:paraId="65B7D335">
            <w:pPr>
              <w:jc w:val="center"/>
              <w:rPr>
                <w:rFonts w:ascii="宋体"/>
                <w:kern w:val="0"/>
              </w:rPr>
            </w:pPr>
            <w:r>
              <w:rPr>
                <w:rFonts w:hint="eastAsia" w:ascii="宋体"/>
                <w:kern w:val="0"/>
              </w:rPr>
              <w:t>4-6万元，</w:t>
            </w:r>
            <w:r>
              <w:rPr>
                <w:rFonts w:hint="eastAsia" w:ascii="宋体"/>
              </w:rPr>
              <w:t>撤销有关许可，没收相关证书、文书</w:t>
            </w:r>
          </w:p>
        </w:tc>
      </w:tr>
      <w:tr w14:paraId="3ED6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8" w:hRule="atLeast"/>
        </w:trPr>
        <w:tc>
          <w:tcPr>
            <w:tcW w:w="1038" w:type="dxa"/>
            <w:vMerge w:val="continue"/>
            <w:vAlign w:val="center"/>
          </w:tcPr>
          <w:p w14:paraId="514D167C">
            <w:pPr>
              <w:jc w:val="left"/>
              <w:rPr>
                <w:rFonts w:ascii="宋体"/>
                <w:kern w:val="0"/>
              </w:rPr>
            </w:pPr>
          </w:p>
        </w:tc>
        <w:tc>
          <w:tcPr>
            <w:tcW w:w="1160" w:type="dxa"/>
            <w:vMerge w:val="continue"/>
            <w:vAlign w:val="center"/>
          </w:tcPr>
          <w:p w14:paraId="1B208A3B">
            <w:pPr>
              <w:widowControl/>
              <w:jc w:val="left"/>
              <w:rPr>
                <w:rFonts w:ascii="宋体"/>
                <w:kern w:val="0"/>
              </w:rPr>
            </w:pPr>
          </w:p>
        </w:tc>
        <w:tc>
          <w:tcPr>
            <w:tcW w:w="1403" w:type="dxa"/>
            <w:vMerge w:val="continue"/>
            <w:vAlign w:val="center"/>
          </w:tcPr>
          <w:p w14:paraId="212BAFF7">
            <w:pPr>
              <w:jc w:val="left"/>
              <w:rPr>
                <w:rFonts w:ascii="宋体"/>
                <w:kern w:val="0"/>
              </w:rPr>
            </w:pPr>
          </w:p>
        </w:tc>
        <w:tc>
          <w:tcPr>
            <w:tcW w:w="992" w:type="dxa"/>
            <w:vMerge w:val="restart"/>
            <w:vAlign w:val="center"/>
          </w:tcPr>
          <w:p w14:paraId="2E86410D">
            <w:pPr>
              <w:jc w:val="center"/>
              <w:rPr>
                <w:rFonts w:ascii="宋体"/>
                <w:kern w:val="0"/>
              </w:rPr>
            </w:pPr>
            <w:r>
              <w:rPr>
                <w:rFonts w:hint="eastAsia" w:ascii="宋体"/>
                <w:kern w:val="0"/>
              </w:rPr>
              <w:t>一般</w:t>
            </w:r>
          </w:p>
        </w:tc>
        <w:tc>
          <w:tcPr>
            <w:tcW w:w="3544" w:type="dxa"/>
            <w:vAlign w:val="center"/>
          </w:tcPr>
          <w:p w14:paraId="5E95854D">
            <w:pPr>
              <w:pStyle w:val="13"/>
              <w:jc w:val="left"/>
              <w:rPr>
                <w:rFonts w:ascii="宋体"/>
              </w:rPr>
            </w:pPr>
            <w:r>
              <w:rPr>
                <w:rFonts w:hint="eastAsia" w:ascii="宋体"/>
              </w:rPr>
              <w:t>以欺骗手段，取得相关证书、文书的</w:t>
            </w:r>
          </w:p>
        </w:tc>
        <w:tc>
          <w:tcPr>
            <w:tcW w:w="11907" w:type="dxa"/>
            <w:vAlign w:val="center"/>
          </w:tcPr>
          <w:p w14:paraId="31AABF8C">
            <w:pPr>
              <w:jc w:val="center"/>
              <w:rPr>
                <w:rFonts w:ascii="宋体"/>
                <w:kern w:val="0"/>
              </w:rPr>
            </w:pPr>
            <w:r>
              <w:rPr>
                <w:rFonts w:hint="eastAsia" w:ascii="宋体"/>
                <w:kern w:val="0"/>
              </w:rPr>
              <w:t>6-8万元，</w:t>
            </w:r>
            <w:r>
              <w:rPr>
                <w:rFonts w:hint="eastAsia" w:ascii="宋体"/>
              </w:rPr>
              <w:t>撤销有关许可，没收相关证书、文书</w:t>
            </w:r>
          </w:p>
        </w:tc>
      </w:tr>
      <w:tr w14:paraId="1DAC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5" w:hRule="atLeast"/>
        </w:trPr>
        <w:tc>
          <w:tcPr>
            <w:tcW w:w="1038" w:type="dxa"/>
            <w:vMerge w:val="continue"/>
            <w:vAlign w:val="center"/>
          </w:tcPr>
          <w:p w14:paraId="10024E7A">
            <w:pPr>
              <w:jc w:val="left"/>
              <w:rPr>
                <w:rFonts w:ascii="宋体"/>
                <w:kern w:val="0"/>
              </w:rPr>
            </w:pPr>
          </w:p>
        </w:tc>
        <w:tc>
          <w:tcPr>
            <w:tcW w:w="1160" w:type="dxa"/>
            <w:vMerge w:val="continue"/>
            <w:vAlign w:val="center"/>
          </w:tcPr>
          <w:p w14:paraId="399745A7">
            <w:pPr>
              <w:widowControl/>
              <w:jc w:val="left"/>
              <w:rPr>
                <w:rFonts w:ascii="宋体"/>
                <w:kern w:val="0"/>
              </w:rPr>
            </w:pPr>
          </w:p>
        </w:tc>
        <w:tc>
          <w:tcPr>
            <w:tcW w:w="1403" w:type="dxa"/>
            <w:vMerge w:val="continue"/>
            <w:vAlign w:val="center"/>
          </w:tcPr>
          <w:p w14:paraId="35C77F12">
            <w:pPr>
              <w:jc w:val="left"/>
              <w:rPr>
                <w:rFonts w:ascii="宋体"/>
                <w:kern w:val="0"/>
              </w:rPr>
            </w:pPr>
          </w:p>
        </w:tc>
        <w:tc>
          <w:tcPr>
            <w:tcW w:w="992" w:type="dxa"/>
            <w:vMerge w:val="continue"/>
            <w:vAlign w:val="center"/>
          </w:tcPr>
          <w:p w14:paraId="07EDA9FE">
            <w:pPr>
              <w:jc w:val="center"/>
              <w:rPr>
                <w:rFonts w:ascii="宋体"/>
                <w:kern w:val="0"/>
              </w:rPr>
            </w:pPr>
          </w:p>
        </w:tc>
        <w:tc>
          <w:tcPr>
            <w:tcW w:w="3544" w:type="dxa"/>
            <w:vAlign w:val="center"/>
          </w:tcPr>
          <w:p w14:paraId="05521BB9">
            <w:pPr>
              <w:pStyle w:val="13"/>
              <w:jc w:val="left"/>
              <w:rPr>
                <w:rFonts w:ascii="宋体"/>
              </w:rPr>
            </w:pPr>
            <w:r>
              <w:rPr>
                <w:rFonts w:hint="eastAsia" w:ascii="宋体"/>
              </w:rPr>
              <w:t>以贿赂手段，取得相关证书、文书的</w:t>
            </w:r>
          </w:p>
        </w:tc>
        <w:tc>
          <w:tcPr>
            <w:tcW w:w="11907" w:type="dxa"/>
            <w:vAlign w:val="center"/>
          </w:tcPr>
          <w:p w14:paraId="27506894">
            <w:pPr>
              <w:jc w:val="center"/>
              <w:rPr>
                <w:rFonts w:ascii="宋体"/>
                <w:kern w:val="0"/>
              </w:rPr>
            </w:pPr>
            <w:r>
              <w:rPr>
                <w:rFonts w:hint="eastAsia" w:ascii="宋体"/>
                <w:kern w:val="0"/>
              </w:rPr>
              <w:t>8-10万元，</w:t>
            </w:r>
            <w:r>
              <w:rPr>
                <w:rFonts w:hint="eastAsia" w:ascii="宋体"/>
              </w:rPr>
              <w:t>撤销有关许可，没收相关证书、文书</w:t>
            </w:r>
          </w:p>
        </w:tc>
      </w:tr>
      <w:tr w14:paraId="5862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38" w:type="dxa"/>
            <w:vMerge w:val="continue"/>
            <w:vAlign w:val="center"/>
          </w:tcPr>
          <w:p w14:paraId="77397673">
            <w:pPr>
              <w:jc w:val="left"/>
              <w:rPr>
                <w:rFonts w:ascii="宋体"/>
                <w:kern w:val="0"/>
              </w:rPr>
            </w:pPr>
          </w:p>
        </w:tc>
        <w:tc>
          <w:tcPr>
            <w:tcW w:w="1160" w:type="dxa"/>
            <w:vMerge w:val="continue"/>
            <w:vAlign w:val="center"/>
          </w:tcPr>
          <w:p w14:paraId="0BE1C1A7">
            <w:pPr>
              <w:jc w:val="left"/>
              <w:rPr>
                <w:rFonts w:ascii="宋体"/>
                <w:kern w:val="0"/>
              </w:rPr>
            </w:pPr>
          </w:p>
        </w:tc>
        <w:tc>
          <w:tcPr>
            <w:tcW w:w="1403" w:type="dxa"/>
            <w:vMerge w:val="continue"/>
            <w:vAlign w:val="center"/>
          </w:tcPr>
          <w:p w14:paraId="38E60A30">
            <w:pPr>
              <w:jc w:val="left"/>
              <w:rPr>
                <w:rFonts w:ascii="宋体"/>
                <w:kern w:val="0"/>
              </w:rPr>
            </w:pPr>
          </w:p>
        </w:tc>
        <w:tc>
          <w:tcPr>
            <w:tcW w:w="992" w:type="dxa"/>
            <w:vMerge w:val="continue"/>
            <w:vAlign w:val="center"/>
          </w:tcPr>
          <w:p w14:paraId="457D48DA">
            <w:pPr>
              <w:jc w:val="center"/>
              <w:rPr>
                <w:rFonts w:ascii="宋体"/>
                <w:kern w:val="0"/>
              </w:rPr>
            </w:pPr>
          </w:p>
        </w:tc>
        <w:tc>
          <w:tcPr>
            <w:tcW w:w="3544" w:type="dxa"/>
            <w:tcBorders>
              <w:top w:val="single" w:color="auto" w:sz="4" w:space="0"/>
              <w:bottom w:val="single" w:color="auto" w:sz="4" w:space="0"/>
            </w:tcBorders>
            <w:vAlign w:val="center"/>
          </w:tcPr>
          <w:p w14:paraId="2E61BAF7">
            <w:pPr>
              <w:jc w:val="left"/>
              <w:rPr>
                <w:rFonts w:ascii="宋体"/>
                <w:kern w:val="0"/>
              </w:rPr>
            </w:pPr>
            <w:r>
              <w:rPr>
                <w:rFonts w:hint="eastAsia" w:ascii="宋体"/>
                <w:kern w:val="0"/>
              </w:rPr>
              <w:t>1.以欺骗、贿赂等不正当手段，取得多个相关证书、文书；</w:t>
            </w:r>
          </w:p>
          <w:p w14:paraId="218192F5">
            <w:pPr>
              <w:jc w:val="left"/>
              <w:rPr>
                <w:rFonts w:ascii="宋体"/>
                <w:kern w:val="0"/>
              </w:rPr>
            </w:pPr>
            <w:r>
              <w:rPr>
                <w:rFonts w:hint="eastAsia" w:ascii="宋体"/>
                <w:kern w:val="0"/>
              </w:rPr>
              <w:t>2.发生小事故或险情的；</w:t>
            </w:r>
          </w:p>
          <w:p w14:paraId="79E728B8">
            <w:pPr>
              <w:jc w:val="left"/>
              <w:rPr>
                <w:rFonts w:ascii="宋体"/>
                <w:kern w:val="0"/>
              </w:rPr>
            </w:pPr>
            <w:r>
              <w:rPr>
                <w:rFonts w:hint="eastAsia" w:ascii="宋体"/>
                <w:kern w:val="0"/>
              </w:rPr>
              <w:t>3.具有其他较重情节的。</w:t>
            </w:r>
          </w:p>
        </w:tc>
        <w:tc>
          <w:tcPr>
            <w:tcW w:w="11907" w:type="dxa"/>
            <w:tcBorders>
              <w:top w:val="single" w:color="auto" w:sz="4" w:space="0"/>
              <w:bottom w:val="single" w:color="auto" w:sz="4" w:space="0"/>
            </w:tcBorders>
            <w:vAlign w:val="center"/>
          </w:tcPr>
          <w:p w14:paraId="2E09553F">
            <w:pPr>
              <w:jc w:val="center"/>
              <w:rPr>
                <w:rFonts w:ascii="宋体"/>
                <w:kern w:val="0"/>
              </w:rPr>
            </w:pPr>
            <w:r>
              <w:rPr>
                <w:rFonts w:hint="eastAsia" w:ascii="宋体"/>
                <w:kern w:val="0"/>
              </w:rPr>
              <w:t>10-15万元，</w:t>
            </w:r>
            <w:r>
              <w:rPr>
                <w:rFonts w:hint="eastAsia" w:ascii="宋体"/>
              </w:rPr>
              <w:t>撤销有关许可，没收相关证书、文书</w:t>
            </w:r>
          </w:p>
        </w:tc>
      </w:tr>
      <w:tr w14:paraId="3C0BD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38" w:type="dxa"/>
            <w:vMerge w:val="continue"/>
            <w:vAlign w:val="center"/>
          </w:tcPr>
          <w:p w14:paraId="529DA726">
            <w:pPr>
              <w:jc w:val="left"/>
              <w:rPr>
                <w:rFonts w:ascii="宋体"/>
                <w:kern w:val="0"/>
              </w:rPr>
            </w:pPr>
          </w:p>
        </w:tc>
        <w:tc>
          <w:tcPr>
            <w:tcW w:w="1160" w:type="dxa"/>
            <w:vMerge w:val="continue"/>
            <w:vAlign w:val="center"/>
          </w:tcPr>
          <w:p w14:paraId="595A1BA6">
            <w:pPr>
              <w:jc w:val="left"/>
              <w:rPr>
                <w:rFonts w:ascii="宋体"/>
                <w:kern w:val="0"/>
              </w:rPr>
            </w:pPr>
          </w:p>
        </w:tc>
        <w:tc>
          <w:tcPr>
            <w:tcW w:w="1403" w:type="dxa"/>
            <w:vMerge w:val="continue"/>
            <w:vAlign w:val="center"/>
          </w:tcPr>
          <w:p w14:paraId="34E1ED3C">
            <w:pPr>
              <w:jc w:val="left"/>
              <w:rPr>
                <w:rFonts w:ascii="宋体"/>
                <w:kern w:val="0"/>
              </w:rPr>
            </w:pPr>
          </w:p>
        </w:tc>
        <w:tc>
          <w:tcPr>
            <w:tcW w:w="992" w:type="dxa"/>
            <w:vMerge w:val="continue"/>
            <w:vAlign w:val="center"/>
          </w:tcPr>
          <w:p w14:paraId="65E54908">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14:paraId="6F851EA0">
            <w:pPr>
              <w:jc w:val="left"/>
              <w:rPr>
                <w:rFonts w:ascii="宋体"/>
                <w:kern w:val="0"/>
              </w:rPr>
            </w:pPr>
            <w:r>
              <w:rPr>
                <w:rFonts w:hint="eastAsia" w:ascii="宋体"/>
                <w:kern w:val="0"/>
              </w:rPr>
              <w:t>1.造成一般等级以上事故的；</w:t>
            </w:r>
          </w:p>
          <w:p w14:paraId="762CF464">
            <w:pPr>
              <w:jc w:val="left"/>
              <w:rPr>
                <w:rFonts w:ascii="宋体"/>
                <w:kern w:val="0"/>
              </w:rPr>
            </w:pPr>
            <w:r>
              <w:rPr>
                <w:rFonts w:hint="eastAsia" w:ascii="宋体"/>
                <w:kern w:val="0"/>
              </w:rPr>
              <w:t>2.具有其他严重情节的。</w:t>
            </w:r>
          </w:p>
        </w:tc>
        <w:tc>
          <w:tcPr>
            <w:tcW w:w="11907" w:type="dxa"/>
            <w:tcBorders>
              <w:top w:val="single" w:color="auto" w:sz="4" w:space="0"/>
            </w:tcBorders>
            <w:vAlign w:val="center"/>
          </w:tcPr>
          <w:p w14:paraId="66A1DAD2">
            <w:pPr>
              <w:jc w:val="center"/>
              <w:rPr>
                <w:rFonts w:ascii="宋体"/>
                <w:kern w:val="0"/>
              </w:rPr>
            </w:pPr>
            <w:r>
              <w:rPr>
                <w:rFonts w:hint="eastAsia" w:ascii="宋体"/>
                <w:kern w:val="0"/>
              </w:rPr>
              <w:t>20-40万元，</w:t>
            </w:r>
            <w:r>
              <w:rPr>
                <w:rFonts w:hint="eastAsia" w:ascii="宋体"/>
              </w:rPr>
              <w:t>撤销有关许可，没收相关证书、文书</w:t>
            </w:r>
          </w:p>
        </w:tc>
      </w:tr>
    </w:tbl>
    <w:p w14:paraId="0FF0550F">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5"/>
        <w:gridCol w:w="2202"/>
        <w:gridCol w:w="2514"/>
        <w:gridCol w:w="1584"/>
        <w:gridCol w:w="3780"/>
        <w:gridCol w:w="8388"/>
      </w:tblGrid>
      <w:tr w14:paraId="2519F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trPr>
        <w:tc>
          <w:tcPr>
            <w:tcW w:w="1585" w:type="dxa"/>
            <w:vMerge w:val="restart"/>
            <w:vAlign w:val="center"/>
          </w:tcPr>
          <w:p w14:paraId="39126ECE">
            <w:pPr>
              <w:spacing w:line="240" w:lineRule="exact"/>
              <w:jc w:val="center"/>
              <w:rPr>
                <w:rFonts w:ascii="宋体"/>
                <w:b/>
              </w:rPr>
            </w:pPr>
            <w:r>
              <w:rPr>
                <w:rFonts w:hint="eastAsia" w:ascii="宋体"/>
                <w:b/>
              </w:rPr>
              <w:t>案由</w:t>
            </w:r>
            <w:r>
              <w:rPr>
                <w:rFonts w:hint="eastAsia" w:ascii="宋体"/>
                <w:b/>
                <w:bCs/>
              </w:rPr>
              <w:t>41</w:t>
            </w:r>
          </w:p>
        </w:tc>
        <w:tc>
          <w:tcPr>
            <w:tcW w:w="4716" w:type="dxa"/>
            <w:gridSpan w:val="2"/>
            <w:vAlign w:val="center"/>
          </w:tcPr>
          <w:p w14:paraId="2B0F4E1D">
            <w:pPr>
              <w:spacing w:line="240" w:lineRule="exact"/>
              <w:jc w:val="center"/>
              <w:rPr>
                <w:rFonts w:ascii="宋体"/>
                <w:b/>
              </w:rPr>
            </w:pPr>
            <w:r>
              <w:rPr>
                <w:rFonts w:hint="eastAsia" w:ascii="宋体"/>
                <w:b/>
              </w:rPr>
              <w:t>法律依据</w:t>
            </w:r>
          </w:p>
        </w:tc>
        <w:tc>
          <w:tcPr>
            <w:tcW w:w="1584" w:type="dxa"/>
            <w:vMerge w:val="restart"/>
            <w:vAlign w:val="center"/>
          </w:tcPr>
          <w:p w14:paraId="2558FDCF">
            <w:pPr>
              <w:spacing w:line="240" w:lineRule="exact"/>
              <w:jc w:val="center"/>
              <w:rPr>
                <w:rFonts w:ascii="宋体"/>
              </w:rPr>
            </w:pPr>
            <w:r>
              <w:rPr>
                <w:rFonts w:hint="eastAsia" w:ascii="宋体"/>
                <w:b/>
              </w:rPr>
              <w:t>违法情节</w:t>
            </w:r>
          </w:p>
        </w:tc>
        <w:tc>
          <w:tcPr>
            <w:tcW w:w="3780" w:type="dxa"/>
            <w:vMerge w:val="restart"/>
            <w:vAlign w:val="center"/>
          </w:tcPr>
          <w:p w14:paraId="1B026270">
            <w:pPr>
              <w:spacing w:line="240" w:lineRule="exact"/>
              <w:jc w:val="center"/>
              <w:rPr>
                <w:rFonts w:ascii="宋体"/>
              </w:rPr>
            </w:pPr>
            <w:r>
              <w:rPr>
                <w:rFonts w:hint="eastAsia" w:ascii="宋体"/>
                <w:b/>
              </w:rPr>
              <w:t>主要考虑因素（事实、性质、情节、危害程度和实际后果等）</w:t>
            </w:r>
          </w:p>
        </w:tc>
        <w:tc>
          <w:tcPr>
            <w:tcW w:w="8388" w:type="dxa"/>
            <w:tcBorders>
              <w:bottom w:val="single" w:color="auto" w:sz="4" w:space="0"/>
              <w:right w:val="single" w:color="auto" w:sz="4" w:space="0"/>
            </w:tcBorders>
            <w:vAlign w:val="center"/>
          </w:tcPr>
          <w:p w14:paraId="30AAB966">
            <w:pPr>
              <w:spacing w:line="240" w:lineRule="exact"/>
              <w:jc w:val="left"/>
              <w:rPr>
                <w:rFonts w:ascii="宋体"/>
              </w:rPr>
            </w:pPr>
            <w:r>
              <w:rPr>
                <w:rFonts w:hint="eastAsia" w:ascii="宋体"/>
                <w:b/>
              </w:rPr>
              <w:t>【法定幅度和种类】</w:t>
            </w:r>
            <w:r>
              <w:rPr>
                <w:rFonts w:hint="eastAsia" w:ascii="宋体"/>
                <w:bCs/>
              </w:rPr>
              <w:t>海事管理机构应当责令其改正，并对违法船舶所有人或者船舶经营人处1000元以上1万元以下罚款。</w:t>
            </w:r>
          </w:p>
        </w:tc>
      </w:tr>
      <w:tr w14:paraId="6699F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9" w:hRule="atLeast"/>
        </w:trPr>
        <w:tc>
          <w:tcPr>
            <w:tcW w:w="1585" w:type="dxa"/>
            <w:vMerge w:val="continue"/>
            <w:vAlign w:val="center"/>
          </w:tcPr>
          <w:p w14:paraId="206CB34D">
            <w:pPr>
              <w:spacing w:line="240" w:lineRule="exact"/>
              <w:jc w:val="center"/>
              <w:rPr>
                <w:rFonts w:ascii="宋体"/>
                <w:b/>
              </w:rPr>
            </w:pPr>
          </w:p>
        </w:tc>
        <w:tc>
          <w:tcPr>
            <w:tcW w:w="2202" w:type="dxa"/>
            <w:vAlign w:val="center"/>
          </w:tcPr>
          <w:p w14:paraId="0CB9AE8C">
            <w:pPr>
              <w:spacing w:line="240" w:lineRule="exact"/>
              <w:jc w:val="center"/>
              <w:rPr>
                <w:rFonts w:ascii="宋体"/>
                <w:b/>
              </w:rPr>
            </w:pPr>
            <w:r>
              <w:rPr>
                <w:rFonts w:hint="eastAsia" w:ascii="宋体"/>
                <w:b/>
              </w:rPr>
              <w:t>违反条款</w:t>
            </w:r>
          </w:p>
        </w:tc>
        <w:tc>
          <w:tcPr>
            <w:tcW w:w="2514" w:type="dxa"/>
            <w:tcBorders>
              <w:bottom w:val="single" w:color="auto" w:sz="4" w:space="0"/>
            </w:tcBorders>
            <w:vAlign w:val="center"/>
          </w:tcPr>
          <w:p w14:paraId="75BF4B96">
            <w:pPr>
              <w:spacing w:line="240" w:lineRule="exact"/>
              <w:jc w:val="center"/>
              <w:rPr>
                <w:rFonts w:ascii="宋体"/>
                <w:b/>
              </w:rPr>
            </w:pPr>
            <w:r>
              <w:rPr>
                <w:rFonts w:hint="eastAsia" w:ascii="宋体"/>
                <w:b/>
              </w:rPr>
              <w:t>处罚依据</w:t>
            </w:r>
          </w:p>
        </w:tc>
        <w:tc>
          <w:tcPr>
            <w:tcW w:w="1584" w:type="dxa"/>
            <w:vMerge w:val="continue"/>
            <w:vAlign w:val="center"/>
          </w:tcPr>
          <w:p w14:paraId="73FE4F9B">
            <w:pPr>
              <w:spacing w:line="240" w:lineRule="exact"/>
              <w:jc w:val="center"/>
              <w:rPr>
                <w:rFonts w:ascii="宋体"/>
              </w:rPr>
            </w:pPr>
          </w:p>
        </w:tc>
        <w:tc>
          <w:tcPr>
            <w:tcW w:w="3780" w:type="dxa"/>
            <w:vMerge w:val="continue"/>
            <w:vAlign w:val="center"/>
          </w:tcPr>
          <w:p w14:paraId="30D790BE">
            <w:pPr>
              <w:spacing w:line="240" w:lineRule="exact"/>
              <w:jc w:val="center"/>
              <w:rPr>
                <w:rFonts w:ascii="宋体"/>
              </w:rPr>
            </w:pPr>
          </w:p>
        </w:tc>
        <w:tc>
          <w:tcPr>
            <w:tcW w:w="8388" w:type="dxa"/>
            <w:tcBorders>
              <w:top w:val="single" w:color="auto" w:sz="4" w:space="0"/>
              <w:right w:val="single" w:color="auto" w:sz="4" w:space="0"/>
            </w:tcBorders>
            <w:vAlign w:val="center"/>
          </w:tcPr>
          <w:p w14:paraId="7831E0CB">
            <w:pPr>
              <w:spacing w:line="240" w:lineRule="exact"/>
              <w:jc w:val="center"/>
              <w:rPr>
                <w:rFonts w:ascii="宋体"/>
              </w:rPr>
            </w:pPr>
            <w:r>
              <w:rPr>
                <w:rFonts w:hint="eastAsia" w:ascii="宋体"/>
                <w:b/>
              </w:rPr>
              <w:t>【对象】船舶所有人、船舶经营人</w:t>
            </w:r>
          </w:p>
        </w:tc>
      </w:tr>
      <w:tr w14:paraId="37332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585" w:type="dxa"/>
            <w:vMerge w:val="restart"/>
            <w:tcBorders>
              <w:top w:val="single" w:color="auto" w:sz="4" w:space="0"/>
            </w:tcBorders>
            <w:vAlign w:val="center"/>
          </w:tcPr>
          <w:p w14:paraId="142DD596">
            <w:pPr>
              <w:widowControl/>
              <w:spacing w:line="240" w:lineRule="exact"/>
              <w:rPr>
                <w:rFonts w:ascii="宋体"/>
              </w:rPr>
            </w:pPr>
            <w:r>
              <w:rPr>
                <w:rFonts w:hint="eastAsia" w:ascii="宋体"/>
              </w:rPr>
              <w:t>船舶未按照规定随船携带或者保存《船舶现场监督报告》《船旗国监督检查报告》《港口国监督检查报告》</w:t>
            </w:r>
          </w:p>
        </w:tc>
        <w:tc>
          <w:tcPr>
            <w:tcW w:w="2202" w:type="dxa"/>
            <w:vMerge w:val="restart"/>
            <w:tcBorders>
              <w:top w:val="single" w:color="auto" w:sz="4" w:space="0"/>
            </w:tcBorders>
            <w:vAlign w:val="center"/>
          </w:tcPr>
          <w:p w14:paraId="565FEE1F">
            <w:pPr>
              <w:widowControl/>
              <w:spacing w:line="240" w:lineRule="exact"/>
              <w:rPr>
                <w:rFonts w:ascii="宋体"/>
              </w:rPr>
            </w:pPr>
            <w:r>
              <w:rPr>
                <w:rFonts w:hint="eastAsia" w:ascii="宋体"/>
              </w:rPr>
              <w:t>1.《中华人民共和国船舶安全监督规则》第二十五条第二款、第三十六条</w:t>
            </w:r>
          </w:p>
        </w:tc>
        <w:tc>
          <w:tcPr>
            <w:tcW w:w="2514" w:type="dxa"/>
            <w:vMerge w:val="restart"/>
            <w:tcBorders>
              <w:top w:val="single" w:color="auto" w:sz="4" w:space="0"/>
            </w:tcBorders>
            <w:vAlign w:val="center"/>
          </w:tcPr>
          <w:p w14:paraId="7BC22531">
            <w:pPr>
              <w:spacing w:line="240" w:lineRule="exact"/>
              <w:rPr>
                <w:rFonts w:ascii="宋体"/>
              </w:rPr>
            </w:pPr>
            <w:r>
              <w:rPr>
                <w:rFonts w:hint="eastAsia" w:ascii="宋体"/>
              </w:rPr>
              <w:t xml:space="preserve"> 1.《中华人民共和国船舶安全监督规则》第五十四条；</w:t>
            </w:r>
          </w:p>
          <w:p w14:paraId="636019DB">
            <w:pPr>
              <w:spacing w:line="240" w:lineRule="exact"/>
              <w:rPr>
                <w:rFonts w:ascii="宋体"/>
              </w:rPr>
            </w:pPr>
            <w:r>
              <w:rPr>
                <w:rFonts w:hint="eastAsia" w:ascii="宋体"/>
                <w:kern w:val="0"/>
              </w:rPr>
              <w:t>2. 《中华人民共和国海上海事行政处罚规定》第七条。</w:t>
            </w:r>
          </w:p>
        </w:tc>
        <w:tc>
          <w:tcPr>
            <w:tcW w:w="1584" w:type="dxa"/>
            <w:vAlign w:val="center"/>
          </w:tcPr>
          <w:p w14:paraId="6F4C6A0E">
            <w:pPr>
              <w:spacing w:line="240" w:lineRule="exact"/>
              <w:jc w:val="center"/>
              <w:rPr>
                <w:rFonts w:ascii="宋体"/>
              </w:rPr>
            </w:pPr>
            <w:r>
              <w:rPr>
                <w:rFonts w:hint="eastAsia" w:ascii="宋体"/>
              </w:rPr>
              <w:t>从轻</w:t>
            </w:r>
          </w:p>
        </w:tc>
        <w:tc>
          <w:tcPr>
            <w:tcW w:w="3780" w:type="dxa"/>
            <w:vAlign w:val="center"/>
          </w:tcPr>
          <w:p w14:paraId="63CE8996">
            <w:pPr>
              <w:widowControl/>
              <w:spacing w:line="240" w:lineRule="exact"/>
              <w:jc w:val="left"/>
              <w:rPr>
                <w:rFonts w:ascii="宋体"/>
                <w:kern w:val="0"/>
              </w:rPr>
            </w:pPr>
            <w:r>
              <w:rPr>
                <w:rFonts w:hint="eastAsia" w:ascii="宋体"/>
                <w:kern w:val="0"/>
              </w:rPr>
              <w:t>具有法定从轻处罚情节的</w:t>
            </w:r>
          </w:p>
        </w:tc>
        <w:tc>
          <w:tcPr>
            <w:tcW w:w="8388" w:type="dxa"/>
            <w:tcBorders>
              <w:right w:val="single" w:color="auto" w:sz="4" w:space="0"/>
            </w:tcBorders>
            <w:vAlign w:val="center"/>
          </w:tcPr>
          <w:p w14:paraId="528FA393">
            <w:pPr>
              <w:spacing w:line="240" w:lineRule="exact"/>
              <w:jc w:val="center"/>
              <w:rPr>
                <w:rFonts w:ascii="宋体"/>
              </w:rPr>
            </w:pPr>
            <w:r>
              <w:rPr>
                <w:rFonts w:hint="eastAsia" w:ascii="宋体"/>
              </w:rPr>
              <w:t>1000-3000元</w:t>
            </w:r>
          </w:p>
        </w:tc>
      </w:tr>
      <w:tr w14:paraId="2473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585" w:type="dxa"/>
            <w:vMerge w:val="continue"/>
            <w:tcBorders>
              <w:top w:val="single" w:color="auto" w:sz="4" w:space="0"/>
              <w:bottom w:val="single" w:color="auto" w:sz="4" w:space="0"/>
            </w:tcBorders>
          </w:tcPr>
          <w:p w14:paraId="74AD5904">
            <w:pPr>
              <w:widowControl/>
              <w:spacing w:line="240" w:lineRule="exact"/>
              <w:jc w:val="left"/>
              <w:rPr>
                <w:rFonts w:ascii="宋体"/>
              </w:rPr>
            </w:pPr>
          </w:p>
        </w:tc>
        <w:tc>
          <w:tcPr>
            <w:tcW w:w="2202" w:type="dxa"/>
            <w:vMerge w:val="continue"/>
            <w:tcBorders>
              <w:top w:val="single" w:color="auto" w:sz="4" w:space="0"/>
              <w:bottom w:val="single" w:color="auto" w:sz="4" w:space="0"/>
            </w:tcBorders>
          </w:tcPr>
          <w:p w14:paraId="1A4EB30D">
            <w:pPr>
              <w:widowControl/>
              <w:spacing w:line="240" w:lineRule="exact"/>
              <w:jc w:val="left"/>
              <w:rPr>
                <w:rFonts w:ascii="宋体"/>
              </w:rPr>
            </w:pPr>
          </w:p>
        </w:tc>
        <w:tc>
          <w:tcPr>
            <w:tcW w:w="2514" w:type="dxa"/>
            <w:vMerge w:val="continue"/>
            <w:tcBorders>
              <w:top w:val="single" w:color="auto" w:sz="4" w:space="0"/>
              <w:bottom w:val="single" w:color="auto" w:sz="4" w:space="0"/>
            </w:tcBorders>
          </w:tcPr>
          <w:p w14:paraId="7B100790">
            <w:pPr>
              <w:spacing w:line="240" w:lineRule="exact"/>
              <w:jc w:val="left"/>
              <w:rPr>
                <w:rFonts w:ascii="宋体"/>
              </w:rPr>
            </w:pPr>
          </w:p>
        </w:tc>
        <w:tc>
          <w:tcPr>
            <w:tcW w:w="1584" w:type="dxa"/>
            <w:vMerge w:val="restart"/>
            <w:vAlign w:val="center"/>
          </w:tcPr>
          <w:p w14:paraId="6BB0BD5C">
            <w:pPr>
              <w:spacing w:line="240" w:lineRule="exact"/>
              <w:jc w:val="center"/>
              <w:rPr>
                <w:rFonts w:ascii="宋体"/>
              </w:rPr>
            </w:pPr>
            <w:r>
              <w:rPr>
                <w:rFonts w:hint="eastAsia" w:ascii="宋体"/>
              </w:rPr>
              <w:t>一般</w:t>
            </w:r>
          </w:p>
        </w:tc>
        <w:tc>
          <w:tcPr>
            <w:tcW w:w="3780" w:type="dxa"/>
            <w:vAlign w:val="center"/>
          </w:tcPr>
          <w:p w14:paraId="6EF7B3C2">
            <w:pPr>
              <w:widowControl/>
              <w:spacing w:line="240" w:lineRule="exact"/>
              <w:jc w:val="left"/>
              <w:rPr>
                <w:rFonts w:ascii="宋体"/>
                <w:kern w:val="0"/>
              </w:rPr>
            </w:pPr>
            <w:r>
              <w:rPr>
                <w:rFonts w:hint="eastAsia" w:ascii="宋体"/>
                <w:kern w:val="0"/>
              </w:rPr>
              <w:t>未按照规定随船携带</w:t>
            </w:r>
          </w:p>
        </w:tc>
        <w:tc>
          <w:tcPr>
            <w:tcW w:w="8388" w:type="dxa"/>
            <w:tcBorders>
              <w:right w:val="single" w:color="auto" w:sz="4" w:space="0"/>
            </w:tcBorders>
            <w:vAlign w:val="center"/>
          </w:tcPr>
          <w:p w14:paraId="2FD246F3">
            <w:pPr>
              <w:spacing w:line="240" w:lineRule="exact"/>
              <w:jc w:val="center"/>
              <w:rPr>
                <w:rFonts w:ascii="宋体"/>
              </w:rPr>
            </w:pPr>
            <w:r>
              <w:rPr>
                <w:rFonts w:hint="eastAsia" w:ascii="宋体"/>
              </w:rPr>
              <w:t>3000-5000元</w:t>
            </w:r>
          </w:p>
        </w:tc>
      </w:tr>
      <w:tr w14:paraId="1925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585" w:type="dxa"/>
            <w:vMerge w:val="continue"/>
            <w:tcBorders>
              <w:top w:val="single" w:color="auto" w:sz="4" w:space="0"/>
              <w:bottom w:val="single" w:color="auto" w:sz="4" w:space="0"/>
            </w:tcBorders>
          </w:tcPr>
          <w:p w14:paraId="1F78F112">
            <w:pPr>
              <w:widowControl/>
              <w:spacing w:line="240" w:lineRule="exact"/>
              <w:jc w:val="left"/>
              <w:rPr>
                <w:rFonts w:ascii="宋体"/>
              </w:rPr>
            </w:pPr>
          </w:p>
        </w:tc>
        <w:tc>
          <w:tcPr>
            <w:tcW w:w="2202" w:type="dxa"/>
            <w:vMerge w:val="continue"/>
            <w:tcBorders>
              <w:top w:val="single" w:color="auto" w:sz="4" w:space="0"/>
              <w:bottom w:val="single" w:color="auto" w:sz="4" w:space="0"/>
            </w:tcBorders>
          </w:tcPr>
          <w:p w14:paraId="7F8A28F1">
            <w:pPr>
              <w:widowControl/>
              <w:spacing w:line="240" w:lineRule="exact"/>
              <w:jc w:val="left"/>
              <w:rPr>
                <w:rFonts w:ascii="宋体"/>
              </w:rPr>
            </w:pPr>
          </w:p>
        </w:tc>
        <w:tc>
          <w:tcPr>
            <w:tcW w:w="2514" w:type="dxa"/>
            <w:vMerge w:val="continue"/>
            <w:tcBorders>
              <w:top w:val="single" w:color="auto" w:sz="4" w:space="0"/>
              <w:bottom w:val="single" w:color="auto" w:sz="4" w:space="0"/>
            </w:tcBorders>
          </w:tcPr>
          <w:p w14:paraId="67AB2816">
            <w:pPr>
              <w:spacing w:line="240" w:lineRule="exact"/>
              <w:jc w:val="left"/>
              <w:rPr>
                <w:rFonts w:ascii="宋体"/>
              </w:rPr>
            </w:pPr>
          </w:p>
        </w:tc>
        <w:tc>
          <w:tcPr>
            <w:tcW w:w="1584" w:type="dxa"/>
            <w:vMerge w:val="continue"/>
            <w:vAlign w:val="center"/>
          </w:tcPr>
          <w:p w14:paraId="36D153F4">
            <w:pPr>
              <w:spacing w:line="240" w:lineRule="exact"/>
              <w:jc w:val="center"/>
              <w:rPr>
                <w:rFonts w:ascii="宋体"/>
              </w:rPr>
            </w:pPr>
          </w:p>
        </w:tc>
        <w:tc>
          <w:tcPr>
            <w:tcW w:w="3780" w:type="dxa"/>
            <w:vAlign w:val="center"/>
          </w:tcPr>
          <w:p w14:paraId="3C7DAB4E">
            <w:pPr>
              <w:widowControl/>
              <w:spacing w:line="240" w:lineRule="exact"/>
              <w:jc w:val="left"/>
              <w:rPr>
                <w:rFonts w:ascii="宋体"/>
                <w:kern w:val="0"/>
              </w:rPr>
            </w:pPr>
            <w:r>
              <w:rPr>
                <w:rFonts w:hint="eastAsia" w:ascii="宋体"/>
                <w:kern w:val="0"/>
              </w:rPr>
              <w:t>未按照规定保存</w:t>
            </w:r>
          </w:p>
        </w:tc>
        <w:tc>
          <w:tcPr>
            <w:tcW w:w="8388" w:type="dxa"/>
            <w:tcBorders>
              <w:right w:val="single" w:color="auto" w:sz="4" w:space="0"/>
            </w:tcBorders>
            <w:vAlign w:val="center"/>
          </w:tcPr>
          <w:p w14:paraId="21954585">
            <w:pPr>
              <w:spacing w:line="240" w:lineRule="exact"/>
              <w:jc w:val="center"/>
              <w:rPr>
                <w:rFonts w:ascii="宋体"/>
              </w:rPr>
            </w:pPr>
            <w:r>
              <w:rPr>
                <w:rFonts w:hint="eastAsia" w:ascii="宋体"/>
              </w:rPr>
              <w:t>5000-7000元</w:t>
            </w:r>
          </w:p>
        </w:tc>
      </w:tr>
      <w:tr w14:paraId="0794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1585" w:type="dxa"/>
            <w:vMerge w:val="continue"/>
            <w:tcBorders>
              <w:top w:val="single" w:color="auto" w:sz="4" w:space="0"/>
              <w:bottom w:val="single" w:color="auto" w:sz="4" w:space="0"/>
            </w:tcBorders>
          </w:tcPr>
          <w:p w14:paraId="4A5B7D30">
            <w:pPr>
              <w:widowControl/>
              <w:spacing w:line="240" w:lineRule="exact"/>
              <w:jc w:val="left"/>
              <w:rPr>
                <w:rFonts w:ascii="宋体"/>
              </w:rPr>
            </w:pPr>
          </w:p>
        </w:tc>
        <w:tc>
          <w:tcPr>
            <w:tcW w:w="2202" w:type="dxa"/>
            <w:vMerge w:val="continue"/>
            <w:tcBorders>
              <w:top w:val="single" w:color="auto" w:sz="4" w:space="0"/>
              <w:bottom w:val="single" w:color="auto" w:sz="4" w:space="0"/>
            </w:tcBorders>
          </w:tcPr>
          <w:p w14:paraId="1D7AD64B">
            <w:pPr>
              <w:widowControl/>
              <w:spacing w:line="240" w:lineRule="exact"/>
              <w:jc w:val="left"/>
              <w:rPr>
                <w:rFonts w:ascii="宋体"/>
              </w:rPr>
            </w:pPr>
          </w:p>
        </w:tc>
        <w:tc>
          <w:tcPr>
            <w:tcW w:w="2514" w:type="dxa"/>
            <w:vMerge w:val="continue"/>
            <w:tcBorders>
              <w:top w:val="single" w:color="auto" w:sz="4" w:space="0"/>
              <w:bottom w:val="single" w:color="auto" w:sz="4" w:space="0"/>
            </w:tcBorders>
          </w:tcPr>
          <w:p w14:paraId="56DC65A1">
            <w:pPr>
              <w:spacing w:line="240" w:lineRule="exact"/>
              <w:jc w:val="left"/>
              <w:rPr>
                <w:rFonts w:ascii="宋体"/>
              </w:rPr>
            </w:pPr>
          </w:p>
        </w:tc>
        <w:tc>
          <w:tcPr>
            <w:tcW w:w="1584" w:type="dxa"/>
            <w:vMerge w:val="continue"/>
            <w:tcBorders>
              <w:bottom w:val="single" w:color="auto" w:sz="4" w:space="0"/>
            </w:tcBorders>
            <w:vAlign w:val="center"/>
          </w:tcPr>
          <w:p w14:paraId="31BD0A7A">
            <w:pPr>
              <w:spacing w:line="240" w:lineRule="exact"/>
              <w:jc w:val="center"/>
              <w:rPr>
                <w:rFonts w:ascii="宋体"/>
              </w:rPr>
            </w:pPr>
          </w:p>
        </w:tc>
        <w:tc>
          <w:tcPr>
            <w:tcW w:w="3780" w:type="dxa"/>
            <w:tcBorders>
              <w:top w:val="single" w:color="auto" w:sz="4" w:space="0"/>
              <w:bottom w:val="single" w:color="auto" w:sz="4" w:space="0"/>
              <w:right w:val="single" w:color="auto" w:sz="4" w:space="0"/>
            </w:tcBorders>
            <w:vAlign w:val="center"/>
          </w:tcPr>
          <w:p w14:paraId="267E18EB">
            <w:pPr>
              <w:widowControl/>
              <w:spacing w:line="240" w:lineRule="exact"/>
              <w:jc w:val="left"/>
              <w:rPr>
                <w:rFonts w:ascii="宋体"/>
                <w:kern w:val="0"/>
              </w:rPr>
            </w:pPr>
            <w:r>
              <w:rPr>
                <w:rFonts w:hint="eastAsia" w:ascii="宋体"/>
                <w:kern w:val="0"/>
              </w:rPr>
              <w:t>具有其他较重情节的</w:t>
            </w:r>
          </w:p>
        </w:tc>
        <w:tc>
          <w:tcPr>
            <w:tcW w:w="8388" w:type="dxa"/>
            <w:tcBorders>
              <w:top w:val="single" w:color="auto" w:sz="4" w:space="0"/>
              <w:left w:val="single" w:color="auto" w:sz="4" w:space="0"/>
              <w:bottom w:val="single" w:color="auto" w:sz="4" w:space="0"/>
              <w:right w:val="single" w:color="auto" w:sz="4" w:space="0"/>
            </w:tcBorders>
            <w:vAlign w:val="center"/>
          </w:tcPr>
          <w:p w14:paraId="74390AB0">
            <w:pPr>
              <w:spacing w:line="240" w:lineRule="exact"/>
              <w:jc w:val="center"/>
              <w:rPr>
                <w:rFonts w:ascii="宋体"/>
                <w:bCs/>
              </w:rPr>
            </w:pPr>
            <w:r>
              <w:rPr>
                <w:rFonts w:hint="eastAsia" w:ascii="宋体"/>
                <w:bCs/>
              </w:rPr>
              <w:t>7000元-1万元</w:t>
            </w:r>
          </w:p>
        </w:tc>
      </w:tr>
    </w:tbl>
    <w:p w14:paraId="69387B53">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61"/>
        <w:gridCol w:w="1605"/>
        <w:gridCol w:w="1455"/>
        <w:gridCol w:w="1350"/>
        <w:gridCol w:w="4275"/>
        <w:gridCol w:w="10398"/>
      </w:tblGrid>
      <w:tr w14:paraId="1F14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61" w:type="dxa"/>
            <w:vMerge w:val="restart"/>
            <w:vAlign w:val="center"/>
          </w:tcPr>
          <w:p w14:paraId="634160DD">
            <w:pPr>
              <w:spacing w:line="240" w:lineRule="exact"/>
              <w:jc w:val="center"/>
              <w:rPr>
                <w:rFonts w:ascii="宋体"/>
                <w:b/>
                <w:kern w:val="0"/>
              </w:rPr>
            </w:pPr>
            <w:r>
              <w:rPr>
                <w:rFonts w:hint="eastAsia" w:ascii="宋体"/>
                <w:b/>
                <w:kern w:val="0"/>
              </w:rPr>
              <w:t>案由42</w:t>
            </w:r>
          </w:p>
        </w:tc>
        <w:tc>
          <w:tcPr>
            <w:tcW w:w="3060" w:type="dxa"/>
            <w:gridSpan w:val="2"/>
            <w:vAlign w:val="center"/>
          </w:tcPr>
          <w:p w14:paraId="414D79B8">
            <w:pPr>
              <w:spacing w:line="240" w:lineRule="exact"/>
              <w:jc w:val="center"/>
              <w:rPr>
                <w:rFonts w:ascii="宋体"/>
                <w:b/>
                <w:kern w:val="0"/>
              </w:rPr>
            </w:pPr>
            <w:r>
              <w:rPr>
                <w:rFonts w:hint="eastAsia" w:ascii="宋体"/>
                <w:b/>
                <w:kern w:val="0"/>
              </w:rPr>
              <w:t>法律依据</w:t>
            </w:r>
          </w:p>
        </w:tc>
        <w:tc>
          <w:tcPr>
            <w:tcW w:w="1350" w:type="dxa"/>
            <w:vMerge w:val="restart"/>
            <w:vAlign w:val="center"/>
          </w:tcPr>
          <w:p w14:paraId="18A29DEC">
            <w:pPr>
              <w:spacing w:line="240" w:lineRule="exact"/>
              <w:jc w:val="center"/>
              <w:rPr>
                <w:rFonts w:ascii="宋体"/>
                <w:b/>
                <w:kern w:val="0"/>
              </w:rPr>
            </w:pPr>
            <w:r>
              <w:rPr>
                <w:rFonts w:hint="eastAsia" w:ascii="宋体"/>
                <w:b/>
                <w:kern w:val="0"/>
              </w:rPr>
              <w:t>违法情节</w:t>
            </w:r>
          </w:p>
        </w:tc>
        <w:tc>
          <w:tcPr>
            <w:tcW w:w="4275" w:type="dxa"/>
            <w:vMerge w:val="restart"/>
            <w:vAlign w:val="center"/>
          </w:tcPr>
          <w:p w14:paraId="1E9E4CD2">
            <w:pPr>
              <w:spacing w:line="240" w:lineRule="exact"/>
              <w:jc w:val="center"/>
              <w:rPr>
                <w:rFonts w:ascii="宋体"/>
                <w:b/>
                <w:kern w:val="0"/>
              </w:rPr>
            </w:pPr>
            <w:r>
              <w:rPr>
                <w:rFonts w:hint="eastAsia" w:ascii="宋体"/>
                <w:b/>
                <w:kern w:val="0"/>
              </w:rPr>
              <w:t>主要考虑因素（事实、性质、情节、危害程度和实际后果等）</w:t>
            </w:r>
          </w:p>
        </w:tc>
        <w:tc>
          <w:tcPr>
            <w:tcW w:w="10398" w:type="dxa"/>
            <w:vMerge w:val="restart"/>
            <w:vAlign w:val="center"/>
          </w:tcPr>
          <w:p w14:paraId="2860EFD9">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由海事管理机构处1000元以上1万元以下罚款；情节严重的，并给予暂扣船员适任证书6个月以上2年以下直至吊销船员适任证书的处罚。</w:t>
            </w:r>
          </w:p>
        </w:tc>
      </w:tr>
      <w:tr w14:paraId="29EE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961" w:type="dxa"/>
            <w:vMerge w:val="continue"/>
            <w:tcBorders>
              <w:bottom w:val="single" w:color="000000" w:sz="4" w:space="0"/>
            </w:tcBorders>
            <w:vAlign w:val="center"/>
          </w:tcPr>
          <w:p w14:paraId="1208B5FB">
            <w:pPr>
              <w:spacing w:line="240" w:lineRule="exact"/>
              <w:jc w:val="center"/>
              <w:rPr>
                <w:rFonts w:ascii="宋体"/>
                <w:b/>
                <w:kern w:val="0"/>
              </w:rPr>
            </w:pPr>
          </w:p>
        </w:tc>
        <w:tc>
          <w:tcPr>
            <w:tcW w:w="1605" w:type="dxa"/>
            <w:vMerge w:val="restart"/>
            <w:tcBorders>
              <w:bottom w:val="single" w:color="000000" w:sz="4" w:space="0"/>
            </w:tcBorders>
            <w:vAlign w:val="center"/>
          </w:tcPr>
          <w:p w14:paraId="36C67DB8">
            <w:pPr>
              <w:spacing w:line="240" w:lineRule="exact"/>
              <w:jc w:val="center"/>
              <w:rPr>
                <w:rFonts w:ascii="宋体"/>
                <w:b/>
                <w:kern w:val="0"/>
              </w:rPr>
            </w:pPr>
            <w:r>
              <w:rPr>
                <w:rFonts w:hint="eastAsia" w:ascii="宋体"/>
                <w:b/>
                <w:kern w:val="0"/>
              </w:rPr>
              <w:t>违反条款</w:t>
            </w:r>
          </w:p>
        </w:tc>
        <w:tc>
          <w:tcPr>
            <w:tcW w:w="1455" w:type="dxa"/>
            <w:vMerge w:val="restart"/>
            <w:tcBorders>
              <w:bottom w:val="single" w:color="000000" w:sz="4" w:space="0"/>
            </w:tcBorders>
            <w:vAlign w:val="center"/>
          </w:tcPr>
          <w:p w14:paraId="0BFD0959">
            <w:pPr>
              <w:spacing w:line="240" w:lineRule="exact"/>
              <w:jc w:val="center"/>
              <w:rPr>
                <w:rFonts w:ascii="宋体"/>
                <w:b/>
                <w:kern w:val="0"/>
              </w:rPr>
            </w:pPr>
            <w:r>
              <w:rPr>
                <w:rFonts w:hint="eastAsia" w:ascii="宋体"/>
                <w:b/>
                <w:kern w:val="0"/>
              </w:rPr>
              <w:t>处罚依据</w:t>
            </w:r>
          </w:p>
        </w:tc>
        <w:tc>
          <w:tcPr>
            <w:tcW w:w="1350" w:type="dxa"/>
            <w:vMerge w:val="continue"/>
            <w:tcBorders>
              <w:bottom w:val="single" w:color="000000" w:sz="4" w:space="0"/>
            </w:tcBorders>
            <w:vAlign w:val="center"/>
          </w:tcPr>
          <w:p w14:paraId="4C765F9F">
            <w:pPr>
              <w:spacing w:line="240" w:lineRule="exact"/>
              <w:jc w:val="center"/>
              <w:rPr>
                <w:rFonts w:ascii="宋体"/>
                <w:b/>
                <w:kern w:val="0"/>
              </w:rPr>
            </w:pPr>
          </w:p>
        </w:tc>
        <w:tc>
          <w:tcPr>
            <w:tcW w:w="4275" w:type="dxa"/>
            <w:vMerge w:val="continue"/>
            <w:tcBorders>
              <w:bottom w:val="single" w:color="000000" w:sz="4" w:space="0"/>
            </w:tcBorders>
            <w:vAlign w:val="center"/>
          </w:tcPr>
          <w:p w14:paraId="707D53C0">
            <w:pPr>
              <w:spacing w:line="240" w:lineRule="exact"/>
              <w:jc w:val="center"/>
              <w:rPr>
                <w:rFonts w:ascii="宋体"/>
                <w:b/>
                <w:kern w:val="0"/>
              </w:rPr>
            </w:pPr>
          </w:p>
        </w:tc>
        <w:tc>
          <w:tcPr>
            <w:tcW w:w="10398" w:type="dxa"/>
            <w:vMerge w:val="continue"/>
            <w:tcBorders>
              <w:bottom w:val="single" w:color="auto" w:sz="4" w:space="0"/>
            </w:tcBorders>
            <w:vAlign w:val="center"/>
          </w:tcPr>
          <w:p w14:paraId="0B0ED5A8">
            <w:pPr>
              <w:spacing w:line="240" w:lineRule="exact"/>
              <w:jc w:val="center"/>
              <w:rPr>
                <w:rFonts w:ascii="宋体"/>
                <w:b/>
                <w:kern w:val="0"/>
              </w:rPr>
            </w:pPr>
          </w:p>
        </w:tc>
      </w:tr>
      <w:tr w14:paraId="3E66E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2" w:hRule="atLeast"/>
        </w:trPr>
        <w:tc>
          <w:tcPr>
            <w:tcW w:w="961" w:type="dxa"/>
            <w:vMerge w:val="continue"/>
            <w:vAlign w:val="center"/>
          </w:tcPr>
          <w:p w14:paraId="6DB83CAB">
            <w:pPr>
              <w:spacing w:line="240" w:lineRule="exact"/>
              <w:jc w:val="center"/>
              <w:rPr>
                <w:rFonts w:ascii="宋体"/>
                <w:b/>
                <w:kern w:val="0"/>
              </w:rPr>
            </w:pPr>
          </w:p>
        </w:tc>
        <w:tc>
          <w:tcPr>
            <w:tcW w:w="1605" w:type="dxa"/>
            <w:vMerge w:val="continue"/>
            <w:vAlign w:val="center"/>
          </w:tcPr>
          <w:p w14:paraId="5F6EF3CF">
            <w:pPr>
              <w:spacing w:line="240" w:lineRule="exact"/>
              <w:jc w:val="center"/>
              <w:rPr>
                <w:rFonts w:ascii="宋体"/>
                <w:b/>
                <w:kern w:val="0"/>
              </w:rPr>
            </w:pPr>
          </w:p>
        </w:tc>
        <w:tc>
          <w:tcPr>
            <w:tcW w:w="1455" w:type="dxa"/>
            <w:vMerge w:val="continue"/>
            <w:vAlign w:val="center"/>
          </w:tcPr>
          <w:p w14:paraId="3F3C25CB">
            <w:pPr>
              <w:spacing w:line="240" w:lineRule="exact"/>
              <w:jc w:val="center"/>
              <w:rPr>
                <w:rFonts w:ascii="宋体"/>
                <w:b/>
                <w:kern w:val="0"/>
              </w:rPr>
            </w:pPr>
          </w:p>
        </w:tc>
        <w:tc>
          <w:tcPr>
            <w:tcW w:w="1350" w:type="dxa"/>
            <w:vMerge w:val="continue"/>
            <w:vAlign w:val="center"/>
          </w:tcPr>
          <w:p w14:paraId="087F6FF0">
            <w:pPr>
              <w:spacing w:line="240" w:lineRule="exact"/>
              <w:jc w:val="center"/>
              <w:rPr>
                <w:rFonts w:ascii="宋体"/>
                <w:b/>
                <w:kern w:val="0"/>
              </w:rPr>
            </w:pPr>
          </w:p>
        </w:tc>
        <w:tc>
          <w:tcPr>
            <w:tcW w:w="4275" w:type="dxa"/>
            <w:vMerge w:val="continue"/>
            <w:vAlign w:val="center"/>
          </w:tcPr>
          <w:p w14:paraId="5723DF4F">
            <w:pPr>
              <w:spacing w:line="240" w:lineRule="exact"/>
              <w:jc w:val="center"/>
              <w:rPr>
                <w:rFonts w:ascii="宋体"/>
                <w:b/>
                <w:kern w:val="0"/>
              </w:rPr>
            </w:pPr>
          </w:p>
        </w:tc>
        <w:tc>
          <w:tcPr>
            <w:tcW w:w="10398" w:type="dxa"/>
            <w:tcBorders>
              <w:top w:val="single" w:color="auto" w:sz="4" w:space="0"/>
              <w:right w:val="single" w:color="auto" w:sz="4" w:space="0"/>
            </w:tcBorders>
            <w:vAlign w:val="center"/>
          </w:tcPr>
          <w:p w14:paraId="39BBF73B">
            <w:pPr>
              <w:jc w:val="center"/>
              <w:rPr>
                <w:rFonts w:ascii="宋体"/>
                <w:b/>
                <w:kern w:val="0"/>
              </w:rPr>
            </w:pPr>
            <w:r>
              <w:rPr>
                <w:rFonts w:hint="eastAsia" w:ascii="宋体"/>
                <w:b/>
              </w:rPr>
              <w:t>【对象】船员</w:t>
            </w:r>
          </w:p>
        </w:tc>
      </w:tr>
      <w:tr w14:paraId="11C97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61" w:type="dxa"/>
            <w:vMerge w:val="restart"/>
            <w:vAlign w:val="center"/>
          </w:tcPr>
          <w:p w14:paraId="0B3695CE">
            <w:pPr>
              <w:widowControl/>
              <w:spacing w:line="240" w:lineRule="exact"/>
              <w:jc w:val="left"/>
              <w:rPr>
                <w:rFonts w:ascii="宋体"/>
                <w:kern w:val="0"/>
              </w:rPr>
            </w:pPr>
            <w:r>
              <w:rPr>
                <w:rFonts w:hint="eastAsia" w:ascii="宋体"/>
                <w:kern w:val="0"/>
              </w:rPr>
              <w:t>未如实填写或者记载有关船舶、船员法定文书</w:t>
            </w:r>
          </w:p>
        </w:tc>
        <w:tc>
          <w:tcPr>
            <w:tcW w:w="1605" w:type="dxa"/>
            <w:vMerge w:val="restart"/>
            <w:vAlign w:val="center"/>
          </w:tcPr>
          <w:p w14:paraId="153694F4">
            <w:pPr>
              <w:spacing w:line="240" w:lineRule="exact"/>
              <w:jc w:val="left"/>
              <w:rPr>
                <w:rFonts w:ascii="宋体"/>
                <w:kern w:val="0"/>
              </w:rPr>
            </w:pPr>
            <w:r>
              <w:rPr>
                <w:rFonts w:hint="eastAsia" w:ascii="宋体"/>
                <w:kern w:val="0"/>
              </w:rPr>
              <w:t>1.《中华人民共和国船员条例》第十六条第（三）项。</w:t>
            </w:r>
          </w:p>
        </w:tc>
        <w:tc>
          <w:tcPr>
            <w:tcW w:w="1455" w:type="dxa"/>
            <w:vMerge w:val="restart"/>
            <w:vAlign w:val="center"/>
          </w:tcPr>
          <w:p w14:paraId="5B0DAC65">
            <w:pPr>
              <w:spacing w:line="240" w:lineRule="exact"/>
              <w:jc w:val="left"/>
              <w:rPr>
                <w:rFonts w:ascii="宋体"/>
                <w:kern w:val="0"/>
              </w:rPr>
            </w:pPr>
            <w:r>
              <w:rPr>
                <w:rFonts w:hint="eastAsia" w:ascii="宋体"/>
                <w:kern w:val="0"/>
              </w:rPr>
              <w:t>1.《中华人民共和国船员条例》第五十二条第（四）项；</w:t>
            </w:r>
          </w:p>
          <w:p w14:paraId="1283E8E0">
            <w:pPr>
              <w:spacing w:line="240" w:lineRule="exact"/>
              <w:jc w:val="left"/>
              <w:rPr>
                <w:rFonts w:ascii="宋体"/>
                <w:kern w:val="0"/>
              </w:rPr>
            </w:pPr>
            <w:r>
              <w:rPr>
                <w:rFonts w:hint="eastAsia" w:ascii="宋体"/>
                <w:kern w:val="0"/>
              </w:rPr>
              <w:t>2. 《中华人民共和国海上海事行政处罚规定》第七条。</w:t>
            </w:r>
          </w:p>
        </w:tc>
        <w:tc>
          <w:tcPr>
            <w:tcW w:w="1350" w:type="dxa"/>
            <w:vAlign w:val="center"/>
          </w:tcPr>
          <w:p w14:paraId="7399BD8B">
            <w:pPr>
              <w:spacing w:line="240" w:lineRule="exact"/>
              <w:jc w:val="center"/>
              <w:rPr>
                <w:rFonts w:ascii="宋体"/>
                <w:kern w:val="0"/>
              </w:rPr>
            </w:pPr>
            <w:r>
              <w:rPr>
                <w:rFonts w:hint="eastAsia" w:ascii="宋体"/>
                <w:kern w:val="0"/>
              </w:rPr>
              <w:t>从轻</w:t>
            </w:r>
          </w:p>
        </w:tc>
        <w:tc>
          <w:tcPr>
            <w:tcW w:w="4275" w:type="dxa"/>
            <w:vAlign w:val="center"/>
          </w:tcPr>
          <w:p w14:paraId="4BA38968">
            <w:pPr>
              <w:spacing w:line="240" w:lineRule="exact"/>
              <w:jc w:val="left"/>
              <w:rPr>
                <w:rFonts w:ascii="宋体"/>
                <w:kern w:val="0"/>
              </w:rPr>
            </w:pPr>
            <w:r>
              <w:rPr>
                <w:rFonts w:hint="eastAsia" w:ascii="宋体"/>
                <w:kern w:val="0"/>
              </w:rPr>
              <w:t>具有法定从轻处罚情节的</w:t>
            </w:r>
          </w:p>
        </w:tc>
        <w:tc>
          <w:tcPr>
            <w:tcW w:w="10398" w:type="dxa"/>
            <w:tcBorders>
              <w:right w:val="single" w:color="auto" w:sz="4" w:space="0"/>
            </w:tcBorders>
            <w:vAlign w:val="center"/>
          </w:tcPr>
          <w:p w14:paraId="429444F7">
            <w:pPr>
              <w:spacing w:line="240" w:lineRule="exact"/>
              <w:jc w:val="center"/>
              <w:rPr>
                <w:rFonts w:ascii="宋体"/>
                <w:kern w:val="0"/>
              </w:rPr>
            </w:pPr>
            <w:r>
              <w:rPr>
                <w:rFonts w:hint="eastAsia" w:ascii="宋体"/>
                <w:kern w:val="0"/>
              </w:rPr>
              <w:t>1000-2000元</w:t>
            </w:r>
          </w:p>
        </w:tc>
      </w:tr>
      <w:tr w14:paraId="2B8B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87" w:hRule="atLeast"/>
        </w:trPr>
        <w:tc>
          <w:tcPr>
            <w:tcW w:w="961" w:type="dxa"/>
            <w:vMerge w:val="continue"/>
            <w:vAlign w:val="center"/>
          </w:tcPr>
          <w:p w14:paraId="1F09FB4C">
            <w:pPr>
              <w:spacing w:line="240" w:lineRule="exact"/>
              <w:jc w:val="left"/>
              <w:rPr>
                <w:rFonts w:ascii="宋体"/>
                <w:kern w:val="0"/>
              </w:rPr>
            </w:pPr>
          </w:p>
        </w:tc>
        <w:tc>
          <w:tcPr>
            <w:tcW w:w="1605" w:type="dxa"/>
            <w:vMerge w:val="continue"/>
            <w:vAlign w:val="center"/>
          </w:tcPr>
          <w:p w14:paraId="1CC8ECE1">
            <w:pPr>
              <w:widowControl/>
              <w:spacing w:line="240" w:lineRule="exact"/>
              <w:jc w:val="left"/>
              <w:rPr>
                <w:rFonts w:ascii="宋体"/>
                <w:kern w:val="0"/>
              </w:rPr>
            </w:pPr>
          </w:p>
        </w:tc>
        <w:tc>
          <w:tcPr>
            <w:tcW w:w="1455" w:type="dxa"/>
            <w:vMerge w:val="continue"/>
            <w:vAlign w:val="center"/>
          </w:tcPr>
          <w:p w14:paraId="79EAD310">
            <w:pPr>
              <w:spacing w:line="240" w:lineRule="exact"/>
              <w:jc w:val="left"/>
              <w:rPr>
                <w:rFonts w:ascii="宋体"/>
                <w:kern w:val="0"/>
              </w:rPr>
            </w:pPr>
          </w:p>
        </w:tc>
        <w:tc>
          <w:tcPr>
            <w:tcW w:w="1350" w:type="dxa"/>
            <w:vMerge w:val="restart"/>
            <w:vAlign w:val="center"/>
          </w:tcPr>
          <w:p w14:paraId="21BA2618">
            <w:pPr>
              <w:spacing w:line="240" w:lineRule="exact"/>
              <w:jc w:val="center"/>
              <w:rPr>
                <w:rFonts w:ascii="宋体"/>
                <w:kern w:val="0"/>
              </w:rPr>
            </w:pPr>
            <w:r>
              <w:rPr>
                <w:rFonts w:hint="eastAsia" w:ascii="宋体"/>
                <w:kern w:val="0"/>
              </w:rPr>
              <w:t>一般</w:t>
            </w:r>
          </w:p>
        </w:tc>
        <w:tc>
          <w:tcPr>
            <w:tcW w:w="4275" w:type="dxa"/>
            <w:vAlign w:val="center"/>
          </w:tcPr>
          <w:p w14:paraId="77BEBCD8">
            <w:pPr>
              <w:spacing w:line="240" w:lineRule="exact"/>
              <w:jc w:val="left"/>
              <w:rPr>
                <w:rFonts w:ascii="宋体"/>
                <w:kern w:val="0"/>
              </w:rPr>
            </w:pPr>
            <w:r>
              <w:rPr>
                <w:rFonts w:hint="eastAsia" w:ascii="宋体"/>
                <w:kern w:val="0"/>
              </w:rPr>
              <w:t>未如实填写或记载的内容不涉及事故或可能存在的违法行为，且未对海事管理机构的检查、调查造成不利影响的</w:t>
            </w:r>
          </w:p>
        </w:tc>
        <w:tc>
          <w:tcPr>
            <w:tcW w:w="10398" w:type="dxa"/>
            <w:tcBorders>
              <w:right w:val="single" w:color="auto" w:sz="4" w:space="0"/>
            </w:tcBorders>
            <w:vAlign w:val="center"/>
          </w:tcPr>
          <w:p w14:paraId="2CAE7878">
            <w:pPr>
              <w:spacing w:line="240" w:lineRule="exact"/>
              <w:jc w:val="center"/>
              <w:rPr>
                <w:rFonts w:ascii="宋体"/>
                <w:kern w:val="0"/>
              </w:rPr>
            </w:pPr>
            <w:r>
              <w:rPr>
                <w:rFonts w:hint="eastAsia" w:ascii="宋体"/>
                <w:kern w:val="0"/>
              </w:rPr>
              <w:t>2000-4000元</w:t>
            </w:r>
          </w:p>
        </w:tc>
      </w:tr>
      <w:tr w14:paraId="6B91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90" w:hRule="atLeast"/>
        </w:trPr>
        <w:tc>
          <w:tcPr>
            <w:tcW w:w="961" w:type="dxa"/>
            <w:vMerge w:val="continue"/>
            <w:vAlign w:val="center"/>
          </w:tcPr>
          <w:p w14:paraId="070FE869">
            <w:pPr>
              <w:spacing w:line="240" w:lineRule="exact"/>
              <w:jc w:val="left"/>
              <w:rPr>
                <w:rFonts w:ascii="宋体"/>
                <w:kern w:val="0"/>
              </w:rPr>
            </w:pPr>
          </w:p>
        </w:tc>
        <w:tc>
          <w:tcPr>
            <w:tcW w:w="1605" w:type="dxa"/>
            <w:vMerge w:val="continue"/>
            <w:vAlign w:val="center"/>
          </w:tcPr>
          <w:p w14:paraId="3DD78F4D">
            <w:pPr>
              <w:widowControl/>
              <w:spacing w:line="240" w:lineRule="exact"/>
              <w:jc w:val="left"/>
              <w:rPr>
                <w:rFonts w:ascii="宋体"/>
                <w:kern w:val="0"/>
              </w:rPr>
            </w:pPr>
          </w:p>
        </w:tc>
        <w:tc>
          <w:tcPr>
            <w:tcW w:w="1455" w:type="dxa"/>
            <w:vMerge w:val="continue"/>
            <w:vAlign w:val="center"/>
          </w:tcPr>
          <w:p w14:paraId="0EBDFF3B">
            <w:pPr>
              <w:spacing w:line="240" w:lineRule="exact"/>
              <w:jc w:val="left"/>
              <w:rPr>
                <w:rFonts w:ascii="宋体"/>
                <w:kern w:val="0"/>
              </w:rPr>
            </w:pPr>
          </w:p>
        </w:tc>
        <w:tc>
          <w:tcPr>
            <w:tcW w:w="1350" w:type="dxa"/>
            <w:vMerge w:val="continue"/>
            <w:vAlign w:val="center"/>
          </w:tcPr>
          <w:p w14:paraId="6B448573">
            <w:pPr>
              <w:spacing w:line="240" w:lineRule="exact"/>
              <w:jc w:val="center"/>
              <w:rPr>
                <w:rFonts w:ascii="宋体"/>
                <w:kern w:val="0"/>
              </w:rPr>
            </w:pPr>
          </w:p>
        </w:tc>
        <w:tc>
          <w:tcPr>
            <w:tcW w:w="4275" w:type="dxa"/>
            <w:vAlign w:val="center"/>
          </w:tcPr>
          <w:p w14:paraId="505B3786">
            <w:pPr>
              <w:spacing w:line="240" w:lineRule="exact"/>
              <w:jc w:val="left"/>
              <w:rPr>
                <w:rFonts w:ascii="宋体"/>
                <w:kern w:val="0"/>
              </w:rPr>
            </w:pPr>
            <w:r>
              <w:rPr>
                <w:rFonts w:hint="eastAsia" w:ascii="宋体"/>
                <w:kern w:val="0"/>
              </w:rPr>
              <w:t>1.未如实填写或记载的内容与船舶事故、可能存在的违法行为相关或对海事管理机构的检查、调查造成不利影响的</w:t>
            </w:r>
          </w:p>
          <w:p w14:paraId="2B6C79BB">
            <w:pPr>
              <w:spacing w:line="240" w:lineRule="exact"/>
              <w:jc w:val="left"/>
              <w:rPr>
                <w:rFonts w:ascii="宋体"/>
                <w:kern w:val="0"/>
              </w:rPr>
            </w:pPr>
            <w:r>
              <w:rPr>
                <w:rFonts w:hint="eastAsia" w:ascii="宋体"/>
                <w:kern w:val="0"/>
              </w:rPr>
              <w:t>2.具有其他较重情节的</w:t>
            </w:r>
          </w:p>
        </w:tc>
        <w:tc>
          <w:tcPr>
            <w:tcW w:w="10398" w:type="dxa"/>
            <w:tcBorders>
              <w:right w:val="single" w:color="auto" w:sz="4" w:space="0"/>
            </w:tcBorders>
            <w:vAlign w:val="center"/>
          </w:tcPr>
          <w:p w14:paraId="39875832">
            <w:pPr>
              <w:spacing w:line="240" w:lineRule="exact"/>
              <w:jc w:val="center"/>
              <w:rPr>
                <w:rFonts w:ascii="宋体"/>
                <w:kern w:val="0"/>
              </w:rPr>
            </w:pPr>
            <w:r>
              <w:rPr>
                <w:rFonts w:hint="eastAsia" w:ascii="宋体"/>
                <w:kern w:val="0"/>
              </w:rPr>
              <w:t>4000元-1万元，并扣证6个月以上12个月以下。</w:t>
            </w:r>
          </w:p>
        </w:tc>
      </w:tr>
      <w:tr w14:paraId="169C6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13" w:hRule="atLeast"/>
        </w:trPr>
        <w:tc>
          <w:tcPr>
            <w:tcW w:w="961" w:type="dxa"/>
            <w:vMerge w:val="continue"/>
            <w:vAlign w:val="center"/>
          </w:tcPr>
          <w:p w14:paraId="41009151">
            <w:pPr>
              <w:spacing w:line="240" w:lineRule="exact"/>
              <w:jc w:val="left"/>
              <w:rPr>
                <w:rFonts w:ascii="宋体"/>
                <w:kern w:val="0"/>
              </w:rPr>
            </w:pPr>
          </w:p>
        </w:tc>
        <w:tc>
          <w:tcPr>
            <w:tcW w:w="1605" w:type="dxa"/>
            <w:vMerge w:val="continue"/>
            <w:vAlign w:val="center"/>
          </w:tcPr>
          <w:p w14:paraId="011592E1">
            <w:pPr>
              <w:widowControl/>
              <w:spacing w:line="240" w:lineRule="exact"/>
              <w:jc w:val="left"/>
              <w:rPr>
                <w:rFonts w:ascii="宋体"/>
                <w:kern w:val="0"/>
              </w:rPr>
            </w:pPr>
          </w:p>
        </w:tc>
        <w:tc>
          <w:tcPr>
            <w:tcW w:w="1455" w:type="dxa"/>
            <w:vMerge w:val="continue"/>
            <w:vAlign w:val="center"/>
          </w:tcPr>
          <w:p w14:paraId="5F8089E7">
            <w:pPr>
              <w:spacing w:line="240" w:lineRule="exact"/>
              <w:jc w:val="left"/>
              <w:rPr>
                <w:rFonts w:ascii="宋体"/>
                <w:kern w:val="0"/>
              </w:rPr>
            </w:pPr>
          </w:p>
        </w:tc>
        <w:tc>
          <w:tcPr>
            <w:tcW w:w="1350" w:type="dxa"/>
            <w:vAlign w:val="center"/>
          </w:tcPr>
          <w:p w14:paraId="36F49A7E">
            <w:pPr>
              <w:spacing w:line="240" w:lineRule="exact"/>
              <w:jc w:val="center"/>
              <w:rPr>
                <w:rFonts w:ascii="宋体"/>
                <w:kern w:val="0"/>
              </w:rPr>
            </w:pPr>
            <w:r>
              <w:rPr>
                <w:rFonts w:hint="eastAsia" w:ascii="宋体"/>
                <w:kern w:val="0"/>
              </w:rPr>
              <w:t>情节严重</w:t>
            </w:r>
          </w:p>
        </w:tc>
        <w:tc>
          <w:tcPr>
            <w:tcW w:w="4275" w:type="dxa"/>
            <w:vAlign w:val="center"/>
          </w:tcPr>
          <w:p w14:paraId="027A96F7">
            <w:pPr>
              <w:spacing w:line="240" w:lineRule="exact"/>
              <w:jc w:val="left"/>
              <w:rPr>
                <w:rFonts w:ascii="宋体"/>
                <w:kern w:val="0"/>
              </w:rPr>
            </w:pPr>
            <w:r>
              <w:rPr>
                <w:rFonts w:hint="eastAsia" w:ascii="宋体"/>
                <w:kern w:val="0"/>
              </w:rPr>
              <w:t>1.在船舶法定文书中故意弄虚作假掩盖事故、违法事实或阻挠、逃避海事机构检查、调查的；</w:t>
            </w:r>
          </w:p>
          <w:p w14:paraId="247C9354">
            <w:pPr>
              <w:spacing w:line="240" w:lineRule="exact"/>
              <w:jc w:val="left"/>
              <w:rPr>
                <w:rFonts w:ascii="宋体"/>
                <w:kern w:val="0"/>
              </w:rPr>
            </w:pPr>
            <w:r>
              <w:rPr>
                <w:rFonts w:hint="eastAsia" w:ascii="宋体"/>
                <w:kern w:val="0"/>
              </w:rPr>
              <w:t>2.船员被海事管理机构查出未如实填写或者记载有关船舶法定文书违法行为时已离职，海事管理机构通知后拒不或不及时接受调查处理的；</w:t>
            </w:r>
          </w:p>
          <w:p w14:paraId="47CC3F49">
            <w:pPr>
              <w:spacing w:line="240" w:lineRule="exact"/>
              <w:jc w:val="left"/>
              <w:rPr>
                <w:rFonts w:ascii="宋体"/>
                <w:kern w:val="0"/>
              </w:rPr>
            </w:pPr>
            <w:r>
              <w:rPr>
                <w:rFonts w:hint="eastAsia" w:ascii="宋体"/>
                <w:kern w:val="0"/>
              </w:rPr>
              <w:t>3.具有其他严重情节的。</w:t>
            </w:r>
          </w:p>
        </w:tc>
        <w:tc>
          <w:tcPr>
            <w:tcW w:w="10398" w:type="dxa"/>
            <w:tcBorders>
              <w:right w:val="single" w:color="auto" w:sz="4" w:space="0"/>
            </w:tcBorders>
            <w:vAlign w:val="center"/>
          </w:tcPr>
          <w:p w14:paraId="5D14D449">
            <w:pPr>
              <w:spacing w:line="240" w:lineRule="exact"/>
              <w:jc w:val="center"/>
              <w:rPr>
                <w:rFonts w:ascii="宋体"/>
                <w:kern w:val="0"/>
              </w:rPr>
            </w:pPr>
            <w:r>
              <w:rPr>
                <w:rFonts w:hint="eastAsia" w:ascii="宋体"/>
                <w:kern w:val="0"/>
              </w:rPr>
              <w:t>6000元-1万元，并扣证12个月以上2年以下直至吊销证书。</w:t>
            </w:r>
          </w:p>
        </w:tc>
      </w:tr>
    </w:tbl>
    <w:p w14:paraId="396E4F82">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18"/>
        <w:gridCol w:w="1360"/>
        <w:gridCol w:w="1454"/>
        <w:gridCol w:w="986"/>
        <w:gridCol w:w="3419"/>
        <w:gridCol w:w="6662"/>
        <w:gridCol w:w="2268"/>
        <w:gridCol w:w="2977"/>
      </w:tblGrid>
      <w:tr w14:paraId="79A26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18" w:type="dxa"/>
            <w:vMerge w:val="restart"/>
            <w:vAlign w:val="center"/>
          </w:tcPr>
          <w:p w14:paraId="33B10064">
            <w:pPr>
              <w:jc w:val="left"/>
              <w:rPr>
                <w:rFonts w:ascii="宋体"/>
                <w:b/>
                <w:kern w:val="0"/>
              </w:rPr>
            </w:pPr>
            <w:r>
              <w:rPr>
                <w:rFonts w:hint="eastAsia" w:ascii="宋体"/>
                <w:b/>
                <w:kern w:val="0"/>
              </w:rPr>
              <w:t>案由43</w:t>
            </w:r>
          </w:p>
        </w:tc>
        <w:tc>
          <w:tcPr>
            <w:tcW w:w="2814" w:type="dxa"/>
            <w:gridSpan w:val="2"/>
            <w:vAlign w:val="center"/>
          </w:tcPr>
          <w:p w14:paraId="0D65BA58">
            <w:pPr>
              <w:jc w:val="center"/>
              <w:rPr>
                <w:rFonts w:ascii="宋体"/>
                <w:b/>
                <w:kern w:val="0"/>
              </w:rPr>
            </w:pPr>
            <w:r>
              <w:rPr>
                <w:rFonts w:hint="eastAsia" w:ascii="宋体"/>
                <w:b/>
                <w:kern w:val="0"/>
              </w:rPr>
              <w:t>法律依据</w:t>
            </w:r>
          </w:p>
        </w:tc>
        <w:tc>
          <w:tcPr>
            <w:tcW w:w="986" w:type="dxa"/>
            <w:vMerge w:val="restart"/>
            <w:vAlign w:val="center"/>
          </w:tcPr>
          <w:p w14:paraId="15F2635E">
            <w:pPr>
              <w:jc w:val="center"/>
              <w:rPr>
                <w:rFonts w:ascii="宋体"/>
                <w:b/>
                <w:kern w:val="0"/>
              </w:rPr>
            </w:pPr>
            <w:r>
              <w:rPr>
                <w:rFonts w:hint="eastAsia" w:ascii="宋体"/>
                <w:b/>
                <w:kern w:val="0"/>
              </w:rPr>
              <w:t>违法情节</w:t>
            </w:r>
          </w:p>
        </w:tc>
        <w:tc>
          <w:tcPr>
            <w:tcW w:w="3419" w:type="dxa"/>
            <w:vMerge w:val="restart"/>
            <w:vAlign w:val="center"/>
          </w:tcPr>
          <w:p w14:paraId="080172E9">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14:paraId="75DBABEE">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14:paraId="2EB1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18" w:type="dxa"/>
            <w:vMerge w:val="continue"/>
            <w:tcBorders>
              <w:bottom w:val="single" w:color="000000" w:sz="4" w:space="0"/>
            </w:tcBorders>
            <w:vAlign w:val="center"/>
          </w:tcPr>
          <w:p w14:paraId="6F76CC04">
            <w:pPr>
              <w:jc w:val="left"/>
              <w:rPr>
                <w:rFonts w:ascii="宋体"/>
                <w:b/>
                <w:kern w:val="0"/>
              </w:rPr>
            </w:pPr>
          </w:p>
        </w:tc>
        <w:tc>
          <w:tcPr>
            <w:tcW w:w="1360" w:type="dxa"/>
            <w:tcBorders>
              <w:bottom w:val="single" w:color="000000" w:sz="4" w:space="0"/>
            </w:tcBorders>
            <w:vAlign w:val="center"/>
          </w:tcPr>
          <w:p w14:paraId="49CCA343">
            <w:pPr>
              <w:jc w:val="center"/>
              <w:rPr>
                <w:rFonts w:ascii="宋体"/>
                <w:b/>
                <w:kern w:val="0"/>
              </w:rPr>
            </w:pPr>
            <w:r>
              <w:rPr>
                <w:rFonts w:hint="eastAsia" w:ascii="宋体"/>
                <w:b/>
                <w:kern w:val="0"/>
              </w:rPr>
              <w:t>违反条款</w:t>
            </w:r>
          </w:p>
        </w:tc>
        <w:tc>
          <w:tcPr>
            <w:tcW w:w="1454" w:type="dxa"/>
            <w:tcBorders>
              <w:bottom w:val="single" w:color="000000" w:sz="4" w:space="0"/>
            </w:tcBorders>
            <w:vAlign w:val="center"/>
          </w:tcPr>
          <w:p w14:paraId="5708E1BB">
            <w:pPr>
              <w:jc w:val="center"/>
              <w:rPr>
                <w:rFonts w:ascii="宋体"/>
                <w:b/>
                <w:kern w:val="0"/>
              </w:rPr>
            </w:pPr>
            <w:r>
              <w:rPr>
                <w:rFonts w:hint="eastAsia" w:ascii="宋体"/>
                <w:b/>
                <w:kern w:val="0"/>
              </w:rPr>
              <w:t>处罚依据</w:t>
            </w:r>
          </w:p>
        </w:tc>
        <w:tc>
          <w:tcPr>
            <w:tcW w:w="986" w:type="dxa"/>
            <w:vMerge w:val="continue"/>
            <w:tcBorders>
              <w:bottom w:val="single" w:color="000000" w:sz="4" w:space="0"/>
            </w:tcBorders>
            <w:vAlign w:val="center"/>
          </w:tcPr>
          <w:p w14:paraId="199C0A90">
            <w:pPr>
              <w:jc w:val="center"/>
              <w:rPr>
                <w:rFonts w:ascii="宋体"/>
                <w:b/>
                <w:kern w:val="0"/>
              </w:rPr>
            </w:pPr>
          </w:p>
        </w:tc>
        <w:tc>
          <w:tcPr>
            <w:tcW w:w="3419" w:type="dxa"/>
            <w:vMerge w:val="continue"/>
            <w:tcBorders>
              <w:bottom w:val="single" w:color="000000" w:sz="4" w:space="0"/>
            </w:tcBorders>
            <w:vAlign w:val="center"/>
          </w:tcPr>
          <w:p w14:paraId="3EDC2B77">
            <w:pPr>
              <w:jc w:val="left"/>
              <w:rPr>
                <w:rFonts w:ascii="宋体"/>
                <w:b/>
                <w:kern w:val="0"/>
              </w:rPr>
            </w:pPr>
          </w:p>
        </w:tc>
        <w:tc>
          <w:tcPr>
            <w:tcW w:w="6662" w:type="dxa"/>
            <w:tcBorders>
              <w:top w:val="single" w:color="auto" w:sz="4" w:space="0"/>
              <w:right w:val="single" w:color="auto" w:sz="4" w:space="0"/>
            </w:tcBorders>
            <w:vAlign w:val="center"/>
          </w:tcPr>
          <w:p w14:paraId="50530582">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14:paraId="5F3C53AD">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14:paraId="77357B34">
            <w:pPr>
              <w:jc w:val="center"/>
              <w:rPr>
                <w:rFonts w:ascii="宋体"/>
                <w:b/>
                <w:kern w:val="0"/>
              </w:rPr>
            </w:pPr>
            <w:r>
              <w:rPr>
                <w:rFonts w:hint="eastAsia" w:ascii="宋体"/>
                <w:b/>
                <w:kern w:val="0"/>
              </w:rPr>
              <w:t>【对象】责任人员</w:t>
            </w:r>
          </w:p>
        </w:tc>
      </w:tr>
      <w:tr w14:paraId="740C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3" w:hRule="atLeast"/>
        </w:trPr>
        <w:tc>
          <w:tcPr>
            <w:tcW w:w="918" w:type="dxa"/>
            <w:vMerge w:val="restart"/>
            <w:vAlign w:val="center"/>
          </w:tcPr>
          <w:p w14:paraId="6DEF1CB4">
            <w:pPr>
              <w:widowControl/>
              <w:jc w:val="left"/>
              <w:rPr>
                <w:rFonts w:ascii="宋体"/>
                <w:kern w:val="0"/>
              </w:rPr>
            </w:pPr>
            <w:r>
              <w:rPr>
                <w:rFonts w:hint="eastAsia" w:ascii="宋体"/>
                <w:kern w:val="0"/>
              </w:rPr>
              <w:t>船舶未依法悬挂国旗，或者违法悬挂其他国家、地区或者组织的旗帜</w:t>
            </w:r>
          </w:p>
        </w:tc>
        <w:tc>
          <w:tcPr>
            <w:tcW w:w="1360" w:type="dxa"/>
            <w:vMerge w:val="restart"/>
            <w:vAlign w:val="center"/>
          </w:tcPr>
          <w:p w14:paraId="0BE4D126">
            <w:pPr>
              <w:widowControl/>
              <w:rPr>
                <w:rFonts w:ascii="宋体"/>
                <w:kern w:val="0"/>
              </w:rPr>
            </w:pPr>
            <w:r>
              <w:rPr>
                <w:rFonts w:hint="eastAsia" w:ascii="宋体"/>
                <w:kern w:val="0"/>
              </w:rPr>
              <w:t>1.《中华人民共和国海上交通安全法》第十条第一款、第三十三条第一款；</w:t>
            </w:r>
          </w:p>
          <w:p w14:paraId="4A2BEF59">
            <w:pPr>
              <w:widowControl/>
              <w:rPr>
                <w:rFonts w:ascii="宋体"/>
              </w:rPr>
            </w:pPr>
            <w:r>
              <w:rPr>
                <w:rFonts w:hint="eastAsia" w:ascii="宋体"/>
              </w:rPr>
              <w:t>2.《中华人民共和国船舶升挂国旗管理办法》相关规定；</w:t>
            </w:r>
          </w:p>
          <w:p w14:paraId="4ECA103A">
            <w:pPr>
              <w:widowControl/>
              <w:rPr>
                <w:rFonts w:ascii="宋体"/>
              </w:rPr>
            </w:pPr>
            <w:r>
              <w:rPr>
                <w:rFonts w:hint="eastAsia" w:ascii="宋体"/>
              </w:rPr>
              <w:t>3.其他法律、法规、规章等。</w:t>
            </w:r>
          </w:p>
        </w:tc>
        <w:tc>
          <w:tcPr>
            <w:tcW w:w="1454" w:type="dxa"/>
            <w:vMerge w:val="restart"/>
            <w:vAlign w:val="center"/>
          </w:tcPr>
          <w:p w14:paraId="603E3B84">
            <w:pPr>
              <w:jc w:val="left"/>
              <w:rPr>
                <w:rFonts w:ascii="宋体"/>
                <w:kern w:val="0"/>
              </w:rPr>
            </w:pPr>
            <w:r>
              <w:rPr>
                <w:rFonts w:hint="eastAsia" w:ascii="宋体"/>
                <w:kern w:val="0"/>
              </w:rPr>
              <w:t>1.《中华人民共和国海上交通安全法》第九十六条第（二）项、《中华人民共和国海上海事行政处罚规定》第十一条第（二）项；</w:t>
            </w:r>
          </w:p>
          <w:p w14:paraId="59690C3C">
            <w:pPr>
              <w:jc w:val="left"/>
              <w:rPr>
                <w:rFonts w:ascii="宋体"/>
                <w:kern w:val="0"/>
              </w:rPr>
            </w:pPr>
            <w:r>
              <w:rPr>
                <w:rFonts w:hint="eastAsia" w:ascii="宋体"/>
                <w:kern w:val="0"/>
              </w:rPr>
              <w:t>2. 《中华人民共和国海上海事行政处罚规定》第七条。</w:t>
            </w:r>
          </w:p>
        </w:tc>
        <w:tc>
          <w:tcPr>
            <w:tcW w:w="986" w:type="dxa"/>
            <w:vAlign w:val="center"/>
          </w:tcPr>
          <w:p w14:paraId="521D44A8">
            <w:pPr>
              <w:jc w:val="center"/>
              <w:rPr>
                <w:rFonts w:ascii="宋体"/>
                <w:kern w:val="0"/>
              </w:rPr>
            </w:pPr>
            <w:r>
              <w:rPr>
                <w:rFonts w:hint="eastAsia" w:ascii="宋体"/>
                <w:kern w:val="0"/>
              </w:rPr>
              <w:t>从轻</w:t>
            </w:r>
          </w:p>
        </w:tc>
        <w:tc>
          <w:tcPr>
            <w:tcW w:w="3419" w:type="dxa"/>
            <w:vAlign w:val="center"/>
          </w:tcPr>
          <w:p w14:paraId="1FFB14C7">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14:paraId="5B3FDFA2">
            <w:pPr>
              <w:jc w:val="center"/>
              <w:rPr>
                <w:rFonts w:ascii="宋体"/>
                <w:kern w:val="0"/>
              </w:rPr>
            </w:pPr>
            <w:r>
              <w:rPr>
                <w:rFonts w:hint="eastAsia" w:ascii="宋体"/>
                <w:kern w:val="0"/>
              </w:rPr>
              <w:t>2-3万元</w:t>
            </w:r>
          </w:p>
        </w:tc>
        <w:tc>
          <w:tcPr>
            <w:tcW w:w="2268" w:type="dxa"/>
            <w:tcBorders>
              <w:left w:val="single" w:color="auto" w:sz="4" w:space="0"/>
              <w:bottom w:val="single" w:color="auto" w:sz="4" w:space="0"/>
              <w:right w:val="single" w:color="auto" w:sz="4" w:space="0"/>
            </w:tcBorders>
            <w:vAlign w:val="center"/>
          </w:tcPr>
          <w:p w14:paraId="0426347E">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14:paraId="1FFFE452">
            <w:pPr>
              <w:jc w:val="center"/>
              <w:rPr>
                <w:rFonts w:ascii="宋体"/>
                <w:kern w:val="0"/>
              </w:rPr>
            </w:pPr>
            <w:r>
              <w:rPr>
                <w:rFonts w:hint="eastAsia" w:ascii="宋体"/>
                <w:kern w:val="0"/>
              </w:rPr>
              <w:t>2000-4000元</w:t>
            </w:r>
          </w:p>
        </w:tc>
      </w:tr>
      <w:tr w14:paraId="2F307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99" w:hRule="atLeast"/>
        </w:trPr>
        <w:tc>
          <w:tcPr>
            <w:tcW w:w="918" w:type="dxa"/>
            <w:vMerge w:val="continue"/>
            <w:vAlign w:val="center"/>
          </w:tcPr>
          <w:p w14:paraId="6E1FE69F">
            <w:pPr>
              <w:jc w:val="left"/>
              <w:rPr>
                <w:rFonts w:ascii="宋体"/>
                <w:kern w:val="0"/>
              </w:rPr>
            </w:pPr>
          </w:p>
        </w:tc>
        <w:tc>
          <w:tcPr>
            <w:tcW w:w="1360" w:type="dxa"/>
            <w:vMerge w:val="continue"/>
            <w:vAlign w:val="center"/>
          </w:tcPr>
          <w:p w14:paraId="09BE46E2">
            <w:pPr>
              <w:widowControl/>
              <w:jc w:val="left"/>
              <w:rPr>
                <w:rFonts w:ascii="宋体"/>
                <w:kern w:val="0"/>
              </w:rPr>
            </w:pPr>
          </w:p>
        </w:tc>
        <w:tc>
          <w:tcPr>
            <w:tcW w:w="1454" w:type="dxa"/>
            <w:vMerge w:val="continue"/>
            <w:vAlign w:val="center"/>
          </w:tcPr>
          <w:p w14:paraId="0C7E0B4C">
            <w:pPr>
              <w:jc w:val="left"/>
              <w:rPr>
                <w:rFonts w:ascii="宋体"/>
                <w:kern w:val="0"/>
              </w:rPr>
            </w:pPr>
          </w:p>
        </w:tc>
        <w:tc>
          <w:tcPr>
            <w:tcW w:w="986" w:type="dxa"/>
            <w:vMerge w:val="restart"/>
            <w:vAlign w:val="center"/>
          </w:tcPr>
          <w:p w14:paraId="67177154">
            <w:pPr>
              <w:jc w:val="center"/>
              <w:rPr>
                <w:rFonts w:ascii="宋体"/>
                <w:kern w:val="0"/>
              </w:rPr>
            </w:pPr>
            <w:r>
              <w:rPr>
                <w:rFonts w:hint="eastAsia" w:ascii="宋体"/>
                <w:kern w:val="0"/>
              </w:rPr>
              <w:t>一般</w:t>
            </w:r>
          </w:p>
        </w:tc>
        <w:tc>
          <w:tcPr>
            <w:tcW w:w="3419" w:type="dxa"/>
            <w:vAlign w:val="center"/>
          </w:tcPr>
          <w:p w14:paraId="7EA78EED">
            <w:pPr>
              <w:pStyle w:val="13"/>
              <w:numPr>
                <w:ilvl w:val="0"/>
                <w:numId w:val="11"/>
              </w:numPr>
              <w:jc w:val="left"/>
              <w:rPr>
                <w:rFonts w:ascii="宋体"/>
              </w:rPr>
            </w:pPr>
            <w:r>
              <w:rPr>
                <w:rFonts w:hint="eastAsia" w:ascii="宋体"/>
              </w:rPr>
              <w:t>船舶未按照正确的位置和方式悬挂国旗，或悬挂破损、污损、褪色、不合规格的国旗；</w:t>
            </w:r>
          </w:p>
          <w:p w14:paraId="02C26717">
            <w:pPr>
              <w:pStyle w:val="13"/>
              <w:numPr>
                <w:ilvl w:val="0"/>
                <w:numId w:val="11"/>
              </w:numPr>
              <w:jc w:val="left"/>
              <w:rPr>
                <w:rFonts w:ascii="宋体"/>
              </w:rPr>
            </w:pPr>
            <w:r>
              <w:rPr>
                <w:rFonts w:hint="eastAsia" w:ascii="宋体"/>
              </w:rPr>
              <w:t>船舶未悬挂国旗的。</w:t>
            </w:r>
          </w:p>
        </w:tc>
        <w:tc>
          <w:tcPr>
            <w:tcW w:w="6662" w:type="dxa"/>
            <w:tcBorders>
              <w:right w:val="single" w:color="auto" w:sz="4" w:space="0"/>
            </w:tcBorders>
            <w:vAlign w:val="center"/>
          </w:tcPr>
          <w:p w14:paraId="17EBAD56">
            <w:pPr>
              <w:jc w:val="center"/>
              <w:rPr>
                <w:rFonts w:ascii="宋体"/>
                <w:kern w:val="0"/>
              </w:rPr>
            </w:pPr>
            <w:r>
              <w:rPr>
                <w:rFonts w:hint="eastAsia" w:ascii="宋体"/>
                <w:kern w:val="0"/>
              </w:rPr>
              <w:t>3-8万元</w:t>
            </w:r>
          </w:p>
        </w:tc>
        <w:tc>
          <w:tcPr>
            <w:tcW w:w="2268" w:type="dxa"/>
            <w:tcBorders>
              <w:top w:val="single" w:color="auto" w:sz="4" w:space="0"/>
              <w:left w:val="single" w:color="auto" w:sz="4" w:space="0"/>
              <w:right w:val="single" w:color="auto" w:sz="4" w:space="0"/>
            </w:tcBorders>
            <w:vAlign w:val="center"/>
          </w:tcPr>
          <w:p w14:paraId="2E020393">
            <w:pPr>
              <w:jc w:val="center"/>
              <w:rPr>
                <w:rFonts w:ascii="宋体"/>
                <w:kern w:val="0"/>
              </w:rPr>
            </w:pPr>
            <w:r>
              <w:rPr>
                <w:rFonts w:hint="eastAsia" w:ascii="宋体"/>
                <w:kern w:val="0"/>
              </w:rPr>
              <w:t>4000-8000元</w:t>
            </w:r>
          </w:p>
        </w:tc>
        <w:tc>
          <w:tcPr>
            <w:tcW w:w="2977" w:type="dxa"/>
            <w:tcBorders>
              <w:top w:val="single" w:color="auto" w:sz="4" w:space="0"/>
              <w:left w:val="single" w:color="auto" w:sz="4" w:space="0"/>
            </w:tcBorders>
            <w:vAlign w:val="center"/>
          </w:tcPr>
          <w:p w14:paraId="6B82AAC1">
            <w:pPr>
              <w:jc w:val="center"/>
              <w:rPr>
                <w:rFonts w:ascii="宋体"/>
                <w:kern w:val="0"/>
              </w:rPr>
            </w:pPr>
            <w:r>
              <w:rPr>
                <w:rFonts w:hint="eastAsia" w:ascii="宋体"/>
                <w:kern w:val="0"/>
              </w:rPr>
              <w:t>3000-7000元</w:t>
            </w:r>
          </w:p>
        </w:tc>
      </w:tr>
      <w:tr w14:paraId="1E3A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918" w:type="dxa"/>
            <w:vMerge w:val="continue"/>
            <w:vAlign w:val="center"/>
          </w:tcPr>
          <w:p w14:paraId="2A03D22B">
            <w:pPr>
              <w:jc w:val="left"/>
              <w:rPr>
                <w:rFonts w:ascii="宋体"/>
                <w:kern w:val="0"/>
              </w:rPr>
            </w:pPr>
          </w:p>
        </w:tc>
        <w:tc>
          <w:tcPr>
            <w:tcW w:w="1360" w:type="dxa"/>
            <w:vMerge w:val="continue"/>
            <w:vAlign w:val="center"/>
          </w:tcPr>
          <w:p w14:paraId="55DB86A6">
            <w:pPr>
              <w:widowControl/>
              <w:jc w:val="left"/>
              <w:rPr>
                <w:rFonts w:ascii="宋体"/>
                <w:kern w:val="0"/>
              </w:rPr>
            </w:pPr>
          </w:p>
        </w:tc>
        <w:tc>
          <w:tcPr>
            <w:tcW w:w="1454" w:type="dxa"/>
            <w:vMerge w:val="continue"/>
            <w:vAlign w:val="center"/>
          </w:tcPr>
          <w:p w14:paraId="4BDAD1FA">
            <w:pPr>
              <w:jc w:val="left"/>
              <w:rPr>
                <w:rFonts w:ascii="宋体"/>
                <w:kern w:val="0"/>
              </w:rPr>
            </w:pPr>
          </w:p>
        </w:tc>
        <w:tc>
          <w:tcPr>
            <w:tcW w:w="986" w:type="dxa"/>
            <w:vMerge w:val="continue"/>
            <w:vAlign w:val="center"/>
          </w:tcPr>
          <w:p w14:paraId="160D51D8">
            <w:pPr>
              <w:jc w:val="center"/>
              <w:rPr>
                <w:rFonts w:ascii="宋体"/>
                <w:kern w:val="0"/>
              </w:rPr>
            </w:pPr>
          </w:p>
        </w:tc>
        <w:tc>
          <w:tcPr>
            <w:tcW w:w="3419" w:type="dxa"/>
            <w:vAlign w:val="center"/>
          </w:tcPr>
          <w:p w14:paraId="059CE48A">
            <w:pPr>
              <w:pStyle w:val="13"/>
              <w:jc w:val="left"/>
              <w:rPr>
                <w:rFonts w:ascii="宋体"/>
              </w:rPr>
            </w:pPr>
            <w:r>
              <w:rPr>
                <w:rFonts w:hint="eastAsia" w:ascii="宋体"/>
              </w:rPr>
              <w:t>船舶未悬挂国旗且船上未准备符合要求的国旗的。</w:t>
            </w:r>
          </w:p>
        </w:tc>
        <w:tc>
          <w:tcPr>
            <w:tcW w:w="6662" w:type="dxa"/>
            <w:tcBorders>
              <w:right w:val="single" w:color="auto" w:sz="4" w:space="0"/>
            </w:tcBorders>
            <w:vAlign w:val="center"/>
          </w:tcPr>
          <w:p w14:paraId="7B4D6C87">
            <w:pPr>
              <w:jc w:val="center"/>
              <w:rPr>
                <w:rFonts w:ascii="宋体"/>
                <w:kern w:val="0"/>
              </w:rPr>
            </w:pPr>
            <w:r>
              <w:rPr>
                <w:rFonts w:hint="eastAsia" w:ascii="宋体"/>
                <w:kern w:val="0"/>
              </w:rPr>
              <w:t>5-10万元</w:t>
            </w:r>
          </w:p>
        </w:tc>
        <w:tc>
          <w:tcPr>
            <w:tcW w:w="2268" w:type="dxa"/>
            <w:tcBorders>
              <w:left w:val="single" w:color="auto" w:sz="4" w:space="0"/>
              <w:right w:val="single" w:color="auto" w:sz="4" w:space="0"/>
            </w:tcBorders>
            <w:vAlign w:val="center"/>
          </w:tcPr>
          <w:p w14:paraId="2ED09F18">
            <w:pPr>
              <w:jc w:val="center"/>
              <w:rPr>
                <w:rFonts w:ascii="宋体"/>
                <w:kern w:val="0"/>
              </w:rPr>
            </w:pPr>
            <w:r>
              <w:rPr>
                <w:rFonts w:hint="eastAsia" w:ascii="宋体"/>
                <w:kern w:val="0"/>
              </w:rPr>
              <w:t>8000元-1万</w:t>
            </w:r>
          </w:p>
        </w:tc>
        <w:tc>
          <w:tcPr>
            <w:tcW w:w="2977" w:type="dxa"/>
            <w:tcBorders>
              <w:left w:val="single" w:color="auto" w:sz="4" w:space="0"/>
            </w:tcBorders>
            <w:vAlign w:val="center"/>
          </w:tcPr>
          <w:p w14:paraId="324D9AC3">
            <w:pPr>
              <w:jc w:val="center"/>
              <w:rPr>
                <w:rFonts w:ascii="宋体"/>
                <w:kern w:val="0"/>
              </w:rPr>
            </w:pPr>
            <w:r>
              <w:rPr>
                <w:rFonts w:hint="eastAsia" w:ascii="宋体"/>
                <w:kern w:val="0"/>
              </w:rPr>
              <w:t>7000元-1万</w:t>
            </w:r>
          </w:p>
        </w:tc>
      </w:tr>
      <w:tr w14:paraId="270D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8" w:hRule="atLeast"/>
        </w:trPr>
        <w:tc>
          <w:tcPr>
            <w:tcW w:w="918" w:type="dxa"/>
            <w:vMerge w:val="continue"/>
            <w:vAlign w:val="center"/>
          </w:tcPr>
          <w:p w14:paraId="1A0D18DE">
            <w:pPr>
              <w:jc w:val="left"/>
              <w:rPr>
                <w:rFonts w:ascii="宋体"/>
                <w:kern w:val="0"/>
              </w:rPr>
            </w:pPr>
          </w:p>
        </w:tc>
        <w:tc>
          <w:tcPr>
            <w:tcW w:w="1360" w:type="dxa"/>
            <w:vMerge w:val="continue"/>
            <w:vAlign w:val="center"/>
          </w:tcPr>
          <w:p w14:paraId="3C52E40A">
            <w:pPr>
              <w:jc w:val="left"/>
              <w:rPr>
                <w:rFonts w:ascii="宋体"/>
                <w:kern w:val="0"/>
              </w:rPr>
            </w:pPr>
          </w:p>
        </w:tc>
        <w:tc>
          <w:tcPr>
            <w:tcW w:w="1454" w:type="dxa"/>
            <w:vMerge w:val="continue"/>
            <w:vAlign w:val="center"/>
          </w:tcPr>
          <w:p w14:paraId="7DEF0FBB">
            <w:pPr>
              <w:jc w:val="left"/>
              <w:rPr>
                <w:rFonts w:ascii="宋体"/>
                <w:kern w:val="0"/>
              </w:rPr>
            </w:pPr>
          </w:p>
        </w:tc>
        <w:tc>
          <w:tcPr>
            <w:tcW w:w="986" w:type="dxa"/>
            <w:vMerge w:val="continue"/>
            <w:tcBorders>
              <w:bottom w:val="single" w:color="auto" w:sz="4" w:space="0"/>
            </w:tcBorders>
            <w:vAlign w:val="center"/>
          </w:tcPr>
          <w:p w14:paraId="2327AC93">
            <w:pPr>
              <w:jc w:val="center"/>
              <w:rPr>
                <w:rFonts w:ascii="宋体"/>
                <w:kern w:val="0"/>
              </w:rPr>
            </w:pPr>
          </w:p>
        </w:tc>
        <w:tc>
          <w:tcPr>
            <w:tcW w:w="3419" w:type="dxa"/>
            <w:tcBorders>
              <w:top w:val="single" w:color="auto" w:sz="4" w:space="0"/>
              <w:bottom w:val="single" w:color="auto" w:sz="4" w:space="0"/>
            </w:tcBorders>
            <w:vAlign w:val="center"/>
          </w:tcPr>
          <w:p w14:paraId="62CC6F17">
            <w:pPr>
              <w:jc w:val="left"/>
              <w:rPr>
                <w:rFonts w:ascii="宋体"/>
              </w:rPr>
            </w:pPr>
            <w:r>
              <w:rPr>
                <w:rFonts w:hint="eastAsia" w:ascii="宋体"/>
                <w:kern w:val="0"/>
              </w:rPr>
              <w:t>1.违法悬挂其他国家、地区或者组织的旗帜</w:t>
            </w:r>
            <w:r>
              <w:rPr>
                <w:rFonts w:hint="eastAsia" w:ascii="宋体"/>
              </w:rPr>
              <w:t>；</w:t>
            </w:r>
          </w:p>
          <w:p w14:paraId="2EC6E04B">
            <w:pPr>
              <w:jc w:val="left"/>
              <w:rPr>
                <w:rFonts w:ascii="宋体"/>
                <w:kern w:val="0"/>
              </w:rPr>
            </w:pPr>
            <w:r>
              <w:rPr>
                <w:rFonts w:hint="eastAsia" w:ascii="宋体"/>
                <w:kern w:val="0"/>
              </w:rPr>
              <w:t>2.具有其他较重情节的。</w:t>
            </w:r>
          </w:p>
        </w:tc>
        <w:tc>
          <w:tcPr>
            <w:tcW w:w="6662" w:type="dxa"/>
            <w:tcBorders>
              <w:top w:val="single" w:color="auto" w:sz="4" w:space="0"/>
              <w:bottom w:val="single" w:color="auto" w:sz="4" w:space="0"/>
              <w:right w:val="single" w:color="auto" w:sz="4" w:space="0"/>
            </w:tcBorders>
            <w:vAlign w:val="center"/>
          </w:tcPr>
          <w:p w14:paraId="54A363F9">
            <w:pPr>
              <w:jc w:val="center"/>
              <w:rPr>
                <w:rFonts w:ascii="宋体"/>
                <w:kern w:val="0"/>
              </w:rPr>
            </w:pPr>
            <w:r>
              <w:rPr>
                <w:rFonts w:hint="eastAsia" w:ascii="宋体"/>
                <w:kern w:val="0"/>
              </w:rPr>
              <w:t>8-20万元</w:t>
            </w:r>
          </w:p>
        </w:tc>
        <w:tc>
          <w:tcPr>
            <w:tcW w:w="2268" w:type="dxa"/>
            <w:tcBorders>
              <w:top w:val="single" w:color="auto" w:sz="4" w:space="0"/>
              <w:left w:val="single" w:color="auto" w:sz="4" w:space="0"/>
              <w:bottom w:val="single" w:color="auto" w:sz="4" w:space="0"/>
              <w:right w:val="single" w:color="auto" w:sz="4" w:space="0"/>
            </w:tcBorders>
            <w:vAlign w:val="center"/>
          </w:tcPr>
          <w:p w14:paraId="1B4AEF1B">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14:paraId="3FBF4B54">
            <w:pPr>
              <w:jc w:val="center"/>
              <w:rPr>
                <w:rFonts w:ascii="宋体"/>
                <w:kern w:val="0"/>
              </w:rPr>
            </w:pPr>
            <w:r>
              <w:rPr>
                <w:rFonts w:hint="eastAsia" w:ascii="宋体"/>
                <w:kern w:val="0"/>
              </w:rPr>
              <w:t>1-2万</w:t>
            </w:r>
          </w:p>
        </w:tc>
      </w:tr>
      <w:tr w14:paraId="22BE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18" w:type="dxa"/>
            <w:vMerge w:val="continue"/>
            <w:vAlign w:val="center"/>
          </w:tcPr>
          <w:p w14:paraId="4FC69E96">
            <w:pPr>
              <w:jc w:val="left"/>
              <w:rPr>
                <w:rFonts w:ascii="宋体"/>
                <w:kern w:val="0"/>
              </w:rPr>
            </w:pPr>
          </w:p>
        </w:tc>
        <w:tc>
          <w:tcPr>
            <w:tcW w:w="1360" w:type="dxa"/>
            <w:vMerge w:val="continue"/>
            <w:vAlign w:val="center"/>
          </w:tcPr>
          <w:p w14:paraId="736C836A">
            <w:pPr>
              <w:jc w:val="left"/>
              <w:rPr>
                <w:rFonts w:ascii="宋体"/>
                <w:kern w:val="0"/>
              </w:rPr>
            </w:pPr>
          </w:p>
        </w:tc>
        <w:tc>
          <w:tcPr>
            <w:tcW w:w="1454" w:type="dxa"/>
            <w:vMerge w:val="continue"/>
            <w:vAlign w:val="center"/>
          </w:tcPr>
          <w:p w14:paraId="4049105C">
            <w:pPr>
              <w:jc w:val="left"/>
              <w:rPr>
                <w:rFonts w:ascii="宋体"/>
                <w:kern w:val="0"/>
              </w:rPr>
            </w:pPr>
          </w:p>
        </w:tc>
        <w:tc>
          <w:tcPr>
            <w:tcW w:w="986" w:type="dxa"/>
            <w:tcBorders>
              <w:top w:val="single" w:color="auto" w:sz="4" w:space="0"/>
              <w:bottom w:val="single" w:color="auto" w:sz="4" w:space="0"/>
              <w:right w:val="single" w:color="auto" w:sz="4" w:space="0"/>
            </w:tcBorders>
            <w:vAlign w:val="center"/>
          </w:tcPr>
          <w:p w14:paraId="07ADBDA1">
            <w:pPr>
              <w:jc w:val="center"/>
              <w:rPr>
                <w:rFonts w:ascii="宋体"/>
                <w:kern w:val="0"/>
              </w:rPr>
            </w:pPr>
            <w:r>
              <w:rPr>
                <w:rFonts w:hint="eastAsia" w:ascii="宋体"/>
                <w:kern w:val="0"/>
              </w:rPr>
              <w:t>情节严重</w:t>
            </w:r>
          </w:p>
        </w:tc>
        <w:tc>
          <w:tcPr>
            <w:tcW w:w="3419" w:type="dxa"/>
            <w:tcBorders>
              <w:top w:val="single" w:color="auto" w:sz="4" w:space="0"/>
              <w:left w:val="single" w:color="auto" w:sz="4" w:space="0"/>
              <w:bottom w:val="single" w:color="auto" w:sz="4" w:space="0"/>
            </w:tcBorders>
            <w:vAlign w:val="center"/>
          </w:tcPr>
          <w:p w14:paraId="618B6E64">
            <w:pPr>
              <w:jc w:val="left"/>
              <w:rPr>
                <w:rFonts w:ascii="宋体"/>
                <w:kern w:val="0"/>
              </w:rPr>
            </w:pPr>
            <w:r>
              <w:rPr>
                <w:rFonts w:hint="eastAsia" w:ascii="宋体"/>
                <w:kern w:val="0"/>
              </w:rPr>
              <w:t>1.悬挂影响国家安全的旗帜；</w:t>
            </w:r>
          </w:p>
          <w:p w14:paraId="46162D1C">
            <w:pPr>
              <w:jc w:val="left"/>
              <w:rPr>
                <w:rFonts w:ascii="宋体"/>
                <w:kern w:val="0"/>
              </w:rPr>
            </w:pPr>
            <w:r>
              <w:rPr>
                <w:rFonts w:hint="eastAsia" w:ascii="宋体"/>
                <w:kern w:val="0"/>
              </w:rPr>
              <w:t>2.造成恶劣社会影响的；</w:t>
            </w:r>
          </w:p>
          <w:p w14:paraId="58AE17A2">
            <w:pPr>
              <w:jc w:val="left"/>
              <w:rPr>
                <w:rFonts w:ascii="宋体"/>
                <w:kern w:val="0"/>
              </w:rPr>
            </w:pPr>
            <w:r>
              <w:rPr>
                <w:rFonts w:hint="eastAsia" w:ascii="宋体"/>
                <w:kern w:val="0"/>
              </w:rPr>
              <w:t>3.具有其他严重情节的。</w:t>
            </w:r>
          </w:p>
        </w:tc>
        <w:tc>
          <w:tcPr>
            <w:tcW w:w="6662" w:type="dxa"/>
            <w:tcBorders>
              <w:top w:val="single" w:color="auto" w:sz="4" w:space="0"/>
              <w:bottom w:val="single" w:color="auto" w:sz="4" w:space="0"/>
              <w:right w:val="single" w:color="auto" w:sz="4" w:space="0"/>
            </w:tcBorders>
            <w:vAlign w:val="center"/>
          </w:tcPr>
          <w:p w14:paraId="7802BEAD">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14:paraId="3A564EF8">
            <w:pPr>
              <w:jc w:val="center"/>
              <w:rPr>
                <w:rFonts w:ascii="宋体"/>
                <w:kern w:val="0"/>
              </w:rPr>
            </w:pPr>
            <w:r>
              <w:rPr>
                <w:rFonts w:hint="eastAsia" w:ascii="宋体"/>
                <w:kern w:val="0"/>
              </w:rPr>
              <w:t>暂扣船员适任证书12个月至24个月，直至吊销船员适任证书</w:t>
            </w:r>
          </w:p>
        </w:tc>
        <w:tc>
          <w:tcPr>
            <w:tcW w:w="2977" w:type="dxa"/>
            <w:tcBorders>
              <w:left w:val="single" w:color="auto" w:sz="4" w:space="0"/>
            </w:tcBorders>
            <w:vAlign w:val="center"/>
          </w:tcPr>
          <w:p w14:paraId="648BB52D">
            <w:pPr>
              <w:jc w:val="center"/>
              <w:rPr>
                <w:rFonts w:ascii="宋体"/>
                <w:kern w:val="0"/>
              </w:rPr>
            </w:pPr>
            <w:r>
              <w:rPr>
                <w:rFonts w:hint="eastAsia" w:ascii="宋体"/>
                <w:kern w:val="0"/>
              </w:rPr>
              <w:t>暂扣船员适任证书12个月至24个月，直至吊销船员适任证书</w:t>
            </w:r>
          </w:p>
        </w:tc>
      </w:tr>
      <w:tr w14:paraId="25CB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14:paraId="443E02F5">
            <w:pPr>
              <w:jc w:val="left"/>
              <w:rPr>
                <w:rFonts w:ascii="宋体"/>
                <w:kern w:val="0"/>
              </w:rPr>
            </w:pPr>
            <w:r>
              <w:rPr>
                <w:rFonts w:hint="eastAsia" w:ascii="宋体"/>
                <w:kern w:val="0"/>
              </w:rPr>
              <w:t>注：</w:t>
            </w:r>
          </w:p>
          <w:p w14:paraId="354B6019">
            <w:pPr>
              <w:jc w:val="left"/>
              <w:rPr>
                <w:rFonts w:ascii="宋体"/>
                <w:kern w:val="0"/>
              </w:rPr>
            </w:pPr>
            <w:r>
              <w:rPr>
                <w:rFonts w:hint="eastAsia" w:ascii="宋体"/>
                <w:lang w:val="zh-CN"/>
              </w:rPr>
              <w:t>安全管理体系运行存在重大不符合规定情况的，吊销DOC、SMC</w:t>
            </w:r>
            <w:r>
              <w:rPr>
                <w:rFonts w:hint="eastAsia" w:ascii="宋体"/>
                <w:kern w:val="0"/>
              </w:rPr>
              <w:t>。</w:t>
            </w:r>
          </w:p>
        </w:tc>
      </w:tr>
    </w:tbl>
    <w:p w14:paraId="1DB203AC">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98"/>
        <w:gridCol w:w="1307"/>
        <w:gridCol w:w="1496"/>
        <w:gridCol w:w="992"/>
        <w:gridCol w:w="3544"/>
        <w:gridCol w:w="6662"/>
        <w:gridCol w:w="2268"/>
        <w:gridCol w:w="2977"/>
      </w:tblGrid>
      <w:tr w14:paraId="4A96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798" w:type="dxa"/>
            <w:vMerge w:val="restart"/>
            <w:vAlign w:val="center"/>
          </w:tcPr>
          <w:p w14:paraId="18EFD333">
            <w:pPr>
              <w:jc w:val="left"/>
              <w:rPr>
                <w:rFonts w:ascii="宋体"/>
                <w:b/>
                <w:kern w:val="0"/>
              </w:rPr>
            </w:pPr>
            <w:r>
              <w:rPr>
                <w:rFonts w:hint="eastAsia" w:ascii="宋体"/>
                <w:b/>
                <w:kern w:val="0"/>
              </w:rPr>
              <w:t>案由44</w:t>
            </w:r>
          </w:p>
        </w:tc>
        <w:tc>
          <w:tcPr>
            <w:tcW w:w="2803" w:type="dxa"/>
            <w:gridSpan w:val="2"/>
            <w:vAlign w:val="center"/>
          </w:tcPr>
          <w:p w14:paraId="2588585D">
            <w:pPr>
              <w:jc w:val="center"/>
              <w:rPr>
                <w:rFonts w:ascii="宋体"/>
                <w:b/>
                <w:kern w:val="0"/>
              </w:rPr>
            </w:pPr>
            <w:r>
              <w:rPr>
                <w:rFonts w:hint="eastAsia" w:ascii="宋体"/>
                <w:b/>
                <w:kern w:val="0"/>
              </w:rPr>
              <w:t>法律依据</w:t>
            </w:r>
          </w:p>
        </w:tc>
        <w:tc>
          <w:tcPr>
            <w:tcW w:w="992" w:type="dxa"/>
            <w:vMerge w:val="restart"/>
            <w:vAlign w:val="center"/>
          </w:tcPr>
          <w:p w14:paraId="2D2BCC8C">
            <w:pPr>
              <w:jc w:val="center"/>
              <w:rPr>
                <w:rFonts w:ascii="宋体"/>
                <w:b/>
                <w:kern w:val="0"/>
              </w:rPr>
            </w:pPr>
            <w:r>
              <w:rPr>
                <w:rFonts w:hint="eastAsia" w:ascii="宋体"/>
                <w:b/>
                <w:kern w:val="0"/>
              </w:rPr>
              <w:t>违法情节</w:t>
            </w:r>
          </w:p>
        </w:tc>
        <w:tc>
          <w:tcPr>
            <w:tcW w:w="3544" w:type="dxa"/>
            <w:vMerge w:val="restart"/>
            <w:vAlign w:val="center"/>
          </w:tcPr>
          <w:p w14:paraId="5D5ADB10">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14:paraId="004AB078">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14:paraId="573D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798" w:type="dxa"/>
            <w:vMerge w:val="continue"/>
            <w:tcBorders>
              <w:bottom w:val="single" w:color="000000" w:sz="4" w:space="0"/>
            </w:tcBorders>
            <w:vAlign w:val="center"/>
          </w:tcPr>
          <w:p w14:paraId="40A0E89A">
            <w:pPr>
              <w:jc w:val="left"/>
              <w:rPr>
                <w:rFonts w:ascii="宋体"/>
                <w:b/>
                <w:kern w:val="0"/>
              </w:rPr>
            </w:pPr>
          </w:p>
        </w:tc>
        <w:tc>
          <w:tcPr>
            <w:tcW w:w="1307" w:type="dxa"/>
            <w:tcBorders>
              <w:bottom w:val="single" w:color="000000" w:sz="4" w:space="0"/>
            </w:tcBorders>
            <w:vAlign w:val="center"/>
          </w:tcPr>
          <w:p w14:paraId="092DE998">
            <w:pPr>
              <w:jc w:val="center"/>
              <w:rPr>
                <w:rFonts w:ascii="宋体"/>
                <w:b/>
                <w:kern w:val="0"/>
              </w:rPr>
            </w:pPr>
            <w:r>
              <w:rPr>
                <w:rFonts w:hint="eastAsia" w:ascii="宋体"/>
                <w:b/>
                <w:kern w:val="0"/>
              </w:rPr>
              <w:t>违反条款</w:t>
            </w:r>
          </w:p>
        </w:tc>
        <w:tc>
          <w:tcPr>
            <w:tcW w:w="1496" w:type="dxa"/>
            <w:tcBorders>
              <w:bottom w:val="single" w:color="000000" w:sz="4" w:space="0"/>
            </w:tcBorders>
            <w:vAlign w:val="center"/>
          </w:tcPr>
          <w:p w14:paraId="24C20E6C">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2C94D27F">
            <w:pPr>
              <w:jc w:val="center"/>
              <w:rPr>
                <w:rFonts w:ascii="宋体"/>
                <w:b/>
                <w:kern w:val="0"/>
              </w:rPr>
            </w:pPr>
          </w:p>
        </w:tc>
        <w:tc>
          <w:tcPr>
            <w:tcW w:w="3544" w:type="dxa"/>
            <w:vMerge w:val="continue"/>
            <w:tcBorders>
              <w:bottom w:val="single" w:color="000000" w:sz="4" w:space="0"/>
            </w:tcBorders>
            <w:vAlign w:val="center"/>
          </w:tcPr>
          <w:p w14:paraId="4470AA84">
            <w:pPr>
              <w:jc w:val="left"/>
              <w:rPr>
                <w:rFonts w:ascii="宋体"/>
                <w:b/>
                <w:kern w:val="0"/>
              </w:rPr>
            </w:pPr>
          </w:p>
        </w:tc>
        <w:tc>
          <w:tcPr>
            <w:tcW w:w="6662" w:type="dxa"/>
            <w:tcBorders>
              <w:top w:val="single" w:color="auto" w:sz="4" w:space="0"/>
              <w:right w:val="single" w:color="auto" w:sz="4" w:space="0"/>
            </w:tcBorders>
            <w:vAlign w:val="center"/>
          </w:tcPr>
          <w:p w14:paraId="1ECCF516">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14:paraId="52F95DA0">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14:paraId="660BE1AF">
            <w:pPr>
              <w:jc w:val="center"/>
              <w:rPr>
                <w:rFonts w:ascii="宋体"/>
                <w:b/>
                <w:kern w:val="0"/>
              </w:rPr>
            </w:pPr>
            <w:r>
              <w:rPr>
                <w:rFonts w:hint="eastAsia" w:ascii="宋体"/>
                <w:b/>
                <w:kern w:val="0"/>
              </w:rPr>
              <w:t>【对象】责任人员</w:t>
            </w:r>
          </w:p>
        </w:tc>
      </w:tr>
      <w:tr w14:paraId="173BB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798" w:type="dxa"/>
            <w:vMerge w:val="restart"/>
            <w:vAlign w:val="center"/>
          </w:tcPr>
          <w:p w14:paraId="60C45212">
            <w:pPr>
              <w:widowControl/>
              <w:jc w:val="left"/>
              <w:rPr>
                <w:rFonts w:ascii="宋体"/>
                <w:kern w:val="0"/>
              </w:rPr>
            </w:pPr>
            <w:r>
              <w:rPr>
                <w:rFonts w:hint="eastAsia" w:ascii="宋体"/>
                <w:kern w:val="0"/>
              </w:rPr>
              <w:t>船舶未按规定标明船名、船舶识别号、船籍港、载重线标志</w:t>
            </w:r>
          </w:p>
          <w:p w14:paraId="1AC2FD0F">
            <w:pPr>
              <w:jc w:val="center"/>
              <w:rPr>
                <w:rFonts w:ascii="宋体"/>
                <w:kern w:val="0"/>
              </w:rPr>
            </w:pPr>
          </w:p>
        </w:tc>
        <w:tc>
          <w:tcPr>
            <w:tcW w:w="1307" w:type="dxa"/>
            <w:vMerge w:val="restart"/>
            <w:vAlign w:val="center"/>
          </w:tcPr>
          <w:p w14:paraId="4E22555A">
            <w:pPr>
              <w:widowControl/>
              <w:rPr>
                <w:rFonts w:ascii="宋体"/>
                <w:kern w:val="0"/>
              </w:rPr>
            </w:pPr>
            <w:r>
              <w:rPr>
                <w:rFonts w:hint="eastAsia" w:ascii="宋体"/>
                <w:kern w:val="0"/>
              </w:rPr>
              <w:t>1.《中华人民共和国海上交通安全法》第三十三条第一款；</w:t>
            </w:r>
          </w:p>
          <w:p w14:paraId="3631ECA9">
            <w:pPr>
              <w:widowControl/>
              <w:rPr>
                <w:rFonts w:ascii="宋体"/>
              </w:rPr>
            </w:pPr>
            <w:r>
              <w:rPr>
                <w:rFonts w:hint="eastAsia" w:ascii="宋体"/>
              </w:rPr>
              <w:t>2</w:t>
            </w:r>
            <w:r>
              <w:rPr>
                <w:rFonts w:hint="eastAsia" w:ascii="宋体"/>
                <w:kern w:val="0"/>
              </w:rPr>
              <w:t>.</w:t>
            </w:r>
            <w:r>
              <w:rPr>
                <w:rFonts w:hint="eastAsia" w:ascii="宋体"/>
              </w:rPr>
              <w:t>《中华人民共和国船舶登记条例》第三十一条；</w:t>
            </w:r>
          </w:p>
          <w:p w14:paraId="31AF0E47">
            <w:pPr>
              <w:widowControl/>
              <w:rPr>
                <w:rFonts w:ascii="宋体"/>
              </w:rPr>
            </w:pPr>
            <w:r>
              <w:rPr>
                <w:rFonts w:hint="eastAsia" w:ascii="宋体"/>
              </w:rPr>
              <w:t>3</w:t>
            </w:r>
            <w:r>
              <w:rPr>
                <w:rFonts w:hint="eastAsia" w:ascii="宋体"/>
                <w:kern w:val="0"/>
              </w:rPr>
              <w:t>.</w:t>
            </w:r>
            <w:r>
              <w:rPr>
                <w:rFonts w:hint="eastAsia" w:ascii="宋体"/>
              </w:rPr>
              <w:t>其他法律、法规、规章等。</w:t>
            </w:r>
          </w:p>
        </w:tc>
        <w:tc>
          <w:tcPr>
            <w:tcW w:w="1496" w:type="dxa"/>
            <w:vMerge w:val="restart"/>
            <w:vAlign w:val="center"/>
          </w:tcPr>
          <w:p w14:paraId="059F41F8">
            <w:pPr>
              <w:jc w:val="left"/>
              <w:rPr>
                <w:rFonts w:ascii="宋体"/>
                <w:kern w:val="0"/>
              </w:rPr>
            </w:pPr>
            <w:r>
              <w:rPr>
                <w:rFonts w:hint="eastAsia" w:ascii="宋体"/>
                <w:kern w:val="0"/>
              </w:rPr>
              <w:t>1.《中华人民共和国海上交通安全法》第九十六条第（三）项、《中华人民共和国海上海事行政处罚规定》第十一条第（三）项；</w:t>
            </w:r>
          </w:p>
          <w:p w14:paraId="7ABB7AEA">
            <w:pPr>
              <w:jc w:val="left"/>
              <w:rPr>
                <w:rFonts w:ascii="宋体"/>
                <w:kern w:val="0"/>
              </w:rPr>
            </w:pPr>
            <w:r>
              <w:rPr>
                <w:rFonts w:hint="eastAsia" w:ascii="宋体"/>
                <w:kern w:val="0"/>
              </w:rPr>
              <w:t>2.《中华人民共和国海上海事行政处罚规定》第七条。</w:t>
            </w:r>
          </w:p>
        </w:tc>
        <w:tc>
          <w:tcPr>
            <w:tcW w:w="992" w:type="dxa"/>
            <w:vAlign w:val="center"/>
          </w:tcPr>
          <w:p w14:paraId="0BB484A9">
            <w:pPr>
              <w:jc w:val="center"/>
              <w:rPr>
                <w:rFonts w:ascii="宋体"/>
                <w:kern w:val="0"/>
              </w:rPr>
            </w:pPr>
            <w:r>
              <w:rPr>
                <w:rFonts w:hint="eastAsia" w:ascii="宋体"/>
                <w:kern w:val="0"/>
              </w:rPr>
              <w:t>从轻</w:t>
            </w:r>
          </w:p>
        </w:tc>
        <w:tc>
          <w:tcPr>
            <w:tcW w:w="3544" w:type="dxa"/>
            <w:vAlign w:val="center"/>
          </w:tcPr>
          <w:p w14:paraId="37E23270">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14:paraId="60AC3287">
            <w:pPr>
              <w:jc w:val="center"/>
              <w:rPr>
                <w:rFonts w:ascii="宋体"/>
                <w:kern w:val="0"/>
              </w:rPr>
            </w:pPr>
            <w:r>
              <w:rPr>
                <w:rFonts w:hint="eastAsia" w:ascii="宋体"/>
                <w:kern w:val="0"/>
              </w:rPr>
              <w:t>2-3万元</w:t>
            </w:r>
          </w:p>
        </w:tc>
        <w:tc>
          <w:tcPr>
            <w:tcW w:w="2268" w:type="dxa"/>
            <w:tcBorders>
              <w:left w:val="single" w:color="auto" w:sz="4" w:space="0"/>
              <w:bottom w:val="single" w:color="auto" w:sz="4" w:space="0"/>
              <w:right w:val="single" w:color="auto" w:sz="4" w:space="0"/>
            </w:tcBorders>
            <w:vAlign w:val="center"/>
          </w:tcPr>
          <w:p w14:paraId="3880B46A">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14:paraId="51E05860">
            <w:pPr>
              <w:jc w:val="center"/>
              <w:rPr>
                <w:rFonts w:ascii="宋体"/>
                <w:kern w:val="0"/>
              </w:rPr>
            </w:pPr>
            <w:r>
              <w:rPr>
                <w:rFonts w:hint="eastAsia" w:ascii="宋体"/>
                <w:kern w:val="0"/>
              </w:rPr>
              <w:t>2000-4000元</w:t>
            </w:r>
          </w:p>
        </w:tc>
      </w:tr>
      <w:tr w14:paraId="03EC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798" w:type="dxa"/>
            <w:vMerge w:val="continue"/>
            <w:vAlign w:val="center"/>
          </w:tcPr>
          <w:p w14:paraId="77E824BA">
            <w:pPr>
              <w:jc w:val="center"/>
              <w:rPr>
                <w:rFonts w:ascii="宋体"/>
                <w:kern w:val="0"/>
              </w:rPr>
            </w:pPr>
          </w:p>
        </w:tc>
        <w:tc>
          <w:tcPr>
            <w:tcW w:w="1307" w:type="dxa"/>
            <w:vMerge w:val="continue"/>
            <w:vAlign w:val="center"/>
          </w:tcPr>
          <w:p w14:paraId="798B6C33">
            <w:pPr>
              <w:widowControl/>
              <w:jc w:val="left"/>
              <w:rPr>
                <w:rFonts w:ascii="宋体"/>
                <w:kern w:val="0"/>
              </w:rPr>
            </w:pPr>
          </w:p>
        </w:tc>
        <w:tc>
          <w:tcPr>
            <w:tcW w:w="1496" w:type="dxa"/>
            <w:vMerge w:val="continue"/>
            <w:vAlign w:val="center"/>
          </w:tcPr>
          <w:p w14:paraId="7769E34A">
            <w:pPr>
              <w:jc w:val="left"/>
              <w:rPr>
                <w:rFonts w:ascii="宋体"/>
                <w:kern w:val="0"/>
              </w:rPr>
            </w:pPr>
          </w:p>
        </w:tc>
        <w:tc>
          <w:tcPr>
            <w:tcW w:w="992" w:type="dxa"/>
            <w:vMerge w:val="restart"/>
            <w:vAlign w:val="center"/>
          </w:tcPr>
          <w:p w14:paraId="1D70A098">
            <w:pPr>
              <w:jc w:val="center"/>
              <w:rPr>
                <w:rFonts w:ascii="宋体"/>
                <w:kern w:val="0"/>
              </w:rPr>
            </w:pPr>
            <w:r>
              <w:rPr>
                <w:rFonts w:hint="eastAsia" w:ascii="宋体"/>
                <w:kern w:val="0"/>
              </w:rPr>
              <w:t>一般</w:t>
            </w:r>
          </w:p>
        </w:tc>
        <w:tc>
          <w:tcPr>
            <w:tcW w:w="3544" w:type="dxa"/>
            <w:vAlign w:val="center"/>
          </w:tcPr>
          <w:p w14:paraId="4A940890">
            <w:pPr>
              <w:pStyle w:val="13"/>
              <w:numPr>
                <w:ilvl w:val="0"/>
                <w:numId w:val="12"/>
              </w:numPr>
              <w:jc w:val="left"/>
              <w:rPr>
                <w:rFonts w:ascii="宋体"/>
                <w:bCs/>
              </w:rPr>
            </w:pPr>
            <w:r>
              <w:rPr>
                <w:rFonts w:hint="eastAsia" w:ascii="宋体"/>
                <w:bCs/>
              </w:rPr>
              <w:t>船舶标明的船名、船舶识别号、船籍港、载重线标志被遮挡；</w:t>
            </w:r>
          </w:p>
          <w:p w14:paraId="1C22FB44">
            <w:pPr>
              <w:pStyle w:val="13"/>
              <w:numPr>
                <w:ilvl w:val="0"/>
                <w:numId w:val="12"/>
              </w:numPr>
              <w:jc w:val="left"/>
              <w:rPr>
                <w:rFonts w:ascii="宋体"/>
                <w:bCs/>
              </w:rPr>
            </w:pPr>
            <w:r>
              <w:rPr>
                <w:rFonts w:hint="eastAsia" w:ascii="宋体"/>
                <w:bCs/>
              </w:rPr>
              <w:t>船舶的标明的船名、船舶识别号、船籍港不符合规范要求；</w:t>
            </w:r>
          </w:p>
          <w:p w14:paraId="1E38D118">
            <w:pPr>
              <w:pStyle w:val="13"/>
              <w:numPr>
                <w:ilvl w:val="0"/>
                <w:numId w:val="12"/>
              </w:numPr>
              <w:jc w:val="left"/>
              <w:rPr>
                <w:rFonts w:ascii="宋体"/>
                <w:bCs/>
              </w:rPr>
            </w:pPr>
            <w:r>
              <w:rPr>
                <w:rFonts w:hint="eastAsia" w:ascii="宋体"/>
              </w:rPr>
              <w:t>载重线标志不符合规范要求，但载重线标志未减少核定干舷的。</w:t>
            </w:r>
          </w:p>
        </w:tc>
        <w:tc>
          <w:tcPr>
            <w:tcW w:w="6662" w:type="dxa"/>
            <w:tcBorders>
              <w:right w:val="single" w:color="auto" w:sz="4" w:space="0"/>
            </w:tcBorders>
            <w:vAlign w:val="center"/>
          </w:tcPr>
          <w:p w14:paraId="29D8EC64">
            <w:pPr>
              <w:jc w:val="center"/>
              <w:rPr>
                <w:rFonts w:ascii="宋体"/>
                <w:kern w:val="0"/>
              </w:rPr>
            </w:pPr>
            <w:r>
              <w:rPr>
                <w:rFonts w:hint="eastAsia" w:ascii="宋体"/>
                <w:kern w:val="0"/>
              </w:rPr>
              <w:t>3-8万元</w:t>
            </w:r>
          </w:p>
        </w:tc>
        <w:tc>
          <w:tcPr>
            <w:tcW w:w="2268" w:type="dxa"/>
            <w:tcBorders>
              <w:top w:val="single" w:color="auto" w:sz="4" w:space="0"/>
              <w:left w:val="single" w:color="auto" w:sz="4" w:space="0"/>
              <w:right w:val="single" w:color="auto" w:sz="4" w:space="0"/>
            </w:tcBorders>
            <w:vAlign w:val="center"/>
          </w:tcPr>
          <w:p w14:paraId="784713D4">
            <w:pPr>
              <w:jc w:val="center"/>
              <w:rPr>
                <w:rFonts w:ascii="宋体"/>
                <w:kern w:val="0"/>
              </w:rPr>
            </w:pPr>
            <w:r>
              <w:rPr>
                <w:rFonts w:hint="eastAsia" w:ascii="宋体"/>
                <w:kern w:val="0"/>
              </w:rPr>
              <w:t>4000-8000元</w:t>
            </w:r>
          </w:p>
        </w:tc>
        <w:tc>
          <w:tcPr>
            <w:tcW w:w="2977" w:type="dxa"/>
            <w:tcBorders>
              <w:top w:val="single" w:color="auto" w:sz="4" w:space="0"/>
              <w:left w:val="single" w:color="auto" w:sz="4" w:space="0"/>
            </w:tcBorders>
            <w:vAlign w:val="center"/>
          </w:tcPr>
          <w:p w14:paraId="653C743F">
            <w:pPr>
              <w:jc w:val="center"/>
              <w:rPr>
                <w:rFonts w:ascii="宋体"/>
                <w:kern w:val="0"/>
              </w:rPr>
            </w:pPr>
            <w:r>
              <w:rPr>
                <w:rFonts w:hint="eastAsia" w:ascii="宋体"/>
                <w:kern w:val="0"/>
              </w:rPr>
              <w:t>3000-7000元</w:t>
            </w:r>
          </w:p>
        </w:tc>
      </w:tr>
      <w:tr w14:paraId="69AE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8" w:hRule="atLeast"/>
        </w:trPr>
        <w:tc>
          <w:tcPr>
            <w:tcW w:w="798" w:type="dxa"/>
            <w:vMerge w:val="continue"/>
            <w:vAlign w:val="center"/>
          </w:tcPr>
          <w:p w14:paraId="539A73C6">
            <w:pPr>
              <w:jc w:val="center"/>
              <w:rPr>
                <w:rFonts w:ascii="宋体"/>
                <w:kern w:val="0"/>
              </w:rPr>
            </w:pPr>
          </w:p>
        </w:tc>
        <w:tc>
          <w:tcPr>
            <w:tcW w:w="1307" w:type="dxa"/>
            <w:vMerge w:val="continue"/>
            <w:vAlign w:val="center"/>
          </w:tcPr>
          <w:p w14:paraId="051D019F">
            <w:pPr>
              <w:widowControl/>
              <w:jc w:val="left"/>
              <w:rPr>
                <w:rFonts w:ascii="宋体"/>
                <w:kern w:val="0"/>
              </w:rPr>
            </w:pPr>
          </w:p>
        </w:tc>
        <w:tc>
          <w:tcPr>
            <w:tcW w:w="1496" w:type="dxa"/>
            <w:vMerge w:val="continue"/>
            <w:vAlign w:val="center"/>
          </w:tcPr>
          <w:p w14:paraId="331C3996">
            <w:pPr>
              <w:jc w:val="left"/>
              <w:rPr>
                <w:rFonts w:ascii="宋体"/>
                <w:kern w:val="0"/>
              </w:rPr>
            </w:pPr>
          </w:p>
        </w:tc>
        <w:tc>
          <w:tcPr>
            <w:tcW w:w="992" w:type="dxa"/>
            <w:vMerge w:val="continue"/>
            <w:vAlign w:val="center"/>
          </w:tcPr>
          <w:p w14:paraId="413343B3">
            <w:pPr>
              <w:jc w:val="center"/>
              <w:rPr>
                <w:rFonts w:ascii="宋体"/>
                <w:kern w:val="0"/>
              </w:rPr>
            </w:pPr>
          </w:p>
        </w:tc>
        <w:tc>
          <w:tcPr>
            <w:tcW w:w="3544" w:type="dxa"/>
            <w:vAlign w:val="center"/>
          </w:tcPr>
          <w:p w14:paraId="1F6C2845">
            <w:pPr>
              <w:widowControl/>
              <w:jc w:val="left"/>
              <w:rPr>
                <w:rFonts w:ascii="宋体"/>
                <w:bCs/>
              </w:rPr>
            </w:pPr>
            <w:r>
              <w:rPr>
                <w:rFonts w:hint="eastAsia" w:ascii="宋体"/>
                <w:bCs/>
              </w:rPr>
              <w:t>船舶未标明</w:t>
            </w:r>
            <w:r>
              <w:rPr>
                <w:rFonts w:hint="eastAsia" w:ascii="宋体"/>
                <w:kern w:val="0"/>
              </w:rPr>
              <w:t>标明船名、船舶识别号、船籍港、载重线标志。</w:t>
            </w:r>
          </w:p>
        </w:tc>
        <w:tc>
          <w:tcPr>
            <w:tcW w:w="6662" w:type="dxa"/>
            <w:tcBorders>
              <w:right w:val="single" w:color="auto" w:sz="4" w:space="0"/>
            </w:tcBorders>
            <w:vAlign w:val="center"/>
          </w:tcPr>
          <w:p w14:paraId="68D0B16D">
            <w:pPr>
              <w:jc w:val="center"/>
              <w:rPr>
                <w:rFonts w:ascii="宋体"/>
                <w:kern w:val="0"/>
              </w:rPr>
            </w:pPr>
            <w:r>
              <w:rPr>
                <w:rFonts w:hint="eastAsia" w:ascii="宋体"/>
                <w:kern w:val="0"/>
              </w:rPr>
              <w:t>5-10万元</w:t>
            </w:r>
          </w:p>
        </w:tc>
        <w:tc>
          <w:tcPr>
            <w:tcW w:w="2268" w:type="dxa"/>
            <w:tcBorders>
              <w:left w:val="single" w:color="auto" w:sz="4" w:space="0"/>
              <w:right w:val="single" w:color="auto" w:sz="4" w:space="0"/>
            </w:tcBorders>
            <w:vAlign w:val="center"/>
          </w:tcPr>
          <w:p w14:paraId="14EE8DE4">
            <w:pPr>
              <w:jc w:val="center"/>
              <w:rPr>
                <w:rFonts w:ascii="宋体"/>
                <w:kern w:val="0"/>
              </w:rPr>
            </w:pPr>
            <w:r>
              <w:rPr>
                <w:rFonts w:hint="eastAsia" w:ascii="宋体"/>
                <w:kern w:val="0"/>
              </w:rPr>
              <w:t>8000元-1万</w:t>
            </w:r>
          </w:p>
        </w:tc>
        <w:tc>
          <w:tcPr>
            <w:tcW w:w="2977" w:type="dxa"/>
            <w:tcBorders>
              <w:left w:val="single" w:color="auto" w:sz="4" w:space="0"/>
            </w:tcBorders>
            <w:vAlign w:val="center"/>
          </w:tcPr>
          <w:p w14:paraId="7E7997AA">
            <w:pPr>
              <w:jc w:val="center"/>
              <w:rPr>
                <w:rFonts w:ascii="宋体"/>
                <w:kern w:val="0"/>
              </w:rPr>
            </w:pPr>
            <w:r>
              <w:rPr>
                <w:rFonts w:hint="eastAsia" w:ascii="宋体"/>
                <w:kern w:val="0"/>
              </w:rPr>
              <w:t>7000元-1万</w:t>
            </w:r>
          </w:p>
        </w:tc>
      </w:tr>
      <w:tr w14:paraId="5918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798" w:type="dxa"/>
            <w:vMerge w:val="continue"/>
            <w:vAlign w:val="center"/>
          </w:tcPr>
          <w:p w14:paraId="1074B4F7">
            <w:pPr>
              <w:jc w:val="center"/>
              <w:rPr>
                <w:rFonts w:ascii="宋体"/>
                <w:kern w:val="0"/>
              </w:rPr>
            </w:pPr>
          </w:p>
        </w:tc>
        <w:tc>
          <w:tcPr>
            <w:tcW w:w="1307" w:type="dxa"/>
            <w:vMerge w:val="continue"/>
            <w:vAlign w:val="center"/>
          </w:tcPr>
          <w:p w14:paraId="6B0E5B39">
            <w:pPr>
              <w:jc w:val="left"/>
              <w:rPr>
                <w:rFonts w:ascii="宋体"/>
                <w:kern w:val="0"/>
              </w:rPr>
            </w:pPr>
          </w:p>
        </w:tc>
        <w:tc>
          <w:tcPr>
            <w:tcW w:w="1496" w:type="dxa"/>
            <w:vMerge w:val="continue"/>
            <w:vAlign w:val="center"/>
          </w:tcPr>
          <w:p w14:paraId="578D3FBF">
            <w:pPr>
              <w:jc w:val="left"/>
              <w:rPr>
                <w:rFonts w:ascii="宋体"/>
                <w:kern w:val="0"/>
              </w:rPr>
            </w:pPr>
          </w:p>
        </w:tc>
        <w:tc>
          <w:tcPr>
            <w:tcW w:w="992" w:type="dxa"/>
            <w:vMerge w:val="continue"/>
            <w:tcBorders>
              <w:bottom w:val="single" w:color="auto" w:sz="4" w:space="0"/>
            </w:tcBorders>
            <w:vAlign w:val="center"/>
          </w:tcPr>
          <w:p w14:paraId="1B04E85E">
            <w:pPr>
              <w:jc w:val="center"/>
              <w:rPr>
                <w:rFonts w:ascii="宋体"/>
                <w:kern w:val="0"/>
              </w:rPr>
            </w:pPr>
          </w:p>
        </w:tc>
        <w:tc>
          <w:tcPr>
            <w:tcW w:w="3544" w:type="dxa"/>
            <w:tcBorders>
              <w:top w:val="single" w:color="auto" w:sz="4" w:space="0"/>
              <w:bottom w:val="single" w:color="auto" w:sz="4" w:space="0"/>
            </w:tcBorders>
            <w:vAlign w:val="center"/>
          </w:tcPr>
          <w:p w14:paraId="25CBE56C">
            <w:pPr>
              <w:jc w:val="left"/>
              <w:rPr>
                <w:rFonts w:ascii="宋体"/>
                <w:bCs/>
                <w:kern w:val="0"/>
              </w:rPr>
            </w:pPr>
            <w:r>
              <w:rPr>
                <w:rFonts w:hint="eastAsia" w:ascii="宋体"/>
                <w:bCs/>
                <w:kern w:val="0"/>
              </w:rPr>
              <w:t>1.船舶</w:t>
            </w:r>
            <w:r>
              <w:rPr>
                <w:rFonts w:hint="eastAsia" w:ascii="宋体"/>
                <w:bCs/>
              </w:rPr>
              <w:t>故意改动</w:t>
            </w:r>
            <w:r>
              <w:rPr>
                <w:rFonts w:hint="eastAsia" w:ascii="宋体"/>
                <w:bCs/>
                <w:kern w:val="0"/>
              </w:rPr>
              <w:t>载重线标志；</w:t>
            </w:r>
          </w:p>
          <w:p w14:paraId="23A535E7">
            <w:pPr>
              <w:jc w:val="left"/>
              <w:rPr>
                <w:rFonts w:ascii="宋体"/>
                <w:bCs/>
                <w:kern w:val="0"/>
              </w:rPr>
            </w:pPr>
            <w:r>
              <w:rPr>
                <w:rFonts w:hint="eastAsia" w:ascii="宋体"/>
                <w:bCs/>
                <w:kern w:val="0"/>
              </w:rPr>
              <w:t>2.具有其他较重情节的。</w:t>
            </w:r>
          </w:p>
        </w:tc>
        <w:tc>
          <w:tcPr>
            <w:tcW w:w="6662" w:type="dxa"/>
            <w:tcBorders>
              <w:top w:val="single" w:color="auto" w:sz="4" w:space="0"/>
              <w:bottom w:val="single" w:color="auto" w:sz="4" w:space="0"/>
              <w:right w:val="single" w:color="auto" w:sz="4" w:space="0"/>
            </w:tcBorders>
            <w:vAlign w:val="center"/>
          </w:tcPr>
          <w:p w14:paraId="319F365B">
            <w:pPr>
              <w:jc w:val="center"/>
              <w:rPr>
                <w:rFonts w:ascii="宋体"/>
                <w:kern w:val="0"/>
              </w:rPr>
            </w:pPr>
            <w:r>
              <w:rPr>
                <w:rFonts w:hint="eastAsia" w:ascii="宋体"/>
                <w:kern w:val="0"/>
              </w:rPr>
              <w:t>8-20万元</w:t>
            </w:r>
          </w:p>
        </w:tc>
        <w:tc>
          <w:tcPr>
            <w:tcW w:w="2268" w:type="dxa"/>
            <w:tcBorders>
              <w:top w:val="single" w:color="auto" w:sz="4" w:space="0"/>
              <w:left w:val="single" w:color="auto" w:sz="4" w:space="0"/>
              <w:bottom w:val="single" w:color="auto" w:sz="4" w:space="0"/>
              <w:right w:val="single" w:color="auto" w:sz="4" w:space="0"/>
            </w:tcBorders>
            <w:vAlign w:val="center"/>
          </w:tcPr>
          <w:p w14:paraId="5C96A00C">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14:paraId="5F0CFEC5">
            <w:pPr>
              <w:jc w:val="center"/>
              <w:rPr>
                <w:rFonts w:ascii="宋体"/>
                <w:kern w:val="0"/>
              </w:rPr>
            </w:pPr>
            <w:r>
              <w:rPr>
                <w:rFonts w:hint="eastAsia" w:ascii="宋体"/>
                <w:kern w:val="0"/>
              </w:rPr>
              <w:t>1-2万</w:t>
            </w:r>
          </w:p>
        </w:tc>
      </w:tr>
      <w:tr w14:paraId="6205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28" w:hRule="atLeast"/>
        </w:trPr>
        <w:tc>
          <w:tcPr>
            <w:tcW w:w="798" w:type="dxa"/>
            <w:vMerge w:val="continue"/>
            <w:vAlign w:val="center"/>
          </w:tcPr>
          <w:p w14:paraId="5436D135">
            <w:pPr>
              <w:jc w:val="center"/>
              <w:rPr>
                <w:rFonts w:ascii="宋体"/>
                <w:kern w:val="0"/>
              </w:rPr>
            </w:pPr>
          </w:p>
        </w:tc>
        <w:tc>
          <w:tcPr>
            <w:tcW w:w="1307" w:type="dxa"/>
            <w:vMerge w:val="continue"/>
            <w:vAlign w:val="center"/>
          </w:tcPr>
          <w:p w14:paraId="18C02B62">
            <w:pPr>
              <w:jc w:val="left"/>
              <w:rPr>
                <w:rFonts w:ascii="宋体"/>
                <w:kern w:val="0"/>
              </w:rPr>
            </w:pPr>
          </w:p>
        </w:tc>
        <w:tc>
          <w:tcPr>
            <w:tcW w:w="1496" w:type="dxa"/>
            <w:vMerge w:val="continue"/>
            <w:vAlign w:val="center"/>
          </w:tcPr>
          <w:p w14:paraId="6A18C44C">
            <w:pPr>
              <w:jc w:val="left"/>
              <w:rPr>
                <w:rFonts w:ascii="宋体"/>
                <w:kern w:val="0"/>
              </w:rPr>
            </w:pPr>
          </w:p>
        </w:tc>
        <w:tc>
          <w:tcPr>
            <w:tcW w:w="992" w:type="dxa"/>
            <w:tcBorders>
              <w:right w:val="single" w:color="auto" w:sz="4" w:space="0"/>
            </w:tcBorders>
            <w:vAlign w:val="center"/>
          </w:tcPr>
          <w:p w14:paraId="5F9B1A49">
            <w:pPr>
              <w:jc w:val="left"/>
              <w:rPr>
                <w:rFonts w:ascii="宋体"/>
                <w:kern w:val="0"/>
              </w:rPr>
            </w:pPr>
            <w:r>
              <w:rPr>
                <w:rFonts w:hint="eastAsia" w:ascii="宋体"/>
                <w:kern w:val="0"/>
              </w:rPr>
              <w:t>情节严重</w:t>
            </w:r>
          </w:p>
        </w:tc>
        <w:tc>
          <w:tcPr>
            <w:tcW w:w="3544" w:type="dxa"/>
            <w:tcBorders>
              <w:top w:val="single" w:color="auto" w:sz="4" w:space="0"/>
              <w:left w:val="single" w:color="auto" w:sz="4" w:space="0"/>
              <w:bottom w:val="single" w:color="auto" w:sz="4" w:space="0"/>
            </w:tcBorders>
            <w:vAlign w:val="center"/>
          </w:tcPr>
          <w:p w14:paraId="4F4259AE">
            <w:pPr>
              <w:jc w:val="left"/>
              <w:rPr>
                <w:rFonts w:ascii="宋体"/>
                <w:kern w:val="0"/>
              </w:rPr>
            </w:pPr>
            <w:r>
              <w:rPr>
                <w:rFonts w:hint="eastAsia" w:ascii="宋体"/>
                <w:kern w:val="0"/>
              </w:rPr>
              <w:t>1.标识假的船名、船舶识别号、船籍港；</w:t>
            </w:r>
          </w:p>
          <w:p w14:paraId="45C2295D">
            <w:pPr>
              <w:jc w:val="left"/>
              <w:rPr>
                <w:rFonts w:ascii="宋体"/>
                <w:kern w:val="0"/>
              </w:rPr>
            </w:pPr>
            <w:r>
              <w:rPr>
                <w:rFonts w:hint="eastAsia" w:ascii="宋体"/>
                <w:kern w:val="0"/>
              </w:rPr>
              <w:t>2.具有其他严重情节的。</w:t>
            </w:r>
          </w:p>
        </w:tc>
        <w:tc>
          <w:tcPr>
            <w:tcW w:w="6662" w:type="dxa"/>
            <w:tcBorders>
              <w:top w:val="single" w:color="auto" w:sz="4" w:space="0"/>
              <w:bottom w:val="single" w:color="auto" w:sz="4" w:space="0"/>
              <w:right w:val="single" w:color="auto" w:sz="4" w:space="0"/>
            </w:tcBorders>
            <w:vAlign w:val="center"/>
          </w:tcPr>
          <w:p w14:paraId="29335AC8">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14:paraId="08993AE5">
            <w:pPr>
              <w:jc w:val="center"/>
              <w:rPr>
                <w:rFonts w:ascii="宋体"/>
                <w:kern w:val="0"/>
              </w:rPr>
            </w:pPr>
            <w:r>
              <w:rPr>
                <w:rFonts w:hint="eastAsia" w:ascii="宋体"/>
                <w:kern w:val="0"/>
              </w:rPr>
              <w:t>暂扣船员适任证书12个月至24个月，直至吊销船员适任证书</w:t>
            </w:r>
          </w:p>
        </w:tc>
        <w:tc>
          <w:tcPr>
            <w:tcW w:w="2977" w:type="dxa"/>
            <w:tcBorders>
              <w:left w:val="single" w:color="auto" w:sz="4" w:space="0"/>
            </w:tcBorders>
            <w:vAlign w:val="center"/>
          </w:tcPr>
          <w:p w14:paraId="017E3F52">
            <w:pPr>
              <w:jc w:val="center"/>
              <w:rPr>
                <w:rFonts w:ascii="宋体"/>
                <w:kern w:val="0"/>
              </w:rPr>
            </w:pPr>
            <w:r>
              <w:rPr>
                <w:rFonts w:hint="eastAsia" w:ascii="宋体"/>
                <w:kern w:val="0"/>
              </w:rPr>
              <w:t>暂扣船员适任证书12个月至24个月，直至吊销船员适任证书</w:t>
            </w:r>
          </w:p>
        </w:tc>
      </w:tr>
      <w:tr w14:paraId="365C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8" w:hRule="atLeast"/>
        </w:trPr>
        <w:tc>
          <w:tcPr>
            <w:tcW w:w="20044" w:type="dxa"/>
            <w:gridSpan w:val="8"/>
            <w:vAlign w:val="center"/>
          </w:tcPr>
          <w:p w14:paraId="7BC39212">
            <w:pPr>
              <w:jc w:val="left"/>
              <w:rPr>
                <w:rFonts w:ascii="宋体"/>
                <w:kern w:val="0"/>
              </w:rPr>
            </w:pPr>
            <w:r>
              <w:rPr>
                <w:rFonts w:hint="eastAsia" w:ascii="宋体"/>
                <w:kern w:val="0"/>
              </w:rPr>
              <w:t>注：</w:t>
            </w:r>
          </w:p>
          <w:p w14:paraId="3A1404EA">
            <w:pPr>
              <w:jc w:val="left"/>
              <w:rPr>
                <w:rFonts w:ascii="宋体"/>
                <w:kern w:val="0"/>
              </w:rPr>
            </w:pPr>
            <w:r>
              <w:rPr>
                <w:rFonts w:hint="eastAsia" w:ascii="宋体"/>
                <w:lang w:val="zh-CN"/>
              </w:rPr>
              <w:t>安全管理体系运行存在重大不符合规定情况的，吊销DOC、SMC</w:t>
            </w:r>
            <w:r>
              <w:rPr>
                <w:rFonts w:hint="eastAsia" w:ascii="宋体"/>
                <w:kern w:val="0"/>
              </w:rPr>
              <w:t>。</w:t>
            </w:r>
          </w:p>
        </w:tc>
      </w:tr>
    </w:tbl>
    <w:p w14:paraId="19F4ADAC">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8"/>
        <w:gridCol w:w="1134"/>
        <w:gridCol w:w="1559"/>
        <w:gridCol w:w="992"/>
        <w:gridCol w:w="3544"/>
        <w:gridCol w:w="6662"/>
        <w:gridCol w:w="2268"/>
        <w:gridCol w:w="2977"/>
      </w:tblGrid>
      <w:tr w14:paraId="1472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08" w:type="dxa"/>
            <w:vMerge w:val="restart"/>
            <w:vAlign w:val="center"/>
          </w:tcPr>
          <w:p w14:paraId="13ABE717">
            <w:pPr>
              <w:jc w:val="left"/>
              <w:rPr>
                <w:rFonts w:ascii="宋体"/>
                <w:b/>
                <w:kern w:val="0"/>
              </w:rPr>
            </w:pPr>
            <w:r>
              <w:rPr>
                <w:rFonts w:hint="eastAsia" w:ascii="宋体"/>
                <w:b/>
                <w:kern w:val="0"/>
              </w:rPr>
              <w:t>案由45</w:t>
            </w:r>
          </w:p>
        </w:tc>
        <w:tc>
          <w:tcPr>
            <w:tcW w:w="2693" w:type="dxa"/>
            <w:gridSpan w:val="2"/>
            <w:vAlign w:val="center"/>
          </w:tcPr>
          <w:p w14:paraId="0CD53183">
            <w:pPr>
              <w:jc w:val="center"/>
              <w:rPr>
                <w:rFonts w:ascii="宋体"/>
                <w:b/>
                <w:kern w:val="0"/>
              </w:rPr>
            </w:pPr>
            <w:r>
              <w:rPr>
                <w:rFonts w:hint="eastAsia" w:ascii="宋体"/>
                <w:b/>
                <w:kern w:val="0"/>
              </w:rPr>
              <w:t>法律依据</w:t>
            </w:r>
          </w:p>
        </w:tc>
        <w:tc>
          <w:tcPr>
            <w:tcW w:w="992" w:type="dxa"/>
            <w:vMerge w:val="restart"/>
            <w:vAlign w:val="center"/>
          </w:tcPr>
          <w:p w14:paraId="7EDCE9B2">
            <w:pPr>
              <w:jc w:val="center"/>
              <w:rPr>
                <w:rFonts w:ascii="宋体"/>
                <w:b/>
                <w:kern w:val="0"/>
              </w:rPr>
            </w:pPr>
            <w:r>
              <w:rPr>
                <w:rFonts w:hint="eastAsia" w:ascii="宋体"/>
                <w:b/>
                <w:kern w:val="0"/>
              </w:rPr>
              <w:t>违法情节</w:t>
            </w:r>
          </w:p>
        </w:tc>
        <w:tc>
          <w:tcPr>
            <w:tcW w:w="3544" w:type="dxa"/>
            <w:vMerge w:val="restart"/>
            <w:vAlign w:val="center"/>
          </w:tcPr>
          <w:p w14:paraId="25FEEB44">
            <w:pPr>
              <w:jc w:val="center"/>
              <w:rPr>
                <w:rFonts w:ascii="宋体"/>
                <w:b/>
                <w:kern w:val="0"/>
              </w:rPr>
            </w:pPr>
            <w:r>
              <w:rPr>
                <w:rFonts w:hint="eastAsia" w:ascii="宋体"/>
                <w:b/>
                <w:kern w:val="0"/>
              </w:rPr>
              <w:t>主要考虑因素（事实、性质、情节、危害程度和实际后果等）</w:t>
            </w:r>
          </w:p>
        </w:tc>
        <w:tc>
          <w:tcPr>
            <w:tcW w:w="11907" w:type="dxa"/>
            <w:gridSpan w:val="3"/>
            <w:vAlign w:val="center"/>
          </w:tcPr>
          <w:p w14:paraId="6050F952">
            <w:pPr>
              <w:jc w:val="left"/>
              <w:rPr>
                <w:rFonts w:ascii="宋体"/>
                <w:b/>
                <w:kern w:val="0"/>
              </w:rPr>
            </w:pPr>
            <w:r>
              <w:rPr>
                <w:rFonts w:hint="eastAsia" w:ascii="宋体"/>
                <w:b/>
                <w:kern w:val="0"/>
              </w:rPr>
              <w:t>【法定幅度和种类】</w:t>
            </w:r>
            <w:r>
              <w:rPr>
                <w:rFonts w:hint="eastAsia" w:ascii="宋体"/>
              </w:rPr>
              <w:t>由海事管理机构责令改正，对违法船舶或者海上设施的所有人、经营人或者管理人处二万元以上二十万元以下的罚款，对船长和有关责任人员处二千元以上二万元以下的罚款；情节严重的，吊销违法船舶所有人、经营人或者管理人的有关证书、文书，暂扣船长、责任船员的船员适任证书十二个月至二十四个月，直至吊销船员适任证书。</w:t>
            </w:r>
          </w:p>
        </w:tc>
      </w:tr>
      <w:tr w14:paraId="2E2F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08" w:type="dxa"/>
            <w:vMerge w:val="continue"/>
            <w:tcBorders>
              <w:bottom w:val="single" w:color="000000" w:sz="4" w:space="0"/>
            </w:tcBorders>
            <w:vAlign w:val="center"/>
          </w:tcPr>
          <w:p w14:paraId="6F4A46A0">
            <w:pPr>
              <w:jc w:val="left"/>
              <w:rPr>
                <w:rFonts w:ascii="宋体"/>
                <w:b/>
                <w:kern w:val="0"/>
              </w:rPr>
            </w:pPr>
          </w:p>
        </w:tc>
        <w:tc>
          <w:tcPr>
            <w:tcW w:w="1134" w:type="dxa"/>
            <w:tcBorders>
              <w:bottom w:val="single" w:color="000000" w:sz="4" w:space="0"/>
            </w:tcBorders>
            <w:vAlign w:val="center"/>
          </w:tcPr>
          <w:p w14:paraId="6C1CB3A4">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14:paraId="7E3976CB">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3C6B68EF">
            <w:pPr>
              <w:jc w:val="center"/>
              <w:rPr>
                <w:rFonts w:ascii="宋体"/>
                <w:b/>
                <w:kern w:val="0"/>
              </w:rPr>
            </w:pPr>
          </w:p>
        </w:tc>
        <w:tc>
          <w:tcPr>
            <w:tcW w:w="3544" w:type="dxa"/>
            <w:vMerge w:val="continue"/>
            <w:tcBorders>
              <w:bottom w:val="single" w:color="000000" w:sz="4" w:space="0"/>
            </w:tcBorders>
            <w:vAlign w:val="center"/>
          </w:tcPr>
          <w:p w14:paraId="0FD0C36A">
            <w:pPr>
              <w:jc w:val="left"/>
              <w:rPr>
                <w:rFonts w:ascii="宋体"/>
                <w:b/>
                <w:kern w:val="0"/>
              </w:rPr>
            </w:pPr>
          </w:p>
        </w:tc>
        <w:tc>
          <w:tcPr>
            <w:tcW w:w="6662" w:type="dxa"/>
            <w:tcBorders>
              <w:top w:val="single" w:color="auto" w:sz="4" w:space="0"/>
              <w:right w:val="single" w:color="auto" w:sz="4" w:space="0"/>
            </w:tcBorders>
            <w:vAlign w:val="center"/>
          </w:tcPr>
          <w:p w14:paraId="7243A3CC">
            <w:pPr>
              <w:jc w:val="center"/>
              <w:rPr>
                <w:rFonts w:ascii="宋体"/>
                <w:b/>
                <w:kern w:val="0"/>
              </w:rPr>
            </w:pPr>
            <w:r>
              <w:rPr>
                <w:rFonts w:hint="eastAsia" w:ascii="宋体"/>
                <w:b/>
                <w:kern w:val="0"/>
              </w:rPr>
              <w:t>【对象】对船舶的所有人、经营人或者管理人</w:t>
            </w:r>
          </w:p>
        </w:tc>
        <w:tc>
          <w:tcPr>
            <w:tcW w:w="2268" w:type="dxa"/>
            <w:tcBorders>
              <w:top w:val="single" w:color="auto" w:sz="4" w:space="0"/>
              <w:left w:val="single" w:color="auto" w:sz="4" w:space="0"/>
            </w:tcBorders>
            <w:vAlign w:val="center"/>
          </w:tcPr>
          <w:p w14:paraId="131B9356">
            <w:pPr>
              <w:jc w:val="center"/>
              <w:rPr>
                <w:rFonts w:ascii="宋体"/>
                <w:b/>
                <w:kern w:val="0"/>
              </w:rPr>
            </w:pPr>
            <w:r>
              <w:rPr>
                <w:rFonts w:hint="eastAsia" w:ascii="宋体"/>
                <w:b/>
                <w:kern w:val="0"/>
              </w:rPr>
              <w:t>【对象】船长</w:t>
            </w:r>
          </w:p>
        </w:tc>
        <w:tc>
          <w:tcPr>
            <w:tcW w:w="2977" w:type="dxa"/>
            <w:tcBorders>
              <w:top w:val="single" w:color="auto" w:sz="4" w:space="0"/>
              <w:left w:val="single" w:color="auto" w:sz="4" w:space="0"/>
            </w:tcBorders>
            <w:vAlign w:val="center"/>
          </w:tcPr>
          <w:p w14:paraId="0EAA483E">
            <w:pPr>
              <w:jc w:val="center"/>
              <w:rPr>
                <w:rFonts w:ascii="宋体"/>
                <w:b/>
                <w:kern w:val="0"/>
              </w:rPr>
            </w:pPr>
            <w:r>
              <w:rPr>
                <w:rFonts w:hint="eastAsia" w:ascii="宋体"/>
                <w:b/>
                <w:kern w:val="0"/>
              </w:rPr>
              <w:t>【对象】责任人员</w:t>
            </w:r>
          </w:p>
        </w:tc>
      </w:tr>
      <w:tr w14:paraId="3EDD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8" w:type="dxa"/>
            <w:vMerge w:val="restart"/>
            <w:vAlign w:val="center"/>
          </w:tcPr>
          <w:p w14:paraId="0777AED0">
            <w:pPr>
              <w:widowControl/>
              <w:jc w:val="left"/>
              <w:rPr>
                <w:rFonts w:ascii="宋体"/>
                <w:kern w:val="0"/>
              </w:rPr>
            </w:pPr>
            <w:r>
              <w:rPr>
                <w:rFonts w:hint="eastAsia" w:ascii="宋体"/>
                <w:kern w:val="0"/>
              </w:rPr>
              <w:t>船舶、海上设施的配员不符合最低安全配员要求</w:t>
            </w:r>
          </w:p>
        </w:tc>
        <w:tc>
          <w:tcPr>
            <w:tcW w:w="1134" w:type="dxa"/>
            <w:vMerge w:val="restart"/>
            <w:vAlign w:val="center"/>
          </w:tcPr>
          <w:p w14:paraId="7D4256DE">
            <w:pPr>
              <w:widowControl/>
              <w:jc w:val="left"/>
              <w:rPr>
                <w:rFonts w:ascii="宋体"/>
                <w:kern w:val="0"/>
              </w:rPr>
            </w:pPr>
            <w:r>
              <w:rPr>
                <w:rFonts w:hint="eastAsia" w:ascii="宋体"/>
                <w:kern w:val="0"/>
              </w:rPr>
              <w:t>1.《中华人民共和国海上交通安全法》第三十三条第二款、第三款；</w:t>
            </w:r>
          </w:p>
          <w:p w14:paraId="02B707DD">
            <w:pPr>
              <w:widowControl/>
              <w:jc w:val="left"/>
              <w:rPr>
                <w:rFonts w:ascii="宋体"/>
                <w:kern w:val="0"/>
              </w:rPr>
            </w:pPr>
            <w:r>
              <w:rPr>
                <w:rFonts w:hint="eastAsia" w:ascii="宋体"/>
              </w:rPr>
              <w:t>2</w:t>
            </w:r>
            <w:r>
              <w:rPr>
                <w:rFonts w:hint="eastAsia" w:ascii="宋体"/>
                <w:kern w:val="0"/>
              </w:rPr>
              <w:t>.</w:t>
            </w:r>
            <w:r>
              <w:rPr>
                <w:rFonts w:hint="eastAsia" w:ascii="宋体"/>
              </w:rPr>
              <w:t>其他法律、法规、规章等。</w:t>
            </w:r>
          </w:p>
        </w:tc>
        <w:tc>
          <w:tcPr>
            <w:tcW w:w="1559" w:type="dxa"/>
            <w:vMerge w:val="restart"/>
            <w:vAlign w:val="center"/>
          </w:tcPr>
          <w:p w14:paraId="2A7AC62C">
            <w:pPr>
              <w:jc w:val="left"/>
              <w:rPr>
                <w:rFonts w:ascii="宋体"/>
                <w:kern w:val="0"/>
              </w:rPr>
            </w:pPr>
            <w:r>
              <w:rPr>
                <w:rFonts w:hint="eastAsia" w:ascii="宋体"/>
                <w:kern w:val="0"/>
              </w:rPr>
              <w:t>1.《中华人民共和国海上交通安全法》第九十六条第（四）项、《中华人民共和国海上海事行政处罚规定》第十五条；</w:t>
            </w:r>
          </w:p>
          <w:p w14:paraId="56CC65A2">
            <w:pPr>
              <w:jc w:val="left"/>
              <w:rPr>
                <w:rFonts w:ascii="宋体"/>
                <w:kern w:val="0"/>
              </w:rPr>
            </w:pPr>
            <w:r>
              <w:rPr>
                <w:rFonts w:hint="eastAsia" w:ascii="宋体"/>
                <w:kern w:val="0"/>
              </w:rPr>
              <w:t>2.《中华人民共和国海上海事行政处罚规定》第七条。</w:t>
            </w:r>
          </w:p>
        </w:tc>
        <w:tc>
          <w:tcPr>
            <w:tcW w:w="992" w:type="dxa"/>
            <w:vAlign w:val="center"/>
          </w:tcPr>
          <w:p w14:paraId="32A4EE6F">
            <w:pPr>
              <w:jc w:val="center"/>
              <w:rPr>
                <w:rFonts w:ascii="宋体"/>
                <w:kern w:val="0"/>
              </w:rPr>
            </w:pPr>
            <w:r>
              <w:rPr>
                <w:rFonts w:hint="eastAsia" w:ascii="宋体"/>
                <w:kern w:val="0"/>
              </w:rPr>
              <w:t>从轻</w:t>
            </w:r>
          </w:p>
        </w:tc>
        <w:tc>
          <w:tcPr>
            <w:tcW w:w="3544" w:type="dxa"/>
            <w:vAlign w:val="center"/>
          </w:tcPr>
          <w:p w14:paraId="2D80AA18">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6662" w:type="dxa"/>
            <w:tcBorders>
              <w:right w:val="single" w:color="auto" w:sz="4" w:space="0"/>
            </w:tcBorders>
            <w:vAlign w:val="center"/>
          </w:tcPr>
          <w:p w14:paraId="6E1CFB34">
            <w:pPr>
              <w:jc w:val="center"/>
              <w:rPr>
                <w:rFonts w:ascii="宋体"/>
                <w:kern w:val="0"/>
              </w:rPr>
            </w:pPr>
            <w:r>
              <w:rPr>
                <w:rFonts w:hint="eastAsia" w:ascii="宋体"/>
                <w:kern w:val="0"/>
              </w:rPr>
              <w:t>2-4万元</w:t>
            </w:r>
          </w:p>
        </w:tc>
        <w:tc>
          <w:tcPr>
            <w:tcW w:w="2268" w:type="dxa"/>
            <w:tcBorders>
              <w:left w:val="single" w:color="auto" w:sz="4" w:space="0"/>
              <w:bottom w:val="single" w:color="auto" w:sz="4" w:space="0"/>
              <w:right w:val="single" w:color="auto" w:sz="4" w:space="0"/>
            </w:tcBorders>
            <w:vAlign w:val="center"/>
          </w:tcPr>
          <w:p w14:paraId="76F0A002">
            <w:pPr>
              <w:jc w:val="center"/>
              <w:rPr>
                <w:rFonts w:ascii="宋体"/>
                <w:kern w:val="0"/>
              </w:rPr>
            </w:pPr>
            <w:r>
              <w:rPr>
                <w:rFonts w:hint="eastAsia" w:ascii="宋体"/>
                <w:kern w:val="0"/>
              </w:rPr>
              <w:t>2000-5000元</w:t>
            </w:r>
          </w:p>
        </w:tc>
        <w:tc>
          <w:tcPr>
            <w:tcW w:w="2977" w:type="dxa"/>
            <w:tcBorders>
              <w:left w:val="single" w:color="auto" w:sz="4" w:space="0"/>
              <w:bottom w:val="single" w:color="auto" w:sz="4" w:space="0"/>
            </w:tcBorders>
            <w:vAlign w:val="center"/>
          </w:tcPr>
          <w:p w14:paraId="608080FC">
            <w:pPr>
              <w:jc w:val="center"/>
              <w:rPr>
                <w:rFonts w:ascii="宋体"/>
                <w:kern w:val="0"/>
              </w:rPr>
            </w:pPr>
            <w:r>
              <w:rPr>
                <w:rFonts w:hint="eastAsia" w:ascii="宋体"/>
                <w:kern w:val="0"/>
              </w:rPr>
              <w:t>2000-4000元</w:t>
            </w:r>
          </w:p>
        </w:tc>
      </w:tr>
      <w:tr w14:paraId="7FB8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908" w:type="dxa"/>
            <w:vMerge w:val="continue"/>
            <w:vAlign w:val="center"/>
          </w:tcPr>
          <w:p w14:paraId="1C003E5F">
            <w:pPr>
              <w:jc w:val="left"/>
              <w:rPr>
                <w:rFonts w:ascii="宋体"/>
                <w:kern w:val="0"/>
              </w:rPr>
            </w:pPr>
          </w:p>
        </w:tc>
        <w:tc>
          <w:tcPr>
            <w:tcW w:w="1134" w:type="dxa"/>
            <w:vMerge w:val="continue"/>
            <w:vAlign w:val="center"/>
          </w:tcPr>
          <w:p w14:paraId="246F22EE">
            <w:pPr>
              <w:widowControl/>
              <w:jc w:val="left"/>
              <w:rPr>
                <w:rFonts w:ascii="宋体"/>
                <w:kern w:val="0"/>
              </w:rPr>
            </w:pPr>
          </w:p>
        </w:tc>
        <w:tc>
          <w:tcPr>
            <w:tcW w:w="1559" w:type="dxa"/>
            <w:vMerge w:val="continue"/>
            <w:vAlign w:val="center"/>
          </w:tcPr>
          <w:p w14:paraId="34DA3940">
            <w:pPr>
              <w:jc w:val="left"/>
              <w:rPr>
                <w:rFonts w:ascii="宋体"/>
                <w:kern w:val="0"/>
              </w:rPr>
            </w:pPr>
          </w:p>
        </w:tc>
        <w:tc>
          <w:tcPr>
            <w:tcW w:w="992" w:type="dxa"/>
            <w:vMerge w:val="restart"/>
            <w:vAlign w:val="center"/>
          </w:tcPr>
          <w:p w14:paraId="7CE11B62">
            <w:pPr>
              <w:jc w:val="center"/>
              <w:rPr>
                <w:rFonts w:ascii="宋体"/>
                <w:kern w:val="0"/>
              </w:rPr>
            </w:pPr>
            <w:r>
              <w:rPr>
                <w:rFonts w:hint="eastAsia" w:ascii="宋体"/>
                <w:kern w:val="0"/>
              </w:rPr>
              <w:t>一般</w:t>
            </w:r>
          </w:p>
        </w:tc>
        <w:tc>
          <w:tcPr>
            <w:tcW w:w="3544" w:type="dxa"/>
            <w:vAlign w:val="center"/>
          </w:tcPr>
          <w:p w14:paraId="44797592">
            <w:pPr>
              <w:pStyle w:val="13"/>
              <w:jc w:val="left"/>
              <w:rPr>
                <w:rFonts w:ascii="宋体"/>
              </w:rPr>
            </w:pPr>
            <w:r>
              <w:rPr>
                <w:rFonts w:hint="eastAsia" w:ascii="宋体"/>
              </w:rPr>
              <w:t>所缺船员均为普通船员的；</w:t>
            </w:r>
          </w:p>
        </w:tc>
        <w:tc>
          <w:tcPr>
            <w:tcW w:w="6662" w:type="dxa"/>
            <w:tcBorders>
              <w:right w:val="single" w:color="auto" w:sz="4" w:space="0"/>
            </w:tcBorders>
            <w:vAlign w:val="center"/>
          </w:tcPr>
          <w:p w14:paraId="549E06B7">
            <w:pPr>
              <w:jc w:val="center"/>
              <w:rPr>
                <w:rFonts w:ascii="宋体"/>
                <w:kern w:val="0"/>
              </w:rPr>
            </w:pPr>
            <w:r>
              <w:rPr>
                <w:rFonts w:hint="eastAsia" w:ascii="宋体"/>
                <w:kern w:val="0"/>
              </w:rPr>
              <w:t>4-6万元</w:t>
            </w:r>
          </w:p>
        </w:tc>
        <w:tc>
          <w:tcPr>
            <w:tcW w:w="2268" w:type="dxa"/>
            <w:tcBorders>
              <w:top w:val="single" w:color="auto" w:sz="4" w:space="0"/>
              <w:left w:val="single" w:color="auto" w:sz="4" w:space="0"/>
              <w:right w:val="single" w:color="auto" w:sz="4" w:space="0"/>
            </w:tcBorders>
            <w:vAlign w:val="center"/>
          </w:tcPr>
          <w:p w14:paraId="7EB50248">
            <w:pPr>
              <w:jc w:val="center"/>
              <w:rPr>
                <w:rFonts w:ascii="宋体"/>
                <w:kern w:val="0"/>
              </w:rPr>
            </w:pPr>
            <w:r>
              <w:rPr>
                <w:rFonts w:hint="eastAsia" w:ascii="宋体"/>
                <w:kern w:val="0"/>
              </w:rPr>
              <w:t>5000-7000元</w:t>
            </w:r>
          </w:p>
        </w:tc>
        <w:tc>
          <w:tcPr>
            <w:tcW w:w="2977" w:type="dxa"/>
            <w:tcBorders>
              <w:top w:val="single" w:color="auto" w:sz="4" w:space="0"/>
              <w:left w:val="single" w:color="auto" w:sz="4" w:space="0"/>
            </w:tcBorders>
            <w:vAlign w:val="center"/>
          </w:tcPr>
          <w:p w14:paraId="171E37CF">
            <w:pPr>
              <w:jc w:val="center"/>
              <w:rPr>
                <w:rFonts w:ascii="宋体"/>
                <w:kern w:val="0"/>
              </w:rPr>
            </w:pPr>
            <w:r>
              <w:rPr>
                <w:rFonts w:hint="eastAsia" w:ascii="宋体"/>
                <w:kern w:val="0"/>
              </w:rPr>
              <w:t>4000-6000元</w:t>
            </w:r>
          </w:p>
        </w:tc>
      </w:tr>
      <w:tr w14:paraId="38D4C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6" w:hRule="atLeast"/>
        </w:trPr>
        <w:tc>
          <w:tcPr>
            <w:tcW w:w="908" w:type="dxa"/>
            <w:vMerge w:val="continue"/>
            <w:vAlign w:val="center"/>
          </w:tcPr>
          <w:p w14:paraId="20CC0818">
            <w:pPr>
              <w:jc w:val="left"/>
              <w:rPr>
                <w:rFonts w:ascii="宋体"/>
                <w:kern w:val="0"/>
              </w:rPr>
            </w:pPr>
          </w:p>
        </w:tc>
        <w:tc>
          <w:tcPr>
            <w:tcW w:w="1134" w:type="dxa"/>
            <w:vMerge w:val="continue"/>
            <w:vAlign w:val="center"/>
          </w:tcPr>
          <w:p w14:paraId="4A2B013F">
            <w:pPr>
              <w:widowControl/>
              <w:jc w:val="left"/>
              <w:rPr>
                <w:rFonts w:ascii="宋体"/>
                <w:kern w:val="0"/>
              </w:rPr>
            </w:pPr>
          </w:p>
        </w:tc>
        <w:tc>
          <w:tcPr>
            <w:tcW w:w="1559" w:type="dxa"/>
            <w:vMerge w:val="continue"/>
            <w:vAlign w:val="center"/>
          </w:tcPr>
          <w:p w14:paraId="6587931A">
            <w:pPr>
              <w:jc w:val="left"/>
              <w:rPr>
                <w:rFonts w:ascii="宋体"/>
                <w:kern w:val="0"/>
              </w:rPr>
            </w:pPr>
          </w:p>
        </w:tc>
        <w:tc>
          <w:tcPr>
            <w:tcW w:w="992" w:type="dxa"/>
            <w:vMerge w:val="continue"/>
            <w:vAlign w:val="center"/>
          </w:tcPr>
          <w:p w14:paraId="1AC42BF8">
            <w:pPr>
              <w:jc w:val="center"/>
              <w:rPr>
                <w:rFonts w:ascii="宋体"/>
                <w:kern w:val="0"/>
              </w:rPr>
            </w:pPr>
          </w:p>
        </w:tc>
        <w:tc>
          <w:tcPr>
            <w:tcW w:w="3544" w:type="dxa"/>
            <w:vAlign w:val="center"/>
          </w:tcPr>
          <w:p w14:paraId="4B78CF91">
            <w:pPr>
              <w:pStyle w:val="13"/>
              <w:jc w:val="left"/>
              <w:rPr>
                <w:rFonts w:ascii="宋体"/>
              </w:rPr>
            </w:pPr>
            <w:r>
              <w:rPr>
                <w:rFonts w:hint="eastAsia" w:ascii="宋体"/>
              </w:rPr>
              <w:t>1.缺船长以外的高级船员2名以下；2.配备人员未掌握避碰、信号、通信、消防、救生等专业技能。</w:t>
            </w:r>
          </w:p>
        </w:tc>
        <w:tc>
          <w:tcPr>
            <w:tcW w:w="6662" w:type="dxa"/>
            <w:tcBorders>
              <w:right w:val="single" w:color="auto" w:sz="4" w:space="0"/>
            </w:tcBorders>
            <w:vAlign w:val="center"/>
          </w:tcPr>
          <w:p w14:paraId="391D05EE">
            <w:pPr>
              <w:jc w:val="center"/>
              <w:rPr>
                <w:rFonts w:ascii="宋体"/>
                <w:kern w:val="0"/>
              </w:rPr>
            </w:pPr>
            <w:r>
              <w:rPr>
                <w:rFonts w:hint="eastAsia" w:ascii="宋体"/>
                <w:kern w:val="0"/>
              </w:rPr>
              <w:t>5-8万元</w:t>
            </w:r>
          </w:p>
        </w:tc>
        <w:tc>
          <w:tcPr>
            <w:tcW w:w="2268" w:type="dxa"/>
            <w:tcBorders>
              <w:left w:val="single" w:color="auto" w:sz="4" w:space="0"/>
              <w:right w:val="single" w:color="auto" w:sz="4" w:space="0"/>
            </w:tcBorders>
            <w:vAlign w:val="center"/>
          </w:tcPr>
          <w:p w14:paraId="457D8999">
            <w:pPr>
              <w:jc w:val="center"/>
              <w:rPr>
                <w:rFonts w:ascii="宋体"/>
                <w:kern w:val="0"/>
              </w:rPr>
            </w:pPr>
            <w:r>
              <w:rPr>
                <w:rFonts w:hint="eastAsia" w:ascii="宋体"/>
                <w:kern w:val="0"/>
              </w:rPr>
              <w:t>7000-9000元</w:t>
            </w:r>
          </w:p>
        </w:tc>
        <w:tc>
          <w:tcPr>
            <w:tcW w:w="2977" w:type="dxa"/>
            <w:tcBorders>
              <w:left w:val="single" w:color="auto" w:sz="4" w:space="0"/>
            </w:tcBorders>
            <w:vAlign w:val="center"/>
          </w:tcPr>
          <w:p w14:paraId="4290B1C9">
            <w:pPr>
              <w:jc w:val="center"/>
              <w:rPr>
                <w:rFonts w:ascii="宋体"/>
                <w:kern w:val="0"/>
              </w:rPr>
            </w:pPr>
            <w:r>
              <w:rPr>
                <w:rFonts w:hint="eastAsia" w:ascii="宋体"/>
                <w:kern w:val="0"/>
              </w:rPr>
              <w:t>6000-8000元</w:t>
            </w:r>
          </w:p>
        </w:tc>
      </w:tr>
      <w:tr w14:paraId="55F61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2" w:hRule="atLeast"/>
        </w:trPr>
        <w:tc>
          <w:tcPr>
            <w:tcW w:w="908" w:type="dxa"/>
            <w:vMerge w:val="continue"/>
            <w:vAlign w:val="center"/>
          </w:tcPr>
          <w:p w14:paraId="39A9F745">
            <w:pPr>
              <w:jc w:val="left"/>
              <w:rPr>
                <w:rFonts w:ascii="宋体"/>
                <w:kern w:val="0"/>
              </w:rPr>
            </w:pPr>
          </w:p>
        </w:tc>
        <w:tc>
          <w:tcPr>
            <w:tcW w:w="1134" w:type="dxa"/>
            <w:vMerge w:val="continue"/>
            <w:vAlign w:val="center"/>
          </w:tcPr>
          <w:p w14:paraId="5CBB0516">
            <w:pPr>
              <w:widowControl/>
              <w:jc w:val="left"/>
              <w:rPr>
                <w:rFonts w:ascii="宋体"/>
                <w:kern w:val="0"/>
              </w:rPr>
            </w:pPr>
          </w:p>
        </w:tc>
        <w:tc>
          <w:tcPr>
            <w:tcW w:w="1559" w:type="dxa"/>
            <w:vMerge w:val="continue"/>
            <w:vAlign w:val="center"/>
          </w:tcPr>
          <w:p w14:paraId="3FFCD05B">
            <w:pPr>
              <w:jc w:val="left"/>
              <w:rPr>
                <w:rFonts w:ascii="宋体"/>
                <w:kern w:val="0"/>
              </w:rPr>
            </w:pPr>
          </w:p>
        </w:tc>
        <w:tc>
          <w:tcPr>
            <w:tcW w:w="992" w:type="dxa"/>
            <w:vMerge w:val="continue"/>
            <w:vAlign w:val="center"/>
          </w:tcPr>
          <w:p w14:paraId="68F0123A">
            <w:pPr>
              <w:jc w:val="center"/>
              <w:rPr>
                <w:rFonts w:ascii="宋体"/>
                <w:kern w:val="0"/>
              </w:rPr>
            </w:pPr>
          </w:p>
        </w:tc>
        <w:tc>
          <w:tcPr>
            <w:tcW w:w="3544" w:type="dxa"/>
            <w:vAlign w:val="center"/>
          </w:tcPr>
          <w:p w14:paraId="5C6A2E48">
            <w:pPr>
              <w:pStyle w:val="13"/>
              <w:jc w:val="left"/>
              <w:rPr>
                <w:rFonts w:ascii="宋体"/>
              </w:rPr>
            </w:pPr>
            <w:r>
              <w:rPr>
                <w:rFonts w:hint="eastAsia" w:ascii="宋体"/>
              </w:rPr>
              <w:t>缺船长以外的高级船员超过2名</w:t>
            </w:r>
          </w:p>
        </w:tc>
        <w:tc>
          <w:tcPr>
            <w:tcW w:w="6662" w:type="dxa"/>
            <w:tcBorders>
              <w:right w:val="single" w:color="auto" w:sz="4" w:space="0"/>
            </w:tcBorders>
            <w:vAlign w:val="center"/>
          </w:tcPr>
          <w:p w14:paraId="1964C663">
            <w:pPr>
              <w:jc w:val="center"/>
              <w:rPr>
                <w:rFonts w:ascii="宋体"/>
                <w:kern w:val="0"/>
              </w:rPr>
            </w:pPr>
            <w:r>
              <w:rPr>
                <w:rFonts w:hint="eastAsia" w:ascii="宋体"/>
                <w:kern w:val="0"/>
              </w:rPr>
              <w:t>8-15万元</w:t>
            </w:r>
          </w:p>
        </w:tc>
        <w:tc>
          <w:tcPr>
            <w:tcW w:w="2268" w:type="dxa"/>
            <w:tcBorders>
              <w:left w:val="single" w:color="auto" w:sz="4" w:space="0"/>
              <w:bottom w:val="single" w:color="auto" w:sz="4" w:space="0"/>
              <w:right w:val="single" w:color="auto" w:sz="4" w:space="0"/>
            </w:tcBorders>
            <w:vAlign w:val="center"/>
          </w:tcPr>
          <w:p w14:paraId="6C5622CF">
            <w:pPr>
              <w:jc w:val="center"/>
              <w:rPr>
                <w:rFonts w:ascii="宋体"/>
                <w:kern w:val="0"/>
              </w:rPr>
            </w:pPr>
            <w:r>
              <w:rPr>
                <w:rFonts w:hint="eastAsia" w:ascii="宋体"/>
                <w:kern w:val="0"/>
              </w:rPr>
              <w:t>9000元-1万</w:t>
            </w:r>
          </w:p>
        </w:tc>
        <w:tc>
          <w:tcPr>
            <w:tcW w:w="2977" w:type="dxa"/>
            <w:tcBorders>
              <w:left w:val="single" w:color="auto" w:sz="4" w:space="0"/>
              <w:bottom w:val="single" w:color="auto" w:sz="4" w:space="0"/>
            </w:tcBorders>
            <w:vAlign w:val="center"/>
          </w:tcPr>
          <w:p w14:paraId="57D6D281">
            <w:pPr>
              <w:jc w:val="center"/>
              <w:rPr>
                <w:rFonts w:ascii="宋体"/>
                <w:kern w:val="0"/>
              </w:rPr>
            </w:pPr>
            <w:r>
              <w:rPr>
                <w:rFonts w:hint="eastAsia" w:ascii="宋体"/>
                <w:kern w:val="0"/>
              </w:rPr>
              <w:t>8000元-1万</w:t>
            </w:r>
          </w:p>
        </w:tc>
      </w:tr>
      <w:tr w14:paraId="3602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0" w:hRule="atLeast"/>
        </w:trPr>
        <w:tc>
          <w:tcPr>
            <w:tcW w:w="908" w:type="dxa"/>
            <w:vMerge w:val="continue"/>
            <w:vAlign w:val="center"/>
          </w:tcPr>
          <w:p w14:paraId="3275278D">
            <w:pPr>
              <w:jc w:val="left"/>
              <w:rPr>
                <w:rFonts w:ascii="宋体"/>
                <w:kern w:val="0"/>
              </w:rPr>
            </w:pPr>
          </w:p>
        </w:tc>
        <w:tc>
          <w:tcPr>
            <w:tcW w:w="1134" w:type="dxa"/>
            <w:vMerge w:val="continue"/>
            <w:vAlign w:val="center"/>
          </w:tcPr>
          <w:p w14:paraId="46AF2272">
            <w:pPr>
              <w:jc w:val="left"/>
              <w:rPr>
                <w:rFonts w:ascii="宋体"/>
                <w:kern w:val="0"/>
              </w:rPr>
            </w:pPr>
          </w:p>
        </w:tc>
        <w:tc>
          <w:tcPr>
            <w:tcW w:w="1559" w:type="dxa"/>
            <w:vMerge w:val="continue"/>
            <w:vAlign w:val="center"/>
          </w:tcPr>
          <w:p w14:paraId="47C54820">
            <w:pPr>
              <w:jc w:val="left"/>
              <w:rPr>
                <w:rFonts w:ascii="宋体"/>
                <w:kern w:val="0"/>
              </w:rPr>
            </w:pPr>
          </w:p>
        </w:tc>
        <w:tc>
          <w:tcPr>
            <w:tcW w:w="992" w:type="dxa"/>
            <w:vMerge w:val="continue"/>
            <w:tcBorders>
              <w:bottom w:val="single" w:color="auto" w:sz="4" w:space="0"/>
            </w:tcBorders>
            <w:vAlign w:val="center"/>
          </w:tcPr>
          <w:p w14:paraId="1B6DEEF3">
            <w:pPr>
              <w:jc w:val="center"/>
              <w:rPr>
                <w:rFonts w:ascii="宋体"/>
                <w:kern w:val="0"/>
              </w:rPr>
            </w:pPr>
          </w:p>
        </w:tc>
        <w:tc>
          <w:tcPr>
            <w:tcW w:w="3544" w:type="dxa"/>
            <w:tcBorders>
              <w:top w:val="single" w:color="auto" w:sz="4" w:space="0"/>
              <w:bottom w:val="single" w:color="auto" w:sz="4" w:space="0"/>
            </w:tcBorders>
            <w:vAlign w:val="center"/>
          </w:tcPr>
          <w:p w14:paraId="78A34921">
            <w:pPr>
              <w:jc w:val="left"/>
              <w:rPr>
                <w:rFonts w:ascii="宋体"/>
              </w:rPr>
            </w:pPr>
            <w:r>
              <w:rPr>
                <w:rFonts w:hint="eastAsia" w:ascii="宋体"/>
                <w:kern w:val="0"/>
              </w:rPr>
              <w:t>1.</w:t>
            </w:r>
            <w:r>
              <w:rPr>
                <w:rFonts w:hint="eastAsia" w:ascii="宋体"/>
              </w:rPr>
              <w:t>缺船长；</w:t>
            </w:r>
          </w:p>
          <w:p w14:paraId="2B127D1E">
            <w:pPr>
              <w:jc w:val="left"/>
              <w:rPr>
                <w:rFonts w:ascii="宋体"/>
              </w:rPr>
            </w:pPr>
            <w:r>
              <w:rPr>
                <w:rFonts w:hint="eastAsia" w:ascii="宋体"/>
              </w:rPr>
              <w:t>2.未配备相关专业技能人员的；</w:t>
            </w:r>
          </w:p>
          <w:p w14:paraId="615BC287">
            <w:pPr>
              <w:jc w:val="left"/>
              <w:rPr>
                <w:rFonts w:ascii="宋体"/>
              </w:rPr>
            </w:pPr>
            <w:r>
              <w:rPr>
                <w:rFonts w:hint="eastAsia" w:ascii="宋体"/>
              </w:rPr>
              <w:t>3.</w:t>
            </w:r>
            <w:r>
              <w:rPr>
                <w:rFonts w:hint="eastAsia" w:ascii="宋体"/>
                <w:kern w:val="0"/>
              </w:rPr>
              <w:t>造成小事故或险情的；</w:t>
            </w:r>
          </w:p>
          <w:p w14:paraId="42D7C3E3">
            <w:pPr>
              <w:jc w:val="left"/>
              <w:rPr>
                <w:rFonts w:ascii="宋体"/>
                <w:kern w:val="0"/>
              </w:rPr>
            </w:pPr>
            <w:r>
              <w:rPr>
                <w:rFonts w:hint="eastAsia" w:ascii="宋体"/>
              </w:rPr>
              <w:t>4.</w:t>
            </w:r>
            <w:r>
              <w:rPr>
                <w:rFonts w:hint="eastAsia" w:ascii="宋体"/>
                <w:kern w:val="0"/>
              </w:rPr>
              <w:t>具有其他较重情节的。</w:t>
            </w:r>
          </w:p>
        </w:tc>
        <w:tc>
          <w:tcPr>
            <w:tcW w:w="6662" w:type="dxa"/>
            <w:tcBorders>
              <w:top w:val="single" w:color="auto" w:sz="4" w:space="0"/>
              <w:bottom w:val="single" w:color="auto" w:sz="4" w:space="0"/>
              <w:right w:val="single" w:color="auto" w:sz="4" w:space="0"/>
            </w:tcBorders>
            <w:vAlign w:val="center"/>
          </w:tcPr>
          <w:p w14:paraId="04CCC98A">
            <w:pPr>
              <w:jc w:val="center"/>
              <w:rPr>
                <w:rFonts w:ascii="宋体"/>
                <w:kern w:val="0"/>
              </w:rPr>
            </w:pPr>
            <w:r>
              <w:rPr>
                <w:rFonts w:hint="eastAsia" w:ascii="宋体"/>
                <w:kern w:val="0"/>
              </w:rPr>
              <w:t>10-20万元</w:t>
            </w:r>
          </w:p>
        </w:tc>
        <w:tc>
          <w:tcPr>
            <w:tcW w:w="2268" w:type="dxa"/>
            <w:tcBorders>
              <w:top w:val="single" w:color="auto" w:sz="4" w:space="0"/>
              <w:left w:val="single" w:color="auto" w:sz="4" w:space="0"/>
              <w:bottom w:val="single" w:color="auto" w:sz="4" w:space="0"/>
              <w:right w:val="single" w:color="auto" w:sz="4" w:space="0"/>
            </w:tcBorders>
            <w:vAlign w:val="center"/>
          </w:tcPr>
          <w:p w14:paraId="260491F1">
            <w:pPr>
              <w:jc w:val="center"/>
              <w:rPr>
                <w:rFonts w:ascii="宋体"/>
                <w:kern w:val="0"/>
              </w:rPr>
            </w:pPr>
            <w:r>
              <w:rPr>
                <w:rFonts w:hint="eastAsia" w:ascii="宋体"/>
                <w:kern w:val="0"/>
              </w:rPr>
              <w:t>1-2万</w:t>
            </w:r>
          </w:p>
        </w:tc>
        <w:tc>
          <w:tcPr>
            <w:tcW w:w="2977" w:type="dxa"/>
            <w:tcBorders>
              <w:top w:val="single" w:color="auto" w:sz="4" w:space="0"/>
              <w:left w:val="single" w:color="auto" w:sz="4" w:space="0"/>
            </w:tcBorders>
            <w:vAlign w:val="center"/>
          </w:tcPr>
          <w:p w14:paraId="74108E3D">
            <w:pPr>
              <w:jc w:val="center"/>
              <w:rPr>
                <w:rFonts w:ascii="宋体"/>
                <w:kern w:val="0"/>
              </w:rPr>
            </w:pPr>
            <w:r>
              <w:rPr>
                <w:rFonts w:hint="eastAsia" w:ascii="宋体"/>
                <w:kern w:val="0"/>
              </w:rPr>
              <w:t>1-2万</w:t>
            </w:r>
          </w:p>
        </w:tc>
      </w:tr>
      <w:tr w14:paraId="1F40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0" w:hRule="atLeast"/>
        </w:trPr>
        <w:tc>
          <w:tcPr>
            <w:tcW w:w="908" w:type="dxa"/>
            <w:vMerge w:val="continue"/>
            <w:vAlign w:val="center"/>
          </w:tcPr>
          <w:p w14:paraId="73EB0A01">
            <w:pPr>
              <w:jc w:val="left"/>
              <w:rPr>
                <w:rFonts w:ascii="宋体"/>
                <w:kern w:val="0"/>
              </w:rPr>
            </w:pPr>
          </w:p>
        </w:tc>
        <w:tc>
          <w:tcPr>
            <w:tcW w:w="1134" w:type="dxa"/>
            <w:vMerge w:val="continue"/>
            <w:vAlign w:val="center"/>
          </w:tcPr>
          <w:p w14:paraId="721B8607">
            <w:pPr>
              <w:jc w:val="left"/>
              <w:rPr>
                <w:rFonts w:ascii="宋体"/>
                <w:kern w:val="0"/>
              </w:rPr>
            </w:pPr>
          </w:p>
        </w:tc>
        <w:tc>
          <w:tcPr>
            <w:tcW w:w="1559" w:type="dxa"/>
            <w:vMerge w:val="continue"/>
            <w:vAlign w:val="center"/>
          </w:tcPr>
          <w:p w14:paraId="3865D292">
            <w:pPr>
              <w:jc w:val="left"/>
              <w:rPr>
                <w:rFonts w:ascii="宋体"/>
                <w:kern w:val="0"/>
              </w:rPr>
            </w:pPr>
          </w:p>
        </w:tc>
        <w:tc>
          <w:tcPr>
            <w:tcW w:w="992" w:type="dxa"/>
            <w:vMerge w:val="restart"/>
            <w:vAlign w:val="center"/>
          </w:tcPr>
          <w:p w14:paraId="33C18447">
            <w:pPr>
              <w:jc w:val="center"/>
              <w:rPr>
                <w:rFonts w:ascii="宋体"/>
                <w:kern w:val="0"/>
              </w:rPr>
            </w:pPr>
            <w:r>
              <w:rPr>
                <w:rFonts w:hint="eastAsia" w:ascii="宋体"/>
                <w:kern w:val="0"/>
              </w:rPr>
              <w:t>情节严重</w:t>
            </w:r>
          </w:p>
        </w:tc>
        <w:tc>
          <w:tcPr>
            <w:tcW w:w="3544" w:type="dxa"/>
            <w:tcBorders>
              <w:top w:val="single" w:color="auto" w:sz="4" w:space="0"/>
              <w:bottom w:val="single" w:color="auto" w:sz="4" w:space="0"/>
            </w:tcBorders>
            <w:vAlign w:val="center"/>
          </w:tcPr>
          <w:p w14:paraId="25469282">
            <w:pPr>
              <w:jc w:val="left"/>
              <w:rPr>
                <w:rFonts w:ascii="宋体"/>
                <w:kern w:val="0"/>
              </w:rPr>
            </w:pPr>
            <w:r>
              <w:rPr>
                <w:rFonts w:hint="eastAsia" w:ascii="宋体"/>
                <w:kern w:val="0"/>
              </w:rPr>
              <w:t>1.造成一般事故的；</w:t>
            </w:r>
          </w:p>
          <w:p w14:paraId="4DF2697F">
            <w:pPr>
              <w:jc w:val="left"/>
              <w:rPr>
                <w:rFonts w:ascii="宋体"/>
                <w:strike/>
              </w:rPr>
            </w:pPr>
            <w:r>
              <w:rPr>
                <w:rFonts w:hint="eastAsia" w:ascii="宋体"/>
                <w:kern w:val="0"/>
              </w:rPr>
              <w:t>2.具有其他严重情节的。</w:t>
            </w:r>
          </w:p>
        </w:tc>
        <w:tc>
          <w:tcPr>
            <w:tcW w:w="6662" w:type="dxa"/>
            <w:tcBorders>
              <w:top w:val="single" w:color="auto" w:sz="4" w:space="0"/>
              <w:bottom w:val="single" w:color="auto" w:sz="4" w:space="0"/>
              <w:right w:val="single" w:color="auto" w:sz="4" w:space="0"/>
            </w:tcBorders>
            <w:vAlign w:val="center"/>
          </w:tcPr>
          <w:p w14:paraId="2EA49157">
            <w:pPr>
              <w:jc w:val="center"/>
              <w:rPr>
                <w:rFonts w:ascii="宋体"/>
                <w:strike/>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14:paraId="5708DDA6">
            <w:pPr>
              <w:jc w:val="center"/>
              <w:rPr>
                <w:rFonts w:ascii="宋体"/>
                <w:strike/>
                <w:kern w:val="0"/>
              </w:rPr>
            </w:pPr>
            <w:r>
              <w:rPr>
                <w:rFonts w:hint="eastAsia" w:ascii="宋体"/>
                <w:kern w:val="0"/>
              </w:rPr>
              <w:t>暂扣船员适任证书12个月至24个月</w:t>
            </w:r>
          </w:p>
        </w:tc>
        <w:tc>
          <w:tcPr>
            <w:tcW w:w="2977" w:type="dxa"/>
            <w:tcBorders>
              <w:top w:val="single" w:color="auto" w:sz="4" w:space="0"/>
              <w:left w:val="single" w:color="auto" w:sz="4" w:space="0"/>
            </w:tcBorders>
            <w:vAlign w:val="center"/>
          </w:tcPr>
          <w:p w14:paraId="53FEFBAA">
            <w:pPr>
              <w:jc w:val="center"/>
              <w:rPr>
                <w:rFonts w:ascii="宋体"/>
                <w:strike/>
                <w:kern w:val="0"/>
              </w:rPr>
            </w:pPr>
            <w:r>
              <w:rPr>
                <w:rFonts w:hint="eastAsia" w:ascii="宋体"/>
                <w:kern w:val="0"/>
              </w:rPr>
              <w:t>暂扣船员适任证书12个月至24个月</w:t>
            </w:r>
          </w:p>
        </w:tc>
      </w:tr>
      <w:tr w14:paraId="7461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08" w:type="dxa"/>
            <w:vMerge w:val="continue"/>
            <w:vAlign w:val="center"/>
          </w:tcPr>
          <w:p w14:paraId="4FD751AD">
            <w:pPr>
              <w:jc w:val="left"/>
              <w:rPr>
                <w:rFonts w:ascii="宋体"/>
                <w:kern w:val="0"/>
              </w:rPr>
            </w:pPr>
          </w:p>
        </w:tc>
        <w:tc>
          <w:tcPr>
            <w:tcW w:w="1134" w:type="dxa"/>
            <w:vMerge w:val="continue"/>
            <w:vAlign w:val="center"/>
          </w:tcPr>
          <w:p w14:paraId="7EEAAE72">
            <w:pPr>
              <w:jc w:val="left"/>
              <w:rPr>
                <w:rFonts w:ascii="宋体"/>
                <w:kern w:val="0"/>
              </w:rPr>
            </w:pPr>
          </w:p>
        </w:tc>
        <w:tc>
          <w:tcPr>
            <w:tcW w:w="1559" w:type="dxa"/>
            <w:vMerge w:val="continue"/>
            <w:vAlign w:val="center"/>
          </w:tcPr>
          <w:p w14:paraId="6FAFD8F3">
            <w:pPr>
              <w:jc w:val="left"/>
              <w:rPr>
                <w:rFonts w:ascii="宋体"/>
                <w:kern w:val="0"/>
              </w:rPr>
            </w:pPr>
          </w:p>
        </w:tc>
        <w:tc>
          <w:tcPr>
            <w:tcW w:w="992" w:type="dxa"/>
            <w:vMerge w:val="continue"/>
            <w:vAlign w:val="center"/>
          </w:tcPr>
          <w:p w14:paraId="287A03BC">
            <w:pPr>
              <w:jc w:val="center"/>
              <w:rPr>
                <w:rFonts w:ascii="宋体"/>
                <w:kern w:val="0"/>
              </w:rPr>
            </w:pPr>
          </w:p>
        </w:tc>
        <w:tc>
          <w:tcPr>
            <w:tcW w:w="3544" w:type="dxa"/>
            <w:tcBorders>
              <w:top w:val="single" w:color="auto" w:sz="4" w:space="0"/>
              <w:left w:val="single" w:color="auto" w:sz="4" w:space="0"/>
              <w:bottom w:val="single" w:color="auto" w:sz="4" w:space="0"/>
            </w:tcBorders>
            <w:vAlign w:val="center"/>
          </w:tcPr>
          <w:p w14:paraId="7650D028">
            <w:pPr>
              <w:jc w:val="left"/>
              <w:rPr>
                <w:rFonts w:ascii="宋体"/>
                <w:kern w:val="0"/>
              </w:rPr>
            </w:pPr>
            <w:r>
              <w:rPr>
                <w:rFonts w:hint="eastAsia" w:ascii="宋体"/>
                <w:kern w:val="0"/>
              </w:rPr>
              <w:t>造成较大等级以上事故的</w:t>
            </w:r>
          </w:p>
        </w:tc>
        <w:tc>
          <w:tcPr>
            <w:tcW w:w="6662" w:type="dxa"/>
            <w:tcBorders>
              <w:top w:val="single" w:color="auto" w:sz="4" w:space="0"/>
              <w:bottom w:val="single" w:color="auto" w:sz="4" w:space="0"/>
              <w:right w:val="single" w:color="auto" w:sz="4" w:space="0"/>
            </w:tcBorders>
            <w:vAlign w:val="center"/>
          </w:tcPr>
          <w:p w14:paraId="4C15F3E7">
            <w:pPr>
              <w:jc w:val="center"/>
              <w:rPr>
                <w:rFonts w:ascii="宋体"/>
                <w:kern w:val="0"/>
              </w:rPr>
            </w:pPr>
            <w:r>
              <w:rPr>
                <w:rFonts w:hint="eastAsia" w:ascii="宋体"/>
                <w:kern w:val="0"/>
              </w:rPr>
              <w:t>吊销违法船舶所有人、经营人或者管理人的有关证书、文书</w:t>
            </w:r>
          </w:p>
        </w:tc>
        <w:tc>
          <w:tcPr>
            <w:tcW w:w="2268" w:type="dxa"/>
            <w:tcBorders>
              <w:top w:val="single" w:color="auto" w:sz="4" w:space="0"/>
              <w:left w:val="single" w:color="auto" w:sz="4" w:space="0"/>
              <w:bottom w:val="single" w:color="auto" w:sz="4" w:space="0"/>
              <w:right w:val="single" w:color="auto" w:sz="4" w:space="0"/>
            </w:tcBorders>
            <w:vAlign w:val="center"/>
          </w:tcPr>
          <w:p w14:paraId="0B0C54A2">
            <w:pPr>
              <w:jc w:val="center"/>
              <w:rPr>
                <w:rFonts w:ascii="宋体"/>
                <w:kern w:val="0"/>
              </w:rPr>
            </w:pPr>
            <w:r>
              <w:rPr>
                <w:rFonts w:hint="eastAsia" w:ascii="宋体"/>
                <w:kern w:val="0"/>
              </w:rPr>
              <w:t>吊销船员适任证书</w:t>
            </w:r>
          </w:p>
        </w:tc>
        <w:tc>
          <w:tcPr>
            <w:tcW w:w="2977" w:type="dxa"/>
            <w:tcBorders>
              <w:left w:val="single" w:color="auto" w:sz="4" w:space="0"/>
            </w:tcBorders>
            <w:vAlign w:val="center"/>
          </w:tcPr>
          <w:p w14:paraId="31CD9173">
            <w:pPr>
              <w:jc w:val="center"/>
              <w:rPr>
                <w:rFonts w:ascii="宋体"/>
                <w:kern w:val="0"/>
              </w:rPr>
            </w:pPr>
            <w:r>
              <w:rPr>
                <w:rFonts w:hint="eastAsia" w:ascii="宋体"/>
                <w:kern w:val="0"/>
              </w:rPr>
              <w:t>吊销船员适任证书</w:t>
            </w:r>
          </w:p>
        </w:tc>
      </w:tr>
      <w:tr w14:paraId="49A8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20044" w:type="dxa"/>
            <w:gridSpan w:val="8"/>
            <w:vAlign w:val="center"/>
          </w:tcPr>
          <w:p w14:paraId="6454D5BD">
            <w:pPr>
              <w:jc w:val="left"/>
              <w:rPr>
                <w:rFonts w:ascii="宋体"/>
                <w:kern w:val="0"/>
              </w:rPr>
            </w:pPr>
            <w:r>
              <w:rPr>
                <w:rFonts w:hint="eastAsia" w:ascii="宋体"/>
                <w:kern w:val="0"/>
              </w:rPr>
              <w:t>注：</w:t>
            </w:r>
          </w:p>
          <w:p w14:paraId="66505DCC">
            <w:pPr>
              <w:jc w:val="left"/>
              <w:rPr>
                <w:rFonts w:ascii="宋体"/>
                <w:kern w:val="0"/>
              </w:rPr>
            </w:pPr>
            <w:r>
              <w:rPr>
                <w:rFonts w:hint="eastAsia" w:ascii="宋体"/>
                <w:kern w:val="0"/>
              </w:rPr>
              <w:t>1.船舶未持有有效船舶最低安全配员证书的，按照船舶最低安全配员标准判断船舶、海上设施的配员是否符合最低安全配员要求。</w:t>
            </w:r>
          </w:p>
          <w:p w14:paraId="6CC6B1F3">
            <w:pPr>
              <w:jc w:val="left"/>
              <w:rPr>
                <w:rFonts w:ascii="宋体"/>
                <w:kern w:val="0"/>
              </w:rPr>
            </w:pPr>
            <w:r>
              <w:rPr>
                <w:rFonts w:hint="eastAsia" w:ascii="宋体"/>
                <w:kern w:val="0"/>
              </w:rPr>
              <w:t>2.所配船员不符合船舶、航区、等级、职务等要求的，没有严重情节的情况下对责任船员的处罚按照《海上交通安全法》第九十七条处罚。</w:t>
            </w:r>
          </w:p>
          <w:p w14:paraId="21B7089D">
            <w:pPr>
              <w:jc w:val="left"/>
              <w:rPr>
                <w:rFonts w:ascii="宋体"/>
                <w:kern w:val="0"/>
              </w:rPr>
            </w:pPr>
            <w:r>
              <w:rPr>
                <w:rFonts w:hint="eastAsia" w:ascii="宋体"/>
                <w:kern w:val="0"/>
              </w:rPr>
              <w:t>3.</w:t>
            </w:r>
            <w:r>
              <w:rPr>
                <w:rFonts w:hint="eastAsia" w:ascii="宋体"/>
                <w:lang w:val="zh-CN"/>
              </w:rPr>
              <w:t>安全管理体系运行存在重大不符合规定情况的，吊销DOC、SMC</w:t>
            </w:r>
            <w:r>
              <w:rPr>
                <w:rFonts w:hint="eastAsia" w:ascii="宋体"/>
                <w:kern w:val="0"/>
              </w:rPr>
              <w:t>。</w:t>
            </w:r>
          </w:p>
        </w:tc>
      </w:tr>
    </w:tbl>
    <w:p w14:paraId="3ACE188F">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141"/>
        <w:gridCol w:w="1559"/>
        <w:gridCol w:w="1185"/>
        <w:gridCol w:w="3350"/>
        <w:gridCol w:w="6660"/>
        <w:gridCol w:w="2464"/>
        <w:gridCol w:w="2835"/>
      </w:tblGrid>
      <w:tr w14:paraId="2C429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1" w:type="dxa"/>
            <w:vMerge w:val="restart"/>
            <w:vAlign w:val="center"/>
          </w:tcPr>
          <w:p w14:paraId="553A0511">
            <w:pPr>
              <w:spacing w:line="240" w:lineRule="exact"/>
              <w:jc w:val="center"/>
              <w:rPr>
                <w:rFonts w:ascii="宋体"/>
                <w:b/>
                <w:kern w:val="0"/>
              </w:rPr>
            </w:pPr>
            <w:r>
              <w:rPr>
                <w:rFonts w:hint="eastAsia" w:ascii="宋体"/>
                <w:b/>
                <w:kern w:val="0"/>
              </w:rPr>
              <w:t>案由46</w:t>
            </w:r>
          </w:p>
        </w:tc>
        <w:tc>
          <w:tcPr>
            <w:tcW w:w="2700" w:type="dxa"/>
            <w:gridSpan w:val="2"/>
            <w:vAlign w:val="center"/>
          </w:tcPr>
          <w:p w14:paraId="3C269F17">
            <w:pPr>
              <w:spacing w:line="240" w:lineRule="exact"/>
              <w:jc w:val="center"/>
              <w:rPr>
                <w:rFonts w:ascii="宋体"/>
                <w:b/>
                <w:kern w:val="0"/>
              </w:rPr>
            </w:pPr>
            <w:r>
              <w:rPr>
                <w:rFonts w:hint="eastAsia" w:ascii="宋体"/>
                <w:b/>
                <w:kern w:val="0"/>
              </w:rPr>
              <w:t>法律依据</w:t>
            </w:r>
          </w:p>
        </w:tc>
        <w:tc>
          <w:tcPr>
            <w:tcW w:w="1185" w:type="dxa"/>
            <w:vMerge w:val="restart"/>
            <w:vAlign w:val="center"/>
          </w:tcPr>
          <w:p w14:paraId="41526B02">
            <w:pPr>
              <w:spacing w:line="240" w:lineRule="exact"/>
              <w:jc w:val="center"/>
              <w:rPr>
                <w:rFonts w:ascii="宋体"/>
                <w:b/>
                <w:kern w:val="0"/>
              </w:rPr>
            </w:pPr>
            <w:r>
              <w:rPr>
                <w:rFonts w:hint="eastAsia" w:ascii="宋体"/>
                <w:b/>
                <w:kern w:val="0"/>
              </w:rPr>
              <w:t>违法情节</w:t>
            </w:r>
          </w:p>
        </w:tc>
        <w:tc>
          <w:tcPr>
            <w:tcW w:w="3350" w:type="dxa"/>
            <w:vMerge w:val="restart"/>
            <w:vAlign w:val="center"/>
          </w:tcPr>
          <w:p w14:paraId="567793EA">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1ABDE5D2">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25AA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901" w:type="dxa"/>
            <w:vMerge w:val="continue"/>
            <w:vAlign w:val="center"/>
          </w:tcPr>
          <w:p w14:paraId="31D15181">
            <w:pPr>
              <w:spacing w:line="240" w:lineRule="exact"/>
              <w:jc w:val="center"/>
              <w:rPr>
                <w:rFonts w:ascii="宋体"/>
                <w:b/>
                <w:kern w:val="0"/>
              </w:rPr>
            </w:pPr>
          </w:p>
        </w:tc>
        <w:tc>
          <w:tcPr>
            <w:tcW w:w="1141" w:type="dxa"/>
            <w:vAlign w:val="center"/>
          </w:tcPr>
          <w:p w14:paraId="7820AEC2">
            <w:pPr>
              <w:spacing w:line="240" w:lineRule="exact"/>
              <w:jc w:val="center"/>
              <w:rPr>
                <w:rFonts w:ascii="宋体"/>
                <w:b/>
                <w:kern w:val="0"/>
              </w:rPr>
            </w:pPr>
            <w:r>
              <w:rPr>
                <w:rFonts w:hint="eastAsia" w:ascii="宋体"/>
                <w:b/>
                <w:kern w:val="0"/>
              </w:rPr>
              <w:t>违反条款</w:t>
            </w:r>
          </w:p>
        </w:tc>
        <w:tc>
          <w:tcPr>
            <w:tcW w:w="1559" w:type="dxa"/>
            <w:vAlign w:val="center"/>
          </w:tcPr>
          <w:p w14:paraId="43B8E721">
            <w:pPr>
              <w:spacing w:line="240" w:lineRule="exact"/>
              <w:jc w:val="center"/>
              <w:rPr>
                <w:rFonts w:ascii="宋体"/>
                <w:b/>
                <w:kern w:val="0"/>
              </w:rPr>
            </w:pPr>
            <w:r>
              <w:rPr>
                <w:rFonts w:hint="eastAsia" w:ascii="宋体"/>
                <w:b/>
                <w:kern w:val="0"/>
              </w:rPr>
              <w:t>处罚依据</w:t>
            </w:r>
          </w:p>
        </w:tc>
        <w:tc>
          <w:tcPr>
            <w:tcW w:w="1185" w:type="dxa"/>
            <w:vMerge w:val="continue"/>
            <w:vAlign w:val="center"/>
          </w:tcPr>
          <w:p w14:paraId="48E18DF1">
            <w:pPr>
              <w:spacing w:line="240" w:lineRule="exact"/>
              <w:jc w:val="center"/>
              <w:rPr>
                <w:rFonts w:ascii="宋体"/>
                <w:b/>
                <w:kern w:val="0"/>
              </w:rPr>
            </w:pPr>
          </w:p>
        </w:tc>
        <w:tc>
          <w:tcPr>
            <w:tcW w:w="3350" w:type="dxa"/>
            <w:vMerge w:val="continue"/>
            <w:vAlign w:val="center"/>
          </w:tcPr>
          <w:p w14:paraId="6E1FD223">
            <w:pPr>
              <w:spacing w:line="240" w:lineRule="exact"/>
              <w:jc w:val="center"/>
              <w:rPr>
                <w:rFonts w:ascii="宋体"/>
                <w:b/>
                <w:kern w:val="0"/>
              </w:rPr>
            </w:pPr>
          </w:p>
        </w:tc>
        <w:tc>
          <w:tcPr>
            <w:tcW w:w="6660" w:type="dxa"/>
            <w:vAlign w:val="center"/>
          </w:tcPr>
          <w:p w14:paraId="7A953491">
            <w:pPr>
              <w:spacing w:line="240" w:lineRule="exact"/>
              <w:jc w:val="center"/>
              <w:rPr>
                <w:rFonts w:ascii="宋体"/>
                <w:b/>
                <w:kern w:val="0"/>
              </w:rPr>
            </w:pPr>
            <w:r>
              <w:rPr>
                <w:rFonts w:hint="eastAsia" w:ascii="宋体"/>
                <w:b/>
                <w:kern w:val="0"/>
              </w:rPr>
              <w:t>【对象】对船舶的所有人、经营人或者管理人</w:t>
            </w:r>
          </w:p>
        </w:tc>
        <w:tc>
          <w:tcPr>
            <w:tcW w:w="2464" w:type="dxa"/>
            <w:vAlign w:val="center"/>
          </w:tcPr>
          <w:p w14:paraId="765B51D7">
            <w:pPr>
              <w:spacing w:line="240" w:lineRule="exact"/>
              <w:jc w:val="center"/>
              <w:rPr>
                <w:rFonts w:ascii="宋体"/>
                <w:b/>
                <w:kern w:val="0"/>
              </w:rPr>
            </w:pPr>
            <w:r>
              <w:rPr>
                <w:rFonts w:hint="eastAsia" w:ascii="宋体"/>
                <w:b/>
                <w:kern w:val="0"/>
              </w:rPr>
              <w:t>【对象】船长</w:t>
            </w:r>
          </w:p>
        </w:tc>
        <w:tc>
          <w:tcPr>
            <w:tcW w:w="2835" w:type="dxa"/>
            <w:vAlign w:val="center"/>
          </w:tcPr>
          <w:p w14:paraId="53D81E47">
            <w:pPr>
              <w:spacing w:line="240" w:lineRule="exact"/>
              <w:jc w:val="center"/>
              <w:rPr>
                <w:rFonts w:ascii="宋体"/>
                <w:b/>
                <w:kern w:val="0"/>
              </w:rPr>
            </w:pPr>
            <w:r>
              <w:rPr>
                <w:rFonts w:hint="eastAsia" w:ascii="宋体"/>
                <w:b/>
                <w:kern w:val="0"/>
              </w:rPr>
              <w:t>【对象】责任船员</w:t>
            </w:r>
          </w:p>
        </w:tc>
      </w:tr>
      <w:tr w14:paraId="2EC0B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1" w:type="dxa"/>
            <w:vMerge w:val="restart"/>
            <w:vAlign w:val="center"/>
          </w:tcPr>
          <w:p w14:paraId="37CE235A">
            <w:pPr>
              <w:widowControl/>
              <w:spacing w:line="240" w:lineRule="exact"/>
              <w:jc w:val="left"/>
              <w:rPr>
                <w:rFonts w:ascii="宋体"/>
                <w:b/>
                <w:kern w:val="0"/>
              </w:rPr>
            </w:pPr>
            <w:r>
              <w:rPr>
                <w:rFonts w:hint="eastAsia" w:ascii="宋体"/>
                <w:bCs/>
                <w:kern w:val="0"/>
              </w:rPr>
              <w:t>违章冒险操作、作业</w:t>
            </w:r>
          </w:p>
        </w:tc>
        <w:tc>
          <w:tcPr>
            <w:tcW w:w="1141" w:type="dxa"/>
            <w:vMerge w:val="restart"/>
            <w:vAlign w:val="center"/>
          </w:tcPr>
          <w:p w14:paraId="77B81A00">
            <w:pPr>
              <w:widowControl/>
              <w:spacing w:line="240" w:lineRule="exact"/>
              <w:jc w:val="left"/>
              <w:rPr>
                <w:rFonts w:ascii="宋体"/>
                <w:kern w:val="0"/>
              </w:rPr>
            </w:pPr>
            <w:r>
              <w:rPr>
                <w:rFonts w:hint="eastAsia" w:ascii="宋体"/>
                <w:kern w:val="0"/>
              </w:rPr>
              <w:t>1.《中华人民共和国海上交通安全法》第三十四条；</w:t>
            </w:r>
          </w:p>
          <w:p w14:paraId="3371ECC8">
            <w:r>
              <w:rPr>
                <w:rFonts w:hint="eastAsia" w:ascii="宋体"/>
              </w:rPr>
              <w:t>2.其他法律、法规、规章等</w:t>
            </w:r>
          </w:p>
          <w:p w14:paraId="0D96DDB9">
            <w:pPr>
              <w:widowControl/>
              <w:spacing w:line="240" w:lineRule="exact"/>
              <w:jc w:val="left"/>
              <w:rPr>
                <w:rFonts w:ascii="宋体"/>
              </w:rPr>
            </w:pPr>
          </w:p>
        </w:tc>
        <w:tc>
          <w:tcPr>
            <w:tcW w:w="1559" w:type="dxa"/>
            <w:vMerge w:val="restart"/>
            <w:vAlign w:val="center"/>
          </w:tcPr>
          <w:p w14:paraId="13BC40AF">
            <w:pPr>
              <w:spacing w:line="240" w:lineRule="exact"/>
              <w:jc w:val="left"/>
              <w:rPr>
                <w:rFonts w:ascii="宋体"/>
                <w:kern w:val="0"/>
              </w:rPr>
            </w:pPr>
            <w:r>
              <w:rPr>
                <w:rFonts w:hint="eastAsia" w:ascii="宋体"/>
                <w:kern w:val="0"/>
              </w:rPr>
              <w:t>1.《中华人民共和国海上交通安全法》第一百零三条第（三）项、《中华人民共和国海上海事行政处罚规定》第十八条第（三）项；</w:t>
            </w:r>
          </w:p>
          <w:p w14:paraId="1A3DF67C">
            <w:pPr>
              <w:spacing w:line="240" w:lineRule="exact"/>
              <w:jc w:val="left"/>
              <w:rPr>
                <w:rFonts w:ascii="宋体"/>
                <w:kern w:val="0"/>
              </w:rPr>
            </w:pPr>
            <w:r>
              <w:rPr>
                <w:rFonts w:hint="eastAsia" w:ascii="宋体"/>
                <w:kern w:val="0"/>
              </w:rPr>
              <w:t>2.《中华人民共和国海上海事行政处罚规定》第七条。</w:t>
            </w:r>
          </w:p>
        </w:tc>
        <w:tc>
          <w:tcPr>
            <w:tcW w:w="1185" w:type="dxa"/>
            <w:vAlign w:val="center"/>
          </w:tcPr>
          <w:p w14:paraId="298CABE0">
            <w:pPr>
              <w:spacing w:line="240" w:lineRule="exact"/>
              <w:jc w:val="center"/>
              <w:rPr>
                <w:rFonts w:ascii="宋体"/>
                <w:kern w:val="0"/>
              </w:rPr>
            </w:pPr>
            <w:r>
              <w:rPr>
                <w:rFonts w:hint="eastAsia" w:ascii="宋体"/>
                <w:kern w:val="0"/>
              </w:rPr>
              <w:t>从轻</w:t>
            </w:r>
          </w:p>
        </w:tc>
        <w:tc>
          <w:tcPr>
            <w:tcW w:w="3350" w:type="dxa"/>
            <w:vAlign w:val="center"/>
          </w:tcPr>
          <w:p w14:paraId="40165DED">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47DC5BE0">
            <w:pPr>
              <w:spacing w:line="240" w:lineRule="exact"/>
              <w:jc w:val="center"/>
              <w:rPr>
                <w:rFonts w:ascii="宋体"/>
                <w:kern w:val="0"/>
              </w:rPr>
            </w:pPr>
            <w:r>
              <w:rPr>
                <w:rFonts w:hint="eastAsia" w:ascii="宋体"/>
                <w:kern w:val="0"/>
              </w:rPr>
              <w:t>2-3万元</w:t>
            </w:r>
          </w:p>
        </w:tc>
        <w:tc>
          <w:tcPr>
            <w:tcW w:w="2464" w:type="dxa"/>
            <w:vAlign w:val="center"/>
          </w:tcPr>
          <w:p w14:paraId="18BA67CE">
            <w:pPr>
              <w:spacing w:line="240" w:lineRule="exact"/>
              <w:jc w:val="center"/>
              <w:rPr>
                <w:rFonts w:ascii="宋体"/>
                <w:kern w:val="0"/>
              </w:rPr>
            </w:pPr>
            <w:r>
              <w:rPr>
                <w:rFonts w:hint="eastAsia" w:ascii="宋体"/>
                <w:kern w:val="0"/>
              </w:rPr>
              <w:t>2000元-5000元，并暂扣适任证书3个月至4个月</w:t>
            </w:r>
          </w:p>
        </w:tc>
        <w:tc>
          <w:tcPr>
            <w:tcW w:w="2835" w:type="dxa"/>
            <w:vAlign w:val="center"/>
          </w:tcPr>
          <w:p w14:paraId="68240F63">
            <w:pPr>
              <w:spacing w:line="240" w:lineRule="exact"/>
              <w:jc w:val="center"/>
              <w:rPr>
                <w:rFonts w:ascii="宋体"/>
                <w:kern w:val="0"/>
              </w:rPr>
            </w:pPr>
            <w:r>
              <w:rPr>
                <w:rFonts w:hint="eastAsia" w:ascii="宋体"/>
                <w:kern w:val="0"/>
              </w:rPr>
              <w:t>2000元-4000元，并暂扣适任证书3个月至4个月</w:t>
            </w:r>
          </w:p>
        </w:tc>
      </w:tr>
      <w:tr w14:paraId="3DAC7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01" w:type="dxa"/>
            <w:vMerge w:val="continue"/>
            <w:vAlign w:val="center"/>
          </w:tcPr>
          <w:p w14:paraId="5AF8CE20">
            <w:pPr>
              <w:spacing w:line="240" w:lineRule="exact"/>
              <w:jc w:val="center"/>
              <w:rPr>
                <w:rFonts w:ascii="宋体"/>
                <w:kern w:val="0"/>
              </w:rPr>
            </w:pPr>
          </w:p>
        </w:tc>
        <w:tc>
          <w:tcPr>
            <w:tcW w:w="1141" w:type="dxa"/>
            <w:vMerge w:val="continue"/>
            <w:vAlign w:val="center"/>
          </w:tcPr>
          <w:p w14:paraId="7C9421FF">
            <w:pPr>
              <w:widowControl/>
              <w:spacing w:line="240" w:lineRule="exact"/>
              <w:jc w:val="center"/>
              <w:rPr>
                <w:rFonts w:ascii="宋体"/>
                <w:kern w:val="0"/>
              </w:rPr>
            </w:pPr>
          </w:p>
        </w:tc>
        <w:tc>
          <w:tcPr>
            <w:tcW w:w="1559" w:type="dxa"/>
            <w:vMerge w:val="continue"/>
            <w:vAlign w:val="center"/>
          </w:tcPr>
          <w:p w14:paraId="753B3F9E">
            <w:pPr>
              <w:spacing w:line="240" w:lineRule="exact"/>
              <w:jc w:val="center"/>
              <w:rPr>
                <w:rFonts w:ascii="宋体"/>
                <w:kern w:val="0"/>
              </w:rPr>
            </w:pPr>
          </w:p>
        </w:tc>
        <w:tc>
          <w:tcPr>
            <w:tcW w:w="1185" w:type="dxa"/>
            <w:vMerge w:val="restart"/>
            <w:vAlign w:val="center"/>
          </w:tcPr>
          <w:p w14:paraId="48448667">
            <w:pPr>
              <w:spacing w:line="240" w:lineRule="exact"/>
              <w:jc w:val="center"/>
              <w:rPr>
                <w:rFonts w:ascii="宋体"/>
                <w:kern w:val="0"/>
              </w:rPr>
            </w:pPr>
            <w:r>
              <w:rPr>
                <w:rFonts w:hint="eastAsia" w:ascii="宋体"/>
                <w:kern w:val="0"/>
              </w:rPr>
              <w:t>一般</w:t>
            </w:r>
          </w:p>
        </w:tc>
        <w:tc>
          <w:tcPr>
            <w:tcW w:w="3350" w:type="dxa"/>
            <w:vAlign w:val="center"/>
          </w:tcPr>
          <w:p w14:paraId="44F0BB97">
            <w:pPr>
              <w:widowControl/>
              <w:spacing w:line="240" w:lineRule="exact"/>
              <w:jc w:val="left"/>
              <w:rPr>
                <w:rFonts w:ascii="宋体"/>
                <w:kern w:val="0"/>
              </w:rPr>
            </w:pPr>
            <w:r>
              <w:rPr>
                <w:rFonts w:hint="eastAsia" w:ascii="宋体"/>
                <w:kern w:val="0"/>
              </w:rPr>
              <w:t>未造成事故或险情的</w:t>
            </w:r>
          </w:p>
        </w:tc>
        <w:tc>
          <w:tcPr>
            <w:tcW w:w="6660" w:type="dxa"/>
            <w:vAlign w:val="center"/>
          </w:tcPr>
          <w:p w14:paraId="00AD274E">
            <w:pPr>
              <w:spacing w:line="240" w:lineRule="exact"/>
              <w:jc w:val="center"/>
              <w:rPr>
                <w:rFonts w:ascii="宋体"/>
                <w:kern w:val="0"/>
              </w:rPr>
            </w:pPr>
            <w:r>
              <w:rPr>
                <w:rFonts w:hint="eastAsia" w:ascii="宋体"/>
                <w:kern w:val="0"/>
              </w:rPr>
              <w:t>3-4万元</w:t>
            </w:r>
          </w:p>
        </w:tc>
        <w:tc>
          <w:tcPr>
            <w:tcW w:w="2464" w:type="dxa"/>
            <w:vAlign w:val="center"/>
          </w:tcPr>
          <w:p w14:paraId="04832B4D">
            <w:pPr>
              <w:spacing w:line="240" w:lineRule="exact"/>
              <w:jc w:val="center"/>
              <w:rPr>
                <w:rFonts w:ascii="宋体"/>
                <w:kern w:val="0"/>
              </w:rPr>
            </w:pPr>
            <w:r>
              <w:rPr>
                <w:rFonts w:hint="eastAsia" w:ascii="宋体"/>
                <w:kern w:val="0"/>
              </w:rPr>
              <w:t>9000元-1万元，并暂扣适任证书5个月至7个月</w:t>
            </w:r>
          </w:p>
        </w:tc>
        <w:tc>
          <w:tcPr>
            <w:tcW w:w="2835" w:type="dxa"/>
            <w:vAlign w:val="center"/>
          </w:tcPr>
          <w:p w14:paraId="268911C6">
            <w:pPr>
              <w:spacing w:line="240" w:lineRule="exact"/>
              <w:jc w:val="center"/>
              <w:rPr>
                <w:rFonts w:ascii="宋体"/>
                <w:b/>
                <w:kern w:val="0"/>
              </w:rPr>
            </w:pPr>
            <w:r>
              <w:rPr>
                <w:rFonts w:hint="eastAsia" w:ascii="宋体"/>
                <w:kern w:val="0"/>
              </w:rPr>
              <w:t>8000元-1万元，并暂扣适任证书5个月至6个月</w:t>
            </w:r>
          </w:p>
        </w:tc>
      </w:tr>
      <w:tr w14:paraId="0168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901" w:type="dxa"/>
            <w:vMerge w:val="continue"/>
            <w:vAlign w:val="center"/>
          </w:tcPr>
          <w:p w14:paraId="52C0819C">
            <w:pPr>
              <w:spacing w:line="240" w:lineRule="exact"/>
              <w:jc w:val="center"/>
              <w:rPr>
                <w:rFonts w:ascii="宋体"/>
                <w:kern w:val="0"/>
              </w:rPr>
            </w:pPr>
          </w:p>
        </w:tc>
        <w:tc>
          <w:tcPr>
            <w:tcW w:w="1141" w:type="dxa"/>
            <w:vMerge w:val="continue"/>
            <w:vAlign w:val="center"/>
          </w:tcPr>
          <w:p w14:paraId="28E36C5B">
            <w:pPr>
              <w:widowControl/>
              <w:spacing w:line="240" w:lineRule="exact"/>
              <w:jc w:val="center"/>
              <w:rPr>
                <w:rFonts w:ascii="宋体"/>
                <w:kern w:val="0"/>
              </w:rPr>
            </w:pPr>
          </w:p>
        </w:tc>
        <w:tc>
          <w:tcPr>
            <w:tcW w:w="1559" w:type="dxa"/>
            <w:vMerge w:val="continue"/>
            <w:vAlign w:val="center"/>
          </w:tcPr>
          <w:p w14:paraId="507F3A77">
            <w:pPr>
              <w:spacing w:line="240" w:lineRule="exact"/>
              <w:jc w:val="center"/>
              <w:rPr>
                <w:rFonts w:ascii="宋体"/>
                <w:kern w:val="0"/>
              </w:rPr>
            </w:pPr>
          </w:p>
        </w:tc>
        <w:tc>
          <w:tcPr>
            <w:tcW w:w="1185" w:type="dxa"/>
            <w:vMerge w:val="continue"/>
            <w:vAlign w:val="center"/>
          </w:tcPr>
          <w:p w14:paraId="6B34AD7D">
            <w:pPr>
              <w:spacing w:line="240" w:lineRule="exact"/>
              <w:jc w:val="center"/>
              <w:rPr>
                <w:rFonts w:ascii="宋体"/>
                <w:kern w:val="0"/>
              </w:rPr>
            </w:pPr>
          </w:p>
        </w:tc>
        <w:tc>
          <w:tcPr>
            <w:tcW w:w="3350" w:type="dxa"/>
            <w:vAlign w:val="center"/>
          </w:tcPr>
          <w:p w14:paraId="42E2CE30">
            <w:pPr>
              <w:widowControl/>
              <w:spacing w:line="240" w:lineRule="exact"/>
              <w:jc w:val="left"/>
              <w:rPr>
                <w:rFonts w:ascii="宋体"/>
                <w:kern w:val="0"/>
              </w:rPr>
            </w:pPr>
            <w:r>
              <w:rPr>
                <w:rFonts w:hint="eastAsia" w:ascii="宋体"/>
                <w:kern w:val="0"/>
              </w:rPr>
              <w:t>船舶所有人、经营人或管理人指使船员违章冒险操作、作业，未造成事故或险情的</w:t>
            </w:r>
          </w:p>
        </w:tc>
        <w:tc>
          <w:tcPr>
            <w:tcW w:w="6660" w:type="dxa"/>
            <w:vAlign w:val="center"/>
          </w:tcPr>
          <w:p w14:paraId="52508562">
            <w:pPr>
              <w:spacing w:line="240" w:lineRule="exact"/>
              <w:jc w:val="center"/>
              <w:rPr>
                <w:rFonts w:ascii="宋体"/>
                <w:kern w:val="0"/>
              </w:rPr>
            </w:pPr>
            <w:r>
              <w:rPr>
                <w:rFonts w:hint="eastAsia" w:ascii="宋体"/>
                <w:kern w:val="0"/>
              </w:rPr>
              <w:t>4-6万元</w:t>
            </w:r>
          </w:p>
        </w:tc>
        <w:tc>
          <w:tcPr>
            <w:tcW w:w="2464" w:type="dxa"/>
            <w:vAlign w:val="center"/>
          </w:tcPr>
          <w:p w14:paraId="2365E19B">
            <w:pPr>
              <w:spacing w:line="240" w:lineRule="exact"/>
              <w:jc w:val="center"/>
              <w:rPr>
                <w:rFonts w:ascii="宋体"/>
                <w:kern w:val="0"/>
              </w:rPr>
            </w:pPr>
            <w:r>
              <w:rPr>
                <w:rFonts w:hint="eastAsia" w:ascii="宋体"/>
                <w:kern w:val="0"/>
              </w:rPr>
              <w:t>7000元-9000元，并暂扣适任证书4个月至6个月</w:t>
            </w:r>
          </w:p>
        </w:tc>
        <w:tc>
          <w:tcPr>
            <w:tcW w:w="2835" w:type="dxa"/>
            <w:vAlign w:val="center"/>
          </w:tcPr>
          <w:p w14:paraId="1C24EC12">
            <w:pPr>
              <w:spacing w:line="240" w:lineRule="exact"/>
              <w:jc w:val="center"/>
              <w:rPr>
                <w:rFonts w:ascii="宋体"/>
                <w:b/>
                <w:kern w:val="0"/>
              </w:rPr>
            </w:pPr>
            <w:r>
              <w:rPr>
                <w:rFonts w:hint="eastAsia" w:ascii="宋体"/>
                <w:kern w:val="0"/>
              </w:rPr>
              <w:t>6000元-8000元，并暂扣适任证书4个月至5个月</w:t>
            </w:r>
          </w:p>
        </w:tc>
      </w:tr>
      <w:tr w14:paraId="69CBE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901" w:type="dxa"/>
            <w:vMerge w:val="continue"/>
            <w:vAlign w:val="center"/>
          </w:tcPr>
          <w:p w14:paraId="0BED6B08">
            <w:pPr>
              <w:spacing w:line="240" w:lineRule="exact"/>
              <w:jc w:val="center"/>
              <w:rPr>
                <w:rFonts w:ascii="宋体"/>
                <w:kern w:val="0"/>
              </w:rPr>
            </w:pPr>
          </w:p>
        </w:tc>
        <w:tc>
          <w:tcPr>
            <w:tcW w:w="1141" w:type="dxa"/>
            <w:vMerge w:val="continue"/>
            <w:vAlign w:val="center"/>
          </w:tcPr>
          <w:p w14:paraId="10A1DDDA">
            <w:pPr>
              <w:widowControl/>
              <w:spacing w:line="240" w:lineRule="exact"/>
              <w:jc w:val="center"/>
              <w:rPr>
                <w:rFonts w:ascii="宋体"/>
                <w:kern w:val="0"/>
              </w:rPr>
            </w:pPr>
          </w:p>
        </w:tc>
        <w:tc>
          <w:tcPr>
            <w:tcW w:w="1559" w:type="dxa"/>
            <w:vMerge w:val="continue"/>
            <w:vAlign w:val="center"/>
          </w:tcPr>
          <w:p w14:paraId="344FAA17">
            <w:pPr>
              <w:spacing w:line="240" w:lineRule="exact"/>
              <w:jc w:val="center"/>
              <w:rPr>
                <w:rFonts w:ascii="宋体"/>
                <w:kern w:val="0"/>
              </w:rPr>
            </w:pPr>
          </w:p>
        </w:tc>
        <w:tc>
          <w:tcPr>
            <w:tcW w:w="1185" w:type="dxa"/>
            <w:vMerge w:val="continue"/>
            <w:vAlign w:val="center"/>
          </w:tcPr>
          <w:p w14:paraId="38D73F0C">
            <w:pPr>
              <w:spacing w:line="240" w:lineRule="exact"/>
              <w:jc w:val="center"/>
              <w:rPr>
                <w:rFonts w:ascii="宋体"/>
                <w:kern w:val="0"/>
              </w:rPr>
            </w:pPr>
          </w:p>
        </w:tc>
        <w:tc>
          <w:tcPr>
            <w:tcW w:w="3350" w:type="dxa"/>
            <w:vAlign w:val="center"/>
          </w:tcPr>
          <w:p w14:paraId="482A475A">
            <w:pPr>
              <w:widowControl/>
              <w:spacing w:line="240" w:lineRule="exact"/>
              <w:jc w:val="left"/>
              <w:rPr>
                <w:rFonts w:ascii="宋体"/>
                <w:kern w:val="0"/>
              </w:rPr>
            </w:pPr>
            <w:r>
              <w:rPr>
                <w:rFonts w:hint="eastAsia" w:ascii="宋体"/>
                <w:kern w:val="0"/>
              </w:rPr>
              <w:t>船舶所有人、经营人或管理人强令船员违章冒险操作、作业，未造成事故或险情的</w:t>
            </w:r>
          </w:p>
        </w:tc>
        <w:tc>
          <w:tcPr>
            <w:tcW w:w="6660" w:type="dxa"/>
            <w:vAlign w:val="center"/>
          </w:tcPr>
          <w:p w14:paraId="60CD5B52">
            <w:pPr>
              <w:spacing w:line="240" w:lineRule="exact"/>
              <w:jc w:val="center"/>
              <w:rPr>
                <w:rFonts w:ascii="宋体"/>
                <w:kern w:val="0"/>
              </w:rPr>
            </w:pPr>
            <w:r>
              <w:rPr>
                <w:rFonts w:hint="eastAsia" w:ascii="宋体"/>
                <w:kern w:val="0"/>
              </w:rPr>
              <w:t>5-8万元</w:t>
            </w:r>
          </w:p>
        </w:tc>
        <w:tc>
          <w:tcPr>
            <w:tcW w:w="2464" w:type="dxa"/>
            <w:vAlign w:val="center"/>
          </w:tcPr>
          <w:p w14:paraId="4BFEB432">
            <w:pPr>
              <w:spacing w:line="240" w:lineRule="exact"/>
              <w:jc w:val="center"/>
              <w:rPr>
                <w:rFonts w:ascii="宋体"/>
                <w:kern w:val="0"/>
              </w:rPr>
            </w:pPr>
            <w:r>
              <w:rPr>
                <w:rFonts w:hint="eastAsia" w:ascii="宋体"/>
                <w:kern w:val="0"/>
              </w:rPr>
              <w:t>5000元-7000元，并暂扣适任证书3个月至5个月</w:t>
            </w:r>
          </w:p>
        </w:tc>
        <w:tc>
          <w:tcPr>
            <w:tcW w:w="2835" w:type="dxa"/>
            <w:vAlign w:val="center"/>
          </w:tcPr>
          <w:p w14:paraId="4AC0158B">
            <w:pPr>
              <w:spacing w:line="240" w:lineRule="exact"/>
              <w:jc w:val="center"/>
              <w:rPr>
                <w:rFonts w:ascii="宋体"/>
                <w:kern w:val="0"/>
              </w:rPr>
            </w:pPr>
            <w:r>
              <w:rPr>
                <w:rFonts w:hint="eastAsia" w:ascii="宋体"/>
                <w:kern w:val="0"/>
              </w:rPr>
              <w:t>4000元-6000元，并暂扣适任证书3个月至4个月</w:t>
            </w:r>
          </w:p>
        </w:tc>
      </w:tr>
      <w:tr w14:paraId="5C5D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901" w:type="dxa"/>
            <w:vMerge w:val="continue"/>
            <w:vAlign w:val="center"/>
          </w:tcPr>
          <w:p w14:paraId="34183C32">
            <w:pPr>
              <w:spacing w:line="240" w:lineRule="exact"/>
              <w:jc w:val="center"/>
              <w:rPr>
                <w:rFonts w:ascii="宋体"/>
                <w:kern w:val="0"/>
              </w:rPr>
            </w:pPr>
          </w:p>
        </w:tc>
        <w:tc>
          <w:tcPr>
            <w:tcW w:w="1141" w:type="dxa"/>
            <w:vMerge w:val="continue"/>
            <w:vAlign w:val="center"/>
          </w:tcPr>
          <w:p w14:paraId="2D2157C5">
            <w:pPr>
              <w:widowControl/>
              <w:spacing w:line="240" w:lineRule="exact"/>
              <w:jc w:val="center"/>
              <w:rPr>
                <w:rFonts w:ascii="宋体"/>
                <w:kern w:val="0"/>
              </w:rPr>
            </w:pPr>
          </w:p>
        </w:tc>
        <w:tc>
          <w:tcPr>
            <w:tcW w:w="1559" w:type="dxa"/>
            <w:vMerge w:val="continue"/>
            <w:vAlign w:val="center"/>
          </w:tcPr>
          <w:p w14:paraId="0EA550D9">
            <w:pPr>
              <w:spacing w:line="240" w:lineRule="exact"/>
              <w:jc w:val="center"/>
              <w:rPr>
                <w:rFonts w:ascii="宋体"/>
                <w:kern w:val="0"/>
              </w:rPr>
            </w:pPr>
          </w:p>
        </w:tc>
        <w:tc>
          <w:tcPr>
            <w:tcW w:w="1185" w:type="dxa"/>
            <w:vMerge w:val="continue"/>
            <w:vAlign w:val="center"/>
          </w:tcPr>
          <w:p w14:paraId="3A6FF6CF">
            <w:pPr>
              <w:spacing w:line="240" w:lineRule="exact"/>
              <w:jc w:val="center"/>
              <w:rPr>
                <w:rFonts w:ascii="宋体"/>
                <w:kern w:val="0"/>
              </w:rPr>
            </w:pPr>
          </w:p>
        </w:tc>
        <w:tc>
          <w:tcPr>
            <w:tcW w:w="3350" w:type="dxa"/>
            <w:vAlign w:val="center"/>
          </w:tcPr>
          <w:p w14:paraId="61E4C004">
            <w:pPr>
              <w:spacing w:line="240" w:lineRule="atLeast"/>
              <w:jc w:val="left"/>
              <w:rPr>
                <w:rFonts w:ascii="宋体"/>
              </w:rPr>
            </w:pPr>
            <w:r>
              <w:rPr>
                <w:rFonts w:hint="eastAsia" w:ascii="宋体"/>
              </w:rPr>
              <w:t>1.造成一般事故或险情的；</w:t>
            </w:r>
          </w:p>
          <w:p w14:paraId="4D1C2615">
            <w:pPr>
              <w:spacing w:line="240" w:lineRule="atLeast"/>
              <w:jc w:val="left"/>
              <w:rPr>
                <w:rFonts w:ascii="宋体"/>
                <w:kern w:val="0"/>
              </w:rPr>
            </w:pPr>
            <w:r>
              <w:rPr>
                <w:rFonts w:hint="eastAsia" w:ascii="宋体"/>
              </w:rPr>
              <w:t>2.具有其他较重情节的。</w:t>
            </w:r>
          </w:p>
        </w:tc>
        <w:tc>
          <w:tcPr>
            <w:tcW w:w="6660" w:type="dxa"/>
            <w:vAlign w:val="center"/>
          </w:tcPr>
          <w:p w14:paraId="6EA89CF4">
            <w:pPr>
              <w:spacing w:line="240" w:lineRule="exact"/>
              <w:jc w:val="center"/>
              <w:rPr>
                <w:rFonts w:ascii="宋体"/>
                <w:kern w:val="0"/>
              </w:rPr>
            </w:pPr>
            <w:r>
              <w:rPr>
                <w:rFonts w:hint="eastAsia" w:ascii="宋体"/>
                <w:kern w:val="0"/>
              </w:rPr>
              <w:t>6- 10万元</w:t>
            </w:r>
          </w:p>
        </w:tc>
        <w:tc>
          <w:tcPr>
            <w:tcW w:w="2464" w:type="dxa"/>
            <w:vAlign w:val="center"/>
          </w:tcPr>
          <w:p w14:paraId="5F28FDD7">
            <w:pPr>
              <w:spacing w:line="240" w:lineRule="atLeast"/>
              <w:jc w:val="center"/>
              <w:rPr>
                <w:rFonts w:ascii="宋体"/>
                <w:kern w:val="0"/>
              </w:rPr>
            </w:pPr>
            <w:r>
              <w:rPr>
                <w:rFonts w:hint="eastAsia" w:ascii="宋体"/>
                <w:kern w:val="0"/>
              </w:rPr>
              <w:t>1-2万元、并暂扣适任证书6个月至12个月</w:t>
            </w:r>
          </w:p>
        </w:tc>
        <w:tc>
          <w:tcPr>
            <w:tcW w:w="2835" w:type="dxa"/>
            <w:vAlign w:val="center"/>
          </w:tcPr>
          <w:p w14:paraId="7ADF6609">
            <w:pPr>
              <w:spacing w:line="240" w:lineRule="atLeast"/>
              <w:jc w:val="center"/>
              <w:rPr>
                <w:rFonts w:ascii="宋体"/>
                <w:kern w:val="0"/>
              </w:rPr>
            </w:pPr>
            <w:r>
              <w:rPr>
                <w:rFonts w:hint="eastAsia" w:ascii="宋体"/>
                <w:kern w:val="0"/>
              </w:rPr>
              <w:t>1-2万元、并暂扣适任证书5个月至12个月</w:t>
            </w:r>
          </w:p>
        </w:tc>
      </w:tr>
      <w:tr w14:paraId="066B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01" w:type="dxa"/>
            <w:vMerge w:val="continue"/>
            <w:vAlign w:val="center"/>
          </w:tcPr>
          <w:p w14:paraId="3C1FE6F1">
            <w:pPr>
              <w:spacing w:line="240" w:lineRule="exact"/>
              <w:jc w:val="center"/>
              <w:rPr>
                <w:rFonts w:ascii="宋体"/>
                <w:kern w:val="0"/>
              </w:rPr>
            </w:pPr>
          </w:p>
        </w:tc>
        <w:tc>
          <w:tcPr>
            <w:tcW w:w="1141" w:type="dxa"/>
            <w:vMerge w:val="continue"/>
            <w:vAlign w:val="center"/>
          </w:tcPr>
          <w:p w14:paraId="1C898ECF">
            <w:pPr>
              <w:spacing w:line="240" w:lineRule="exact"/>
              <w:jc w:val="center"/>
              <w:rPr>
                <w:rFonts w:ascii="宋体"/>
                <w:kern w:val="0"/>
              </w:rPr>
            </w:pPr>
          </w:p>
        </w:tc>
        <w:tc>
          <w:tcPr>
            <w:tcW w:w="1559" w:type="dxa"/>
            <w:vMerge w:val="continue"/>
            <w:vAlign w:val="center"/>
          </w:tcPr>
          <w:p w14:paraId="6030C508">
            <w:pPr>
              <w:spacing w:line="240" w:lineRule="exact"/>
              <w:jc w:val="center"/>
              <w:rPr>
                <w:rFonts w:ascii="宋体"/>
                <w:kern w:val="0"/>
              </w:rPr>
            </w:pPr>
          </w:p>
        </w:tc>
        <w:tc>
          <w:tcPr>
            <w:tcW w:w="1185" w:type="dxa"/>
            <w:vAlign w:val="center"/>
          </w:tcPr>
          <w:p w14:paraId="0E8F3948">
            <w:pPr>
              <w:spacing w:line="240" w:lineRule="exact"/>
              <w:jc w:val="center"/>
              <w:rPr>
                <w:rFonts w:ascii="宋体"/>
                <w:kern w:val="0"/>
              </w:rPr>
            </w:pPr>
            <w:r>
              <w:rPr>
                <w:rFonts w:hint="eastAsia" w:ascii="宋体"/>
                <w:kern w:val="0"/>
              </w:rPr>
              <w:t>情节严重</w:t>
            </w:r>
          </w:p>
        </w:tc>
        <w:tc>
          <w:tcPr>
            <w:tcW w:w="3350" w:type="dxa"/>
            <w:vAlign w:val="center"/>
          </w:tcPr>
          <w:p w14:paraId="2A795CC9">
            <w:pPr>
              <w:spacing w:line="240" w:lineRule="atLeast"/>
              <w:jc w:val="left"/>
              <w:rPr>
                <w:rFonts w:ascii="宋体"/>
              </w:rPr>
            </w:pPr>
            <w:r>
              <w:rPr>
                <w:rFonts w:hint="eastAsia" w:ascii="宋体"/>
              </w:rPr>
              <w:t>1.造成较大等级以上事故的；</w:t>
            </w:r>
          </w:p>
          <w:p w14:paraId="6F7D86CC">
            <w:pPr>
              <w:spacing w:line="240" w:lineRule="atLeast"/>
              <w:jc w:val="left"/>
              <w:rPr>
                <w:rFonts w:ascii="宋体"/>
              </w:rPr>
            </w:pPr>
            <w:r>
              <w:rPr>
                <w:rFonts w:hint="eastAsia" w:ascii="宋体"/>
              </w:rPr>
              <w:t>2.具有其他严重情节的。</w:t>
            </w:r>
          </w:p>
        </w:tc>
        <w:tc>
          <w:tcPr>
            <w:tcW w:w="6660" w:type="dxa"/>
            <w:vAlign w:val="center"/>
          </w:tcPr>
          <w:p w14:paraId="1A4F7F92">
            <w:pPr>
              <w:spacing w:line="240" w:lineRule="exact"/>
              <w:jc w:val="center"/>
              <w:rPr>
                <w:rFonts w:ascii="宋体"/>
                <w:kern w:val="0"/>
              </w:rPr>
            </w:pPr>
            <w:r>
              <w:rPr>
                <w:rFonts w:hint="eastAsia" w:ascii="宋体"/>
                <w:kern w:val="0"/>
              </w:rPr>
              <w:t>10-20万元</w:t>
            </w:r>
          </w:p>
        </w:tc>
        <w:tc>
          <w:tcPr>
            <w:tcW w:w="2464" w:type="dxa"/>
            <w:vAlign w:val="center"/>
          </w:tcPr>
          <w:p w14:paraId="657E326F">
            <w:pPr>
              <w:spacing w:line="240" w:lineRule="exact"/>
              <w:jc w:val="center"/>
              <w:rPr>
                <w:rFonts w:ascii="宋体"/>
                <w:kern w:val="0"/>
              </w:rPr>
            </w:pPr>
            <w:r>
              <w:rPr>
                <w:rFonts w:hint="eastAsia" w:ascii="宋体"/>
                <w:kern w:val="0"/>
              </w:rPr>
              <w:t>吊销适任证书</w:t>
            </w:r>
          </w:p>
        </w:tc>
        <w:tc>
          <w:tcPr>
            <w:tcW w:w="2835" w:type="dxa"/>
            <w:vAlign w:val="center"/>
          </w:tcPr>
          <w:p w14:paraId="17E48111">
            <w:pPr>
              <w:spacing w:line="240" w:lineRule="exact"/>
              <w:jc w:val="center"/>
              <w:rPr>
                <w:rFonts w:ascii="宋体"/>
                <w:kern w:val="0"/>
              </w:rPr>
            </w:pPr>
            <w:r>
              <w:rPr>
                <w:rFonts w:hint="eastAsia" w:ascii="宋体"/>
                <w:kern w:val="0"/>
              </w:rPr>
              <w:t>吊销适任证书</w:t>
            </w:r>
          </w:p>
        </w:tc>
      </w:tr>
    </w:tbl>
    <w:p w14:paraId="3EA2C510">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141"/>
        <w:gridCol w:w="1559"/>
        <w:gridCol w:w="1125"/>
        <w:gridCol w:w="3411"/>
        <w:gridCol w:w="6662"/>
        <w:gridCol w:w="2647"/>
        <w:gridCol w:w="2649"/>
      </w:tblGrid>
      <w:tr w14:paraId="056A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01" w:type="dxa"/>
            <w:vMerge w:val="restart"/>
            <w:vAlign w:val="center"/>
          </w:tcPr>
          <w:p w14:paraId="5D8CBF67">
            <w:pPr>
              <w:spacing w:line="240" w:lineRule="exact"/>
              <w:jc w:val="center"/>
              <w:rPr>
                <w:rFonts w:ascii="宋体"/>
                <w:b/>
                <w:kern w:val="0"/>
              </w:rPr>
            </w:pPr>
            <w:r>
              <w:rPr>
                <w:rFonts w:hint="eastAsia" w:ascii="宋体"/>
                <w:b/>
                <w:kern w:val="0"/>
              </w:rPr>
              <w:t>案由47</w:t>
            </w:r>
          </w:p>
        </w:tc>
        <w:tc>
          <w:tcPr>
            <w:tcW w:w="2700" w:type="dxa"/>
            <w:gridSpan w:val="2"/>
            <w:vAlign w:val="center"/>
          </w:tcPr>
          <w:p w14:paraId="626E7493">
            <w:pPr>
              <w:spacing w:line="240" w:lineRule="exact"/>
              <w:jc w:val="center"/>
              <w:rPr>
                <w:rFonts w:ascii="宋体"/>
                <w:b/>
                <w:kern w:val="0"/>
              </w:rPr>
            </w:pPr>
            <w:r>
              <w:rPr>
                <w:rFonts w:hint="eastAsia" w:ascii="宋体"/>
                <w:b/>
                <w:kern w:val="0"/>
              </w:rPr>
              <w:t>法律依据</w:t>
            </w:r>
          </w:p>
        </w:tc>
        <w:tc>
          <w:tcPr>
            <w:tcW w:w="1125" w:type="dxa"/>
            <w:vMerge w:val="restart"/>
            <w:vAlign w:val="center"/>
          </w:tcPr>
          <w:p w14:paraId="07C79143">
            <w:pPr>
              <w:spacing w:line="240" w:lineRule="exact"/>
              <w:jc w:val="center"/>
              <w:rPr>
                <w:rFonts w:ascii="宋体"/>
                <w:b/>
                <w:kern w:val="0"/>
              </w:rPr>
            </w:pPr>
            <w:r>
              <w:rPr>
                <w:rFonts w:hint="eastAsia" w:ascii="宋体"/>
                <w:b/>
                <w:kern w:val="0"/>
              </w:rPr>
              <w:t>违法情节</w:t>
            </w:r>
          </w:p>
        </w:tc>
        <w:tc>
          <w:tcPr>
            <w:tcW w:w="3411" w:type="dxa"/>
            <w:vMerge w:val="restart"/>
            <w:vAlign w:val="center"/>
          </w:tcPr>
          <w:p w14:paraId="5F25F673">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295E703F">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0C56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901" w:type="dxa"/>
            <w:vMerge w:val="continue"/>
            <w:vAlign w:val="center"/>
          </w:tcPr>
          <w:p w14:paraId="4218E004">
            <w:pPr>
              <w:spacing w:line="240" w:lineRule="exact"/>
              <w:jc w:val="center"/>
              <w:rPr>
                <w:rFonts w:ascii="宋体"/>
                <w:b/>
                <w:kern w:val="0"/>
              </w:rPr>
            </w:pPr>
          </w:p>
        </w:tc>
        <w:tc>
          <w:tcPr>
            <w:tcW w:w="1141" w:type="dxa"/>
            <w:vAlign w:val="center"/>
          </w:tcPr>
          <w:p w14:paraId="56288BD9">
            <w:pPr>
              <w:spacing w:line="240" w:lineRule="exact"/>
              <w:jc w:val="center"/>
              <w:rPr>
                <w:rFonts w:ascii="宋体"/>
                <w:b/>
                <w:kern w:val="0"/>
              </w:rPr>
            </w:pPr>
            <w:r>
              <w:rPr>
                <w:rFonts w:hint="eastAsia" w:ascii="宋体"/>
                <w:b/>
                <w:kern w:val="0"/>
              </w:rPr>
              <w:t>违反条款</w:t>
            </w:r>
          </w:p>
        </w:tc>
        <w:tc>
          <w:tcPr>
            <w:tcW w:w="1559" w:type="dxa"/>
            <w:vAlign w:val="center"/>
          </w:tcPr>
          <w:p w14:paraId="449D5A6C">
            <w:pPr>
              <w:spacing w:line="240" w:lineRule="exact"/>
              <w:jc w:val="center"/>
              <w:rPr>
                <w:rFonts w:ascii="宋体"/>
                <w:b/>
                <w:kern w:val="0"/>
              </w:rPr>
            </w:pPr>
            <w:r>
              <w:rPr>
                <w:rFonts w:hint="eastAsia" w:ascii="宋体"/>
                <w:b/>
                <w:kern w:val="0"/>
              </w:rPr>
              <w:t>处罚依据</w:t>
            </w:r>
          </w:p>
        </w:tc>
        <w:tc>
          <w:tcPr>
            <w:tcW w:w="1125" w:type="dxa"/>
            <w:vMerge w:val="continue"/>
            <w:vAlign w:val="center"/>
          </w:tcPr>
          <w:p w14:paraId="41EE500E">
            <w:pPr>
              <w:spacing w:line="240" w:lineRule="exact"/>
              <w:jc w:val="center"/>
              <w:rPr>
                <w:rFonts w:ascii="宋体"/>
                <w:b/>
                <w:kern w:val="0"/>
              </w:rPr>
            </w:pPr>
          </w:p>
        </w:tc>
        <w:tc>
          <w:tcPr>
            <w:tcW w:w="3411" w:type="dxa"/>
            <w:vMerge w:val="continue"/>
            <w:vAlign w:val="center"/>
          </w:tcPr>
          <w:p w14:paraId="0B656D47">
            <w:pPr>
              <w:spacing w:line="240" w:lineRule="exact"/>
              <w:jc w:val="center"/>
              <w:rPr>
                <w:rFonts w:ascii="宋体"/>
                <w:b/>
                <w:kern w:val="0"/>
              </w:rPr>
            </w:pPr>
          </w:p>
        </w:tc>
        <w:tc>
          <w:tcPr>
            <w:tcW w:w="6662" w:type="dxa"/>
            <w:vAlign w:val="center"/>
          </w:tcPr>
          <w:p w14:paraId="03CB5663">
            <w:pPr>
              <w:spacing w:line="240" w:lineRule="exact"/>
              <w:jc w:val="center"/>
              <w:rPr>
                <w:rFonts w:ascii="宋体"/>
                <w:b/>
                <w:kern w:val="0"/>
              </w:rPr>
            </w:pPr>
            <w:r>
              <w:rPr>
                <w:rFonts w:hint="eastAsia" w:ascii="宋体"/>
                <w:b/>
                <w:kern w:val="0"/>
              </w:rPr>
              <w:t>【对象】对船舶的所有人、经营人或者管理人</w:t>
            </w:r>
          </w:p>
        </w:tc>
        <w:tc>
          <w:tcPr>
            <w:tcW w:w="2647" w:type="dxa"/>
            <w:vAlign w:val="center"/>
          </w:tcPr>
          <w:p w14:paraId="0B649E64">
            <w:pPr>
              <w:spacing w:line="240" w:lineRule="exact"/>
              <w:jc w:val="center"/>
              <w:rPr>
                <w:rFonts w:ascii="宋体"/>
                <w:b/>
                <w:kern w:val="0"/>
              </w:rPr>
            </w:pPr>
            <w:r>
              <w:rPr>
                <w:rFonts w:hint="eastAsia" w:ascii="宋体"/>
                <w:b/>
                <w:kern w:val="0"/>
              </w:rPr>
              <w:t>【对象】船长</w:t>
            </w:r>
          </w:p>
        </w:tc>
        <w:tc>
          <w:tcPr>
            <w:tcW w:w="2649" w:type="dxa"/>
            <w:vAlign w:val="center"/>
          </w:tcPr>
          <w:p w14:paraId="560C9BC5">
            <w:pPr>
              <w:spacing w:line="240" w:lineRule="exact"/>
              <w:jc w:val="center"/>
              <w:rPr>
                <w:rFonts w:ascii="宋体"/>
                <w:b/>
                <w:kern w:val="0"/>
              </w:rPr>
            </w:pPr>
            <w:r>
              <w:rPr>
                <w:rFonts w:hint="eastAsia" w:ascii="宋体"/>
                <w:b/>
                <w:kern w:val="0"/>
              </w:rPr>
              <w:t>【对象】责任船员</w:t>
            </w:r>
          </w:p>
        </w:tc>
      </w:tr>
      <w:tr w14:paraId="3A60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01" w:type="dxa"/>
            <w:vMerge w:val="restart"/>
            <w:vAlign w:val="center"/>
          </w:tcPr>
          <w:p w14:paraId="654F2FAA">
            <w:pPr>
              <w:widowControl/>
              <w:spacing w:line="240" w:lineRule="exact"/>
              <w:jc w:val="left"/>
              <w:rPr>
                <w:rFonts w:ascii="宋体"/>
                <w:b/>
                <w:kern w:val="0"/>
              </w:rPr>
            </w:pPr>
            <w:r>
              <w:rPr>
                <w:rFonts w:hint="eastAsia" w:ascii="宋体"/>
                <w:bCs/>
                <w:kern w:val="0"/>
              </w:rPr>
              <w:t>擅自拆封、拆解、初始化、再设置航行数据记录装置或者读取航行数据记录装置记录的信息</w:t>
            </w:r>
          </w:p>
        </w:tc>
        <w:tc>
          <w:tcPr>
            <w:tcW w:w="1141" w:type="dxa"/>
            <w:vMerge w:val="restart"/>
            <w:vAlign w:val="center"/>
          </w:tcPr>
          <w:p w14:paraId="654A3A10">
            <w:pPr>
              <w:widowControl/>
              <w:spacing w:line="240" w:lineRule="exact"/>
              <w:jc w:val="left"/>
              <w:rPr>
                <w:rFonts w:ascii="宋体"/>
                <w:kern w:val="0"/>
              </w:rPr>
            </w:pPr>
            <w:r>
              <w:rPr>
                <w:rFonts w:hint="eastAsia" w:ascii="宋体"/>
                <w:kern w:val="0"/>
              </w:rPr>
              <w:t>1.《中华人民共和国海上交通安全法》第三十六条第二款；</w:t>
            </w:r>
          </w:p>
          <w:p w14:paraId="08472AFF">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2230785A">
            <w:pPr>
              <w:spacing w:line="240" w:lineRule="exact"/>
              <w:jc w:val="left"/>
              <w:rPr>
                <w:rFonts w:ascii="宋体"/>
                <w:kern w:val="0"/>
              </w:rPr>
            </w:pPr>
            <w:r>
              <w:rPr>
                <w:rFonts w:hint="eastAsia" w:ascii="宋体"/>
                <w:kern w:val="0"/>
              </w:rPr>
              <w:t>1.《中华人民共和国海上交通安全法》第一百零三条第（五）项、《中华人民共和国海上海事行政处罚规定》第十八条第（五）项；</w:t>
            </w:r>
          </w:p>
          <w:p w14:paraId="4ECE8F58">
            <w:pPr>
              <w:spacing w:line="240" w:lineRule="exact"/>
              <w:jc w:val="left"/>
              <w:rPr>
                <w:rFonts w:ascii="宋体"/>
                <w:kern w:val="0"/>
              </w:rPr>
            </w:pPr>
            <w:r>
              <w:rPr>
                <w:rFonts w:hint="eastAsia" w:ascii="宋体"/>
                <w:kern w:val="0"/>
              </w:rPr>
              <w:t>2. 《中华人民共和国海上海事行政处罚规定》第七条。</w:t>
            </w:r>
          </w:p>
        </w:tc>
        <w:tc>
          <w:tcPr>
            <w:tcW w:w="1125" w:type="dxa"/>
            <w:vAlign w:val="center"/>
          </w:tcPr>
          <w:p w14:paraId="299156CF">
            <w:pPr>
              <w:spacing w:line="240" w:lineRule="exact"/>
              <w:jc w:val="center"/>
              <w:rPr>
                <w:rFonts w:ascii="宋体"/>
                <w:kern w:val="0"/>
              </w:rPr>
            </w:pPr>
            <w:r>
              <w:rPr>
                <w:rFonts w:hint="eastAsia" w:ascii="宋体"/>
                <w:kern w:val="0"/>
              </w:rPr>
              <w:t>从轻</w:t>
            </w:r>
          </w:p>
        </w:tc>
        <w:tc>
          <w:tcPr>
            <w:tcW w:w="3411" w:type="dxa"/>
            <w:vAlign w:val="center"/>
          </w:tcPr>
          <w:p w14:paraId="2C54B9C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2B9B0984">
            <w:pPr>
              <w:spacing w:line="240" w:lineRule="atLeast"/>
              <w:jc w:val="center"/>
              <w:rPr>
                <w:rFonts w:ascii="宋体"/>
                <w:kern w:val="0"/>
              </w:rPr>
            </w:pPr>
            <w:r>
              <w:rPr>
                <w:rFonts w:hint="eastAsia" w:ascii="宋体"/>
                <w:kern w:val="0"/>
              </w:rPr>
              <w:t>2-3万元</w:t>
            </w:r>
          </w:p>
        </w:tc>
        <w:tc>
          <w:tcPr>
            <w:tcW w:w="2647" w:type="dxa"/>
            <w:vAlign w:val="center"/>
          </w:tcPr>
          <w:p w14:paraId="09723BEA">
            <w:pPr>
              <w:spacing w:line="240" w:lineRule="atLeast"/>
              <w:jc w:val="center"/>
              <w:rPr>
                <w:rFonts w:ascii="宋体"/>
                <w:kern w:val="0"/>
              </w:rPr>
            </w:pPr>
            <w:r>
              <w:rPr>
                <w:rFonts w:hint="eastAsia" w:ascii="宋体"/>
                <w:kern w:val="0"/>
              </w:rPr>
              <w:t>2000-5000元、并暂扣适任证书3个月至4个月</w:t>
            </w:r>
          </w:p>
        </w:tc>
        <w:tc>
          <w:tcPr>
            <w:tcW w:w="2649" w:type="dxa"/>
            <w:vAlign w:val="center"/>
          </w:tcPr>
          <w:p w14:paraId="2225DCAA">
            <w:pPr>
              <w:spacing w:line="240" w:lineRule="atLeast"/>
              <w:jc w:val="center"/>
              <w:rPr>
                <w:rFonts w:ascii="宋体"/>
                <w:kern w:val="0"/>
              </w:rPr>
            </w:pPr>
            <w:r>
              <w:rPr>
                <w:rFonts w:hint="eastAsia" w:ascii="宋体"/>
                <w:kern w:val="0"/>
              </w:rPr>
              <w:t>2000-4000元、并暂扣适任证书3个月至4个月</w:t>
            </w:r>
          </w:p>
        </w:tc>
      </w:tr>
      <w:tr w14:paraId="74DA9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1" w:type="dxa"/>
            <w:vMerge w:val="continue"/>
            <w:vAlign w:val="center"/>
          </w:tcPr>
          <w:p w14:paraId="44989408">
            <w:pPr>
              <w:spacing w:line="240" w:lineRule="exact"/>
              <w:jc w:val="center"/>
              <w:rPr>
                <w:rFonts w:ascii="宋体"/>
                <w:kern w:val="0"/>
              </w:rPr>
            </w:pPr>
          </w:p>
        </w:tc>
        <w:tc>
          <w:tcPr>
            <w:tcW w:w="1141" w:type="dxa"/>
            <w:vMerge w:val="continue"/>
            <w:vAlign w:val="center"/>
          </w:tcPr>
          <w:p w14:paraId="4E05B41B">
            <w:pPr>
              <w:widowControl/>
              <w:spacing w:line="240" w:lineRule="exact"/>
              <w:jc w:val="center"/>
              <w:rPr>
                <w:rFonts w:ascii="宋体"/>
                <w:kern w:val="0"/>
              </w:rPr>
            </w:pPr>
          </w:p>
        </w:tc>
        <w:tc>
          <w:tcPr>
            <w:tcW w:w="1559" w:type="dxa"/>
            <w:vMerge w:val="continue"/>
            <w:vAlign w:val="center"/>
          </w:tcPr>
          <w:p w14:paraId="579036D8">
            <w:pPr>
              <w:spacing w:line="240" w:lineRule="exact"/>
              <w:jc w:val="center"/>
              <w:rPr>
                <w:rFonts w:ascii="宋体"/>
                <w:kern w:val="0"/>
              </w:rPr>
            </w:pPr>
          </w:p>
        </w:tc>
        <w:tc>
          <w:tcPr>
            <w:tcW w:w="1125" w:type="dxa"/>
            <w:vMerge w:val="restart"/>
            <w:vAlign w:val="center"/>
          </w:tcPr>
          <w:p w14:paraId="402201D1">
            <w:pPr>
              <w:spacing w:line="240" w:lineRule="exact"/>
              <w:jc w:val="center"/>
              <w:rPr>
                <w:rFonts w:ascii="宋体"/>
                <w:kern w:val="0"/>
              </w:rPr>
            </w:pPr>
            <w:r>
              <w:rPr>
                <w:rFonts w:hint="eastAsia" w:ascii="宋体"/>
                <w:kern w:val="0"/>
              </w:rPr>
              <w:t>一般</w:t>
            </w:r>
          </w:p>
        </w:tc>
        <w:tc>
          <w:tcPr>
            <w:tcW w:w="3411" w:type="dxa"/>
            <w:vAlign w:val="center"/>
          </w:tcPr>
          <w:p w14:paraId="0A1BBB03">
            <w:pPr>
              <w:widowControl/>
              <w:spacing w:line="240" w:lineRule="exact"/>
              <w:jc w:val="left"/>
              <w:rPr>
                <w:rFonts w:ascii="宋体"/>
                <w:kern w:val="0"/>
              </w:rPr>
            </w:pPr>
            <w:r>
              <w:rPr>
                <w:rFonts w:hint="eastAsia" w:ascii="宋体"/>
                <w:kern w:val="0"/>
              </w:rPr>
              <w:t>擅自读取航行数据</w:t>
            </w:r>
          </w:p>
        </w:tc>
        <w:tc>
          <w:tcPr>
            <w:tcW w:w="6662" w:type="dxa"/>
            <w:vAlign w:val="center"/>
          </w:tcPr>
          <w:p w14:paraId="1198F853">
            <w:pPr>
              <w:spacing w:line="240" w:lineRule="atLeast"/>
              <w:jc w:val="center"/>
              <w:rPr>
                <w:rFonts w:ascii="宋体"/>
                <w:kern w:val="0"/>
              </w:rPr>
            </w:pPr>
            <w:r>
              <w:rPr>
                <w:rFonts w:hint="eastAsia" w:ascii="宋体"/>
                <w:kern w:val="0"/>
              </w:rPr>
              <w:t>3-4万元</w:t>
            </w:r>
          </w:p>
        </w:tc>
        <w:tc>
          <w:tcPr>
            <w:tcW w:w="2647" w:type="dxa"/>
            <w:vAlign w:val="center"/>
          </w:tcPr>
          <w:p w14:paraId="0A2028EB">
            <w:pPr>
              <w:spacing w:line="240" w:lineRule="atLeast"/>
              <w:jc w:val="center"/>
              <w:rPr>
                <w:rFonts w:ascii="宋体"/>
                <w:kern w:val="0"/>
              </w:rPr>
            </w:pPr>
            <w:r>
              <w:rPr>
                <w:rFonts w:hint="eastAsia" w:ascii="宋体"/>
                <w:kern w:val="0"/>
              </w:rPr>
              <w:t>5000-8000元、并暂扣适任证书3个月至5个月</w:t>
            </w:r>
          </w:p>
        </w:tc>
        <w:tc>
          <w:tcPr>
            <w:tcW w:w="2649" w:type="dxa"/>
            <w:vAlign w:val="center"/>
          </w:tcPr>
          <w:p w14:paraId="4CA28A3F">
            <w:pPr>
              <w:spacing w:line="240" w:lineRule="atLeast"/>
              <w:jc w:val="center"/>
              <w:rPr>
                <w:rFonts w:ascii="宋体"/>
                <w:b/>
                <w:kern w:val="0"/>
              </w:rPr>
            </w:pPr>
            <w:r>
              <w:rPr>
                <w:rFonts w:hint="eastAsia" w:ascii="宋体"/>
                <w:kern w:val="0"/>
              </w:rPr>
              <w:t>4000元-6000、并暂扣适任证书3个月至4个月</w:t>
            </w:r>
          </w:p>
        </w:tc>
      </w:tr>
      <w:tr w14:paraId="04D14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901" w:type="dxa"/>
            <w:vMerge w:val="continue"/>
            <w:vAlign w:val="center"/>
          </w:tcPr>
          <w:p w14:paraId="789B4193">
            <w:pPr>
              <w:spacing w:line="240" w:lineRule="exact"/>
              <w:jc w:val="center"/>
              <w:rPr>
                <w:rFonts w:ascii="宋体"/>
                <w:kern w:val="0"/>
              </w:rPr>
            </w:pPr>
          </w:p>
        </w:tc>
        <w:tc>
          <w:tcPr>
            <w:tcW w:w="1141" w:type="dxa"/>
            <w:vMerge w:val="continue"/>
            <w:vAlign w:val="center"/>
          </w:tcPr>
          <w:p w14:paraId="76130F4F">
            <w:pPr>
              <w:widowControl/>
              <w:spacing w:line="240" w:lineRule="exact"/>
              <w:jc w:val="center"/>
              <w:rPr>
                <w:rFonts w:ascii="宋体"/>
                <w:kern w:val="0"/>
              </w:rPr>
            </w:pPr>
          </w:p>
        </w:tc>
        <w:tc>
          <w:tcPr>
            <w:tcW w:w="1559" w:type="dxa"/>
            <w:vMerge w:val="continue"/>
            <w:vAlign w:val="center"/>
          </w:tcPr>
          <w:p w14:paraId="79C86959">
            <w:pPr>
              <w:spacing w:line="240" w:lineRule="exact"/>
              <w:jc w:val="center"/>
              <w:rPr>
                <w:rFonts w:ascii="宋体"/>
                <w:kern w:val="0"/>
              </w:rPr>
            </w:pPr>
          </w:p>
        </w:tc>
        <w:tc>
          <w:tcPr>
            <w:tcW w:w="1125" w:type="dxa"/>
            <w:vMerge w:val="continue"/>
            <w:vAlign w:val="center"/>
          </w:tcPr>
          <w:p w14:paraId="58777847">
            <w:pPr>
              <w:spacing w:line="240" w:lineRule="exact"/>
              <w:jc w:val="center"/>
              <w:rPr>
                <w:rFonts w:ascii="宋体"/>
                <w:kern w:val="0"/>
              </w:rPr>
            </w:pPr>
          </w:p>
        </w:tc>
        <w:tc>
          <w:tcPr>
            <w:tcW w:w="3411" w:type="dxa"/>
            <w:vAlign w:val="center"/>
          </w:tcPr>
          <w:p w14:paraId="7BF760CA">
            <w:pPr>
              <w:widowControl/>
              <w:spacing w:line="240" w:lineRule="exact"/>
              <w:jc w:val="left"/>
              <w:rPr>
                <w:rFonts w:ascii="宋体"/>
                <w:b/>
                <w:kern w:val="0"/>
              </w:rPr>
            </w:pPr>
            <w:r>
              <w:rPr>
                <w:rFonts w:hint="eastAsia" w:ascii="宋体"/>
                <w:kern w:val="0"/>
              </w:rPr>
              <w:t>擅自拆封、拆解、初始化、再设置航行数据记录装置</w:t>
            </w:r>
          </w:p>
        </w:tc>
        <w:tc>
          <w:tcPr>
            <w:tcW w:w="6662" w:type="dxa"/>
            <w:vAlign w:val="center"/>
          </w:tcPr>
          <w:p w14:paraId="73252E8C">
            <w:pPr>
              <w:spacing w:line="240" w:lineRule="atLeast"/>
              <w:jc w:val="center"/>
              <w:rPr>
                <w:rFonts w:ascii="宋体"/>
                <w:kern w:val="0"/>
              </w:rPr>
            </w:pPr>
            <w:r>
              <w:rPr>
                <w:rFonts w:hint="eastAsia" w:ascii="宋体"/>
                <w:kern w:val="0"/>
              </w:rPr>
              <w:t>4-5万元</w:t>
            </w:r>
          </w:p>
        </w:tc>
        <w:tc>
          <w:tcPr>
            <w:tcW w:w="2647" w:type="dxa"/>
            <w:vAlign w:val="center"/>
          </w:tcPr>
          <w:p w14:paraId="22F9640A">
            <w:pPr>
              <w:spacing w:line="240" w:lineRule="atLeast"/>
              <w:jc w:val="center"/>
              <w:rPr>
                <w:rFonts w:ascii="宋体"/>
                <w:kern w:val="0"/>
              </w:rPr>
            </w:pPr>
            <w:r>
              <w:rPr>
                <w:rFonts w:hint="eastAsia" w:ascii="宋体"/>
                <w:kern w:val="0"/>
              </w:rPr>
              <w:t>8000元-1万元、并暂扣适任证书4个月至6个月</w:t>
            </w:r>
          </w:p>
        </w:tc>
        <w:tc>
          <w:tcPr>
            <w:tcW w:w="2649" w:type="dxa"/>
            <w:vAlign w:val="center"/>
          </w:tcPr>
          <w:p w14:paraId="36A741AC">
            <w:pPr>
              <w:spacing w:line="240" w:lineRule="atLeast"/>
              <w:jc w:val="center"/>
              <w:rPr>
                <w:rFonts w:ascii="宋体"/>
                <w:b/>
                <w:kern w:val="0"/>
              </w:rPr>
            </w:pPr>
            <w:r>
              <w:rPr>
                <w:rFonts w:hint="eastAsia" w:ascii="宋体"/>
                <w:kern w:val="0"/>
              </w:rPr>
              <w:t>6000元-1万元、并暂扣适任证书4个月至5个月</w:t>
            </w:r>
          </w:p>
        </w:tc>
      </w:tr>
      <w:tr w14:paraId="03F8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4" w:hRule="atLeast"/>
        </w:trPr>
        <w:tc>
          <w:tcPr>
            <w:tcW w:w="901" w:type="dxa"/>
            <w:vMerge w:val="continue"/>
            <w:vAlign w:val="center"/>
          </w:tcPr>
          <w:p w14:paraId="4C25EAE4">
            <w:pPr>
              <w:spacing w:line="240" w:lineRule="exact"/>
              <w:jc w:val="center"/>
              <w:rPr>
                <w:rFonts w:ascii="宋体"/>
                <w:kern w:val="0"/>
              </w:rPr>
            </w:pPr>
          </w:p>
        </w:tc>
        <w:tc>
          <w:tcPr>
            <w:tcW w:w="1141" w:type="dxa"/>
            <w:vMerge w:val="continue"/>
            <w:vAlign w:val="center"/>
          </w:tcPr>
          <w:p w14:paraId="332340BC">
            <w:pPr>
              <w:spacing w:line="240" w:lineRule="exact"/>
              <w:jc w:val="center"/>
              <w:rPr>
                <w:rFonts w:ascii="宋体"/>
                <w:kern w:val="0"/>
              </w:rPr>
            </w:pPr>
          </w:p>
        </w:tc>
        <w:tc>
          <w:tcPr>
            <w:tcW w:w="1559" w:type="dxa"/>
            <w:vMerge w:val="continue"/>
            <w:vAlign w:val="center"/>
          </w:tcPr>
          <w:p w14:paraId="172F1B6B">
            <w:pPr>
              <w:spacing w:line="240" w:lineRule="exact"/>
              <w:jc w:val="center"/>
              <w:rPr>
                <w:rFonts w:ascii="宋体"/>
                <w:kern w:val="0"/>
              </w:rPr>
            </w:pPr>
          </w:p>
        </w:tc>
        <w:tc>
          <w:tcPr>
            <w:tcW w:w="1125" w:type="dxa"/>
            <w:vMerge w:val="continue"/>
            <w:vAlign w:val="center"/>
          </w:tcPr>
          <w:p w14:paraId="477E2792">
            <w:pPr>
              <w:spacing w:line="240" w:lineRule="exact"/>
              <w:jc w:val="center"/>
              <w:rPr>
                <w:rFonts w:ascii="宋体"/>
                <w:kern w:val="0"/>
              </w:rPr>
            </w:pPr>
          </w:p>
        </w:tc>
        <w:tc>
          <w:tcPr>
            <w:tcW w:w="3411" w:type="dxa"/>
            <w:vAlign w:val="center"/>
          </w:tcPr>
          <w:p w14:paraId="276212D0">
            <w:pPr>
              <w:spacing w:line="240" w:lineRule="exact"/>
              <w:jc w:val="left"/>
              <w:rPr>
                <w:rFonts w:ascii="宋体"/>
                <w:kern w:val="0"/>
              </w:rPr>
            </w:pPr>
            <w:r>
              <w:rPr>
                <w:rFonts w:hint="eastAsia" w:ascii="宋体"/>
                <w:kern w:val="0"/>
              </w:rPr>
              <w:t>1.影响海事进行现场监管的；</w:t>
            </w:r>
          </w:p>
          <w:p w14:paraId="7C7E305D">
            <w:pPr>
              <w:spacing w:line="240" w:lineRule="exact"/>
              <w:jc w:val="left"/>
              <w:rPr>
                <w:rFonts w:ascii="宋体"/>
                <w:kern w:val="0"/>
              </w:rPr>
            </w:pPr>
            <w:r>
              <w:rPr>
                <w:rFonts w:hint="eastAsia" w:ascii="宋体"/>
                <w:kern w:val="0"/>
              </w:rPr>
              <w:t>2.具有其他较重情节的。</w:t>
            </w:r>
          </w:p>
        </w:tc>
        <w:tc>
          <w:tcPr>
            <w:tcW w:w="6662" w:type="dxa"/>
            <w:vAlign w:val="center"/>
          </w:tcPr>
          <w:p w14:paraId="14FB4C0F">
            <w:pPr>
              <w:spacing w:line="240" w:lineRule="atLeast"/>
              <w:jc w:val="center"/>
              <w:rPr>
                <w:rFonts w:ascii="宋体"/>
                <w:kern w:val="0"/>
              </w:rPr>
            </w:pPr>
            <w:r>
              <w:rPr>
                <w:rFonts w:hint="eastAsia" w:ascii="宋体"/>
                <w:kern w:val="0"/>
              </w:rPr>
              <w:t>5-10万元</w:t>
            </w:r>
          </w:p>
        </w:tc>
        <w:tc>
          <w:tcPr>
            <w:tcW w:w="2647" w:type="dxa"/>
            <w:vAlign w:val="center"/>
          </w:tcPr>
          <w:p w14:paraId="7E8ED53A">
            <w:pPr>
              <w:spacing w:line="240" w:lineRule="atLeast"/>
              <w:jc w:val="center"/>
              <w:rPr>
                <w:rFonts w:ascii="宋体"/>
                <w:kern w:val="0"/>
              </w:rPr>
            </w:pPr>
            <w:r>
              <w:rPr>
                <w:rFonts w:hint="eastAsia" w:ascii="宋体"/>
                <w:kern w:val="0"/>
              </w:rPr>
              <w:t>1-2万元、并暂扣适任证书6个月至12个月</w:t>
            </w:r>
          </w:p>
        </w:tc>
        <w:tc>
          <w:tcPr>
            <w:tcW w:w="2649" w:type="dxa"/>
            <w:vAlign w:val="center"/>
          </w:tcPr>
          <w:p w14:paraId="6DCEC3CA">
            <w:pPr>
              <w:spacing w:line="240" w:lineRule="atLeast"/>
              <w:jc w:val="center"/>
              <w:rPr>
                <w:rFonts w:ascii="宋体"/>
                <w:kern w:val="0"/>
              </w:rPr>
            </w:pPr>
            <w:r>
              <w:rPr>
                <w:rFonts w:hint="eastAsia" w:ascii="宋体"/>
                <w:kern w:val="0"/>
              </w:rPr>
              <w:t>1-2万元、并暂扣适任证书5个月至12个月</w:t>
            </w:r>
          </w:p>
        </w:tc>
      </w:tr>
      <w:tr w14:paraId="488C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6" w:hRule="atLeast"/>
        </w:trPr>
        <w:tc>
          <w:tcPr>
            <w:tcW w:w="901" w:type="dxa"/>
            <w:vMerge w:val="continue"/>
            <w:vAlign w:val="center"/>
          </w:tcPr>
          <w:p w14:paraId="1D70ED90">
            <w:pPr>
              <w:spacing w:line="240" w:lineRule="exact"/>
              <w:jc w:val="center"/>
              <w:rPr>
                <w:rFonts w:ascii="宋体"/>
                <w:kern w:val="0"/>
              </w:rPr>
            </w:pPr>
          </w:p>
        </w:tc>
        <w:tc>
          <w:tcPr>
            <w:tcW w:w="1141" w:type="dxa"/>
            <w:vMerge w:val="continue"/>
            <w:vAlign w:val="center"/>
          </w:tcPr>
          <w:p w14:paraId="520FB84B">
            <w:pPr>
              <w:spacing w:line="240" w:lineRule="exact"/>
              <w:jc w:val="center"/>
              <w:rPr>
                <w:rFonts w:ascii="宋体"/>
                <w:kern w:val="0"/>
              </w:rPr>
            </w:pPr>
          </w:p>
        </w:tc>
        <w:tc>
          <w:tcPr>
            <w:tcW w:w="1559" w:type="dxa"/>
            <w:vMerge w:val="continue"/>
            <w:vAlign w:val="center"/>
          </w:tcPr>
          <w:p w14:paraId="7008A994">
            <w:pPr>
              <w:spacing w:line="240" w:lineRule="exact"/>
              <w:jc w:val="center"/>
              <w:rPr>
                <w:rFonts w:ascii="宋体"/>
                <w:kern w:val="0"/>
              </w:rPr>
            </w:pPr>
          </w:p>
        </w:tc>
        <w:tc>
          <w:tcPr>
            <w:tcW w:w="1125" w:type="dxa"/>
            <w:vAlign w:val="center"/>
          </w:tcPr>
          <w:p w14:paraId="3E7DF0D9">
            <w:pPr>
              <w:spacing w:line="240" w:lineRule="exact"/>
              <w:jc w:val="center"/>
              <w:rPr>
                <w:rFonts w:ascii="宋体"/>
                <w:kern w:val="0"/>
              </w:rPr>
            </w:pPr>
            <w:r>
              <w:rPr>
                <w:rFonts w:hint="eastAsia" w:ascii="宋体"/>
                <w:kern w:val="0"/>
              </w:rPr>
              <w:t>情节严重</w:t>
            </w:r>
          </w:p>
        </w:tc>
        <w:tc>
          <w:tcPr>
            <w:tcW w:w="3411" w:type="dxa"/>
            <w:vAlign w:val="center"/>
          </w:tcPr>
          <w:p w14:paraId="665F6C2A">
            <w:pPr>
              <w:spacing w:line="240" w:lineRule="exact"/>
              <w:jc w:val="left"/>
              <w:rPr>
                <w:rFonts w:ascii="宋体"/>
                <w:kern w:val="0"/>
              </w:rPr>
            </w:pPr>
            <w:r>
              <w:rPr>
                <w:rFonts w:hint="eastAsia" w:ascii="宋体"/>
                <w:kern w:val="0"/>
              </w:rPr>
              <w:t>1.发生事故后擅自拆封、拆解、初始化、再设置航行数据记录装置或者读取航行数据记录装置记录的信息，影响水上交通事故和船舶污染事故等海事调查的；</w:t>
            </w:r>
          </w:p>
          <w:p w14:paraId="54EE9084">
            <w:pPr>
              <w:spacing w:line="240" w:lineRule="exact"/>
              <w:jc w:val="left"/>
              <w:rPr>
                <w:rFonts w:ascii="宋体"/>
                <w:kern w:val="0"/>
              </w:rPr>
            </w:pPr>
            <w:r>
              <w:rPr>
                <w:rFonts w:hint="eastAsia" w:ascii="宋体"/>
                <w:kern w:val="0"/>
              </w:rPr>
              <w:t>2.具有其他严重情节的。</w:t>
            </w:r>
          </w:p>
        </w:tc>
        <w:tc>
          <w:tcPr>
            <w:tcW w:w="6662" w:type="dxa"/>
            <w:vAlign w:val="center"/>
          </w:tcPr>
          <w:p w14:paraId="5BEB29BF">
            <w:pPr>
              <w:spacing w:line="240" w:lineRule="atLeast"/>
              <w:jc w:val="center"/>
              <w:rPr>
                <w:rFonts w:ascii="宋体"/>
                <w:kern w:val="0"/>
              </w:rPr>
            </w:pPr>
            <w:r>
              <w:rPr>
                <w:rFonts w:hint="eastAsia" w:ascii="宋体"/>
                <w:kern w:val="0"/>
              </w:rPr>
              <w:t>10-20万元</w:t>
            </w:r>
          </w:p>
        </w:tc>
        <w:tc>
          <w:tcPr>
            <w:tcW w:w="2647" w:type="dxa"/>
            <w:vAlign w:val="center"/>
          </w:tcPr>
          <w:p w14:paraId="023F2B52">
            <w:pPr>
              <w:spacing w:line="240" w:lineRule="atLeast"/>
              <w:jc w:val="center"/>
              <w:rPr>
                <w:rFonts w:ascii="宋体"/>
                <w:kern w:val="0"/>
              </w:rPr>
            </w:pPr>
            <w:r>
              <w:rPr>
                <w:rFonts w:hint="eastAsia" w:ascii="宋体"/>
                <w:kern w:val="0"/>
              </w:rPr>
              <w:t>吊销适任证书</w:t>
            </w:r>
          </w:p>
        </w:tc>
        <w:tc>
          <w:tcPr>
            <w:tcW w:w="2649" w:type="dxa"/>
            <w:vAlign w:val="center"/>
          </w:tcPr>
          <w:p w14:paraId="5AB7EB3D">
            <w:pPr>
              <w:spacing w:line="240" w:lineRule="atLeast"/>
              <w:jc w:val="center"/>
              <w:rPr>
                <w:rFonts w:ascii="宋体"/>
                <w:kern w:val="0"/>
              </w:rPr>
            </w:pPr>
            <w:r>
              <w:rPr>
                <w:rFonts w:hint="eastAsia" w:ascii="宋体"/>
                <w:kern w:val="0"/>
              </w:rPr>
              <w:t>吊销适任证书</w:t>
            </w:r>
          </w:p>
        </w:tc>
      </w:tr>
    </w:tbl>
    <w:p w14:paraId="7287CB86">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1"/>
        <w:gridCol w:w="1161"/>
        <w:gridCol w:w="1559"/>
        <w:gridCol w:w="1120"/>
        <w:gridCol w:w="3416"/>
        <w:gridCol w:w="5877"/>
        <w:gridCol w:w="3053"/>
        <w:gridCol w:w="3028"/>
      </w:tblGrid>
      <w:tr w14:paraId="02E2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81" w:type="dxa"/>
            <w:vMerge w:val="restart"/>
            <w:vAlign w:val="center"/>
          </w:tcPr>
          <w:p w14:paraId="4653FF4D">
            <w:pPr>
              <w:spacing w:line="240" w:lineRule="exact"/>
              <w:jc w:val="center"/>
              <w:rPr>
                <w:rFonts w:ascii="宋体"/>
                <w:b/>
                <w:kern w:val="0"/>
              </w:rPr>
            </w:pPr>
            <w:r>
              <w:rPr>
                <w:rFonts w:hint="eastAsia" w:ascii="宋体"/>
                <w:b/>
                <w:kern w:val="0"/>
              </w:rPr>
              <w:t>案由48</w:t>
            </w:r>
          </w:p>
        </w:tc>
        <w:tc>
          <w:tcPr>
            <w:tcW w:w="2720" w:type="dxa"/>
            <w:gridSpan w:val="2"/>
            <w:vAlign w:val="center"/>
          </w:tcPr>
          <w:p w14:paraId="72CB4175">
            <w:pPr>
              <w:spacing w:line="240" w:lineRule="exact"/>
              <w:jc w:val="center"/>
              <w:rPr>
                <w:rFonts w:ascii="宋体"/>
                <w:b/>
                <w:kern w:val="0"/>
              </w:rPr>
            </w:pPr>
            <w:r>
              <w:rPr>
                <w:rFonts w:hint="eastAsia" w:ascii="宋体"/>
                <w:b/>
                <w:kern w:val="0"/>
              </w:rPr>
              <w:t>法律依据</w:t>
            </w:r>
          </w:p>
        </w:tc>
        <w:tc>
          <w:tcPr>
            <w:tcW w:w="1120" w:type="dxa"/>
            <w:vMerge w:val="restart"/>
            <w:vAlign w:val="center"/>
          </w:tcPr>
          <w:p w14:paraId="6E958A79">
            <w:pPr>
              <w:spacing w:line="240" w:lineRule="exact"/>
              <w:jc w:val="center"/>
              <w:rPr>
                <w:rFonts w:ascii="宋体"/>
                <w:b/>
                <w:kern w:val="0"/>
              </w:rPr>
            </w:pPr>
            <w:r>
              <w:rPr>
                <w:rFonts w:hint="eastAsia" w:ascii="宋体"/>
                <w:b/>
                <w:kern w:val="0"/>
              </w:rPr>
              <w:t>违法情节</w:t>
            </w:r>
          </w:p>
        </w:tc>
        <w:tc>
          <w:tcPr>
            <w:tcW w:w="3416" w:type="dxa"/>
            <w:vMerge w:val="restart"/>
            <w:vAlign w:val="center"/>
          </w:tcPr>
          <w:p w14:paraId="6E5B8755">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4BDB116C">
            <w:pPr>
              <w:spacing w:line="240" w:lineRule="exact"/>
              <w:jc w:val="left"/>
              <w:rPr>
                <w:rFonts w:ascii="宋体"/>
                <w:b/>
                <w:kern w:val="0"/>
              </w:rPr>
            </w:pPr>
            <w:r>
              <w:rPr>
                <w:rFonts w:hint="eastAsia" w:ascii="宋体"/>
                <w:b/>
                <w:kern w:val="0"/>
              </w:rPr>
              <w:t>【法定幅度和种类】</w:t>
            </w:r>
            <w:r>
              <w:rPr>
                <w:rFonts w:hint="eastAsia" w:ascii="宋体"/>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452F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81" w:type="dxa"/>
            <w:vMerge w:val="continue"/>
            <w:vAlign w:val="center"/>
          </w:tcPr>
          <w:p w14:paraId="5F302BD4">
            <w:pPr>
              <w:spacing w:line="240" w:lineRule="exact"/>
              <w:jc w:val="center"/>
              <w:rPr>
                <w:rFonts w:ascii="宋体"/>
                <w:b/>
                <w:kern w:val="0"/>
              </w:rPr>
            </w:pPr>
          </w:p>
        </w:tc>
        <w:tc>
          <w:tcPr>
            <w:tcW w:w="1161" w:type="dxa"/>
            <w:vAlign w:val="center"/>
          </w:tcPr>
          <w:p w14:paraId="37D3C116">
            <w:pPr>
              <w:spacing w:line="240" w:lineRule="exact"/>
              <w:jc w:val="center"/>
              <w:rPr>
                <w:rFonts w:ascii="宋体"/>
                <w:b/>
                <w:kern w:val="0"/>
              </w:rPr>
            </w:pPr>
            <w:r>
              <w:rPr>
                <w:rFonts w:hint="eastAsia" w:ascii="宋体"/>
                <w:b/>
                <w:kern w:val="0"/>
              </w:rPr>
              <w:t>违反条款</w:t>
            </w:r>
          </w:p>
        </w:tc>
        <w:tc>
          <w:tcPr>
            <w:tcW w:w="1559" w:type="dxa"/>
            <w:vAlign w:val="center"/>
          </w:tcPr>
          <w:p w14:paraId="7637E5BB">
            <w:pPr>
              <w:spacing w:line="240" w:lineRule="exact"/>
              <w:jc w:val="center"/>
              <w:rPr>
                <w:rFonts w:ascii="宋体"/>
                <w:b/>
                <w:kern w:val="0"/>
              </w:rPr>
            </w:pPr>
            <w:r>
              <w:rPr>
                <w:rFonts w:hint="eastAsia" w:ascii="宋体"/>
                <w:b/>
                <w:kern w:val="0"/>
              </w:rPr>
              <w:t>处罚依据</w:t>
            </w:r>
          </w:p>
        </w:tc>
        <w:tc>
          <w:tcPr>
            <w:tcW w:w="1120" w:type="dxa"/>
            <w:vMerge w:val="continue"/>
            <w:vAlign w:val="center"/>
          </w:tcPr>
          <w:p w14:paraId="602346AD">
            <w:pPr>
              <w:spacing w:line="240" w:lineRule="exact"/>
              <w:jc w:val="center"/>
              <w:rPr>
                <w:rFonts w:ascii="宋体"/>
                <w:b/>
                <w:kern w:val="0"/>
              </w:rPr>
            </w:pPr>
          </w:p>
        </w:tc>
        <w:tc>
          <w:tcPr>
            <w:tcW w:w="3416" w:type="dxa"/>
            <w:vMerge w:val="continue"/>
            <w:vAlign w:val="center"/>
          </w:tcPr>
          <w:p w14:paraId="437230A3">
            <w:pPr>
              <w:spacing w:line="240" w:lineRule="exact"/>
              <w:jc w:val="center"/>
              <w:rPr>
                <w:rFonts w:ascii="宋体"/>
                <w:b/>
                <w:kern w:val="0"/>
              </w:rPr>
            </w:pPr>
          </w:p>
        </w:tc>
        <w:tc>
          <w:tcPr>
            <w:tcW w:w="5877" w:type="dxa"/>
            <w:vAlign w:val="center"/>
          </w:tcPr>
          <w:p w14:paraId="68BA8A30">
            <w:pPr>
              <w:spacing w:line="240" w:lineRule="exact"/>
              <w:jc w:val="center"/>
              <w:rPr>
                <w:rFonts w:ascii="宋体"/>
                <w:b/>
                <w:kern w:val="0"/>
              </w:rPr>
            </w:pPr>
            <w:r>
              <w:rPr>
                <w:rFonts w:hint="eastAsia" w:ascii="宋体"/>
                <w:b/>
                <w:kern w:val="0"/>
              </w:rPr>
              <w:t>【对象】对船舶的所有人、经营人或者管理人</w:t>
            </w:r>
          </w:p>
        </w:tc>
        <w:tc>
          <w:tcPr>
            <w:tcW w:w="3053" w:type="dxa"/>
            <w:vAlign w:val="center"/>
          </w:tcPr>
          <w:p w14:paraId="0EB8E367">
            <w:pPr>
              <w:spacing w:line="240" w:lineRule="exact"/>
              <w:jc w:val="center"/>
              <w:rPr>
                <w:rFonts w:ascii="宋体"/>
                <w:b/>
                <w:kern w:val="0"/>
              </w:rPr>
            </w:pPr>
            <w:r>
              <w:rPr>
                <w:rFonts w:hint="eastAsia" w:ascii="宋体"/>
                <w:b/>
                <w:kern w:val="0"/>
              </w:rPr>
              <w:t>【对象】船长</w:t>
            </w:r>
          </w:p>
        </w:tc>
        <w:tc>
          <w:tcPr>
            <w:tcW w:w="3028" w:type="dxa"/>
            <w:vAlign w:val="center"/>
          </w:tcPr>
          <w:p w14:paraId="0ACBE85A">
            <w:pPr>
              <w:spacing w:line="240" w:lineRule="exact"/>
              <w:jc w:val="center"/>
              <w:rPr>
                <w:rFonts w:ascii="宋体"/>
                <w:b/>
                <w:kern w:val="0"/>
              </w:rPr>
            </w:pPr>
            <w:r>
              <w:rPr>
                <w:rFonts w:hint="eastAsia" w:ascii="宋体"/>
                <w:b/>
                <w:kern w:val="0"/>
              </w:rPr>
              <w:t>【对象】责任船员</w:t>
            </w:r>
          </w:p>
        </w:tc>
      </w:tr>
      <w:tr w14:paraId="2B225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81" w:type="dxa"/>
            <w:vMerge w:val="restart"/>
            <w:vAlign w:val="center"/>
          </w:tcPr>
          <w:p w14:paraId="1AA51EA7">
            <w:pPr>
              <w:widowControl/>
              <w:spacing w:line="240" w:lineRule="exact"/>
              <w:jc w:val="left"/>
              <w:rPr>
                <w:rFonts w:ascii="宋体"/>
                <w:b/>
                <w:kern w:val="0"/>
              </w:rPr>
            </w:pPr>
            <w:r>
              <w:rPr>
                <w:rFonts w:hint="eastAsia" w:ascii="宋体"/>
                <w:kern w:val="0"/>
              </w:rPr>
              <w:t>船舶违反规定超过检验证书核定的载客定额、载重线、载货种类载运乘客、货物</w:t>
            </w:r>
          </w:p>
        </w:tc>
        <w:tc>
          <w:tcPr>
            <w:tcW w:w="1161" w:type="dxa"/>
            <w:vMerge w:val="restart"/>
            <w:vAlign w:val="center"/>
          </w:tcPr>
          <w:p w14:paraId="75C63C3D">
            <w:pPr>
              <w:widowControl/>
              <w:spacing w:line="240" w:lineRule="exact"/>
              <w:jc w:val="left"/>
              <w:rPr>
                <w:rFonts w:ascii="宋体"/>
                <w:kern w:val="0"/>
              </w:rPr>
            </w:pPr>
            <w:r>
              <w:rPr>
                <w:rFonts w:hint="eastAsia" w:ascii="宋体"/>
                <w:kern w:val="0"/>
              </w:rPr>
              <w:t>1.《中华人民共和国海上交通安全法》第五十七条。</w:t>
            </w:r>
          </w:p>
          <w:p w14:paraId="2C5AC899">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4E531520">
            <w:pPr>
              <w:spacing w:line="240" w:lineRule="exact"/>
              <w:jc w:val="left"/>
              <w:rPr>
                <w:rFonts w:ascii="宋体"/>
                <w:kern w:val="0"/>
              </w:rPr>
            </w:pPr>
            <w:r>
              <w:rPr>
                <w:rFonts w:hint="eastAsia" w:ascii="宋体"/>
                <w:kern w:val="0"/>
              </w:rPr>
              <w:t>1.《中华人民共和国海上交通安全法》第一百零三条第（十）项、《中华人民共和国海上海事行政处罚规定》第十八条第（十）项。</w:t>
            </w:r>
          </w:p>
          <w:p w14:paraId="4783DFB5">
            <w:pPr>
              <w:spacing w:line="240" w:lineRule="exact"/>
              <w:jc w:val="left"/>
              <w:rPr>
                <w:rFonts w:ascii="宋体"/>
                <w:kern w:val="0"/>
              </w:rPr>
            </w:pPr>
            <w:r>
              <w:rPr>
                <w:rFonts w:hint="eastAsia" w:ascii="宋体"/>
                <w:kern w:val="0"/>
              </w:rPr>
              <w:t>2. 《中华人民共和国海上海事行政处罚规定》第七条。</w:t>
            </w:r>
          </w:p>
        </w:tc>
        <w:tc>
          <w:tcPr>
            <w:tcW w:w="1120" w:type="dxa"/>
            <w:vAlign w:val="center"/>
          </w:tcPr>
          <w:p w14:paraId="02033D5E">
            <w:pPr>
              <w:spacing w:line="240" w:lineRule="exact"/>
              <w:jc w:val="center"/>
              <w:rPr>
                <w:rFonts w:ascii="宋体"/>
                <w:kern w:val="0"/>
              </w:rPr>
            </w:pPr>
            <w:r>
              <w:rPr>
                <w:rFonts w:hint="eastAsia" w:ascii="宋体"/>
                <w:kern w:val="0"/>
              </w:rPr>
              <w:t>从轻</w:t>
            </w:r>
          </w:p>
        </w:tc>
        <w:tc>
          <w:tcPr>
            <w:tcW w:w="3416" w:type="dxa"/>
            <w:vAlign w:val="center"/>
          </w:tcPr>
          <w:p w14:paraId="0B8B19A6">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77" w:type="dxa"/>
            <w:vAlign w:val="center"/>
          </w:tcPr>
          <w:p w14:paraId="1368CD53">
            <w:pPr>
              <w:spacing w:line="240" w:lineRule="atLeast"/>
              <w:jc w:val="center"/>
              <w:rPr>
                <w:rFonts w:ascii="宋体"/>
                <w:kern w:val="0"/>
              </w:rPr>
            </w:pPr>
            <w:r>
              <w:rPr>
                <w:rFonts w:hint="eastAsia" w:ascii="宋体"/>
                <w:kern w:val="0"/>
              </w:rPr>
              <w:t>2-3万元</w:t>
            </w:r>
          </w:p>
        </w:tc>
        <w:tc>
          <w:tcPr>
            <w:tcW w:w="3053" w:type="dxa"/>
            <w:vAlign w:val="center"/>
          </w:tcPr>
          <w:p w14:paraId="4E9E0660">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2BE8D1C7">
            <w:pPr>
              <w:spacing w:line="240" w:lineRule="atLeast"/>
              <w:jc w:val="center"/>
              <w:rPr>
                <w:rFonts w:ascii="宋体"/>
                <w:kern w:val="0"/>
              </w:rPr>
            </w:pPr>
            <w:r>
              <w:rPr>
                <w:rFonts w:hint="eastAsia" w:ascii="宋体"/>
                <w:kern w:val="0"/>
              </w:rPr>
              <w:t>2000-4000元、并暂扣适任证书3个月至4个月</w:t>
            </w:r>
          </w:p>
        </w:tc>
      </w:tr>
      <w:tr w14:paraId="74AF6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81" w:type="dxa"/>
            <w:vMerge w:val="continue"/>
            <w:vAlign w:val="center"/>
          </w:tcPr>
          <w:p w14:paraId="1A13CDE2">
            <w:pPr>
              <w:spacing w:line="240" w:lineRule="exact"/>
              <w:jc w:val="center"/>
              <w:rPr>
                <w:rFonts w:ascii="宋体"/>
                <w:kern w:val="0"/>
              </w:rPr>
            </w:pPr>
          </w:p>
        </w:tc>
        <w:tc>
          <w:tcPr>
            <w:tcW w:w="1161" w:type="dxa"/>
            <w:vMerge w:val="continue"/>
            <w:vAlign w:val="center"/>
          </w:tcPr>
          <w:p w14:paraId="296C4246">
            <w:pPr>
              <w:widowControl/>
              <w:spacing w:line="240" w:lineRule="exact"/>
              <w:jc w:val="center"/>
              <w:rPr>
                <w:rFonts w:ascii="宋体"/>
                <w:kern w:val="0"/>
              </w:rPr>
            </w:pPr>
          </w:p>
        </w:tc>
        <w:tc>
          <w:tcPr>
            <w:tcW w:w="1559" w:type="dxa"/>
            <w:vMerge w:val="continue"/>
            <w:vAlign w:val="center"/>
          </w:tcPr>
          <w:p w14:paraId="68C19969">
            <w:pPr>
              <w:spacing w:line="240" w:lineRule="exact"/>
              <w:jc w:val="center"/>
              <w:rPr>
                <w:rFonts w:ascii="宋体"/>
                <w:kern w:val="0"/>
              </w:rPr>
            </w:pPr>
          </w:p>
        </w:tc>
        <w:tc>
          <w:tcPr>
            <w:tcW w:w="1120" w:type="dxa"/>
            <w:vMerge w:val="restart"/>
            <w:vAlign w:val="center"/>
          </w:tcPr>
          <w:p w14:paraId="69326E79">
            <w:pPr>
              <w:spacing w:line="240" w:lineRule="exact"/>
              <w:jc w:val="center"/>
              <w:rPr>
                <w:rFonts w:ascii="宋体"/>
                <w:kern w:val="0"/>
              </w:rPr>
            </w:pPr>
            <w:r>
              <w:rPr>
                <w:rFonts w:hint="eastAsia" w:ascii="宋体"/>
                <w:kern w:val="0"/>
              </w:rPr>
              <w:t>一般</w:t>
            </w:r>
          </w:p>
        </w:tc>
        <w:tc>
          <w:tcPr>
            <w:tcW w:w="3416" w:type="dxa"/>
            <w:vAlign w:val="center"/>
          </w:tcPr>
          <w:p w14:paraId="12461F42">
            <w:pPr>
              <w:widowControl/>
              <w:spacing w:line="240" w:lineRule="exact"/>
              <w:jc w:val="left"/>
              <w:rPr>
                <w:rFonts w:ascii="宋体"/>
                <w:kern w:val="0"/>
              </w:rPr>
            </w:pPr>
            <w:r>
              <w:rPr>
                <w:rFonts w:hint="eastAsia" w:ascii="宋体"/>
                <w:kern w:val="0"/>
              </w:rPr>
              <w:t>1.客船超过核定载客数额幅度30%以内载运旅客，且未造成事故或险情的；</w:t>
            </w:r>
          </w:p>
          <w:p w14:paraId="468BE4BE">
            <w:pPr>
              <w:widowControl/>
              <w:spacing w:line="240" w:lineRule="exact"/>
              <w:jc w:val="left"/>
              <w:rPr>
                <w:rFonts w:ascii="宋体"/>
                <w:kern w:val="0"/>
              </w:rPr>
            </w:pPr>
            <w:r>
              <w:rPr>
                <w:rFonts w:hint="eastAsia" w:ascii="宋体"/>
                <w:kern w:val="0"/>
              </w:rPr>
              <w:t>2.货船超过核定干舷幅度30%以内载运货物，且未造成事故或险情的；</w:t>
            </w:r>
          </w:p>
          <w:p w14:paraId="063BA934">
            <w:pPr>
              <w:widowControl/>
              <w:spacing w:line="240" w:lineRule="exact"/>
              <w:jc w:val="left"/>
              <w:rPr>
                <w:rFonts w:ascii="宋体"/>
                <w:kern w:val="0"/>
              </w:rPr>
            </w:pPr>
            <w:r>
              <w:rPr>
                <w:rFonts w:hint="eastAsia" w:ascii="宋体"/>
                <w:kern w:val="0"/>
              </w:rPr>
              <w:t>3.超过检验证书核定的载货种类（非危险货物）。</w:t>
            </w:r>
          </w:p>
        </w:tc>
        <w:tc>
          <w:tcPr>
            <w:tcW w:w="5877" w:type="dxa"/>
            <w:vAlign w:val="center"/>
          </w:tcPr>
          <w:p w14:paraId="63530456">
            <w:pPr>
              <w:spacing w:line="240" w:lineRule="atLeast"/>
              <w:jc w:val="center"/>
              <w:rPr>
                <w:rFonts w:ascii="宋体"/>
                <w:kern w:val="0"/>
              </w:rPr>
            </w:pPr>
            <w:r>
              <w:rPr>
                <w:rFonts w:hint="eastAsia" w:ascii="宋体"/>
                <w:kern w:val="0"/>
              </w:rPr>
              <w:t>3-4万元</w:t>
            </w:r>
          </w:p>
        </w:tc>
        <w:tc>
          <w:tcPr>
            <w:tcW w:w="3053" w:type="dxa"/>
            <w:vAlign w:val="center"/>
          </w:tcPr>
          <w:p w14:paraId="4806DD9C">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22413574">
            <w:pPr>
              <w:spacing w:line="240" w:lineRule="atLeast"/>
              <w:jc w:val="center"/>
              <w:rPr>
                <w:rFonts w:ascii="宋体"/>
                <w:b/>
                <w:kern w:val="0"/>
              </w:rPr>
            </w:pPr>
            <w:r>
              <w:rPr>
                <w:rFonts w:hint="eastAsia" w:ascii="宋体"/>
                <w:kern w:val="0"/>
              </w:rPr>
              <w:t>4000元-6000、并暂扣适任证书3个月至4个月</w:t>
            </w:r>
          </w:p>
        </w:tc>
      </w:tr>
      <w:tr w14:paraId="1AF0F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881" w:type="dxa"/>
            <w:vMerge w:val="continue"/>
            <w:vAlign w:val="center"/>
          </w:tcPr>
          <w:p w14:paraId="2217F029">
            <w:pPr>
              <w:spacing w:line="240" w:lineRule="exact"/>
              <w:jc w:val="center"/>
              <w:rPr>
                <w:rFonts w:ascii="宋体"/>
                <w:kern w:val="0"/>
              </w:rPr>
            </w:pPr>
          </w:p>
        </w:tc>
        <w:tc>
          <w:tcPr>
            <w:tcW w:w="1161" w:type="dxa"/>
            <w:vMerge w:val="continue"/>
            <w:vAlign w:val="center"/>
          </w:tcPr>
          <w:p w14:paraId="6F2B585B">
            <w:pPr>
              <w:widowControl/>
              <w:spacing w:line="240" w:lineRule="exact"/>
              <w:jc w:val="center"/>
              <w:rPr>
                <w:rFonts w:ascii="宋体"/>
                <w:kern w:val="0"/>
              </w:rPr>
            </w:pPr>
          </w:p>
        </w:tc>
        <w:tc>
          <w:tcPr>
            <w:tcW w:w="1559" w:type="dxa"/>
            <w:vMerge w:val="continue"/>
            <w:vAlign w:val="center"/>
          </w:tcPr>
          <w:p w14:paraId="0F581E55">
            <w:pPr>
              <w:spacing w:line="240" w:lineRule="exact"/>
              <w:jc w:val="center"/>
              <w:rPr>
                <w:rFonts w:ascii="宋体"/>
                <w:kern w:val="0"/>
              </w:rPr>
            </w:pPr>
          </w:p>
        </w:tc>
        <w:tc>
          <w:tcPr>
            <w:tcW w:w="1120" w:type="dxa"/>
            <w:vMerge w:val="continue"/>
            <w:vAlign w:val="center"/>
          </w:tcPr>
          <w:p w14:paraId="37843DB9">
            <w:pPr>
              <w:spacing w:line="240" w:lineRule="exact"/>
              <w:jc w:val="center"/>
              <w:rPr>
                <w:rFonts w:ascii="宋体"/>
                <w:kern w:val="0"/>
              </w:rPr>
            </w:pPr>
          </w:p>
        </w:tc>
        <w:tc>
          <w:tcPr>
            <w:tcW w:w="3416" w:type="dxa"/>
            <w:vAlign w:val="center"/>
          </w:tcPr>
          <w:p w14:paraId="2E832508">
            <w:pPr>
              <w:widowControl/>
              <w:spacing w:line="240" w:lineRule="exact"/>
              <w:jc w:val="left"/>
              <w:rPr>
                <w:rFonts w:ascii="宋体"/>
                <w:kern w:val="0"/>
              </w:rPr>
            </w:pPr>
            <w:r>
              <w:rPr>
                <w:rFonts w:hint="eastAsia" w:ascii="宋体"/>
                <w:kern w:val="0"/>
              </w:rPr>
              <w:t>1.客船超过核定载客数额幅度超过30%载运旅客，且未造成事故或险情的；</w:t>
            </w:r>
          </w:p>
          <w:p w14:paraId="1D5A8481">
            <w:pPr>
              <w:spacing w:line="240" w:lineRule="exact"/>
              <w:jc w:val="left"/>
              <w:rPr>
                <w:rFonts w:ascii="宋体"/>
              </w:rPr>
            </w:pPr>
            <w:r>
              <w:rPr>
                <w:rFonts w:hint="eastAsia" w:ascii="宋体"/>
              </w:rPr>
              <w:t>2.货船超过核定干舷幅度超过30%以外载运货物，且未造成事故或险情的；</w:t>
            </w:r>
          </w:p>
          <w:p w14:paraId="1E9DCBFB">
            <w:pPr>
              <w:spacing w:line="240" w:lineRule="exact"/>
              <w:jc w:val="left"/>
              <w:rPr>
                <w:rFonts w:ascii="宋体"/>
              </w:rPr>
            </w:pPr>
            <w:r>
              <w:rPr>
                <w:rFonts w:hint="eastAsia" w:ascii="宋体"/>
                <w:kern w:val="0"/>
              </w:rPr>
              <w:t>3.超过检验证书核定的载货种类（危险货物）。</w:t>
            </w:r>
          </w:p>
        </w:tc>
        <w:tc>
          <w:tcPr>
            <w:tcW w:w="5877" w:type="dxa"/>
            <w:vAlign w:val="center"/>
          </w:tcPr>
          <w:p w14:paraId="45AA9F66">
            <w:pPr>
              <w:spacing w:line="240" w:lineRule="atLeast"/>
              <w:jc w:val="center"/>
              <w:rPr>
                <w:rFonts w:ascii="宋体"/>
                <w:kern w:val="0"/>
              </w:rPr>
            </w:pPr>
            <w:r>
              <w:rPr>
                <w:rFonts w:hint="eastAsia" w:ascii="宋体"/>
                <w:kern w:val="0"/>
              </w:rPr>
              <w:t>4-5万元</w:t>
            </w:r>
          </w:p>
        </w:tc>
        <w:tc>
          <w:tcPr>
            <w:tcW w:w="3053" w:type="dxa"/>
            <w:vAlign w:val="center"/>
          </w:tcPr>
          <w:p w14:paraId="56951AE3">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7CD590EF">
            <w:pPr>
              <w:spacing w:line="240" w:lineRule="atLeast"/>
              <w:jc w:val="center"/>
              <w:rPr>
                <w:rFonts w:ascii="宋体"/>
                <w:kern w:val="0"/>
              </w:rPr>
            </w:pPr>
            <w:r>
              <w:rPr>
                <w:rFonts w:hint="eastAsia" w:ascii="宋体"/>
                <w:kern w:val="0"/>
              </w:rPr>
              <w:t>6000元-1万元、并暂扣适任证书4个月至5个月</w:t>
            </w:r>
          </w:p>
        </w:tc>
      </w:tr>
      <w:tr w14:paraId="3E937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881" w:type="dxa"/>
            <w:vMerge w:val="continue"/>
            <w:vAlign w:val="center"/>
          </w:tcPr>
          <w:p w14:paraId="4D864075">
            <w:pPr>
              <w:spacing w:line="240" w:lineRule="exact"/>
              <w:jc w:val="center"/>
              <w:rPr>
                <w:rFonts w:ascii="宋体"/>
                <w:kern w:val="0"/>
              </w:rPr>
            </w:pPr>
          </w:p>
        </w:tc>
        <w:tc>
          <w:tcPr>
            <w:tcW w:w="1161" w:type="dxa"/>
            <w:vMerge w:val="continue"/>
            <w:vAlign w:val="center"/>
          </w:tcPr>
          <w:p w14:paraId="5DA11A05">
            <w:pPr>
              <w:spacing w:line="240" w:lineRule="exact"/>
              <w:jc w:val="center"/>
              <w:rPr>
                <w:rFonts w:ascii="宋体"/>
                <w:kern w:val="0"/>
              </w:rPr>
            </w:pPr>
          </w:p>
        </w:tc>
        <w:tc>
          <w:tcPr>
            <w:tcW w:w="1559" w:type="dxa"/>
            <w:vMerge w:val="continue"/>
            <w:vAlign w:val="center"/>
          </w:tcPr>
          <w:p w14:paraId="09B50270">
            <w:pPr>
              <w:spacing w:line="240" w:lineRule="exact"/>
              <w:jc w:val="center"/>
              <w:rPr>
                <w:rFonts w:ascii="宋体"/>
                <w:kern w:val="0"/>
              </w:rPr>
            </w:pPr>
          </w:p>
        </w:tc>
        <w:tc>
          <w:tcPr>
            <w:tcW w:w="1120" w:type="dxa"/>
            <w:vMerge w:val="continue"/>
            <w:vAlign w:val="center"/>
          </w:tcPr>
          <w:p w14:paraId="45592C7F">
            <w:pPr>
              <w:spacing w:line="240" w:lineRule="exact"/>
              <w:jc w:val="center"/>
              <w:rPr>
                <w:rFonts w:ascii="宋体"/>
                <w:kern w:val="0"/>
              </w:rPr>
            </w:pPr>
          </w:p>
        </w:tc>
        <w:tc>
          <w:tcPr>
            <w:tcW w:w="3416" w:type="dxa"/>
            <w:vAlign w:val="center"/>
          </w:tcPr>
          <w:p w14:paraId="31F8A86F">
            <w:pPr>
              <w:spacing w:line="240" w:lineRule="atLeast"/>
              <w:jc w:val="left"/>
              <w:rPr>
                <w:rFonts w:ascii="宋体"/>
              </w:rPr>
            </w:pPr>
            <w:r>
              <w:rPr>
                <w:rFonts w:hint="eastAsia" w:ascii="宋体"/>
              </w:rPr>
              <w:t>1.造成一般事故或险情的；</w:t>
            </w:r>
          </w:p>
          <w:p w14:paraId="3C237130">
            <w:pPr>
              <w:spacing w:line="240" w:lineRule="atLeast"/>
              <w:jc w:val="left"/>
              <w:rPr>
                <w:rFonts w:ascii="宋体"/>
              </w:rPr>
            </w:pPr>
            <w:r>
              <w:rPr>
                <w:rFonts w:hint="eastAsia" w:ascii="宋体"/>
              </w:rPr>
              <w:t>2.具有其他较重情节的。</w:t>
            </w:r>
          </w:p>
        </w:tc>
        <w:tc>
          <w:tcPr>
            <w:tcW w:w="5877" w:type="dxa"/>
            <w:vAlign w:val="center"/>
          </w:tcPr>
          <w:p w14:paraId="288EDD8F">
            <w:pPr>
              <w:spacing w:line="240" w:lineRule="atLeast"/>
              <w:jc w:val="center"/>
              <w:rPr>
                <w:rFonts w:ascii="宋体"/>
                <w:kern w:val="0"/>
              </w:rPr>
            </w:pPr>
            <w:r>
              <w:rPr>
                <w:rFonts w:hint="eastAsia" w:ascii="宋体"/>
                <w:kern w:val="0"/>
              </w:rPr>
              <w:t>5-10万元</w:t>
            </w:r>
          </w:p>
        </w:tc>
        <w:tc>
          <w:tcPr>
            <w:tcW w:w="3053" w:type="dxa"/>
            <w:vAlign w:val="center"/>
          </w:tcPr>
          <w:p w14:paraId="53C59733">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62263446">
            <w:pPr>
              <w:spacing w:line="240" w:lineRule="atLeast"/>
              <w:jc w:val="center"/>
              <w:rPr>
                <w:rFonts w:ascii="宋体"/>
                <w:kern w:val="0"/>
              </w:rPr>
            </w:pPr>
            <w:r>
              <w:rPr>
                <w:rFonts w:hint="eastAsia" w:ascii="宋体"/>
                <w:kern w:val="0"/>
              </w:rPr>
              <w:t>1-2万元、并暂扣适任证书5个月至12个月</w:t>
            </w:r>
          </w:p>
        </w:tc>
      </w:tr>
      <w:tr w14:paraId="379C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881" w:type="dxa"/>
            <w:vMerge w:val="continue"/>
            <w:vAlign w:val="center"/>
          </w:tcPr>
          <w:p w14:paraId="0EDAA452">
            <w:pPr>
              <w:spacing w:line="240" w:lineRule="exact"/>
              <w:jc w:val="center"/>
              <w:rPr>
                <w:rFonts w:ascii="宋体"/>
                <w:kern w:val="0"/>
              </w:rPr>
            </w:pPr>
          </w:p>
        </w:tc>
        <w:tc>
          <w:tcPr>
            <w:tcW w:w="1161" w:type="dxa"/>
            <w:vMerge w:val="continue"/>
            <w:vAlign w:val="center"/>
          </w:tcPr>
          <w:p w14:paraId="3CBEEB26">
            <w:pPr>
              <w:spacing w:line="240" w:lineRule="exact"/>
              <w:jc w:val="center"/>
              <w:rPr>
                <w:rFonts w:ascii="宋体"/>
                <w:kern w:val="0"/>
              </w:rPr>
            </w:pPr>
          </w:p>
        </w:tc>
        <w:tc>
          <w:tcPr>
            <w:tcW w:w="1559" w:type="dxa"/>
            <w:vMerge w:val="continue"/>
            <w:vAlign w:val="center"/>
          </w:tcPr>
          <w:p w14:paraId="1071A5D9">
            <w:pPr>
              <w:spacing w:line="240" w:lineRule="exact"/>
              <w:jc w:val="center"/>
              <w:rPr>
                <w:rFonts w:ascii="宋体"/>
                <w:kern w:val="0"/>
              </w:rPr>
            </w:pPr>
          </w:p>
        </w:tc>
        <w:tc>
          <w:tcPr>
            <w:tcW w:w="1120" w:type="dxa"/>
            <w:vAlign w:val="center"/>
          </w:tcPr>
          <w:p w14:paraId="7E5C4742">
            <w:pPr>
              <w:spacing w:line="240" w:lineRule="exact"/>
              <w:jc w:val="center"/>
              <w:rPr>
                <w:rFonts w:ascii="宋体"/>
                <w:kern w:val="0"/>
              </w:rPr>
            </w:pPr>
            <w:r>
              <w:rPr>
                <w:rFonts w:hint="eastAsia" w:ascii="宋体"/>
                <w:kern w:val="0"/>
              </w:rPr>
              <w:t>情节严重</w:t>
            </w:r>
          </w:p>
        </w:tc>
        <w:tc>
          <w:tcPr>
            <w:tcW w:w="3416" w:type="dxa"/>
            <w:vAlign w:val="center"/>
          </w:tcPr>
          <w:p w14:paraId="71DE9424">
            <w:pPr>
              <w:spacing w:line="240" w:lineRule="atLeast"/>
              <w:jc w:val="left"/>
              <w:rPr>
                <w:rFonts w:ascii="宋体"/>
              </w:rPr>
            </w:pPr>
            <w:r>
              <w:rPr>
                <w:rFonts w:hint="eastAsia" w:ascii="宋体"/>
              </w:rPr>
              <w:t>1.造成较大等级以上事故的；</w:t>
            </w:r>
          </w:p>
          <w:p w14:paraId="5300751A">
            <w:pPr>
              <w:spacing w:line="240" w:lineRule="atLeast"/>
              <w:jc w:val="left"/>
              <w:rPr>
                <w:rFonts w:ascii="宋体"/>
                <w:kern w:val="0"/>
              </w:rPr>
            </w:pPr>
            <w:r>
              <w:rPr>
                <w:rFonts w:hint="eastAsia" w:ascii="宋体"/>
              </w:rPr>
              <w:t>2.具有其他严重情节的。</w:t>
            </w:r>
          </w:p>
        </w:tc>
        <w:tc>
          <w:tcPr>
            <w:tcW w:w="5877" w:type="dxa"/>
            <w:vAlign w:val="center"/>
          </w:tcPr>
          <w:p w14:paraId="0FACBF61">
            <w:pPr>
              <w:spacing w:line="240" w:lineRule="atLeast"/>
              <w:jc w:val="center"/>
              <w:rPr>
                <w:rFonts w:ascii="宋体"/>
                <w:kern w:val="0"/>
              </w:rPr>
            </w:pPr>
            <w:r>
              <w:rPr>
                <w:rFonts w:hint="eastAsia" w:ascii="宋体"/>
                <w:kern w:val="0"/>
              </w:rPr>
              <w:t>10-20万元</w:t>
            </w:r>
          </w:p>
        </w:tc>
        <w:tc>
          <w:tcPr>
            <w:tcW w:w="3053" w:type="dxa"/>
            <w:vAlign w:val="center"/>
          </w:tcPr>
          <w:p w14:paraId="50717F7F">
            <w:pPr>
              <w:spacing w:line="240" w:lineRule="atLeast"/>
              <w:jc w:val="center"/>
              <w:rPr>
                <w:rFonts w:ascii="宋体"/>
                <w:kern w:val="0"/>
              </w:rPr>
            </w:pPr>
            <w:r>
              <w:rPr>
                <w:rFonts w:hint="eastAsia" w:ascii="宋体"/>
                <w:kern w:val="0"/>
              </w:rPr>
              <w:t>吊销适任证书</w:t>
            </w:r>
          </w:p>
        </w:tc>
        <w:tc>
          <w:tcPr>
            <w:tcW w:w="3028" w:type="dxa"/>
            <w:vAlign w:val="center"/>
          </w:tcPr>
          <w:p w14:paraId="57FAAD0A">
            <w:pPr>
              <w:spacing w:line="240" w:lineRule="atLeast"/>
              <w:jc w:val="center"/>
              <w:rPr>
                <w:rFonts w:ascii="宋体"/>
                <w:kern w:val="0"/>
              </w:rPr>
            </w:pPr>
            <w:r>
              <w:rPr>
                <w:rFonts w:hint="eastAsia" w:ascii="宋体"/>
                <w:kern w:val="0"/>
              </w:rPr>
              <w:t>吊销适任证书</w:t>
            </w:r>
          </w:p>
        </w:tc>
      </w:tr>
    </w:tbl>
    <w:p w14:paraId="15A23394">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155"/>
        <w:gridCol w:w="1490"/>
        <w:gridCol w:w="1195"/>
        <w:gridCol w:w="3341"/>
        <w:gridCol w:w="5644"/>
        <w:gridCol w:w="3286"/>
        <w:gridCol w:w="3028"/>
      </w:tblGrid>
      <w:tr w14:paraId="2065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6" w:type="dxa"/>
            <w:vMerge w:val="restart"/>
            <w:vAlign w:val="center"/>
          </w:tcPr>
          <w:p w14:paraId="14AEEE9E">
            <w:pPr>
              <w:spacing w:line="240" w:lineRule="exact"/>
              <w:jc w:val="center"/>
              <w:rPr>
                <w:rFonts w:ascii="宋体"/>
                <w:b/>
                <w:kern w:val="0"/>
              </w:rPr>
            </w:pPr>
            <w:r>
              <w:rPr>
                <w:rFonts w:hint="eastAsia" w:ascii="宋体"/>
                <w:b/>
                <w:kern w:val="0"/>
              </w:rPr>
              <w:t>案由49</w:t>
            </w:r>
          </w:p>
        </w:tc>
        <w:tc>
          <w:tcPr>
            <w:tcW w:w="2645" w:type="dxa"/>
            <w:gridSpan w:val="2"/>
            <w:vAlign w:val="center"/>
          </w:tcPr>
          <w:p w14:paraId="378E2295">
            <w:pPr>
              <w:spacing w:line="240" w:lineRule="exact"/>
              <w:jc w:val="center"/>
              <w:rPr>
                <w:rFonts w:ascii="宋体"/>
                <w:b/>
                <w:kern w:val="0"/>
              </w:rPr>
            </w:pPr>
            <w:r>
              <w:rPr>
                <w:rFonts w:hint="eastAsia" w:ascii="宋体"/>
                <w:b/>
                <w:kern w:val="0"/>
              </w:rPr>
              <w:t>法律依据</w:t>
            </w:r>
          </w:p>
        </w:tc>
        <w:tc>
          <w:tcPr>
            <w:tcW w:w="1195" w:type="dxa"/>
            <w:vMerge w:val="restart"/>
            <w:vAlign w:val="center"/>
          </w:tcPr>
          <w:p w14:paraId="757D1ADA">
            <w:pPr>
              <w:spacing w:line="240" w:lineRule="exact"/>
              <w:jc w:val="center"/>
              <w:rPr>
                <w:rFonts w:ascii="宋体"/>
                <w:b/>
                <w:kern w:val="0"/>
              </w:rPr>
            </w:pPr>
            <w:r>
              <w:rPr>
                <w:rFonts w:hint="eastAsia" w:ascii="宋体"/>
                <w:b/>
                <w:kern w:val="0"/>
              </w:rPr>
              <w:t>违法情节</w:t>
            </w:r>
          </w:p>
        </w:tc>
        <w:tc>
          <w:tcPr>
            <w:tcW w:w="3341" w:type="dxa"/>
            <w:vMerge w:val="restart"/>
            <w:vAlign w:val="center"/>
          </w:tcPr>
          <w:p w14:paraId="300D047D">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5F88A7F2">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4CDF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6" w:type="dxa"/>
            <w:vMerge w:val="continue"/>
            <w:vAlign w:val="center"/>
          </w:tcPr>
          <w:p w14:paraId="5B853750">
            <w:pPr>
              <w:spacing w:line="240" w:lineRule="exact"/>
              <w:jc w:val="center"/>
              <w:rPr>
                <w:rFonts w:ascii="宋体"/>
                <w:b/>
                <w:kern w:val="0"/>
              </w:rPr>
            </w:pPr>
          </w:p>
        </w:tc>
        <w:tc>
          <w:tcPr>
            <w:tcW w:w="1155" w:type="dxa"/>
            <w:vAlign w:val="center"/>
          </w:tcPr>
          <w:p w14:paraId="4CE5A1B1">
            <w:pPr>
              <w:spacing w:line="240" w:lineRule="exact"/>
              <w:jc w:val="center"/>
              <w:rPr>
                <w:rFonts w:ascii="宋体"/>
                <w:b/>
                <w:kern w:val="0"/>
              </w:rPr>
            </w:pPr>
            <w:r>
              <w:rPr>
                <w:rFonts w:hint="eastAsia" w:ascii="宋体"/>
                <w:b/>
                <w:kern w:val="0"/>
              </w:rPr>
              <w:t>违反条款</w:t>
            </w:r>
          </w:p>
        </w:tc>
        <w:tc>
          <w:tcPr>
            <w:tcW w:w="1490" w:type="dxa"/>
            <w:vAlign w:val="center"/>
          </w:tcPr>
          <w:p w14:paraId="2F9105AE">
            <w:pPr>
              <w:spacing w:line="240" w:lineRule="exact"/>
              <w:jc w:val="center"/>
              <w:rPr>
                <w:rFonts w:ascii="宋体"/>
                <w:b/>
                <w:kern w:val="0"/>
              </w:rPr>
            </w:pPr>
            <w:r>
              <w:rPr>
                <w:rFonts w:hint="eastAsia" w:ascii="宋体"/>
                <w:b/>
                <w:kern w:val="0"/>
              </w:rPr>
              <w:t>处罚依据</w:t>
            </w:r>
          </w:p>
        </w:tc>
        <w:tc>
          <w:tcPr>
            <w:tcW w:w="1195" w:type="dxa"/>
            <w:vMerge w:val="continue"/>
            <w:vAlign w:val="center"/>
          </w:tcPr>
          <w:p w14:paraId="7BFF89A2">
            <w:pPr>
              <w:spacing w:line="240" w:lineRule="exact"/>
              <w:jc w:val="center"/>
              <w:rPr>
                <w:rFonts w:ascii="宋体"/>
                <w:b/>
                <w:kern w:val="0"/>
              </w:rPr>
            </w:pPr>
          </w:p>
        </w:tc>
        <w:tc>
          <w:tcPr>
            <w:tcW w:w="3341" w:type="dxa"/>
            <w:vMerge w:val="continue"/>
            <w:vAlign w:val="center"/>
          </w:tcPr>
          <w:p w14:paraId="36E2DBA1">
            <w:pPr>
              <w:spacing w:line="240" w:lineRule="exact"/>
              <w:jc w:val="center"/>
              <w:rPr>
                <w:rFonts w:ascii="宋体"/>
                <w:b/>
                <w:kern w:val="0"/>
              </w:rPr>
            </w:pPr>
          </w:p>
        </w:tc>
        <w:tc>
          <w:tcPr>
            <w:tcW w:w="5644" w:type="dxa"/>
            <w:vAlign w:val="center"/>
          </w:tcPr>
          <w:p w14:paraId="162A3141">
            <w:pPr>
              <w:spacing w:line="240" w:lineRule="exact"/>
              <w:jc w:val="center"/>
              <w:rPr>
                <w:rFonts w:ascii="宋体"/>
                <w:b/>
                <w:kern w:val="0"/>
              </w:rPr>
            </w:pPr>
            <w:r>
              <w:rPr>
                <w:rFonts w:hint="eastAsia" w:ascii="宋体"/>
                <w:b/>
                <w:kern w:val="0"/>
              </w:rPr>
              <w:t>【对象】对船舶的所有人、经营人或者管理人</w:t>
            </w:r>
          </w:p>
        </w:tc>
        <w:tc>
          <w:tcPr>
            <w:tcW w:w="3286" w:type="dxa"/>
            <w:vAlign w:val="center"/>
          </w:tcPr>
          <w:p w14:paraId="3987655F">
            <w:pPr>
              <w:spacing w:line="240" w:lineRule="exact"/>
              <w:jc w:val="center"/>
              <w:rPr>
                <w:rFonts w:ascii="宋体"/>
                <w:b/>
                <w:kern w:val="0"/>
              </w:rPr>
            </w:pPr>
            <w:r>
              <w:rPr>
                <w:rFonts w:hint="eastAsia" w:ascii="宋体"/>
                <w:b/>
                <w:kern w:val="0"/>
              </w:rPr>
              <w:t>【对象】船长</w:t>
            </w:r>
          </w:p>
        </w:tc>
        <w:tc>
          <w:tcPr>
            <w:tcW w:w="3028" w:type="dxa"/>
            <w:vAlign w:val="center"/>
          </w:tcPr>
          <w:p w14:paraId="5B5AAB26">
            <w:pPr>
              <w:spacing w:line="240" w:lineRule="exact"/>
              <w:jc w:val="center"/>
              <w:rPr>
                <w:rFonts w:ascii="宋体"/>
                <w:b/>
                <w:kern w:val="0"/>
              </w:rPr>
            </w:pPr>
            <w:r>
              <w:rPr>
                <w:rFonts w:hint="eastAsia" w:ascii="宋体"/>
                <w:b/>
                <w:kern w:val="0"/>
              </w:rPr>
              <w:t>【对象】责任人员</w:t>
            </w:r>
          </w:p>
        </w:tc>
      </w:tr>
      <w:tr w14:paraId="3FA25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6" w:type="dxa"/>
            <w:vMerge w:val="restart"/>
            <w:vAlign w:val="center"/>
          </w:tcPr>
          <w:p w14:paraId="13102029">
            <w:pPr>
              <w:widowControl/>
              <w:spacing w:line="240" w:lineRule="exact"/>
              <w:jc w:val="left"/>
              <w:rPr>
                <w:rFonts w:ascii="宋体"/>
                <w:b/>
                <w:kern w:val="0"/>
              </w:rPr>
            </w:pPr>
            <w:r>
              <w:rPr>
                <w:rFonts w:hint="eastAsia" w:ascii="宋体"/>
                <w:bCs/>
                <w:kern w:val="0"/>
              </w:rPr>
              <w:t>客船载运乘客同时载运危险货物</w:t>
            </w:r>
          </w:p>
        </w:tc>
        <w:tc>
          <w:tcPr>
            <w:tcW w:w="1155" w:type="dxa"/>
            <w:vMerge w:val="restart"/>
            <w:vAlign w:val="center"/>
          </w:tcPr>
          <w:p w14:paraId="4F3EEF4B">
            <w:pPr>
              <w:widowControl/>
              <w:spacing w:line="240" w:lineRule="exact"/>
              <w:jc w:val="left"/>
              <w:rPr>
                <w:rFonts w:ascii="宋体"/>
                <w:kern w:val="0"/>
              </w:rPr>
            </w:pPr>
            <w:r>
              <w:rPr>
                <w:rFonts w:hint="eastAsia" w:ascii="宋体"/>
                <w:kern w:val="0"/>
              </w:rPr>
              <w:t>1.《中华人民共和国海上交通安全法》第五十八条</w:t>
            </w:r>
          </w:p>
          <w:p w14:paraId="7EE3E7AB">
            <w:pPr>
              <w:widowControl/>
              <w:spacing w:line="240" w:lineRule="exact"/>
              <w:jc w:val="left"/>
              <w:rPr>
                <w:rFonts w:ascii="宋体"/>
              </w:rPr>
            </w:pPr>
            <w:r>
              <w:rPr>
                <w:rFonts w:hint="eastAsia" w:ascii="宋体"/>
              </w:rPr>
              <w:t>2.其他法律、法规、规章等。</w:t>
            </w:r>
          </w:p>
        </w:tc>
        <w:tc>
          <w:tcPr>
            <w:tcW w:w="1490" w:type="dxa"/>
            <w:vMerge w:val="restart"/>
            <w:vAlign w:val="center"/>
          </w:tcPr>
          <w:p w14:paraId="1ED1BEA7">
            <w:pPr>
              <w:spacing w:line="240" w:lineRule="exact"/>
              <w:jc w:val="left"/>
              <w:rPr>
                <w:rFonts w:ascii="宋体"/>
                <w:kern w:val="0"/>
              </w:rPr>
            </w:pPr>
            <w:r>
              <w:rPr>
                <w:rFonts w:hint="eastAsia" w:ascii="宋体"/>
                <w:kern w:val="0"/>
              </w:rPr>
              <w:t>1.《中华人民共和国海上交通安全法》第一百零三条第（十）项、《中华人民共和国海上海事行政处罚规定》第十八条第（十）项。</w:t>
            </w:r>
          </w:p>
          <w:p w14:paraId="1E7CF5A3">
            <w:pPr>
              <w:spacing w:line="240" w:lineRule="exact"/>
              <w:jc w:val="left"/>
              <w:rPr>
                <w:rFonts w:ascii="宋体"/>
                <w:kern w:val="0"/>
              </w:rPr>
            </w:pPr>
            <w:r>
              <w:rPr>
                <w:rFonts w:hint="eastAsia" w:ascii="宋体"/>
                <w:kern w:val="0"/>
              </w:rPr>
              <w:t>2. 《中华人民共和国海上海事行政处罚规定》第七条。</w:t>
            </w:r>
          </w:p>
        </w:tc>
        <w:tc>
          <w:tcPr>
            <w:tcW w:w="1195" w:type="dxa"/>
            <w:vAlign w:val="center"/>
          </w:tcPr>
          <w:p w14:paraId="7D65C793">
            <w:pPr>
              <w:spacing w:line="240" w:lineRule="exact"/>
              <w:jc w:val="center"/>
              <w:rPr>
                <w:rFonts w:ascii="宋体"/>
                <w:kern w:val="0"/>
              </w:rPr>
            </w:pPr>
            <w:r>
              <w:rPr>
                <w:rFonts w:hint="eastAsia" w:ascii="宋体"/>
                <w:kern w:val="0"/>
              </w:rPr>
              <w:t>从轻</w:t>
            </w:r>
          </w:p>
        </w:tc>
        <w:tc>
          <w:tcPr>
            <w:tcW w:w="3341" w:type="dxa"/>
            <w:vAlign w:val="center"/>
          </w:tcPr>
          <w:p w14:paraId="7F313A4C">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644" w:type="dxa"/>
            <w:vAlign w:val="center"/>
          </w:tcPr>
          <w:p w14:paraId="4A23F197">
            <w:pPr>
              <w:spacing w:line="240" w:lineRule="atLeast"/>
              <w:jc w:val="center"/>
              <w:rPr>
                <w:rFonts w:ascii="宋体"/>
                <w:kern w:val="0"/>
              </w:rPr>
            </w:pPr>
            <w:r>
              <w:rPr>
                <w:rFonts w:hint="eastAsia" w:ascii="宋体"/>
                <w:kern w:val="0"/>
              </w:rPr>
              <w:t>2-3万元</w:t>
            </w:r>
          </w:p>
        </w:tc>
        <w:tc>
          <w:tcPr>
            <w:tcW w:w="3286" w:type="dxa"/>
            <w:vAlign w:val="center"/>
          </w:tcPr>
          <w:p w14:paraId="0E928A0C">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12841705">
            <w:pPr>
              <w:spacing w:line="240" w:lineRule="atLeast"/>
              <w:jc w:val="center"/>
              <w:rPr>
                <w:rFonts w:ascii="宋体"/>
                <w:kern w:val="0"/>
              </w:rPr>
            </w:pPr>
            <w:r>
              <w:rPr>
                <w:rFonts w:hint="eastAsia" w:ascii="宋体"/>
                <w:kern w:val="0"/>
              </w:rPr>
              <w:t>2000-4000元、并暂扣适任证书3个月至4个月</w:t>
            </w:r>
          </w:p>
        </w:tc>
      </w:tr>
      <w:tr w14:paraId="032A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trPr>
        <w:tc>
          <w:tcPr>
            <w:tcW w:w="956" w:type="dxa"/>
            <w:vMerge w:val="continue"/>
            <w:vAlign w:val="center"/>
          </w:tcPr>
          <w:p w14:paraId="070AE932">
            <w:pPr>
              <w:spacing w:line="240" w:lineRule="exact"/>
              <w:jc w:val="center"/>
              <w:rPr>
                <w:rFonts w:ascii="宋体"/>
                <w:kern w:val="0"/>
              </w:rPr>
            </w:pPr>
          </w:p>
        </w:tc>
        <w:tc>
          <w:tcPr>
            <w:tcW w:w="1155" w:type="dxa"/>
            <w:vMerge w:val="continue"/>
            <w:vAlign w:val="center"/>
          </w:tcPr>
          <w:p w14:paraId="737F37F6">
            <w:pPr>
              <w:widowControl/>
              <w:spacing w:line="240" w:lineRule="exact"/>
              <w:jc w:val="center"/>
              <w:rPr>
                <w:rFonts w:ascii="宋体"/>
                <w:kern w:val="0"/>
              </w:rPr>
            </w:pPr>
          </w:p>
        </w:tc>
        <w:tc>
          <w:tcPr>
            <w:tcW w:w="1490" w:type="dxa"/>
            <w:vMerge w:val="continue"/>
            <w:vAlign w:val="center"/>
          </w:tcPr>
          <w:p w14:paraId="6FFACB2C">
            <w:pPr>
              <w:spacing w:line="240" w:lineRule="exact"/>
              <w:jc w:val="center"/>
              <w:rPr>
                <w:rFonts w:ascii="宋体"/>
                <w:kern w:val="0"/>
              </w:rPr>
            </w:pPr>
          </w:p>
        </w:tc>
        <w:tc>
          <w:tcPr>
            <w:tcW w:w="1195" w:type="dxa"/>
            <w:vMerge w:val="restart"/>
            <w:vAlign w:val="center"/>
          </w:tcPr>
          <w:p w14:paraId="7C2E89F3">
            <w:pPr>
              <w:spacing w:line="240" w:lineRule="exact"/>
              <w:jc w:val="center"/>
              <w:rPr>
                <w:rFonts w:ascii="宋体"/>
                <w:kern w:val="0"/>
              </w:rPr>
            </w:pPr>
            <w:r>
              <w:rPr>
                <w:rFonts w:hint="eastAsia" w:ascii="宋体"/>
                <w:kern w:val="0"/>
              </w:rPr>
              <w:t>一般</w:t>
            </w:r>
          </w:p>
        </w:tc>
        <w:tc>
          <w:tcPr>
            <w:tcW w:w="3341" w:type="dxa"/>
            <w:vAlign w:val="center"/>
          </w:tcPr>
          <w:p w14:paraId="25C501A4">
            <w:pPr>
              <w:widowControl/>
              <w:spacing w:line="240" w:lineRule="exact"/>
              <w:jc w:val="left"/>
              <w:rPr>
                <w:rFonts w:ascii="宋体"/>
              </w:rPr>
            </w:pPr>
            <w:r>
              <w:rPr>
                <w:rFonts w:hint="eastAsia" w:ascii="宋体"/>
                <w:kern w:val="0"/>
              </w:rPr>
              <w:t>载运危险货物不属于高危险性货物（爆炸品、放射性物质、感染性物质）、剧毒品、5类危险品或者4类应温控物质），且未发生泄露的</w:t>
            </w:r>
          </w:p>
        </w:tc>
        <w:tc>
          <w:tcPr>
            <w:tcW w:w="5644" w:type="dxa"/>
            <w:vAlign w:val="center"/>
          </w:tcPr>
          <w:p w14:paraId="4BD1F9FF">
            <w:pPr>
              <w:spacing w:line="240" w:lineRule="atLeast"/>
              <w:jc w:val="center"/>
              <w:rPr>
                <w:rFonts w:ascii="宋体"/>
                <w:kern w:val="0"/>
              </w:rPr>
            </w:pPr>
            <w:r>
              <w:rPr>
                <w:rFonts w:hint="eastAsia" w:ascii="宋体"/>
                <w:kern w:val="0"/>
              </w:rPr>
              <w:t>3-4万元</w:t>
            </w:r>
          </w:p>
        </w:tc>
        <w:tc>
          <w:tcPr>
            <w:tcW w:w="3286" w:type="dxa"/>
            <w:vAlign w:val="center"/>
          </w:tcPr>
          <w:p w14:paraId="6B256C0C">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02D40B82">
            <w:pPr>
              <w:spacing w:line="240" w:lineRule="atLeast"/>
              <w:jc w:val="center"/>
              <w:rPr>
                <w:rFonts w:ascii="宋体"/>
                <w:b/>
                <w:kern w:val="0"/>
              </w:rPr>
            </w:pPr>
            <w:r>
              <w:rPr>
                <w:rFonts w:hint="eastAsia" w:ascii="宋体"/>
                <w:kern w:val="0"/>
              </w:rPr>
              <w:t>4000元-6000、并暂扣适任证书3个月至4个月</w:t>
            </w:r>
          </w:p>
        </w:tc>
      </w:tr>
      <w:tr w14:paraId="54596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trPr>
        <w:tc>
          <w:tcPr>
            <w:tcW w:w="956" w:type="dxa"/>
            <w:vMerge w:val="continue"/>
            <w:vAlign w:val="center"/>
          </w:tcPr>
          <w:p w14:paraId="3A4B2BC0">
            <w:pPr>
              <w:spacing w:line="240" w:lineRule="exact"/>
              <w:jc w:val="center"/>
              <w:rPr>
                <w:rFonts w:ascii="宋体"/>
                <w:kern w:val="0"/>
              </w:rPr>
            </w:pPr>
          </w:p>
        </w:tc>
        <w:tc>
          <w:tcPr>
            <w:tcW w:w="1155" w:type="dxa"/>
            <w:vMerge w:val="continue"/>
            <w:vAlign w:val="center"/>
          </w:tcPr>
          <w:p w14:paraId="5314CF43">
            <w:pPr>
              <w:widowControl/>
              <w:spacing w:line="240" w:lineRule="exact"/>
              <w:jc w:val="center"/>
              <w:rPr>
                <w:rFonts w:ascii="宋体"/>
                <w:kern w:val="0"/>
              </w:rPr>
            </w:pPr>
          </w:p>
        </w:tc>
        <w:tc>
          <w:tcPr>
            <w:tcW w:w="1490" w:type="dxa"/>
            <w:vMerge w:val="continue"/>
            <w:vAlign w:val="center"/>
          </w:tcPr>
          <w:p w14:paraId="5F72F623">
            <w:pPr>
              <w:spacing w:line="240" w:lineRule="exact"/>
              <w:jc w:val="center"/>
              <w:rPr>
                <w:rFonts w:ascii="宋体"/>
                <w:kern w:val="0"/>
              </w:rPr>
            </w:pPr>
          </w:p>
        </w:tc>
        <w:tc>
          <w:tcPr>
            <w:tcW w:w="1195" w:type="dxa"/>
            <w:vMerge w:val="continue"/>
            <w:vAlign w:val="center"/>
          </w:tcPr>
          <w:p w14:paraId="277AA1B0">
            <w:pPr>
              <w:spacing w:line="240" w:lineRule="exact"/>
              <w:jc w:val="center"/>
              <w:rPr>
                <w:rFonts w:ascii="宋体"/>
                <w:kern w:val="0"/>
              </w:rPr>
            </w:pPr>
          </w:p>
        </w:tc>
        <w:tc>
          <w:tcPr>
            <w:tcW w:w="3341" w:type="dxa"/>
            <w:vAlign w:val="center"/>
          </w:tcPr>
          <w:p w14:paraId="667BB473">
            <w:pPr>
              <w:widowControl/>
              <w:spacing w:line="240" w:lineRule="exact"/>
              <w:jc w:val="left"/>
              <w:rPr>
                <w:rFonts w:ascii="宋体"/>
                <w:kern w:val="0"/>
              </w:rPr>
            </w:pPr>
            <w:r>
              <w:rPr>
                <w:rFonts w:hint="eastAsia" w:ascii="宋体"/>
                <w:kern w:val="0"/>
              </w:rPr>
              <w:t>载运危险货物属于高危险性货物（爆炸品、放射性物质、感染性物质）、剧毒品、5类危险品或者4类应温控物质），且未发生泄露的</w:t>
            </w:r>
          </w:p>
        </w:tc>
        <w:tc>
          <w:tcPr>
            <w:tcW w:w="5644" w:type="dxa"/>
            <w:vAlign w:val="center"/>
          </w:tcPr>
          <w:p w14:paraId="49D8960F">
            <w:pPr>
              <w:spacing w:line="240" w:lineRule="atLeast"/>
              <w:jc w:val="center"/>
              <w:rPr>
                <w:rFonts w:ascii="宋体"/>
                <w:kern w:val="0"/>
              </w:rPr>
            </w:pPr>
            <w:r>
              <w:rPr>
                <w:rFonts w:hint="eastAsia" w:ascii="宋体"/>
                <w:kern w:val="0"/>
              </w:rPr>
              <w:t>4-5万元</w:t>
            </w:r>
          </w:p>
        </w:tc>
        <w:tc>
          <w:tcPr>
            <w:tcW w:w="3286" w:type="dxa"/>
            <w:vAlign w:val="center"/>
          </w:tcPr>
          <w:p w14:paraId="517D330B">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0E1B35DA">
            <w:pPr>
              <w:spacing w:line="240" w:lineRule="atLeast"/>
              <w:jc w:val="center"/>
              <w:rPr>
                <w:rFonts w:ascii="宋体"/>
                <w:kern w:val="0"/>
              </w:rPr>
            </w:pPr>
            <w:r>
              <w:rPr>
                <w:rFonts w:hint="eastAsia" w:ascii="宋体"/>
                <w:kern w:val="0"/>
              </w:rPr>
              <w:t>6000元-1万元、并暂扣适任证书4个月至5个月</w:t>
            </w:r>
          </w:p>
        </w:tc>
      </w:tr>
      <w:tr w14:paraId="09E1F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6" w:type="dxa"/>
            <w:vMerge w:val="continue"/>
            <w:vAlign w:val="center"/>
          </w:tcPr>
          <w:p w14:paraId="4FAD4F5D">
            <w:pPr>
              <w:spacing w:line="240" w:lineRule="exact"/>
              <w:jc w:val="center"/>
              <w:rPr>
                <w:rFonts w:ascii="宋体"/>
                <w:kern w:val="0"/>
              </w:rPr>
            </w:pPr>
          </w:p>
        </w:tc>
        <w:tc>
          <w:tcPr>
            <w:tcW w:w="1155" w:type="dxa"/>
            <w:vMerge w:val="continue"/>
            <w:vAlign w:val="center"/>
          </w:tcPr>
          <w:p w14:paraId="51947061">
            <w:pPr>
              <w:spacing w:line="240" w:lineRule="exact"/>
              <w:jc w:val="center"/>
              <w:rPr>
                <w:rFonts w:ascii="宋体"/>
                <w:kern w:val="0"/>
              </w:rPr>
            </w:pPr>
          </w:p>
        </w:tc>
        <w:tc>
          <w:tcPr>
            <w:tcW w:w="1490" w:type="dxa"/>
            <w:vMerge w:val="continue"/>
            <w:vAlign w:val="center"/>
          </w:tcPr>
          <w:p w14:paraId="1B890C05">
            <w:pPr>
              <w:spacing w:line="240" w:lineRule="exact"/>
              <w:jc w:val="center"/>
              <w:rPr>
                <w:rFonts w:ascii="宋体"/>
                <w:kern w:val="0"/>
              </w:rPr>
            </w:pPr>
          </w:p>
        </w:tc>
        <w:tc>
          <w:tcPr>
            <w:tcW w:w="1195" w:type="dxa"/>
            <w:vMerge w:val="continue"/>
            <w:vAlign w:val="center"/>
          </w:tcPr>
          <w:p w14:paraId="58D8864F">
            <w:pPr>
              <w:spacing w:line="240" w:lineRule="exact"/>
              <w:jc w:val="center"/>
              <w:rPr>
                <w:rFonts w:ascii="宋体"/>
                <w:kern w:val="0"/>
              </w:rPr>
            </w:pPr>
          </w:p>
        </w:tc>
        <w:tc>
          <w:tcPr>
            <w:tcW w:w="3341" w:type="dxa"/>
            <w:vAlign w:val="center"/>
          </w:tcPr>
          <w:p w14:paraId="27BA383B">
            <w:pPr>
              <w:spacing w:line="240" w:lineRule="exact"/>
              <w:jc w:val="left"/>
              <w:rPr>
                <w:rFonts w:ascii="宋体"/>
              </w:rPr>
            </w:pPr>
            <w:r>
              <w:rPr>
                <w:rFonts w:hint="eastAsia" w:ascii="宋体"/>
              </w:rPr>
              <w:t>1.发生危险货物泄露，但未造成人员伤亡的；</w:t>
            </w:r>
          </w:p>
          <w:p w14:paraId="398476CE">
            <w:pPr>
              <w:spacing w:line="240" w:lineRule="exact"/>
              <w:jc w:val="left"/>
              <w:rPr>
                <w:rFonts w:ascii="宋体"/>
              </w:rPr>
            </w:pPr>
            <w:r>
              <w:rPr>
                <w:rFonts w:hint="eastAsia" w:ascii="宋体"/>
              </w:rPr>
              <w:t>2.具有其他较重情节的。</w:t>
            </w:r>
          </w:p>
        </w:tc>
        <w:tc>
          <w:tcPr>
            <w:tcW w:w="5644" w:type="dxa"/>
            <w:vAlign w:val="center"/>
          </w:tcPr>
          <w:p w14:paraId="141AA43A">
            <w:pPr>
              <w:spacing w:line="240" w:lineRule="atLeast"/>
              <w:jc w:val="center"/>
              <w:rPr>
                <w:rFonts w:ascii="宋体"/>
                <w:kern w:val="0"/>
              </w:rPr>
            </w:pPr>
            <w:r>
              <w:rPr>
                <w:rFonts w:hint="eastAsia" w:ascii="宋体"/>
                <w:kern w:val="0"/>
              </w:rPr>
              <w:t>5-10万元</w:t>
            </w:r>
          </w:p>
        </w:tc>
        <w:tc>
          <w:tcPr>
            <w:tcW w:w="3286" w:type="dxa"/>
            <w:vAlign w:val="center"/>
          </w:tcPr>
          <w:p w14:paraId="1584832E">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343DBE8D">
            <w:pPr>
              <w:spacing w:line="240" w:lineRule="atLeast"/>
              <w:jc w:val="center"/>
              <w:rPr>
                <w:rFonts w:ascii="宋体"/>
                <w:kern w:val="0"/>
              </w:rPr>
            </w:pPr>
            <w:r>
              <w:rPr>
                <w:rFonts w:hint="eastAsia" w:ascii="宋体"/>
                <w:kern w:val="0"/>
              </w:rPr>
              <w:t>1-2万元、并暂扣适任证书5个月至12个月</w:t>
            </w:r>
          </w:p>
        </w:tc>
      </w:tr>
      <w:tr w14:paraId="6128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56" w:type="dxa"/>
            <w:vMerge w:val="continue"/>
            <w:vAlign w:val="center"/>
          </w:tcPr>
          <w:p w14:paraId="39F84F29">
            <w:pPr>
              <w:spacing w:line="240" w:lineRule="exact"/>
              <w:jc w:val="center"/>
              <w:rPr>
                <w:rFonts w:ascii="宋体"/>
                <w:kern w:val="0"/>
              </w:rPr>
            </w:pPr>
          </w:p>
        </w:tc>
        <w:tc>
          <w:tcPr>
            <w:tcW w:w="1155" w:type="dxa"/>
            <w:vMerge w:val="continue"/>
            <w:vAlign w:val="center"/>
          </w:tcPr>
          <w:p w14:paraId="7A1A6981">
            <w:pPr>
              <w:spacing w:line="240" w:lineRule="exact"/>
              <w:jc w:val="center"/>
              <w:rPr>
                <w:rFonts w:ascii="宋体"/>
                <w:kern w:val="0"/>
              </w:rPr>
            </w:pPr>
          </w:p>
        </w:tc>
        <w:tc>
          <w:tcPr>
            <w:tcW w:w="1490" w:type="dxa"/>
            <w:vMerge w:val="continue"/>
            <w:vAlign w:val="center"/>
          </w:tcPr>
          <w:p w14:paraId="45A81085">
            <w:pPr>
              <w:spacing w:line="240" w:lineRule="exact"/>
              <w:jc w:val="center"/>
              <w:rPr>
                <w:rFonts w:ascii="宋体"/>
                <w:kern w:val="0"/>
              </w:rPr>
            </w:pPr>
          </w:p>
        </w:tc>
        <w:tc>
          <w:tcPr>
            <w:tcW w:w="1195" w:type="dxa"/>
            <w:vAlign w:val="center"/>
          </w:tcPr>
          <w:p w14:paraId="2B9780E8">
            <w:pPr>
              <w:spacing w:line="240" w:lineRule="exact"/>
              <w:jc w:val="center"/>
              <w:rPr>
                <w:rFonts w:ascii="宋体"/>
                <w:kern w:val="0"/>
              </w:rPr>
            </w:pPr>
            <w:r>
              <w:rPr>
                <w:rFonts w:hint="eastAsia" w:ascii="宋体"/>
                <w:kern w:val="0"/>
              </w:rPr>
              <w:t>情节严重</w:t>
            </w:r>
          </w:p>
        </w:tc>
        <w:tc>
          <w:tcPr>
            <w:tcW w:w="3341" w:type="dxa"/>
            <w:vAlign w:val="center"/>
          </w:tcPr>
          <w:p w14:paraId="311B394A">
            <w:pPr>
              <w:spacing w:line="240" w:lineRule="exact"/>
              <w:jc w:val="left"/>
              <w:rPr>
                <w:rFonts w:ascii="宋体"/>
              </w:rPr>
            </w:pPr>
            <w:r>
              <w:rPr>
                <w:rFonts w:hint="eastAsia" w:ascii="宋体"/>
              </w:rPr>
              <w:t>1.发生危险货物泄露，造成人员伤亡的；</w:t>
            </w:r>
          </w:p>
          <w:p w14:paraId="01787FEC">
            <w:pPr>
              <w:spacing w:line="240" w:lineRule="exact"/>
              <w:jc w:val="left"/>
              <w:rPr>
                <w:rFonts w:ascii="宋体"/>
                <w:kern w:val="0"/>
              </w:rPr>
            </w:pPr>
            <w:r>
              <w:rPr>
                <w:rFonts w:hint="eastAsia" w:ascii="宋体"/>
              </w:rPr>
              <w:t>2.具有其他严重情节的。</w:t>
            </w:r>
          </w:p>
        </w:tc>
        <w:tc>
          <w:tcPr>
            <w:tcW w:w="5644" w:type="dxa"/>
            <w:vAlign w:val="center"/>
          </w:tcPr>
          <w:p w14:paraId="507B63EE">
            <w:pPr>
              <w:spacing w:line="240" w:lineRule="atLeast"/>
              <w:jc w:val="center"/>
              <w:rPr>
                <w:rFonts w:ascii="宋体"/>
                <w:kern w:val="0"/>
              </w:rPr>
            </w:pPr>
            <w:r>
              <w:rPr>
                <w:rFonts w:hint="eastAsia" w:ascii="宋体"/>
                <w:kern w:val="0"/>
              </w:rPr>
              <w:t>10-20万元</w:t>
            </w:r>
          </w:p>
        </w:tc>
        <w:tc>
          <w:tcPr>
            <w:tcW w:w="3286" w:type="dxa"/>
            <w:vAlign w:val="center"/>
          </w:tcPr>
          <w:p w14:paraId="291B15CF">
            <w:pPr>
              <w:spacing w:line="240" w:lineRule="atLeast"/>
              <w:jc w:val="center"/>
              <w:rPr>
                <w:rFonts w:ascii="宋体"/>
                <w:kern w:val="0"/>
              </w:rPr>
            </w:pPr>
            <w:r>
              <w:rPr>
                <w:rFonts w:hint="eastAsia" w:ascii="宋体"/>
                <w:kern w:val="0"/>
              </w:rPr>
              <w:t>吊销适任证书</w:t>
            </w:r>
          </w:p>
        </w:tc>
        <w:tc>
          <w:tcPr>
            <w:tcW w:w="3028" w:type="dxa"/>
            <w:vAlign w:val="center"/>
          </w:tcPr>
          <w:p w14:paraId="7517EBAB">
            <w:pPr>
              <w:spacing w:line="240" w:lineRule="atLeast"/>
              <w:jc w:val="center"/>
              <w:rPr>
                <w:rFonts w:ascii="宋体"/>
                <w:kern w:val="0"/>
              </w:rPr>
            </w:pPr>
            <w:r>
              <w:rPr>
                <w:rFonts w:hint="eastAsia" w:ascii="宋体"/>
                <w:kern w:val="0"/>
              </w:rPr>
              <w:t>吊销适任证书</w:t>
            </w:r>
          </w:p>
        </w:tc>
      </w:tr>
    </w:tbl>
    <w:p w14:paraId="78888F62">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1215"/>
        <w:gridCol w:w="1475"/>
        <w:gridCol w:w="1195"/>
        <w:gridCol w:w="3341"/>
        <w:gridCol w:w="5761"/>
        <w:gridCol w:w="3169"/>
        <w:gridCol w:w="3028"/>
      </w:tblGrid>
      <w:tr w14:paraId="0E65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11" w:type="dxa"/>
            <w:vMerge w:val="restart"/>
            <w:vAlign w:val="center"/>
          </w:tcPr>
          <w:p w14:paraId="12D8B74F">
            <w:pPr>
              <w:spacing w:line="240" w:lineRule="exact"/>
              <w:jc w:val="center"/>
              <w:rPr>
                <w:rFonts w:ascii="宋体"/>
                <w:b/>
                <w:kern w:val="0"/>
              </w:rPr>
            </w:pPr>
            <w:r>
              <w:rPr>
                <w:rFonts w:hint="eastAsia" w:ascii="宋体"/>
                <w:b/>
                <w:kern w:val="0"/>
              </w:rPr>
              <w:t>案由50</w:t>
            </w:r>
          </w:p>
        </w:tc>
        <w:tc>
          <w:tcPr>
            <w:tcW w:w="2690" w:type="dxa"/>
            <w:gridSpan w:val="2"/>
            <w:vAlign w:val="center"/>
          </w:tcPr>
          <w:p w14:paraId="600810AE">
            <w:pPr>
              <w:spacing w:line="240" w:lineRule="exact"/>
              <w:jc w:val="center"/>
              <w:rPr>
                <w:rFonts w:ascii="宋体"/>
                <w:b/>
                <w:kern w:val="0"/>
              </w:rPr>
            </w:pPr>
            <w:r>
              <w:rPr>
                <w:rFonts w:hint="eastAsia" w:ascii="宋体"/>
                <w:b/>
                <w:kern w:val="0"/>
              </w:rPr>
              <w:t>法律依据</w:t>
            </w:r>
          </w:p>
        </w:tc>
        <w:tc>
          <w:tcPr>
            <w:tcW w:w="1195" w:type="dxa"/>
            <w:vMerge w:val="restart"/>
            <w:vAlign w:val="center"/>
          </w:tcPr>
          <w:p w14:paraId="31F32C10">
            <w:pPr>
              <w:spacing w:line="240" w:lineRule="exact"/>
              <w:jc w:val="center"/>
              <w:rPr>
                <w:rFonts w:ascii="宋体"/>
                <w:b/>
                <w:kern w:val="0"/>
              </w:rPr>
            </w:pPr>
            <w:r>
              <w:rPr>
                <w:rFonts w:hint="eastAsia" w:ascii="宋体"/>
                <w:b/>
                <w:kern w:val="0"/>
              </w:rPr>
              <w:t>违法情节</w:t>
            </w:r>
          </w:p>
        </w:tc>
        <w:tc>
          <w:tcPr>
            <w:tcW w:w="3341" w:type="dxa"/>
            <w:vMerge w:val="restart"/>
            <w:vAlign w:val="center"/>
          </w:tcPr>
          <w:p w14:paraId="6A62EC61">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0CD5D2DE">
            <w:pPr>
              <w:spacing w:line="240" w:lineRule="exact"/>
              <w:jc w:val="left"/>
              <w:rPr>
                <w:rFonts w:ascii="宋体"/>
                <w:b/>
                <w:kern w:val="0"/>
              </w:rPr>
            </w:pPr>
            <w:r>
              <w:rPr>
                <w:rFonts w:hint="eastAsia" w:ascii="宋体"/>
                <w:b/>
                <w:kern w:val="0"/>
              </w:rPr>
              <w:t>【法定幅度和种类】</w:t>
            </w:r>
            <w:r>
              <w:rPr>
                <w:rFonts w:hint="eastAsia" w:ascii="宋体"/>
                <w:bCs/>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1352D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11" w:type="dxa"/>
            <w:vMerge w:val="continue"/>
            <w:vAlign w:val="center"/>
          </w:tcPr>
          <w:p w14:paraId="4B3DC64C">
            <w:pPr>
              <w:spacing w:line="240" w:lineRule="exact"/>
              <w:jc w:val="center"/>
              <w:rPr>
                <w:rFonts w:ascii="宋体"/>
                <w:b/>
                <w:kern w:val="0"/>
              </w:rPr>
            </w:pPr>
          </w:p>
        </w:tc>
        <w:tc>
          <w:tcPr>
            <w:tcW w:w="1215" w:type="dxa"/>
            <w:vAlign w:val="center"/>
          </w:tcPr>
          <w:p w14:paraId="2974A0F3">
            <w:pPr>
              <w:spacing w:line="240" w:lineRule="exact"/>
              <w:jc w:val="center"/>
              <w:rPr>
                <w:rFonts w:ascii="宋体"/>
                <w:b/>
                <w:kern w:val="0"/>
              </w:rPr>
            </w:pPr>
            <w:r>
              <w:rPr>
                <w:rFonts w:hint="eastAsia" w:ascii="宋体"/>
                <w:b/>
                <w:kern w:val="0"/>
              </w:rPr>
              <w:t>违反条款</w:t>
            </w:r>
          </w:p>
        </w:tc>
        <w:tc>
          <w:tcPr>
            <w:tcW w:w="1475" w:type="dxa"/>
            <w:vAlign w:val="center"/>
          </w:tcPr>
          <w:p w14:paraId="012AF13B">
            <w:pPr>
              <w:spacing w:line="240" w:lineRule="exact"/>
              <w:jc w:val="center"/>
              <w:rPr>
                <w:rFonts w:ascii="宋体"/>
                <w:b/>
                <w:kern w:val="0"/>
              </w:rPr>
            </w:pPr>
            <w:r>
              <w:rPr>
                <w:rFonts w:hint="eastAsia" w:ascii="宋体"/>
                <w:b/>
                <w:kern w:val="0"/>
              </w:rPr>
              <w:t>处罚依据</w:t>
            </w:r>
          </w:p>
        </w:tc>
        <w:tc>
          <w:tcPr>
            <w:tcW w:w="1195" w:type="dxa"/>
            <w:vMerge w:val="continue"/>
            <w:vAlign w:val="center"/>
          </w:tcPr>
          <w:p w14:paraId="4D63245F">
            <w:pPr>
              <w:spacing w:line="240" w:lineRule="exact"/>
              <w:jc w:val="center"/>
              <w:rPr>
                <w:rFonts w:ascii="宋体"/>
                <w:b/>
                <w:kern w:val="0"/>
              </w:rPr>
            </w:pPr>
          </w:p>
        </w:tc>
        <w:tc>
          <w:tcPr>
            <w:tcW w:w="3341" w:type="dxa"/>
            <w:vMerge w:val="continue"/>
            <w:vAlign w:val="center"/>
          </w:tcPr>
          <w:p w14:paraId="007B7094">
            <w:pPr>
              <w:spacing w:line="240" w:lineRule="exact"/>
              <w:jc w:val="center"/>
              <w:rPr>
                <w:rFonts w:ascii="宋体"/>
                <w:b/>
                <w:kern w:val="0"/>
              </w:rPr>
            </w:pPr>
          </w:p>
        </w:tc>
        <w:tc>
          <w:tcPr>
            <w:tcW w:w="5761" w:type="dxa"/>
            <w:vAlign w:val="center"/>
          </w:tcPr>
          <w:p w14:paraId="6F11E8D8">
            <w:pPr>
              <w:spacing w:line="240" w:lineRule="exact"/>
              <w:jc w:val="center"/>
              <w:rPr>
                <w:rFonts w:ascii="宋体"/>
                <w:b/>
                <w:kern w:val="0"/>
              </w:rPr>
            </w:pPr>
            <w:r>
              <w:rPr>
                <w:rFonts w:hint="eastAsia" w:ascii="宋体"/>
                <w:b/>
                <w:kern w:val="0"/>
              </w:rPr>
              <w:t>【对象】对船舶的所有人、经营人或者管理人</w:t>
            </w:r>
          </w:p>
        </w:tc>
        <w:tc>
          <w:tcPr>
            <w:tcW w:w="3169" w:type="dxa"/>
            <w:vAlign w:val="center"/>
          </w:tcPr>
          <w:p w14:paraId="1D986A28">
            <w:pPr>
              <w:spacing w:line="240" w:lineRule="exact"/>
              <w:jc w:val="center"/>
              <w:rPr>
                <w:rFonts w:ascii="宋体"/>
                <w:b/>
                <w:kern w:val="0"/>
              </w:rPr>
            </w:pPr>
            <w:r>
              <w:rPr>
                <w:rFonts w:hint="eastAsia" w:ascii="宋体"/>
                <w:b/>
                <w:kern w:val="0"/>
              </w:rPr>
              <w:t>【对象】船长</w:t>
            </w:r>
          </w:p>
        </w:tc>
        <w:tc>
          <w:tcPr>
            <w:tcW w:w="3028" w:type="dxa"/>
            <w:vAlign w:val="center"/>
          </w:tcPr>
          <w:p w14:paraId="0F5E168E">
            <w:pPr>
              <w:spacing w:line="240" w:lineRule="exact"/>
              <w:jc w:val="center"/>
              <w:rPr>
                <w:rFonts w:ascii="宋体"/>
                <w:b/>
                <w:kern w:val="0"/>
              </w:rPr>
            </w:pPr>
            <w:r>
              <w:rPr>
                <w:rFonts w:hint="eastAsia" w:ascii="宋体"/>
                <w:b/>
                <w:kern w:val="0"/>
              </w:rPr>
              <w:t>【对象】责任船员</w:t>
            </w:r>
          </w:p>
        </w:tc>
      </w:tr>
      <w:tr w14:paraId="70F80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11" w:type="dxa"/>
            <w:vMerge w:val="restart"/>
            <w:vAlign w:val="center"/>
          </w:tcPr>
          <w:p w14:paraId="72669BD7">
            <w:pPr>
              <w:widowControl/>
              <w:spacing w:line="240" w:lineRule="exact"/>
              <w:jc w:val="left"/>
              <w:rPr>
                <w:rFonts w:ascii="宋体"/>
                <w:b/>
                <w:kern w:val="0"/>
              </w:rPr>
            </w:pPr>
            <w:r>
              <w:rPr>
                <w:rFonts w:hint="eastAsia" w:ascii="宋体"/>
                <w:bCs/>
                <w:kern w:val="0"/>
              </w:rPr>
              <w:t>客船未向乘客明示安全须知、设置安全标志和警示</w:t>
            </w:r>
          </w:p>
        </w:tc>
        <w:tc>
          <w:tcPr>
            <w:tcW w:w="1215" w:type="dxa"/>
            <w:vMerge w:val="restart"/>
            <w:vAlign w:val="center"/>
          </w:tcPr>
          <w:p w14:paraId="1166D0E8">
            <w:pPr>
              <w:widowControl/>
              <w:spacing w:line="240" w:lineRule="exact"/>
              <w:jc w:val="left"/>
              <w:rPr>
                <w:rFonts w:ascii="宋体"/>
                <w:kern w:val="0"/>
              </w:rPr>
            </w:pPr>
            <w:r>
              <w:rPr>
                <w:rFonts w:hint="eastAsia" w:ascii="宋体"/>
                <w:kern w:val="0"/>
              </w:rPr>
              <w:t>1.《中华人民共和国海上交通安全法》第五十九条；</w:t>
            </w:r>
          </w:p>
          <w:p w14:paraId="1A56C8C8">
            <w:pPr>
              <w:widowControl/>
              <w:spacing w:line="240" w:lineRule="exact"/>
              <w:jc w:val="left"/>
              <w:rPr>
                <w:rFonts w:ascii="宋体"/>
              </w:rPr>
            </w:pPr>
            <w:r>
              <w:rPr>
                <w:rFonts w:hint="eastAsia" w:ascii="宋体"/>
              </w:rPr>
              <w:t>2.其他法律、法规、规章等。</w:t>
            </w:r>
          </w:p>
        </w:tc>
        <w:tc>
          <w:tcPr>
            <w:tcW w:w="1475" w:type="dxa"/>
            <w:vMerge w:val="restart"/>
            <w:vAlign w:val="center"/>
          </w:tcPr>
          <w:p w14:paraId="232AFCD2">
            <w:pPr>
              <w:spacing w:line="240" w:lineRule="exact"/>
              <w:jc w:val="left"/>
              <w:rPr>
                <w:rFonts w:ascii="宋体"/>
                <w:kern w:val="0"/>
              </w:rPr>
            </w:pPr>
            <w:r>
              <w:rPr>
                <w:rFonts w:hint="eastAsia" w:ascii="宋体"/>
                <w:kern w:val="0"/>
              </w:rPr>
              <w:t>1.《中华人民共和国海上交通安全法》第一百零三条第（十一）项、《中华人民共和国海上海事行政处罚规定》第十八条第（十一）项。</w:t>
            </w:r>
          </w:p>
          <w:p w14:paraId="56702A4A">
            <w:pPr>
              <w:spacing w:line="240" w:lineRule="exact"/>
              <w:jc w:val="left"/>
              <w:rPr>
                <w:rFonts w:ascii="宋体"/>
                <w:kern w:val="0"/>
              </w:rPr>
            </w:pPr>
            <w:r>
              <w:rPr>
                <w:rFonts w:hint="eastAsia" w:ascii="宋体"/>
                <w:kern w:val="0"/>
              </w:rPr>
              <w:t>2. 《中华人民共和国海上海事行政处罚规定》第七条。</w:t>
            </w:r>
          </w:p>
        </w:tc>
        <w:tc>
          <w:tcPr>
            <w:tcW w:w="1195" w:type="dxa"/>
            <w:vAlign w:val="center"/>
          </w:tcPr>
          <w:p w14:paraId="34447A72">
            <w:pPr>
              <w:spacing w:line="240" w:lineRule="exact"/>
              <w:jc w:val="center"/>
              <w:rPr>
                <w:rFonts w:ascii="宋体"/>
                <w:kern w:val="0"/>
              </w:rPr>
            </w:pPr>
            <w:r>
              <w:rPr>
                <w:rFonts w:hint="eastAsia" w:ascii="宋体"/>
                <w:kern w:val="0"/>
              </w:rPr>
              <w:t>从轻</w:t>
            </w:r>
          </w:p>
        </w:tc>
        <w:tc>
          <w:tcPr>
            <w:tcW w:w="3341" w:type="dxa"/>
            <w:vAlign w:val="center"/>
          </w:tcPr>
          <w:p w14:paraId="596B38BC">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761" w:type="dxa"/>
            <w:vAlign w:val="center"/>
          </w:tcPr>
          <w:p w14:paraId="0690E722">
            <w:pPr>
              <w:spacing w:line="240" w:lineRule="atLeast"/>
              <w:jc w:val="center"/>
              <w:rPr>
                <w:rFonts w:ascii="宋体"/>
                <w:kern w:val="0"/>
              </w:rPr>
            </w:pPr>
            <w:r>
              <w:rPr>
                <w:rFonts w:hint="eastAsia" w:ascii="宋体"/>
                <w:kern w:val="0"/>
              </w:rPr>
              <w:t>2-3万元</w:t>
            </w:r>
          </w:p>
        </w:tc>
        <w:tc>
          <w:tcPr>
            <w:tcW w:w="3169" w:type="dxa"/>
            <w:vAlign w:val="center"/>
          </w:tcPr>
          <w:p w14:paraId="0452BB45">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7B87F64F">
            <w:pPr>
              <w:spacing w:line="240" w:lineRule="atLeast"/>
              <w:jc w:val="center"/>
              <w:rPr>
                <w:rFonts w:ascii="宋体"/>
                <w:kern w:val="0"/>
              </w:rPr>
            </w:pPr>
            <w:r>
              <w:rPr>
                <w:rFonts w:hint="eastAsia" w:ascii="宋体"/>
                <w:kern w:val="0"/>
              </w:rPr>
              <w:t>2000-4000元、并暂扣适任证书3个月至4个月</w:t>
            </w:r>
          </w:p>
        </w:tc>
      </w:tr>
      <w:tr w14:paraId="1A7B5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11" w:type="dxa"/>
            <w:vMerge w:val="continue"/>
            <w:vAlign w:val="center"/>
          </w:tcPr>
          <w:p w14:paraId="1617E6BB">
            <w:pPr>
              <w:spacing w:line="240" w:lineRule="exact"/>
              <w:jc w:val="center"/>
              <w:rPr>
                <w:rFonts w:ascii="宋体"/>
                <w:kern w:val="0"/>
              </w:rPr>
            </w:pPr>
          </w:p>
        </w:tc>
        <w:tc>
          <w:tcPr>
            <w:tcW w:w="1215" w:type="dxa"/>
            <w:vMerge w:val="continue"/>
            <w:vAlign w:val="center"/>
          </w:tcPr>
          <w:p w14:paraId="4697CBDF">
            <w:pPr>
              <w:widowControl/>
              <w:spacing w:line="240" w:lineRule="exact"/>
              <w:jc w:val="center"/>
              <w:rPr>
                <w:rFonts w:ascii="宋体"/>
                <w:kern w:val="0"/>
              </w:rPr>
            </w:pPr>
          </w:p>
        </w:tc>
        <w:tc>
          <w:tcPr>
            <w:tcW w:w="1475" w:type="dxa"/>
            <w:vMerge w:val="continue"/>
            <w:vAlign w:val="center"/>
          </w:tcPr>
          <w:p w14:paraId="0F60F69B">
            <w:pPr>
              <w:spacing w:line="240" w:lineRule="exact"/>
              <w:jc w:val="center"/>
              <w:rPr>
                <w:rFonts w:ascii="宋体"/>
                <w:kern w:val="0"/>
              </w:rPr>
            </w:pPr>
          </w:p>
        </w:tc>
        <w:tc>
          <w:tcPr>
            <w:tcW w:w="1195" w:type="dxa"/>
            <w:vMerge w:val="restart"/>
            <w:vAlign w:val="center"/>
          </w:tcPr>
          <w:p w14:paraId="1D7415EC">
            <w:pPr>
              <w:spacing w:line="240" w:lineRule="exact"/>
              <w:jc w:val="center"/>
              <w:rPr>
                <w:rFonts w:ascii="宋体"/>
                <w:kern w:val="0"/>
              </w:rPr>
            </w:pPr>
            <w:r>
              <w:rPr>
                <w:rFonts w:hint="eastAsia" w:ascii="宋体"/>
                <w:kern w:val="0"/>
              </w:rPr>
              <w:t>一般</w:t>
            </w:r>
          </w:p>
        </w:tc>
        <w:tc>
          <w:tcPr>
            <w:tcW w:w="3341" w:type="dxa"/>
            <w:vAlign w:val="center"/>
          </w:tcPr>
          <w:p w14:paraId="65DBF322">
            <w:pPr>
              <w:widowControl/>
              <w:spacing w:line="240" w:lineRule="exact"/>
              <w:jc w:val="left"/>
              <w:rPr>
                <w:rFonts w:ascii="宋体"/>
              </w:rPr>
            </w:pPr>
            <w:r>
              <w:rPr>
                <w:rFonts w:hint="eastAsia" w:ascii="宋体"/>
              </w:rPr>
              <w:t>未向乘客明示安全须知</w:t>
            </w:r>
          </w:p>
        </w:tc>
        <w:tc>
          <w:tcPr>
            <w:tcW w:w="5761" w:type="dxa"/>
            <w:vAlign w:val="center"/>
          </w:tcPr>
          <w:p w14:paraId="3E54ED3C">
            <w:pPr>
              <w:spacing w:line="240" w:lineRule="atLeast"/>
              <w:jc w:val="center"/>
              <w:rPr>
                <w:rFonts w:ascii="宋体"/>
                <w:kern w:val="0"/>
              </w:rPr>
            </w:pPr>
            <w:r>
              <w:rPr>
                <w:rFonts w:hint="eastAsia" w:ascii="宋体"/>
                <w:kern w:val="0"/>
              </w:rPr>
              <w:t>3-4万元</w:t>
            </w:r>
          </w:p>
        </w:tc>
        <w:tc>
          <w:tcPr>
            <w:tcW w:w="3169" w:type="dxa"/>
            <w:vAlign w:val="center"/>
          </w:tcPr>
          <w:p w14:paraId="3EE115AC">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6B2767DB">
            <w:pPr>
              <w:spacing w:line="240" w:lineRule="atLeast"/>
              <w:jc w:val="center"/>
              <w:rPr>
                <w:rFonts w:ascii="宋体"/>
                <w:b/>
                <w:kern w:val="0"/>
              </w:rPr>
            </w:pPr>
            <w:r>
              <w:rPr>
                <w:rFonts w:hint="eastAsia" w:ascii="宋体"/>
                <w:kern w:val="0"/>
              </w:rPr>
              <w:t>4000元-6000、并暂扣适任证书3个月至4个月</w:t>
            </w:r>
          </w:p>
        </w:tc>
      </w:tr>
      <w:tr w14:paraId="4A32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911" w:type="dxa"/>
            <w:vMerge w:val="continue"/>
            <w:vAlign w:val="center"/>
          </w:tcPr>
          <w:p w14:paraId="40F90A10">
            <w:pPr>
              <w:spacing w:line="240" w:lineRule="exact"/>
              <w:jc w:val="center"/>
              <w:rPr>
                <w:rFonts w:ascii="宋体"/>
                <w:kern w:val="0"/>
              </w:rPr>
            </w:pPr>
          </w:p>
        </w:tc>
        <w:tc>
          <w:tcPr>
            <w:tcW w:w="1215" w:type="dxa"/>
            <w:vMerge w:val="continue"/>
            <w:vAlign w:val="center"/>
          </w:tcPr>
          <w:p w14:paraId="433C0EDD">
            <w:pPr>
              <w:widowControl/>
              <w:spacing w:line="240" w:lineRule="exact"/>
              <w:jc w:val="center"/>
              <w:rPr>
                <w:rFonts w:ascii="宋体"/>
                <w:kern w:val="0"/>
              </w:rPr>
            </w:pPr>
          </w:p>
        </w:tc>
        <w:tc>
          <w:tcPr>
            <w:tcW w:w="1475" w:type="dxa"/>
            <w:vMerge w:val="continue"/>
            <w:vAlign w:val="center"/>
          </w:tcPr>
          <w:p w14:paraId="5052B832">
            <w:pPr>
              <w:spacing w:line="240" w:lineRule="exact"/>
              <w:jc w:val="center"/>
              <w:rPr>
                <w:rFonts w:ascii="宋体"/>
                <w:kern w:val="0"/>
              </w:rPr>
            </w:pPr>
          </w:p>
        </w:tc>
        <w:tc>
          <w:tcPr>
            <w:tcW w:w="1195" w:type="dxa"/>
            <w:vMerge w:val="continue"/>
            <w:vAlign w:val="center"/>
          </w:tcPr>
          <w:p w14:paraId="52EA5A09">
            <w:pPr>
              <w:spacing w:line="240" w:lineRule="exact"/>
              <w:jc w:val="center"/>
              <w:rPr>
                <w:rFonts w:ascii="宋体"/>
                <w:kern w:val="0"/>
              </w:rPr>
            </w:pPr>
          </w:p>
        </w:tc>
        <w:tc>
          <w:tcPr>
            <w:tcW w:w="3341" w:type="dxa"/>
            <w:vAlign w:val="center"/>
          </w:tcPr>
          <w:p w14:paraId="5800A3A5">
            <w:pPr>
              <w:widowControl/>
              <w:spacing w:line="240" w:lineRule="exact"/>
              <w:jc w:val="left"/>
              <w:rPr>
                <w:rFonts w:ascii="宋体"/>
              </w:rPr>
            </w:pPr>
            <w:r>
              <w:rPr>
                <w:rFonts w:hint="eastAsia" w:ascii="宋体"/>
              </w:rPr>
              <w:t>未设置安全标志和警示</w:t>
            </w:r>
          </w:p>
        </w:tc>
        <w:tc>
          <w:tcPr>
            <w:tcW w:w="5761" w:type="dxa"/>
            <w:vAlign w:val="center"/>
          </w:tcPr>
          <w:p w14:paraId="2A9A8064">
            <w:pPr>
              <w:spacing w:line="240" w:lineRule="atLeast"/>
              <w:jc w:val="center"/>
              <w:rPr>
                <w:rFonts w:ascii="宋体"/>
                <w:kern w:val="0"/>
              </w:rPr>
            </w:pPr>
            <w:r>
              <w:rPr>
                <w:rFonts w:hint="eastAsia" w:ascii="宋体"/>
                <w:kern w:val="0"/>
              </w:rPr>
              <w:t>4-5万元</w:t>
            </w:r>
          </w:p>
        </w:tc>
        <w:tc>
          <w:tcPr>
            <w:tcW w:w="3169" w:type="dxa"/>
            <w:vAlign w:val="center"/>
          </w:tcPr>
          <w:p w14:paraId="6815CF1E">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154089C8">
            <w:pPr>
              <w:spacing w:line="240" w:lineRule="atLeast"/>
              <w:jc w:val="center"/>
              <w:rPr>
                <w:rFonts w:ascii="宋体"/>
                <w:kern w:val="0"/>
              </w:rPr>
            </w:pPr>
            <w:r>
              <w:rPr>
                <w:rFonts w:hint="eastAsia" w:ascii="宋体"/>
                <w:kern w:val="0"/>
              </w:rPr>
              <w:t>6000元-1万元、并暂扣适任证书4个月至5个月</w:t>
            </w:r>
          </w:p>
        </w:tc>
      </w:tr>
      <w:tr w14:paraId="2B7D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11" w:type="dxa"/>
            <w:vMerge w:val="continue"/>
            <w:vAlign w:val="center"/>
          </w:tcPr>
          <w:p w14:paraId="79EEB39B">
            <w:pPr>
              <w:spacing w:line="240" w:lineRule="exact"/>
              <w:jc w:val="center"/>
              <w:rPr>
                <w:rFonts w:ascii="宋体"/>
                <w:kern w:val="0"/>
              </w:rPr>
            </w:pPr>
          </w:p>
        </w:tc>
        <w:tc>
          <w:tcPr>
            <w:tcW w:w="1215" w:type="dxa"/>
            <w:vMerge w:val="continue"/>
            <w:vAlign w:val="center"/>
          </w:tcPr>
          <w:p w14:paraId="2BBCE38C">
            <w:pPr>
              <w:spacing w:line="240" w:lineRule="exact"/>
              <w:jc w:val="center"/>
              <w:rPr>
                <w:rFonts w:ascii="宋体"/>
                <w:kern w:val="0"/>
              </w:rPr>
            </w:pPr>
          </w:p>
        </w:tc>
        <w:tc>
          <w:tcPr>
            <w:tcW w:w="1475" w:type="dxa"/>
            <w:vMerge w:val="continue"/>
            <w:vAlign w:val="center"/>
          </w:tcPr>
          <w:p w14:paraId="63D3EE74">
            <w:pPr>
              <w:spacing w:line="240" w:lineRule="exact"/>
              <w:jc w:val="center"/>
              <w:rPr>
                <w:rFonts w:ascii="宋体"/>
                <w:kern w:val="0"/>
              </w:rPr>
            </w:pPr>
          </w:p>
        </w:tc>
        <w:tc>
          <w:tcPr>
            <w:tcW w:w="1195" w:type="dxa"/>
            <w:vMerge w:val="continue"/>
            <w:vAlign w:val="center"/>
          </w:tcPr>
          <w:p w14:paraId="75F5E12E">
            <w:pPr>
              <w:spacing w:line="240" w:lineRule="exact"/>
              <w:jc w:val="center"/>
              <w:rPr>
                <w:rFonts w:ascii="宋体"/>
                <w:kern w:val="0"/>
              </w:rPr>
            </w:pPr>
          </w:p>
        </w:tc>
        <w:tc>
          <w:tcPr>
            <w:tcW w:w="3341" w:type="dxa"/>
            <w:vAlign w:val="center"/>
          </w:tcPr>
          <w:p w14:paraId="21108C71">
            <w:pPr>
              <w:spacing w:line="240" w:lineRule="atLeast"/>
              <w:jc w:val="left"/>
              <w:rPr>
                <w:rFonts w:ascii="宋体"/>
              </w:rPr>
            </w:pPr>
            <w:r>
              <w:rPr>
                <w:rFonts w:hint="eastAsia" w:ascii="宋体"/>
              </w:rPr>
              <w:t>1.造成一般事故或险情的；</w:t>
            </w:r>
          </w:p>
          <w:p w14:paraId="10C107DB">
            <w:pPr>
              <w:spacing w:line="240" w:lineRule="atLeast"/>
              <w:jc w:val="left"/>
              <w:rPr>
                <w:rFonts w:ascii="宋体"/>
              </w:rPr>
            </w:pPr>
            <w:r>
              <w:rPr>
                <w:rFonts w:hint="eastAsia" w:ascii="宋体"/>
              </w:rPr>
              <w:t>2.具有其他较重情节的。</w:t>
            </w:r>
          </w:p>
        </w:tc>
        <w:tc>
          <w:tcPr>
            <w:tcW w:w="5761" w:type="dxa"/>
            <w:vAlign w:val="center"/>
          </w:tcPr>
          <w:p w14:paraId="41161BC4">
            <w:pPr>
              <w:spacing w:line="240" w:lineRule="atLeast"/>
              <w:jc w:val="center"/>
              <w:rPr>
                <w:rFonts w:ascii="宋体"/>
                <w:kern w:val="0"/>
              </w:rPr>
            </w:pPr>
            <w:r>
              <w:rPr>
                <w:rFonts w:hint="eastAsia" w:ascii="宋体"/>
                <w:kern w:val="0"/>
              </w:rPr>
              <w:t>5-10万元</w:t>
            </w:r>
          </w:p>
        </w:tc>
        <w:tc>
          <w:tcPr>
            <w:tcW w:w="3169" w:type="dxa"/>
            <w:vAlign w:val="center"/>
          </w:tcPr>
          <w:p w14:paraId="639FB3F1">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04B5301A">
            <w:pPr>
              <w:spacing w:line="240" w:lineRule="atLeast"/>
              <w:jc w:val="center"/>
              <w:rPr>
                <w:rFonts w:ascii="宋体"/>
                <w:kern w:val="0"/>
              </w:rPr>
            </w:pPr>
            <w:r>
              <w:rPr>
                <w:rFonts w:hint="eastAsia" w:ascii="宋体"/>
                <w:kern w:val="0"/>
              </w:rPr>
              <w:t>1-2万元、并暂扣适任证书5个月至12个月</w:t>
            </w:r>
          </w:p>
        </w:tc>
      </w:tr>
      <w:tr w14:paraId="5B5F0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11" w:type="dxa"/>
            <w:vMerge w:val="continue"/>
            <w:vAlign w:val="center"/>
          </w:tcPr>
          <w:p w14:paraId="1C1C1E95">
            <w:pPr>
              <w:spacing w:line="240" w:lineRule="exact"/>
              <w:jc w:val="center"/>
              <w:rPr>
                <w:rFonts w:ascii="宋体"/>
                <w:kern w:val="0"/>
              </w:rPr>
            </w:pPr>
          </w:p>
        </w:tc>
        <w:tc>
          <w:tcPr>
            <w:tcW w:w="1215" w:type="dxa"/>
            <w:vMerge w:val="continue"/>
            <w:vAlign w:val="center"/>
          </w:tcPr>
          <w:p w14:paraId="2FE8383C">
            <w:pPr>
              <w:spacing w:line="240" w:lineRule="exact"/>
              <w:jc w:val="center"/>
              <w:rPr>
                <w:rFonts w:ascii="宋体"/>
                <w:kern w:val="0"/>
              </w:rPr>
            </w:pPr>
          </w:p>
        </w:tc>
        <w:tc>
          <w:tcPr>
            <w:tcW w:w="1475" w:type="dxa"/>
            <w:vMerge w:val="continue"/>
            <w:vAlign w:val="center"/>
          </w:tcPr>
          <w:p w14:paraId="3501A72F">
            <w:pPr>
              <w:spacing w:line="240" w:lineRule="exact"/>
              <w:jc w:val="center"/>
              <w:rPr>
                <w:rFonts w:ascii="宋体"/>
                <w:kern w:val="0"/>
              </w:rPr>
            </w:pPr>
          </w:p>
        </w:tc>
        <w:tc>
          <w:tcPr>
            <w:tcW w:w="1195" w:type="dxa"/>
            <w:vAlign w:val="center"/>
          </w:tcPr>
          <w:p w14:paraId="3CDC22F3">
            <w:pPr>
              <w:spacing w:line="240" w:lineRule="exact"/>
              <w:jc w:val="center"/>
              <w:rPr>
                <w:rFonts w:ascii="宋体"/>
                <w:kern w:val="0"/>
              </w:rPr>
            </w:pPr>
            <w:r>
              <w:rPr>
                <w:rFonts w:hint="eastAsia" w:ascii="宋体"/>
                <w:kern w:val="0"/>
              </w:rPr>
              <w:t>情节严重</w:t>
            </w:r>
          </w:p>
        </w:tc>
        <w:tc>
          <w:tcPr>
            <w:tcW w:w="3341" w:type="dxa"/>
            <w:vAlign w:val="center"/>
          </w:tcPr>
          <w:p w14:paraId="10BEFB15">
            <w:pPr>
              <w:spacing w:line="240" w:lineRule="atLeast"/>
              <w:jc w:val="left"/>
              <w:rPr>
                <w:rFonts w:ascii="宋体"/>
              </w:rPr>
            </w:pPr>
            <w:r>
              <w:rPr>
                <w:rFonts w:hint="eastAsia" w:ascii="宋体"/>
              </w:rPr>
              <w:t>1.造成较大等级以上事故的；</w:t>
            </w:r>
          </w:p>
          <w:p w14:paraId="6BC1AA58">
            <w:pPr>
              <w:spacing w:line="240" w:lineRule="atLeast"/>
              <w:jc w:val="left"/>
              <w:rPr>
                <w:rFonts w:ascii="宋体"/>
                <w:kern w:val="0"/>
              </w:rPr>
            </w:pPr>
            <w:r>
              <w:rPr>
                <w:rFonts w:hint="eastAsia" w:ascii="宋体"/>
              </w:rPr>
              <w:t>2.具有其他严重情节的。</w:t>
            </w:r>
          </w:p>
        </w:tc>
        <w:tc>
          <w:tcPr>
            <w:tcW w:w="5761" w:type="dxa"/>
            <w:vAlign w:val="center"/>
          </w:tcPr>
          <w:p w14:paraId="65835B2C">
            <w:pPr>
              <w:spacing w:line="240" w:lineRule="atLeast"/>
              <w:jc w:val="center"/>
              <w:rPr>
                <w:rFonts w:ascii="宋体"/>
                <w:kern w:val="0"/>
              </w:rPr>
            </w:pPr>
            <w:r>
              <w:rPr>
                <w:rFonts w:hint="eastAsia" w:ascii="宋体"/>
                <w:kern w:val="0"/>
              </w:rPr>
              <w:t>10-20万元</w:t>
            </w:r>
          </w:p>
        </w:tc>
        <w:tc>
          <w:tcPr>
            <w:tcW w:w="3169" w:type="dxa"/>
            <w:vAlign w:val="center"/>
          </w:tcPr>
          <w:p w14:paraId="626C95A5">
            <w:pPr>
              <w:spacing w:line="240" w:lineRule="atLeast"/>
              <w:jc w:val="center"/>
              <w:rPr>
                <w:rFonts w:ascii="宋体"/>
                <w:kern w:val="0"/>
              </w:rPr>
            </w:pPr>
            <w:r>
              <w:rPr>
                <w:rFonts w:hint="eastAsia" w:ascii="宋体"/>
                <w:kern w:val="0"/>
              </w:rPr>
              <w:t>吊销适任证书</w:t>
            </w:r>
          </w:p>
        </w:tc>
        <w:tc>
          <w:tcPr>
            <w:tcW w:w="3028" w:type="dxa"/>
            <w:vAlign w:val="center"/>
          </w:tcPr>
          <w:p w14:paraId="598AA9EA">
            <w:pPr>
              <w:spacing w:line="240" w:lineRule="atLeast"/>
              <w:jc w:val="center"/>
              <w:rPr>
                <w:rFonts w:ascii="宋体"/>
                <w:kern w:val="0"/>
              </w:rPr>
            </w:pPr>
            <w:r>
              <w:rPr>
                <w:rFonts w:hint="eastAsia" w:ascii="宋体"/>
                <w:kern w:val="0"/>
              </w:rPr>
              <w:t>吊销适任证书</w:t>
            </w:r>
          </w:p>
        </w:tc>
      </w:tr>
    </w:tbl>
    <w:p w14:paraId="1ACF0DFE">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76"/>
        <w:gridCol w:w="1366"/>
        <w:gridCol w:w="1185"/>
        <w:gridCol w:w="3351"/>
        <w:gridCol w:w="6662"/>
        <w:gridCol w:w="2268"/>
        <w:gridCol w:w="3028"/>
      </w:tblGrid>
      <w:tr w14:paraId="261BD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59" w:type="dxa"/>
            <w:vMerge w:val="restart"/>
            <w:vAlign w:val="center"/>
          </w:tcPr>
          <w:p w14:paraId="3DDD3876">
            <w:pPr>
              <w:spacing w:line="240" w:lineRule="exact"/>
              <w:jc w:val="center"/>
              <w:rPr>
                <w:rFonts w:ascii="宋体"/>
                <w:b/>
                <w:kern w:val="0"/>
              </w:rPr>
            </w:pPr>
            <w:r>
              <w:rPr>
                <w:rFonts w:hint="eastAsia" w:ascii="宋体"/>
                <w:b/>
                <w:kern w:val="0"/>
              </w:rPr>
              <w:t>案由51</w:t>
            </w:r>
          </w:p>
        </w:tc>
        <w:tc>
          <w:tcPr>
            <w:tcW w:w="2642" w:type="dxa"/>
            <w:gridSpan w:val="2"/>
            <w:vAlign w:val="center"/>
          </w:tcPr>
          <w:p w14:paraId="728C99C2">
            <w:pPr>
              <w:spacing w:line="240" w:lineRule="exact"/>
              <w:jc w:val="center"/>
              <w:rPr>
                <w:rFonts w:ascii="宋体"/>
                <w:b/>
                <w:kern w:val="0"/>
              </w:rPr>
            </w:pPr>
            <w:r>
              <w:rPr>
                <w:rFonts w:hint="eastAsia" w:ascii="宋体"/>
                <w:b/>
                <w:kern w:val="0"/>
              </w:rPr>
              <w:t>法律依据</w:t>
            </w:r>
          </w:p>
        </w:tc>
        <w:tc>
          <w:tcPr>
            <w:tcW w:w="1185" w:type="dxa"/>
            <w:vMerge w:val="restart"/>
            <w:vAlign w:val="center"/>
          </w:tcPr>
          <w:p w14:paraId="0D8FB314">
            <w:pPr>
              <w:spacing w:line="240" w:lineRule="exact"/>
              <w:jc w:val="center"/>
              <w:rPr>
                <w:rFonts w:ascii="宋体"/>
                <w:b/>
                <w:kern w:val="0"/>
              </w:rPr>
            </w:pPr>
            <w:r>
              <w:rPr>
                <w:rFonts w:hint="eastAsia" w:ascii="宋体"/>
                <w:b/>
                <w:kern w:val="0"/>
              </w:rPr>
              <w:t>违法情节</w:t>
            </w:r>
          </w:p>
        </w:tc>
        <w:tc>
          <w:tcPr>
            <w:tcW w:w="3351" w:type="dxa"/>
            <w:vMerge w:val="restart"/>
            <w:vAlign w:val="center"/>
          </w:tcPr>
          <w:p w14:paraId="3104037E">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57E017BB">
            <w:pPr>
              <w:spacing w:line="240" w:lineRule="exact"/>
              <w:jc w:val="left"/>
              <w:rPr>
                <w:rFonts w:ascii="宋体"/>
                <w:b/>
                <w:kern w:val="0"/>
              </w:rPr>
            </w:pPr>
            <w:r>
              <w:rPr>
                <w:rFonts w:hint="eastAsia" w:ascii="宋体"/>
                <w:b/>
                <w:kern w:val="0"/>
              </w:rPr>
              <w:t>【法定幅度和种类】</w:t>
            </w:r>
            <w:r>
              <w:rPr>
                <w:rFonts w:hint="eastAsia" w:ascii="宋体"/>
                <w:kern w:val="0"/>
              </w:rPr>
              <w:t>对违法船舶的所有人、经营人或者管理人处二万元以上二十万元以下的罚款，对船长、责任船员处二千元以上二万元以下的罚款，暂扣船员适任证书三个月至十二个月；情节严重的，吊销船长、责任船员的船员适任证书。</w:t>
            </w:r>
          </w:p>
        </w:tc>
      </w:tr>
      <w:tr w14:paraId="062D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59" w:type="dxa"/>
            <w:vMerge w:val="continue"/>
            <w:vAlign w:val="center"/>
          </w:tcPr>
          <w:p w14:paraId="050E1140">
            <w:pPr>
              <w:spacing w:line="240" w:lineRule="exact"/>
              <w:jc w:val="center"/>
              <w:rPr>
                <w:rFonts w:ascii="宋体"/>
                <w:b/>
                <w:kern w:val="0"/>
              </w:rPr>
            </w:pPr>
          </w:p>
        </w:tc>
        <w:tc>
          <w:tcPr>
            <w:tcW w:w="1276" w:type="dxa"/>
            <w:vAlign w:val="center"/>
          </w:tcPr>
          <w:p w14:paraId="1A32DDE2">
            <w:pPr>
              <w:spacing w:line="240" w:lineRule="exact"/>
              <w:jc w:val="center"/>
              <w:rPr>
                <w:rFonts w:ascii="宋体"/>
                <w:b/>
                <w:kern w:val="0"/>
              </w:rPr>
            </w:pPr>
            <w:r>
              <w:rPr>
                <w:rFonts w:hint="eastAsia" w:ascii="宋体"/>
                <w:b/>
                <w:kern w:val="0"/>
              </w:rPr>
              <w:t>违反条款</w:t>
            </w:r>
          </w:p>
        </w:tc>
        <w:tc>
          <w:tcPr>
            <w:tcW w:w="1366" w:type="dxa"/>
            <w:vAlign w:val="center"/>
          </w:tcPr>
          <w:p w14:paraId="7D758DFE">
            <w:pPr>
              <w:spacing w:line="240" w:lineRule="exact"/>
              <w:jc w:val="center"/>
              <w:rPr>
                <w:rFonts w:ascii="宋体"/>
                <w:b/>
                <w:kern w:val="0"/>
              </w:rPr>
            </w:pPr>
            <w:r>
              <w:rPr>
                <w:rFonts w:hint="eastAsia" w:ascii="宋体"/>
                <w:b/>
                <w:kern w:val="0"/>
              </w:rPr>
              <w:t>处罚依据</w:t>
            </w:r>
          </w:p>
        </w:tc>
        <w:tc>
          <w:tcPr>
            <w:tcW w:w="1185" w:type="dxa"/>
            <w:vMerge w:val="continue"/>
            <w:vAlign w:val="center"/>
          </w:tcPr>
          <w:p w14:paraId="01442586">
            <w:pPr>
              <w:spacing w:line="240" w:lineRule="exact"/>
              <w:jc w:val="center"/>
              <w:rPr>
                <w:rFonts w:ascii="宋体"/>
                <w:b/>
                <w:kern w:val="0"/>
              </w:rPr>
            </w:pPr>
          </w:p>
        </w:tc>
        <w:tc>
          <w:tcPr>
            <w:tcW w:w="3351" w:type="dxa"/>
            <w:vMerge w:val="continue"/>
            <w:vAlign w:val="center"/>
          </w:tcPr>
          <w:p w14:paraId="2DB2ECA5">
            <w:pPr>
              <w:spacing w:line="240" w:lineRule="exact"/>
              <w:jc w:val="center"/>
              <w:rPr>
                <w:rFonts w:ascii="宋体"/>
                <w:b/>
                <w:kern w:val="0"/>
              </w:rPr>
            </w:pPr>
          </w:p>
        </w:tc>
        <w:tc>
          <w:tcPr>
            <w:tcW w:w="6662" w:type="dxa"/>
            <w:vAlign w:val="center"/>
          </w:tcPr>
          <w:p w14:paraId="6E0528FE">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5BA86072">
            <w:pPr>
              <w:spacing w:line="240" w:lineRule="exact"/>
              <w:jc w:val="center"/>
              <w:rPr>
                <w:rFonts w:ascii="宋体"/>
                <w:b/>
                <w:kern w:val="0"/>
              </w:rPr>
            </w:pPr>
            <w:r>
              <w:rPr>
                <w:rFonts w:hint="eastAsia" w:ascii="宋体"/>
                <w:b/>
                <w:kern w:val="0"/>
              </w:rPr>
              <w:t>【对象】船长</w:t>
            </w:r>
          </w:p>
        </w:tc>
        <w:tc>
          <w:tcPr>
            <w:tcW w:w="3028" w:type="dxa"/>
            <w:vAlign w:val="center"/>
          </w:tcPr>
          <w:p w14:paraId="32A41B43">
            <w:pPr>
              <w:spacing w:line="240" w:lineRule="exact"/>
              <w:jc w:val="center"/>
              <w:rPr>
                <w:rFonts w:ascii="宋体"/>
                <w:b/>
                <w:kern w:val="0"/>
              </w:rPr>
            </w:pPr>
            <w:r>
              <w:rPr>
                <w:rFonts w:hint="eastAsia" w:ascii="宋体"/>
                <w:b/>
                <w:kern w:val="0"/>
              </w:rPr>
              <w:t>【对象】责任船员</w:t>
            </w:r>
          </w:p>
        </w:tc>
      </w:tr>
      <w:tr w14:paraId="459A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59" w:type="dxa"/>
            <w:vMerge w:val="restart"/>
            <w:vAlign w:val="center"/>
          </w:tcPr>
          <w:p w14:paraId="61CDCC38">
            <w:pPr>
              <w:widowControl/>
              <w:spacing w:line="240" w:lineRule="exact"/>
              <w:jc w:val="left"/>
              <w:rPr>
                <w:rFonts w:ascii="宋体"/>
                <w:b/>
                <w:kern w:val="0"/>
              </w:rPr>
            </w:pPr>
            <w:r>
              <w:rPr>
                <w:rFonts w:hint="eastAsia" w:ascii="宋体"/>
                <w:bCs/>
                <w:kern w:val="0"/>
              </w:rPr>
              <w:t>未按照有关法律、行政法规、规章以及强制性标准和技术规范的要求安全装卸、积载、隔离、系固和管理货物</w:t>
            </w:r>
          </w:p>
        </w:tc>
        <w:tc>
          <w:tcPr>
            <w:tcW w:w="1276" w:type="dxa"/>
            <w:vMerge w:val="restart"/>
            <w:vAlign w:val="center"/>
          </w:tcPr>
          <w:p w14:paraId="700AAD1B">
            <w:pPr>
              <w:widowControl/>
              <w:spacing w:line="240" w:lineRule="exact"/>
              <w:jc w:val="left"/>
              <w:rPr>
                <w:rFonts w:ascii="宋体"/>
                <w:kern w:val="0"/>
              </w:rPr>
            </w:pPr>
            <w:r>
              <w:rPr>
                <w:rFonts w:hint="eastAsia" w:ascii="宋体"/>
                <w:kern w:val="0"/>
              </w:rPr>
              <w:t>1.《中华人民共和国海上交通安全法》第六十一条；</w:t>
            </w:r>
          </w:p>
          <w:p w14:paraId="7190F490">
            <w:pPr>
              <w:widowControl/>
              <w:spacing w:line="240" w:lineRule="exact"/>
              <w:jc w:val="left"/>
              <w:rPr>
                <w:rFonts w:ascii="宋体"/>
                <w:kern w:val="0"/>
              </w:rPr>
            </w:pPr>
            <w:r>
              <w:rPr>
                <w:rFonts w:hint="eastAsia" w:ascii="宋体"/>
                <w:kern w:val="0"/>
              </w:rPr>
              <w:t>2.有关强制性标准和技术规范；</w:t>
            </w:r>
          </w:p>
          <w:p w14:paraId="3F461B5D">
            <w:pPr>
              <w:widowControl/>
              <w:spacing w:line="240" w:lineRule="exact"/>
              <w:jc w:val="left"/>
              <w:rPr>
                <w:rFonts w:ascii="宋体"/>
              </w:rPr>
            </w:pPr>
            <w:r>
              <w:rPr>
                <w:rFonts w:hint="eastAsia" w:ascii="宋体"/>
                <w:kern w:val="0"/>
              </w:rPr>
              <w:t>3.其他法律、法规、规章等。</w:t>
            </w:r>
          </w:p>
        </w:tc>
        <w:tc>
          <w:tcPr>
            <w:tcW w:w="1366" w:type="dxa"/>
            <w:vMerge w:val="restart"/>
            <w:vAlign w:val="center"/>
          </w:tcPr>
          <w:p w14:paraId="0E7DC900">
            <w:pPr>
              <w:spacing w:line="240" w:lineRule="exact"/>
              <w:jc w:val="left"/>
              <w:rPr>
                <w:rFonts w:ascii="宋体"/>
                <w:kern w:val="0"/>
              </w:rPr>
            </w:pPr>
            <w:r>
              <w:rPr>
                <w:rFonts w:hint="eastAsia" w:ascii="宋体"/>
                <w:kern w:val="0"/>
              </w:rPr>
              <w:t>1.《中华人民共和国海上交通安全法》第一百零三条第（十二）项、《中华人民共和国海上海事行政处罚规定》第十八条第（十二）项。</w:t>
            </w:r>
          </w:p>
          <w:p w14:paraId="3B4D0C1E">
            <w:pPr>
              <w:spacing w:line="240" w:lineRule="exact"/>
              <w:jc w:val="left"/>
              <w:rPr>
                <w:rFonts w:ascii="宋体"/>
                <w:kern w:val="0"/>
              </w:rPr>
            </w:pPr>
            <w:r>
              <w:rPr>
                <w:rFonts w:hint="eastAsia" w:ascii="宋体"/>
                <w:kern w:val="0"/>
              </w:rPr>
              <w:t>2. 《中华人民共和国海上海事行政处罚规定》第七条。</w:t>
            </w:r>
          </w:p>
        </w:tc>
        <w:tc>
          <w:tcPr>
            <w:tcW w:w="1185" w:type="dxa"/>
            <w:vAlign w:val="center"/>
          </w:tcPr>
          <w:p w14:paraId="260FB2F9">
            <w:pPr>
              <w:spacing w:line="240" w:lineRule="exact"/>
              <w:jc w:val="center"/>
              <w:rPr>
                <w:rFonts w:ascii="宋体"/>
                <w:kern w:val="0"/>
              </w:rPr>
            </w:pPr>
            <w:r>
              <w:rPr>
                <w:rFonts w:hint="eastAsia" w:ascii="宋体"/>
                <w:kern w:val="0"/>
              </w:rPr>
              <w:t>从轻</w:t>
            </w:r>
          </w:p>
        </w:tc>
        <w:tc>
          <w:tcPr>
            <w:tcW w:w="3351" w:type="dxa"/>
            <w:vAlign w:val="center"/>
          </w:tcPr>
          <w:p w14:paraId="55D908CE">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vAlign w:val="center"/>
          </w:tcPr>
          <w:p w14:paraId="63C4B507">
            <w:pPr>
              <w:spacing w:line="240" w:lineRule="atLeast"/>
              <w:jc w:val="center"/>
              <w:rPr>
                <w:rFonts w:ascii="宋体"/>
                <w:kern w:val="0"/>
              </w:rPr>
            </w:pPr>
            <w:r>
              <w:rPr>
                <w:rFonts w:hint="eastAsia" w:ascii="宋体"/>
                <w:kern w:val="0"/>
              </w:rPr>
              <w:t>2-3万元</w:t>
            </w:r>
          </w:p>
        </w:tc>
        <w:tc>
          <w:tcPr>
            <w:tcW w:w="2268" w:type="dxa"/>
            <w:vAlign w:val="center"/>
          </w:tcPr>
          <w:p w14:paraId="5418F5FC">
            <w:pPr>
              <w:spacing w:line="240" w:lineRule="atLeast"/>
              <w:jc w:val="center"/>
              <w:rPr>
                <w:rFonts w:ascii="宋体"/>
                <w:kern w:val="0"/>
              </w:rPr>
            </w:pPr>
            <w:r>
              <w:rPr>
                <w:rFonts w:hint="eastAsia" w:ascii="宋体"/>
                <w:kern w:val="0"/>
              </w:rPr>
              <w:t>2000-5000元、并暂扣适任证书3个月至4个月</w:t>
            </w:r>
          </w:p>
        </w:tc>
        <w:tc>
          <w:tcPr>
            <w:tcW w:w="3028" w:type="dxa"/>
            <w:vAlign w:val="center"/>
          </w:tcPr>
          <w:p w14:paraId="02939116">
            <w:pPr>
              <w:spacing w:line="240" w:lineRule="atLeast"/>
              <w:jc w:val="center"/>
              <w:rPr>
                <w:rFonts w:ascii="宋体"/>
                <w:kern w:val="0"/>
              </w:rPr>
            </w:pPr>
            <w:r>
              <w:rPr>
                <w:rFonts w:hint="eastAsia" w:ascii="宋体"/>
                <w:kern w:val="0"/>
              </w:rPr>
              <w:t>2000-4000元、并暂扣适任证书3个月至4个月</w:t>
            </w:r>
          </w:p>
        </w:tc>
      </w:tr>
      <w:tr w14:paraId="27ED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959" w:type="dxa"/>
            <w:vMerge w:val="continue"/>
            <w:vAlign w:val="center"/>
          </w:tcPr>
          <w:p w14:paraId="585F8628">
            <w:pPr>
              <w:spacing w:line="240" w:lineRule="exact"/>
              <w:jc w:val="center"/>
              <w:rPr>
                <w:rFonts w:ascii="宋体"/>
                <w:kern w:val="0"/>
              </w:rPr>
            </w:pPr>
          </w:p>
        </w:tc>
        <w:tc>
          <w:tcPr>
            <w:tcW w:w="1276" w:type="dxa"/>
            <w:vMerge w:val="continue"/>
            <w:vAlign w:val="center"/>
          </w:tcPr>
          <w:p w14:paraId="61081BC0">
            <w:pPr>
              <w:widowControl/>
              <w:spacing w:line="240" w:lineRule="exact"/>
              <w:jc w:val="center"/>
              <w:rPr>
                <w:rFonts w:ascii="宋体"/>
                <w:kern w:val="0"/>
              </w:rPr>
            </w:pPr>
          </w:p>
        </w:tc>
        <w:tc>
          <w:tcPr>
            <w:tcW w:w="1366" w:type="dxa"/>
            <w:vMerge w:val="continue"/>
            <w:vAlign w:val="center"/>
          </w:tcPr>
          <w:p w14:paraId="3F31FFFD">
            <w:pPr>
              <w:spacing w:line="240" w:lineRule="exact"/>
              <w:jc w:val="center"/>
              <w:rPr>
                <w:rFonts w:ascii="宋体"/>
                <w:kern w:val="0"/>
              </w:rPr>
            </w:pPr>
          </w:p>
        </w:tc>
        <w:tc>
          <w:tcPr>
            <w:tcW w:w="1185" w:type="dxa"/>
            <w:vMerge w:val="restart"/>
            <w:vAlign w:val="center"/>
          </w:tcPr>
          <w:p w14:paraId="0F618842">
            <w:pPr>
              <w:spacing w:line="240" w:lineRule="exact"/>
              <w:jc w:val="center"/>
              <w:rPr>
                <w:rFonts w:ascii="宋体"/>
                <w:kern w:val="0"/>
              </w:rPr>
            </w:pPr>
            <w:r>
              <w:rPr>
                <w:rFonts w:hint="eastAsia" w:ascii="宋体"/>
                <w:kern w:val="0"/>
              </w:rPr>
              <w:t>一般</w:t>
            </w:r>
          </w:p>
        </w:tc>
        <w:tc>
          <w:tcPr>
            <w:tcW w:w="3351" w:type="dxa"/>
            <w:vAlign w:val="center"/>
          </w:tcPr>
          <w:p w14:paraId="5EBE917A">
            <w:pPr>
              <w:widowControl/>
              <w:spacing w:line="240" w:lineRule="exact"/>
              <w:jc w:val="left"/>
              <w:rPr>
                <w:rFonts w:ascii="宋体"/>
                <w:kern w:val="0"/>
              </w:rPr>
            </w:pPr>
            <w:r>
              <w:rPr>
                <w:rFonts w:hint="eastAsia" w:ascii="宋体"/>
                <w:kern w:val="0"/>
              </w:rPr>
              <w:t>未按要求安全装卸、积载、隔离、系固和管理非危险货物的</w:t>
            </w:r>
          </w:p>
        </w:tc>
        <w:tc>
          <w:tcPr>
            <w:tcW w:w="6662" w:type="dxa"/>
            <w:vAlign w:val="center"/>
          </w:tcPr>
          <w:p w14:paraId="5489AFB9">
            <w:pPr>
              <w:spacing w:line="240" w:lineRule="atLeast"/>
              <w:jc w:val="center"/>
              <w:rPr>
                <w:rFonts w:ascii="宋体"/>
                <w:kern w:val="0"/>
              </w:rPr>
            </w:pPr>
            <w:r>
              <w:rPr>
                <w:rFonts w:hint="eastAsia" w:ascii="宋体"/>
                <w:kern w:val="0"/>
              </w:rPr>
              <w:t>3-4万元</w:t>
            </w:r>
          </w:p>
        </w:tc>
        <w:tc>
          <w:tcPr>
            <w:tcW w:w="2268" w:type="dxa"/>
            <w:vAlign w:val="center"/>
          </w:tcPr>
          <w:p w14:paraId="3481D39A">
            <w:pPr>
              <w:spacing w:line="240" w:lineRule="atLeast"/>
              <w:jc w:val="center"/>
              <w:rPr>
                <w:rFonts w:ascii="宋体"/>
                <w:kern w:val="0"/>
              </w:rPr>
            </w:pPr>
            <w:r>
              <w:rPr>
                <w:rFonts w:hint="eastAsia" w:ascii="宋体"/>
                <w:kern w:val="0"/>
              </w:rPr>
              <w:t>5000-8000元、并暂扣适任证书3个月至5个月</w:t>
            </w:r>
          </w:p>
        </w:tc>
        <w:tc>
          <w:tcPr>
            <w:tcW w:w="3028" w:type="dxa"/>
            <w:vAlign w:val="center"/>
          </w:tcPr>
          <w:p w14:paraId="37F2CEF9">
            <w:pPr>
              <w:spacing w:line="240" w:lineRule="atLeast"/>
              <w:jc w:val="center"/>
              <w:rPr>
                <w:rFonts w:ascii="宋体"/>
                <w:b/>
                <w:kern w:val="0"/>
              </w:rPr>
            </w:pPr>
            <w:r>
              <w:rPr>
                <w:rFonts w:hint="eastAsia" w:ascii="宋体"/>
                <w:kern w:val="0"/>
              </w:rPr>
              <w:t>4000元-6000、并暂扣适任证书3个月至4个月</w:t>
            </w:r>
          </w:p>
        </w:tc>
      </w:tr>
      <w:tr w14:paraId="0DFA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9" w:hRule="atLeast"/>
        </w:trPr>
        <w:tc>
          <w:tcPr>
            <w:tcW w:w="959" w:type="dxa"/>
            <w:vMerge w:val="continue"/>
            <w:vAlign w:val="center"/>
          </w:tcPr>
          <w:p w14:paraId="79029008">
            <w:pPr>
              <w:spacing w:line="240" w:lineRule="exact"/>
              <w:jc w:val="center"/>
              <w:rPr>
                <w:rFonts w:ascii="宋体"/>
                <w:kern w:val="0"/>
              </w:rPr>
            </w:pPr>
          </w:p>
        </w:tc>
        <w:tc>
          <w:tcPr>
            <w:tcW w:w="1276" w:type="dxa"/>
            <w:vMerge w:val="continue"/>
            <w:vAlign w:val="center"/>
          </w:tcPr>
          <w:p w14:paraId="51624275">
            <w:pPr>
              <w:widowControl/>
              <w:spacing w:line="240" w:lineRule="exact"/>
              <w:jc w:val="center"/>
              <w:rPr>
                <w:rFonts w:ascii="宋体"/>
                <w:kern w:val="0"/>
              </w:rPr>
            </w:pPr>
          </w:p>
        </w:tc>
        <w:tc>
          <w:tcPr>
            <w:tcW w:w="1366" w:type="dxa"/>
            <w:vMerge w:val="continue"/>
            <w:vAlign w:val="center"/>
          </w:tcPr>
          <w:p w14:paraId="0D727CA2">
            <w:pPr>
              <w:spacing w:line="240" w:lineRule="exact"/>
              <w:jc w:val="center"/>
              <w:rPr>
                <w:rFonts w:ascii="宋体"/>
                <w:kern w:val="0"/>
              </w:rPr>
            </w:pPr>
          </w:p>
        </w:tc>
        <w:tc>
          <w:tcPr>
            <w:tcW w:w="1185" w:type="dxa"/>
            <w:vMerge w:val="continue"/>
            <w:vAlign w:val="center"/>
          </w:tcPr>
          <w:p w14:paraId="1C7327CB">
            <w:pPr>
              <w:spacing w:line="240" w:lineRule="exact"/>
              <w:jc w:val="center"/>
              <w:rPr>
                <w:rFonts w:ascii="宋体"/>
                <w:kern w:val="0"/>
              </w:rPr>
            </w:pPr>
          </w:p>
        </w:tc>
        <w:tc>
          <w:tcPr>
            <w:tcW w:w="3351" w:type="dxa"/>
            <w:vAlign w:val="center"/>
          </w:tcPr>
          <w:p w14:paraId="07E410F8">
            <w:pPr>
              <w:spacing w:line="240" w:lineRule="exact"/>
              <w:jc w:val="left"/>
              <w:rPr>
                <w:rFonts w:ascii="宋体"/>
              </w:rPr>
            </w:pPr>
            <w:r>
              <w:rPr>
                <w:rFonts w:hint="eastAsia" w:ascii="宋体"/>
                <w:kern w:val="0"/>
              </w:rPr>
              <w:t>未按要求安全装卸、积载、隔离、系固和管理危险货物的</w:t>
            </w:r>
          </w:p>
        </w:tc>
        <w:tc>
          <w:tcPr>
            <w:tcW w:w="6662" w:type="dxa"/>
            <w:vAlign w:val="center"/>
          </w:tcPr>
          <w:p w14:paraId="3FB99633">
            <w:pPr>
              <w:spacing w:line="240" w:lineRule="atLeast"/>
              <w:jc w:val="center"/>
              <w:rPr>
                <w:rFonts w:ascii="宋体"/>
                <w:kern w:val="0"/>
              </w:rPr>
            </w:pPr>
            <w:r>
              <w:rPr>
                <w:rFonts w:hint="eastAsia" w:ascii="宋体"/>
                <w:kern w:val="0"/>
              </w:rPr>
              <w:t>4-5万元</w:t>
            </w:r>
          </w:p>
        </w:tc>
        <w:tc>
          <w:tcPr>
            <w:tcW w:w="2268" w:type="dxa"/>
            <w:vAlign w:val="center"/>
          </w:tcPr>
          <w:p w14:paraId="741C1331">
            <w:pPr>
              <w:spacing w:line="240" w:lineRule="atLeast"/>
              <w:jc w:val="center"/>
              <w:rPr>
                <w:rFonts w:ascii="宋体"/>
                <w:kern w:val="0"/>
              </w:rPr>
            </w:pPr>
            <w:r>
              <w:rPr>
                <w:rFonts w:hint="eastAsia" w:ascii="宋体"/>
                <w:kern w:val="0"/>
              </w:rPr>
              <w:t>8000元-1万元、并暂扣适任证书4个月至6个月</w:t>
            </w:r>
          </w:p>
        </w:tc>
        <w:tc>
          <w:tcPr>
            <w:tcW w:w="3028" w:type="dxa"/>
            <w:vAlign w:val="center"/>
          </w:tcPr>
          <w:p w14:paraId="2680495D">
            <w:pPr>
              <w:spacing w:line="240" w:lineRule="atLeast"/>
              <w:jc w:val="center"/>
              <w:rPr>
                <w:rFonts w:ascii="宋体"/>
                <w:kern w:val="0"/>
              </w:rPr>
            </w:pPr>
            <w:r>
              <w:rPr>
                <w:rFonts w:hint="eastAsia" w:ascii="宋体"/>
                <w:kern w:val="0"/>
              </w:rPr>
              <w:t>6000元-1万元、并暂扣适任证书4个月至5个月</w:t>
            </w:r>
          </w:p>
        </w:tc>
      </w:tr>
      <w:tr w14:paraId="5D24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7" w:hRule="atLeast"/>
        </w:trPr>
        <w:tc>
          <w:tcPr>
            <w:tcW w:w="959" w:type="dxa"/>
            <w:vMerge w:val="continue"/>
            <w:vAlign w:val="center"/>
          </w:tcPr>
          <w:p w14:paraId="024DC1FB">
            <w:pPr>
              <w:spacing w:line="240" w:lineRule="exact"/>
              <w:jc w:val="center"/>
              <w:rPr>
                <w:rFonts w:ascii="宋体"/>
                <w:kern w:val="0"/>
              </w:rPr>
            </w:pPr>
          </w:p>
        </w:tc>
        <w:tc>
          <w:tcPr>
            <w:tcW w:w="1276" w:type="dxa"/>
            <w:vMerge w:val="continue"/>
            <w:vAlign w:val="center"/>
          </w:tcPr>
          <w:p w14:paraId="52C4A787">
            <w:pPr>
              <w:spacing w:line="240" w:lineRule="exact"/>
              <w:jc w:val="center"/>
              <w:rPr>
                <w:rFonts w:ascii="宋体"/>
                <w:kern w:val="0"/>
              </w:rPr>
            </w:pPr>
          </w:p>
        </w:tc>
        <w:tc>
          <w:tcPr>
            <w:tcW w:w="1366" w:type="dxa"/>
            <w:vMerge w:val="continue"/>
            <w:vAlign w:val="center"/>
          </w:tcPr>
          <w:p w14:paraId="51172031">
            <w:pPr>
              <w:spacing w:line="240" w:lineRule="exact"/>
              <w:jc w:val="center"/>
              <w:rPr>
                <w:rFonts w:ascii="宋体"/>
                <w:kern w:val="0"/>
              </w:rPr>
            </w:pPr>
          </w:p>
        </w:tc>
        <w:tc>
          <w:tcPr>
            <w:tcW w:w="1185" w:type="dxa"/>
            <w:vMerge w:val="continue"/>
            <w:vAlign w:val="center"/>
          </w:tcPr>
          <w:p w14:paraId="5EB6D0C4">
            <w:pPr>
              <w:spacing w:line="240" w:lineRule="exact"/>
              <w:jc w:val="center"/>
              <w:rPr>
                <w:rFonts w:ascii="宋体"/>
                <w:kern w:val="0"/>
              </w:rPr>
            </w:pPr>
          </w:p>
        </w:tc>
        <w:tc>
          <w:tcPr>
            <w:tcW w:w="3351" w:type="dxa"/>
            <w:vAlign w:val="center"/>
          </w:tcPr>
          <w:p w14:paraId="7D9DD40F">
            <w:pPr>
              <w:spacing w:line="240" w:lineRule="exact"/>
              <w:jc w:val="left"/>
              <w:rPr>
                <w:rFonts w:ascii="宋体"/>
              </w:rPr>
            </w:pPr>
            <w:r>
              <w:rPr>
                <w:rFonts w:hint="eastAsia" w:ascii="宋体"/>
              </w:rPr>
              <w:t>1.发生货物移动、危险货物泄露等造成货物或船舶损失，响货物安全事故的；</w:t>
            </w:r>
          </w:p>
          <w:p w14:paraId="1A45461B">
            <w:pPr>
              <w:spacing w:line="240" w:lineRule="exact"/>
              <w:jc w:val="left"/>
              <w:rPr>
                <w:rFonts w:ascii="宋体"/>
              </w:rPr>
            </w:pPr>
            <w:r>
              <w:rPr>
                <w:rFonts w:hint="eastAsia" w:ascii="宋体"/>
              </w:rPr>
              <w:t>2.具有其他较重情节的。</w:t>
            </w:r>
          </w:p>
        </w:tc>
        <w:tc>
          <w:tcPr>
            <w:tcW w:w="6662" w:type="dxa"/>
            <w:vAlign w:val="center"/>
          </w:tcPr>
          <w:p w14:paraId="5FB5EBD0">
            <w:pPr>
              <w:spacing w:line="240" w:lineRule="atLeast"/>
              <w:jc w:val="center"/>
              <w:rPr>
                <w:rFonts w:ascii="宋体"/>
                <w:kern w:val="0"/>
              </w:rPr>
            </w:pPr>
            <w:r>
              <w:rPr>
                <w:rFonts w:hint="eastAsia" w:ascii="宋体"/>
                <w:kern w:val="0"/>
              </w:rPr>
              <w:t>5-10万元</w:t>
            </w:r>
          </w:p>
        </w:tc>
        <w:tc>
          <w:tcPr>
            <w:tcW w:w="2268" w:type="dxa"/>
            <w:vAlign w:val="center"/>
          </w:tcPr>
          <w:p w14:paraId="3EC0FB7F">
            <w:pPr>
              <w:spacing w:line="240" w:lineRule="atLeast"/>
              <w:jc w:val="center"/>
              <w:rPr>
                <w:rFonts w:ascii="宋体"/>
                <w:kern w:val="0"/>
              </w:rPr>
            </w:pPr>
            <w:r>
              <w:rPr>
                <w:rFonts w:hint="eastAsia" w:ascii="宋体"/>
                <w:kern w:val="0"/>
              </w:rPr>
              <w:t>1-2万元、并暂扣适任证书6个月至12个月</w:t>
            </w:r>
          </w:p>
        </w:tc>
        <w:tc>
          <w:tcPr>
            <w:tcW w:w="3028" w:type="dxa"/>
            <w:vAlign w:val="center"/>
          </w:tcPr>
          <w:p w14:paraId="73758E3B">
            <w:pPr>
              <w:spacing w:line="240" w:lineRule="atLeast"/>
              <w:jc w:val="center"/>
              <w:rPr>
                <w:rFonts w:ascii="宋体"/>
                <w:kern w:val="0"/>
              </w:rPr>
            </w:pPr>
            <w:r>
              <w:rPr>
                <w:rFonts w:hint="eastAsia" w:ascii="宋体"/>
                <w:kern w:val="0"/>
              </w:rPr>
              <w:t>1-2万元、并暂扣适任证书5个月至12个月</w:t>
            </w:r>
          </w:p>
        </w:tc>
      </w:tr>
      <w:tr w14:paraId="3765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6" w:hRule="atLeast"/>
        </w:trPr>
        <w:tc>
          <w:tcPr>
            <w:tcW w:w="959" w:type="dxa"/>
            <w:vMerge w:val="continue"/>
            <w:vAlign w:val="center"/>
          </w:tcPr>
          <w:p w14:paraId="0E5C1D19">
            <w:pPr>
              <w:spacing w:line="240" w:lineRule="exact"/>
              <w:jc w:val="center"/>
              <w:rPr>
                <w:rFonts w:ascii="宋体"/>
                <w:kern w:val="0"/>
              </w:rPr>
            </w:pPr>
          </w:p>
        </w:tc>
        <w:tc>
          <w:tcPr>
            <w:tcW w:w="1276" w:type="dxa"/>
            <w:vMerge w:val="continue"/>
            <w:vAlign w:val="center"/>
          </w:tcPr>
          <w:p w14:paraId="07FC76CD">
            <w:pPr>
              <w:spacing w:line="240" w:lineRule="exact"/>
              <w:jc w:val="center"/>
              <w:rPr>
                <w:rFonts w:ascii="宋体"/>
                <w:kern w:val="0"/>
              </w:rPr>
            </w:pPr>
          </w:p>
        </w:tc>
        <w:tc>
          <w:tcPr>
            <w:tcW w:w="1366" w:type="dxa"/>
            <w:vMerge w:val="continue"/>
            <w:vAlign w:val="center"/>
          </w:tcPr>
          <w:p w14:paraId="5DB1625B">
            <w:pPr>
              <w:spacing w:line="240" w:lineRule="exact"/>
              <w:jc w:val="center"/>
              <w:rPr>
                <w:rFonts w:ascii="宋体"/>
                <w:kern w:val="0"/>
              </w:rPr>
            </w:pPr>
          </w:p>
        </w:tc>
        <w:tc>
          <w:tcPr>
            <w:tcW w:w="1185" w:type="dxa"/>
            <w:vAlign w:val="center"/>
          </w:tcPr>
          <w:p w14:paraId="46FE33F1">
            <w:pPr>
              <w:spacing w:line="240" w:lineRule="exact"/>
              <w:jc w:val="center"/>
              <w:rPr>
                <w:rFonts w:ascii="宋体"/>
                <w:kern w:val="0"/>
              </w:rPr>
            </w:pPr>
            <w:r>
              <w:rPr>
                <w:rFonts w:hint="eastAsia" w:ascii="宋体"/>
                <w:kern w:val="0"/>
              </w:rPr>
              <w:t>情节严重</w:t>
            </w:r>
          </w:p>
        </w:tc>
        <w:tc>
          <w:tcPr>
            <w:tcW w:w="3351" w:type="dxa"/>
            <w:vAlign w:val="center"/>
          </w:tcPr>
          <w:p w14:paraId="1B14603E">
            <w:pPr>
              <w:spacing w:line="240" w:lineRule="exact"/>
              <w:jc w:val="left"/>
              <w:rPr>
                <w:rFonts w:ascii="宋体"/>
              </w:rPr>
            </w:pPr>
            <w:r>
              <w:rPr>
                <w:rFonts w:hint="eastAsia" w:ascii="宋体"/>
              </w:rPr>
              <w:t>1.造成人员伤亡的；</w:t>
            </w:r>
          </w:p>
          <w:p w14:paraId="56ACE6B0">
            <w:pPr>
              <w:spacing w:line="240" w:lineRule="exact"/>
              <w:jc w:val="left"/>
              <w:rPr>
                <w:rFonts w:ascii="宋体"/>
                <w:kern w:val="0"/>
              </w:rPr>
            </w:pPr>
            <w:r>
              <w:rPr>
                <w:rFonts w:hint="eastAsia" w:ascii="宋体"/>
              </w:rPr>
              <w:t>2.具有其他严重情节的。</w:t>
            </w:r>
          </w:p>
        </w:tc>
        <w:tc>
          <w:tcPr>
            <w:tcW w:w="6662" w:type="dxa"/>
            <w:vAlign w:val="center"/>
          </w:tcPr>
          <w:p w14:paraId="62F3859C">
            <w:pPr>
              <w:spacing w:line="240" w:lineRule="atLeast"/>
              <w:jc w:val="center"/>
              <w:rPr>
                <w:rFonts w:ascii="宋体"/>
                <w:kern w:val="0"/>
              </w:rPr>
            </w:pPr>
            <w:r>
              <w:rPr>
                <w:rFonts w:hint="eastAsia" w:ascii="宋体"/>
                <w:kern w:val="0"/>
              </w:rPr>
              <w:t>10-20万元</w:t>
            </w:r>
          </w:p>
        </w:tc>
        <w:tc>
          <w:tcPr>
            <w:tcW w:w="2268" w:type="dxa"/>
            <w:vAlign w:val="center"/>
          </w:tcPr>
          <w:p w14:paraId="4EBEF337">
            <w:pPr>
              <w:spacing w:line="240" w:lineRule="atLeast"/>
              <w:jc w:val="center"/>
              <w:rPr>
                <w:rFonts w:ascii="宋体"/>
                <w:kern w:val="0"/>
              </w:rPr>
            </w:pPr>
            <w:r>
              <w:rPr>
                <w:rFonts w:hint="eastAsia" w:ascii="宋体"/>
                <w:kern w:val="0"/>
              </w:rPr>
              <w:t>吊销适任证书</w:t>
            </w:r>
          </w:p>
        </w:tc>
        <w:tc>
          <w:tcPr>
            <w:tcW w:w="3028" w:type="dxa"/>
            <w:vAlign w:val="center"/>
          </w:tcPr>
          <w:p w14:paraId="2C19A3FE">
            <w:pPr>
              <w:spacing w:line="240" w:lineRule="atLeast"/>
              <w:jc w:val="center"/>
              <w:rPr>
                <w:rFonts w:ascii="宋体"/>
                <w:kern w:val="0"/>
              </w:rPr>
            </w:pPr>
            <w:r>
              <w:rPr>
                <w:rFonts w:hint="eastAsia" w:ascii="宋体"/>
                <w:kern w:val="0"/>
              </w:rPr>
              <w:t>吊销适任证书</w:t>
            </w:r>
          </w:p>
        </w:tc>
      </w:tr>
    </w:tbl>
    <w:p w14:paraId="6C8B873B">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0"/>
        <w:gridCol w:w="1152"/>
        <w:gridCol w:w="1559"/>
        <w:gridCol w:w="1099"/>
        <w:gridCol w:w="3437"/>
        <w:gridCol w:w="6662"/>
        <w:gridCol w:w="2268"/>
        <w:gridCol w:w="3028"/>
      </w:tblGrid>
      <w:tr w14:paraId="476A8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890" w:type="dxa"/>
            <w:vMerge w:val="restart"/>
            <w:vAlign w:val="center"/>
          </w:tcPr>
          <w:p w14:paraId="5C48AC46">
            <w:pPr>
              <w:spacing w:line="240" w:lineRule="exact"/>
              <w:jc w:val="center"/>
              <w:rPr>
                <w:rFonts w:ascii="宋体"/>
                <w:b/>
                <w:kern w:val="0"/>
              </w:rPr>
            </w:pPr>
            <w:r>
              <w:rPr>
                <w:rFonts w:hint="eastAsia" w:ascii="宋体"/>
                <w:b/>
                <w:kern w:val="0"/>
              </w:rPr>
              <w:t>案由52</w:t>
            </w:r>
          </w:p>
        </w:tc>
        <w:tc>
          <w:tcPr>
            <w:tcW w:w="2711" w:type="dxa"/>
            <w:gridSpan w:val="2"/>
            <w:vAlign w:val="center"/>
          </w:tcPr>
          <w:p w14:paraId="4CB623A9">
            <w:pPr>
              <w:spacing w:line="240" w:lineRule="exact"/>
              <w:jc w:val="center"/>
              <w:rPr>
                <w:rFonts w:ascii="宋体"/>
                <w:b/>
                <w:kern w:val="0"/>
              </w:rPr>
            </w:pPr>
            <w:r>
              <w:rPr>
                <w:rFonts w:hint="eastAsia" w:ascii="宋体"/>
                <w:b/>
                <w:kern w:val="0"/>
              </w:rPr>
              <w:t>法律依据</w:t>
            </w:r>
          </w:p>
        </w:tc>
        <w:tc>
          <w:tcPr>
            <w:tcW w:w="1099" w:type="dxa"/>
            <w:vMerge w:val="restart"/>
            <w:vAlign w:val="center"/>
          </w:tcPr>
          <w:p w14:paraId="53982E00">
            <w:pPr>
              <w:spacing w:line="240" w:lineRule="exact"/>
              <w:jc w:val="center"/>
              <w:rPr>
                <w:rFonts w:ascii="宋体"/>
                <w:b/>
                <w:kern w:val="0"/>
              </w:rPr>
            </w:pPr>
            <w:r>
              <w:rPr>
                <w:rFonts w:hint="eastAsia" w:ascii="宋体"/>
                <w:b/>
                <w:kern w:val="0"/>
              </w:rPr>
              <w:t>违法情节</w:t>
            </w:r>
          </w:p>
        </w:tc>
        <w:tc>
          <w:tcPr>
            <w:tcW w:w="3437" w:type="dxa"/>
            <w:vMerge w:val="restart"/>
            <w:vAlign w:val="center"/>
          </w:tcPr>
          <w:p w14:paraId="0954F17E">
            <w:pPr>
              <w:spacing w:line="240" w:lineRule="exact"/>
              <w:jc w:val="center"/>
              <w:rPr>
                <w:rFonts w:ascii="宋体"/>
                <w:b/>
                <w:kern w:val="0"/>
              </w:rPr>
            </w:pPr>
            <w:r>
              <w:rPr>
                <w:rFonts w:hint="eastAsia" w:ascii="宋体"/>
                <w:b/>
                <w:kern w:val="0"/>
              </w:rPr>
              <w:t>主要考虑因素（事实、性质、情节、危害程度和实际后果等）</w:t>
            </w:r>
          </w:p>
        </w:tc>
        <w:tc>
          <w:tcPr>
            <w:tcW w:w="11958" w:type="dxa"/>
            <w:gridSpan w:val="3"/>
            <w:vAlign w:val="center"/>
          </w:tcPr>
          <w:p w14:paraId="041C6991">
            <w:pPr>
              <w:widowControl/>
              <w:spacing w:line="240" w:lineRule="exact"/>
              <w:jc w:val="left"/>
              <w:rPr>
                <w:rFonts w:ascii="宋体"/>
                <w:b/>
                <w:kern w:val="0"/>
              </w:rPr>
            </w:pPr>
            <w:r>
              <w:rPr>
                <w:rFonts w:hint="eastAsia" w:ascii="宋体"/>
                <w:b/>
                <w:kern w:val="0"/>
              </w:rPr>
              <w:t>【法定幅度和种类】</w:t>
            </w:r>
            <w:r>
              <w:rPr>
                <w:rFonts w:hint="eastAsia" w:ascii="宋体"/>
                <w:bCs/>
                <w:kern w:val="0"/>
              </w:rPr>
              <w:t>对船舶的所有人、经营人或者管理人处三千元以上三万元以下的罚款，对船长、责任船员或者其他责任人员，处二千元以上二万元以下的罚款；情节严重的，吊销船长、责任船员的船员适任证书。</w:t>
            </w:r>
          </w:p>
        </w:tc>
      </w:tr>
      <w:tr w14:paraId="56CF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90" w:type="dxa"/>
            <w:vMerge w:val="continue"/>
            <w:vAlign w:val="center"/>
          </w:tcPr>
          <w:p w14:paraId="3A8043BA">
            <w:pPr>
              <w:spacing w:line="240" w:lineRule="exact"/>
              <w:jc w:val="center"/>
              <w:rPr>
                <w:rFonts w:ascii="宋体"/>
                <w:b/>
                <w:kern w:val="0"/>
              </w:rPr>
            </w:pPr>
          </w:p>
        </w:tc>
        <w:tc>
          <w:tcPr>
            <w:tcW w:w="1152" w:type="dxa"/>
            <w:vAlign w:val="center"/>
          </w:tcPr>
          <w:p w14:paraId="5086A91F">
            <w:pPr>
              <w:spacing w:line="240" w:lineRule="exact"/>
              <w:jc w:val="center"/>
              <w:rPr>
                <w:rFonts w:ascii="宋体"/>
                <w:b/>
                <w:kern w:val="0"/>
              </w:rPr>
            </w:pPr>
            <w:r>
              <w:rPr>
                <w:rFonts w:hint="eastAsia" w:ascii="宋体"/>
                <w:b/>
                <w:kern w:val="0"/>
              </w:rPr>
              <w:t>违反条款</w:t>
            </w:r>
          </w:p>
        </w:tc>
        <w:tc>
          <w:tcPr>
            <w:tcW w:w="1559" w:type="dxa"/>
            <w:vAlign w:val="center"/>
          </w:tcPr>
          <w:p w14:paraId="152EC210">
            <w:pPr>
              <w:spacing w:line="240" w:lineRule="exact"/>
              <w:jc w:val="center"/>
              <w:rPr>
                <w:rFonts w:ascii="宋体"/>
                <w:b/>
                <w:kern w:val="0"/>
              </w:rPr>
            </w:pPr>
            <w:r>
              <w:rPr>
                <w:rFonts w:hint="eastAsia" w:ascii="宋体"/>
                <w:b/>
                <w:kern w:val="0"/>
              </w:rPr>
              <w:t>处罚依据</w:t>
            </w:r>
          </w:p>
        </w:tc>
        <w:tc>
          <w:tcPr>
            <w:tcW w:w="1099" w:type="dxa"/>
            <w:vMerge w:val="continue"/>
            <w:vAlign w:val="center"/>
          </w:tcPr>
          <w:p w14:paraId="581ECFD4">
            <w:pPr>
              <w:spacing w:line="240" w:lineRule="exact"/>
              <w:jc w:val="center"/>
              <w:rPr>
                <w:rFonts w:ascii="宋体"/>
                <w:b/>
                <w:kern w:val="0"/>
              </w:rPr>
            </w:pPr>
          </w:p>
        </w:tc>
        <w:tc>
          <w:tcPr>
            <w:tcW w:w="3437" w:type="dxa"/>
            <w:vMerge w:val="continue"/>
            <w:vAlign w:val="center"/>
          </w:tcPr>
          <w:p w14:paraId="5B08F0BC">
            <w:pPr>
              <w:spacing w:line="240" w:lineRule="exact"/>
              <w:jc w:val="center"/>
              <w:rPr>
                <w:rFonts w:ascii="宋体"/>
                <w:b/>
                <w:kern w:val="0"/>
              </w:rPr>
            </w:pPr>
          </w:p>
        </w:tc>
        <w:tc>
          <w:tcPr>
            <w:tcW w:w="6662" w:type="dxa"/>
            <w:vAlign w:val="center"/>
          </w:tcPr>
          <w:p w14:paraId="4EFD4E06">
            <w:pPr>
              <w:spacing w:line="240" w:lineRule="exact"/>
              <w:jc w:val="center"/>
              <w:rPr>
                <w:rFonts w:ascii="宋体"/>
                <w:b/>
                <w:kern w:val="0"/>
              </w:rPr>
            </w:pPr>
            <w:r>
              <w:rPr>
                <w:rFonts w:hint="eastAsia" w:ascii="宋体"/>
                <w:b/>
                <w:kern w:val="0"/>
              </w:rPr>
              <w:t>【对象】对船舶的所有人、经营人或者管理人</w:t>
            </w:r>
          </w:p>
        </w:tc>
        <w:tc>
          <w:tcPr>
            <w:tcW w:w="2268" w:type="dxa"/>
            <w:vAlign w:val="center"/>
          </w:tcPr>
          <w:p w14:paraId="321F4673">
            <w:pPr>
              <w:spacing w:line="240" w:lineRule="exact"/>
              <w:jc w:val="center"/>
              <w:rPr>
                <w:rFonts w:ascii="宋体"/>
                <w:b/>
                <w:kern w:val="0"/>
              </w:rPr>
            </w:pPr>
            <w:r>
              <w:rPr>
                <w:rFonts w:hint="eastAsia" w:ascii="宋体"/>
                <w:b/>
                <w:kern w:val="0"/>
              </w:rPr>
              <w:t>【对象】船长</w:t>
            </w:r>
          </w:p>
        </w:tc>
        <w:tc>
          <w:tcPr>
            <w:tcW w:w="3028" w:type="dxa"/>
            <w:vAlign w:val="center"/>
          </w:tcPr>
          <w:p w14:paraId="546A4D78">
            <w:pPr>
              <w:spacing w:line="240" w:lineRule="exact"/>
              <w:jc w:val="center"/>
              <w:rPr>
                <w:rFonts w:ascii="宋体"/>
                <w:b/>
                <w:kern w:val="0"/>
              </w:rPr>
            </w:pPr>
            <w:r>
              <w:rPr>
                <w:rFonts w:hint="eastAsia" w:ascii="宋体"/>
                <w:b/>
                <w:kern w:val="0"/>
              </w:rPr>
              <w:t>【对象】责任船员/人员</w:t>
            </w:r>
          </w:p>
        </w:tc>
      </w:tr>
      <w:tr w14:paraId="3F4A8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90" w:type="dxa"/>
            <w:vMerge w:val="restart"/>
            <w:vAlign w:val="center"/>
          </w:tcPr>
          <w:p w14:paraId="627519BF">
            <w:pPr>
              <w:widowControl/>
              <w:spacing w:line="240" w:lineRule="exact"/>
              <w:jc w:val="left"/>
              <w:rPr>
                <w:rFonts w:ascii="宋体"/>
                <w:kern w:val="0"/>
              </w:rPr>
            </w:pPr>
            <w:r>
              <w:rPr>
                <w:rFonts w:hint="eastAsia" w:ascii="宋体"/>
                <w:kern w:val="0"/>
              </w:rPr>
              <w:t>国际航行船舶未经许可进出口岸</w:t>
            </w:r>
          </w:p>
        </w:tc>
        <w:tc>
          <w:tcPr>
            <w:tcW w:w="1152" w:type="dxa"/>
            <w:vMerge w:val="restart"/>
            <w:vAlign w:val="center"/>
          </w:tcPr>
          <w:p w14:paraId="56C9EAE3">
            <w:pPr>
              <w:widowControl/>
              <w:spacing w:line="240" w:lineRule="exact"/>
              <w:jc w:val="left"/>
              <w:rPr>
                <w:rFonts w:ascii="宋体"/>
                <w:kern w:val="0"/>
              </w:rPr>
            </w:pPr>
            <w:r>
              <w:rPr>
                <w:rFonts w:hint="eastAsia" w:ascii="宋体"/>
                <w:kern w:val="0"/>
              </w:rPr>
              <w:t>1.《中华人民共和国海上交通安全法》第四十六条第一款；</w:t>
            </w:r>
          </w:p>
          <w:p w14:paraId="772C6BA2">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5ED62814">
            <w:pPr>
              <w:spacing w:line="240" w:lineRule="exact"/>
              <w:jc w:val="left"/>
              <w:rPr>
                <w:rFonts w:ascii="宋体"/>
                <w:kern w:val="0"/>
              </w:rPr>
            </w:pPr>
            <w:r>
              <w:rPr>
                <w:rFonts w:hint="eastAsia" w:ascii="宋体"/>
                <w:kern w:val="0"/>
              </w:rPr>
              <w:t>1.《中华人民共和国海上交通安全法》第一百零四条第一款、《中华人民共和国海上海事行政处罚规定》第二十二条。</w:t>
            </w:r>
          </w:p>
          <w:p w14:paraId="210A8312">
            <w:pPr>
              <w:spacing w:line="240" w:lineRule="exact"/>
              <w:jc w:val="left"/>
              <w:rPr>
                <w:rFonts w:ascii="宋体"/>
                <w:kern w:val="0"/>
              </w:rPr>
            </w:pPr>
            <w:r>
              <w:rPr>
                <w:rFonts w:hint="eastAsia" w:ascii="宋体"/>
                <w:kern w:val="0"/>
              </w:rPr>
              <w:t>2.《中华人民共和国海上海事行政处罚规定》第七条。</w:t>
            </w:r>
          </w:p>
        </w:tc>
        <w:tc>
          <w:tcPr>
            <w:tcW w:w="1099" w:type="dxa"/>
            <w:vAlign w:val="center"/>
          </w:tcPr>
          <w:p w14:paraId="4182FBBA">
            <w:pPr>
              <w:widowControl/>
              <w:spacing w:line="240" w:lineRule="exact"/>
              <w:jc w:val="center"/>
              <w:rPr>
                <w:rFonts w:ascii="宋体"/>
              </w:rPr>
            </w:pPr>
            <w:r>
              <w:rPr>
                <w:rFonts w:hint="eastAsia" w:ascii="宋体"/>
              </w:rPr>
              <w:t>从轻</w:t>
            </w:r>
          </w:p>
        </w:tc>
        <w:tc>
          <w:tcPr>
            <w:tcW w:w="3437" w:type="dxa"/>
            <w:vAlign w:val="center"/>
          </w:tcPr>
          <w:p w14:paraId="1D474B6E">
            <w:pPr>
              <w:widowControl/>
              <w:spacing w:line="240" w:lineRule="exact"/>
              <w:jc w:val="left"/>
              <w:rPr>
                <w:rFonts w:ascii="宋体"/>
              </w:rPr>
            </w:pPr>
            <w:r>
              <w:rPr>
                <w:rFonts w:hint="eastAsia" w:ascii="宋体"/>
              </w:rPr>
              <w:t>具有法定从轻处罚情节的</w:t>
            </w:r>
          </w:p>
        </w:tc>
        <w:tc>
          <w:tcPr>
            <w:tcW w:w="6662" w:type="dxa"/>
            <w:vAlign w:val="center"/>
          </w:tcPr>
          <w:p w14:paraId="7FAD655D">
            <w:pPr>
              <w:widowControl/>
              <w:spacing w:line="240" w:lineRule="exact"/>
              <w:jc w:val="center"/>
              <w:rPr>
                <w:rFonts w:ascii="宋体"/>
              </w:rPr>
            </w:pPr>
            <w:r>
              <w:rPr>
                <w:rFonts w:hint="eastAsia" w:ascii="宋体"/>
              </w:rPr>
              <w:t>3000-5000元</w:t>
            </w:r>
          </w:p>
        </w:tc>
        <w:tc>
          <w:tcPr>
            <w:tcW w:w="2268" w:type="dxa"/>
            <w:vAlign w:val="center"/>
          </w:tcPr>
          <w:p w14:paraId="19C395A6">
            <w:pPr>
              <w:widowControl/>
              <w:spacing w:line="240" w:lineRule="exact"/>
              <w:jc w:val="center"/>
              <w:rPr>
                <w:rFonts w:ascii="宋体"/>
              </w:rPr>
            </w:pPr>
            <w:r>
              <w:rPr>
                <w:rFonts w:hint="eastAsia" w:ascii="宋体"/>
              </w:rPr>
              <w:t>2000-5000元</w:t>
            </w:r>
          </w:p>
        </w:tc>
        <w:tc>
          <w:tcPr>
            <w:tcW w:w="3028" w:type="dxa"/>
            <w:vAlign w:val="center"/>
          </w:tcPr>
          <w:p w14:paraId="4F7CB91E">
            <w:pPr>
              <w:widowControl/>
              <w:spacing w:line="240" w:lineRule="exact"/>
              <w:jc w:val="center"/>
              <w:rPr>
                <w:rFonts w:ascii="宋体"/>
              </w:rPr>
            </w:pPr>
            <w:r>
              <w:rPr>
                <w:rFonts w:hint="eastAsia" w:ascii="宋体"/>
              </w:rPr>
              <w:t>2000-4000元</w:t>
            </w:r>
          </w:p>
        </w:tc>
      </w:tr>
      <w:tr w14:paraId="39439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890" w:type="dxa"/>
            <w:vMerge w:val="continue"/>
            <w:vAlign w:val="center"/>
          </w:tcPr>
          <w:p w14:paraId="6EE4DBD9">
            <w:pPr>
              <w:spacing w:line="240" w:lineRule="exact"/>
              <w:jc w:val="center"/>
              <w:rPr>
                <w:rFonts w:ascii="宋体"/>
                <w:kern w:val="0"/>
              </w:rPr>
            </w:pPr>
          </w:p>
        </w:tc>
        <w:tc>
          <w:tcPr>
            <w:tcW w:w="1152" w:type="dxa"/>
            <w:vMerge w:val="continue"/>
            <w:vAlign w:val="center"/>
          </w:tcPr>
          <w:p w14:paraId="74D51974">
            <w:pPr>
              <w:widowControl/>
              <w:spacing w:line="240" w:lineRule="exact"/>
              <w:jc w:val="center"/>
              <w:rPr>
                <w:rFonts w:ascii="宋体"/>
                <w:kern w:val="0"/>
              </w:rPr>
            </w:pPr>
          </w:p>
        </w:tc>
        <w:tc>
          <w:tcPr>
            <w:tcW w:w="1559" w:type="dxa"/>
            <w:vMerge w:val="continue"/>
            <w:vAlign w:val="center"/>
          </w:tcPr>
          <w:p w14:paraId="3EB64338">
            <w:pPr>
              <w:spacing w:line="240" w:lineRule="exact"/>
              <w:jc w:val="center"/>
              <w:rPr>
                <w:rFonts w:ascii="宋体"/>
                <w:kern w:val="0"/>
              </w:rPr>
            </w:pPr>
          </w:p>
        </w:tc>
        <w:tc>
          <w:tcPr>
            <w:tcW w:w="1099" w:type="dxa"/>
            <w:vMerge w:val="restart"/>
            <w:vAlign w:val="center"/>
          </w:tcPr>
          <w:p w14:paraId="08736EB9">
            <w:pPr>
              <w:widowControl/>
              <w:spacing w:line="240" w:lineRule="exact"/>
              <w:jc w:val="center"/>
              <w:rPr>
                <w:rFonts w:ascii="宋体"/>
              </w:rPr>
            </w:pPr>
            <w:r>
              <w:rPr>
                <w:rFonts w:hint="eastAsia" w:ascii="宋体"/>
              </w:rPr>
              <w:t>一般</w:t>
            </w:r>
          </w:p>
        </w:tc>
        <w:tc>
          <w:tcPr>
            <w:tcW w:w="3437" w:type="dxa"/>
            <w:vAlign w:val="center"/>
          </w:tcPr>
          <w:p w14:paraId="3D6C9016">
            <w:pPr>
              <w:widowControl/>
              <w:spacing w:line="240" w:lineRule="exact"/>
              <w:jc w:val="left"/>
              <w:rPr>
                <w:rFonts w:ascii="宋体"/>
              </w:rPr>
            </w:pPr>
            <w:r>
              <w:rPr>
                <w:rFonts w:hint="eastAsia" w:ascii="宋体"/>
              </w:rPr>
              <w:t>已经提交申请尚未审批的</w:t>
            </w:r>
          </w:p>
        </w:tc>
        <w:tc>
          <w:tcPr>
            <w:tcW w:w="6662" w:type="dxa"/>
            <w:vAlign w:val="center"/>
          </w:tcPr>
          <w:p w14:paraId="39C75802">
            <w:pPr>
              <w:widowControl/>
              <w:spacing w:line="240" w:lineRule="exact"/>
              <w:jc w:val="center"/>
              <w:rPr>
                <w:rFonts w:ascii="宋体"/>
              </w:rPr>
            </w:pPr>
            <w:r>
              <w:rPr>
                <w:rFonts w:hint="eastAsia" w:ascii="宋体"/>
              </w:rPr>
              <w:t>5000-8000元</w:t>
            </w:r>
          </w:p>
        </w:tc>
        <w:tc>
          <w:tcPr>
            <w:tcW w:w="2268" w:type="dxa"/>
            <w:vAlign w:val="center"/>
          </w:tcPr>
          <w:p w14:paraId="5ABE9C8C">
            <w:pPr>
              <w:widowControl/>
              <w:spacing w:line="240" w:lineRule="exact"/>
              <w:jc w:val="center"/>
              <w:rPr>
                <w:rFonts w:ascii="宋体"/>
              </w:rPr>
            </w:pPr>
            <w:r>
              <w:rPr>
                <w:rFonts w:hint="eastAsia" w:ascii="宋体"/>
              </w:rPr>
              <w:t>5000-8000元</w:t>
            </w:r>
          </w:p>
        </w:tc>
        <w:tc>
          <w:tcPr>
            <w:tcW w:w="3028" w:type="dxa"/>
            <w:vAlign w:val="center"/>
          </w:tcPr>
          <w:p w14:paraId="659CC16D">
            <w:pPr>
              <w:widowControl/>
              <w:spacing w:line="240" w:lineRule="exact"/>
              <w:jc w:val="center"/>
              <w:rPr>
                <w:rFonts w:ascii="宋体"/>
              </w:rPr>
            </w:pPr>
            <w:r>
              <w:rPr>
                <w:rFonts w:hint="eastAsia" w:ascii="宋体"/>
              </w:rPr>
              <w:t>4000-6000元</w:t>
            </w:r>
          </w:p>
        </w:tc>
      </w:tr>
      <w:tr w14:paraId="3F31B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890" w:type="dxa"/>
            <w:vMerge w:val="continue"/>
            <w:vAlign w:val="center"/>
          </w:tcPr>
          <w:p w14:paraId="37B047EF">
            <w:pPr>
              <w:spacing w:line="240" w:lineRule="exact"/>
              <w:jc w:val="center"/>
              <w:rPr>
                <w:rFonts w:ascii="宋体"/>
                <w:kern w:val="0"/>
              </w:rPr>
            </w:pPr>
          </w:p>
        </w:tc>
        <w:tc>
          <w:tcPr>
            <w:tcW w:w="1152" w:type="dxa"/>
            <w:vMerge w:val="continue"/>
            <w:vAlign w:val="center"/>
          </w:tcPr>
          <w:p w14:paraId="4D6E8AB8">
            <w:pPr>
              <w:spacing w:line="240" w:lineRule="exact"/>
              <w:jc w:val="center"/>
              <w:rPr>
                <w:rFonts w:ascii="宋体"/>
                <w:kern w:val="0"/>
              </w:rPr>
            </w:pPr>
          </w:p>
        </w:tc>
        <w:tc>
          <w:tcPr>
            <w:tcW w:w="1559" w:type="dxa"/>
            <w:vMerge w:val="continue"/>
            <w:vAlign w:val="center"/>
          </w:tcPr>
          <w:p w14:paraId="6F00300D">
            <w:pPr>
              <w:spacing w:line="240" w:lineRule="exact"/>
              <w:jc w:val="center"/>
              <w:rPr>
                <w:rFonts w:ascii="宋体"/>
                <w:kern w:val="0"/>
              </w:rPr>
            </w:pPr>
          </w:p>
        </w:tc>
        <w:tc>
          <w:tcPr>
            <w:tcW w:w="1099" w:type="dxa"/>
            <w:vMerge w:val="continue"/>
            <w:vAlign w:val="center"/>
          </w:tcPr>
          <w:p w14:paraId="6A1CDD8D">
            <w:pPr>
              <w:spacing w:line="240" w:lineRule="exact"/>
              <w:jc w:val="center"/>
              <w:rPr>
                <w:rFonts w:ascii="宋体"/>
              </w:rPr>
            </w:pPr>
          </w:p>
        </w:tc>
        <w:tc>
          <w:tcPr>
            <w:tcW w:w="3437" w:type="dxa"/>
            <w:vAlign w:val="center"/>
          </w:tcPr>
          <w:p w14:paraId="76CB973D">
            <w:pPr>
              <w:widowControl/>
              <w:spacing w:line="240" w:lineRule="exact"/>
              <w:jc w:val="left"/>
              <w:rPr>
                <w:rFonts w:ascii="宋体"/>
              </w:rPr>
            </w:pPr>
            <w:r>
              <w:rPr>
                <w:rFonts w:hint="eastAsia" w:ascii="宋体"/>
              </w:rPr>
              <w:t>未提交申请的</w:t>
            </w:r>
          </w:p>
        </w:tc>
        <w:tc>
          <w:tcPr>
            <w:tcW w:w="6662" w:type="dxa"/>
            <w:vAlign w:val="center"/>
          </w:tcPr>
          <w:p w14:paraId="56E2CD2B">
            <w:pPr>
              <w:widowControl/>
              <w:spacing w:line="240" w:lineRule="exact"/>
              <w:jc w:val="center"/>
              <w:rPr>
                <w:rFonts w:ascii="宋体"/>
              </w:rPr>
            </w:pPr>
            <w:r>
              <w:rPr>
                <w:rFonts w:hint="eastAsia" w:ascii="宋体"/>
              </w:rPr>
              <w:t>8000元-1万元</w:t>
            </w:r>
          </w:p>
        </w:tc>
        <w:tc>
          <w:tcPr>
            <w:tcW w:w="2268" w:type="dxa"/>
            <w:vAlign w:val="center"/>
          </w:tcPr>
          <w:p w14:paraId="50F3D2B0">
            <w:pPr>
              <w:widowControl/>
              <w:spacing w:line="240" w:lineRule="exact"/>
              <w:jc w:val="center"/>
              <w:rPr>
                <w:rFonts w:ascii="宋体"/>
              </w:rPr>
            </w:pPr>
            <w:r>
              <w:rPr>
                <w:rFonts w:hint="eastAsia" w:ascii="宋体"/>
              </w:rPr>
              <w:t>8000元-1万元</w:t>
            </w:r>
          </w:p>
        </w:tc>
        <w:tc>
          <w:tcPr>
            <w:tcW w:w="3028" w:type="dxa"/>
            <w:vAlign w:val="center"/>
          </w:tcPr>
          <w:p w14:paraId="7FB4ADD6">
            <w:pPr>
              <w:widowControl/>
              <w:spacing w:line="240" w:lineRule="exact"/>
              <w:jc w:val="center"/>
              <w:rPr>
                <w:rFonts w:ascii="宋体"/>
              </w:rPr>
            </w:pPr>
            <w:r>
              <w:rPr>
                <w:rFonts w:hint="eastAsia" w:ascii="宋体"/>
              </w:rPr>
              <w:t>6000元-1万元</w:t>
            </w:r>
          </w:p>
        </w:tc>
      </w:tr>
      <w:tr w14:paraId="5556B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890" w:type="dxa"/>
            <w:vMerge w:val="continue"/>
            <w:vAlign w:val="center"/>
          </w:tcPr>
          <w:p w14:paraId="7B9E55D2">
            <w:pPr>
              <w:spacing w:line="240" w:lineRule="exact"/>
              <w:jc w:val="center"/>
              <w:rPr>
                <w:rFonts w:ascii="宋体"/>
                <w:kern w:val="0"/>
              </w:rPr>
            </w:pPr>
          </w:p>
        </w:tc>
        <w:tc>
          <w:tcPr>
            <w:tcW w:w="1152" w:type="dxa"/>
            <w:vMerge w:val="continue"/>
            <w:vAlign w:val="center"/>
          </w:tcPr>
          <w:p w14:paraId="50ED3F98">
            <w:pPr>
              <w:spacing w:line="240" w:lineRule="exact"/>
              <w:jc w:val="center"/>
              <w:rPr>
                <w:rFonts w:ascii="宋体"/>
                <w:kern w:val="0"/>
              </w:rPr>
            </w:pPr>
          </w:p>
        </w:tc>
        <w:tc>
          <w:tcPr>
            <w:tcW w:w="1559" w:type="dxa"/>
            <w:vMerge w:val="continue"/>
            <w:vAlign w:val="center"/>
          </w:tcPr>
          <w:p w14:paraId="53BF42D8">
            <w:pPr>
              <w:spacing w:line="240" w:lineRule="exact"/>
              <w:jc w:val="center"/>
              <w:rPr>
                <w:rFonts w:ascii="宋体"/>
                <w:kern w:val="0"/>
              </w:rPr>
            </w:pPr>
          </w:p>
        </w:tc>
        <w:tc>
          <w:tcPr>
            <w:tcW w:w="1099" w:type="dxa"/>
            <w:vMerge w:val="continue"/>
            <w:vAlign w:val="center"/>
          </w:tcPr>
          <w:p w14:paraId="31B06CAF">
            <w:pPr>
              <w:widowControl/>
              <w:spacing w:line="240" w:lineRule="exact"/>
              <w:jc w:val="center"/>
              <w:rPr>
                <w:rFonts w:ascii="宋体"/>
              </w:rPr>
            </w:pPr>
          </w:p>
        </w:tc>
        <w:tc>
          <w:tcPr>
            <w:tcW w:w="3437" w:type="dxa"/>
            <w:vAlign w:val="center"/>
          </w:tcPr>
          <w:p w14:paraId="0BCDBE6C">
            <w:pPr>
              <w:widowControl/>
              <w:spacing w:line="240" w:lineRule="exact"/>
              <w:jc w:val="left"/>
              <w:rPr>
                <w:rFonts w:ascii="宋体"/>
              </w:rPr>
            </w:pPr>
            <w:r>
              <w:rPr>
                <w:rFonts w:hint="eastAsia" w:ascii="宋体"/>
              </w:rPr>
              <w:t>1.经警告、劝阻后仍强行进出的；</w:t>
            </w:r>
          </w:p>
          <w:p w14:paraId="2BE1A668">
            <w:pPr>
              <w:widowControl/>
              <w:spacing w:line="240" w:lineRule="exact"/>
              <w:jc w:val="left"/>
              <w:rPr>
                <w:rFonts w:ascii="宋体"/>
              </w:rPr>
            </w:pPr>
            <w:r>
              <w:rPr>
                <w:rFonts w:hint="eastAsia" w:ascii="宋体"/>
              </w:rPr>
              <w:t>2.造成一般事故或险情的；</w:t>
            </w:r>
          </w:p>
          <w:p w14:paraId="23E18011">
            <w:pPr>
              <w:widowControl/>
              <w:spacing w:line="240" w:lineRule="exact"/>
              <w:jc w:val="left"/>
              <w:rPr>
                <w:rFonts w:ascii="宋体"/>
              </w:rPr>
            </w:pPr>
            <w:r>
              <w:rPr>
                <w:rFonts w:hint="eastAsia" w:ascii="宋体"/>
              </w:rPr>
              <w:t>3.具有其他较重情节的。</w:t>
            </w:r>
          </w:p>
        </w:tc>
        <w:tc>
          <w:tcPr>
            <w:tcW w:w="6662" w:type="dxa"/>
            <w:vAlign w:val="center"/>
          </w:tcPr>
          <w:p w14:paraId="209E7D16">
            <w:pPr>
              <w:widowControl/>
              <w:spacing w:line="240" w:lineRule="exact"/>
              <w:jc w:val="center"/>
              <w:rPr>
                <w:rFonts w:ascii="宋体"/>
              </w:rPr>
            </w:pPr>
            <w:r>
              <w:rPr>
                <w:rFonts w:hint="eastAsia" w:ascii="宋体"/>
              </w:rPr>
              <w:t>1-2万元</w:t>
            </w:r>
          </w:p>
        </w:tc>
        <w:tc>
          <w:tcPr>
            <w:tcW w:w="2268" w:type="dxa"/>
            <w:vAlign w:val="center"/>
          </w:tcPr>
          <w:p w14:paraId="070FAD2B">
            <w:pPr>
              <w:widowControl/>
              <w:spacing w:line="240" w:lineRule="exact"/>
              <w:jc w:val="center"/>
              <w:rPr>
                <w:rFonts w:ascii="宋体"/>
              </w:rPr>
            </w:pPr>
            <w:r>
              <w:rPr>
                <w:rFonts w:hint="eastAsia" w:ascii="宋体"/>
              </w:rPr>
              <w:t>1-2万元</w:t>
            </w:r>
          </w:p>
        </w:tc>
        <w:tc>
          <w:tcPr>
            <w:tcW w:w="3028" w:type="dxa"/>
            <w:vAlign w:val="center"/>
          </w:tcPr>
          <w:p w14:paraId="2FC8537F">
            <w:pPr>
              <w:widowControl/>
              <w:spacing w:line="240" w:lineRule="exact"/>
              <w:jc w:val="center"/>
              <w:rPr>
                <w:rFonts w:ascii="宋体"/>
              </w:rPr>
            </w:pPr>
            <w:r>
              <w:rPr>
                <w:rFonts w:hint="eastAsia" w:ascii="宋体"/>
              </w:rPr>
              <w:t>1-2万元</w:t>
            </w:r>
          </w:p>
        </w:tc>
      </w:tr>
      <w:tr w14:paraId="463C3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890" w:type="dxa"/>
            <w:vMerge w:val="continue"/>
            <w:vAlign w:val="center"/>
          </w:tcPr>
          <w:p w14:paraId="27461AED">
            <w:pPr>
              <w:spacing w:line="240" w:lineRule="exact"/>
              <w:jc w:val="center"/>
              <w:rPr>
                <w:rFonts w:ascii="宋体"/>
                <w:kern w:val="0"/>
              </w:rPr>
            </w:pPr>
          </w:p>
        </w:tc>
        <w:tc>
          <w:tcPr>
            <w:tcW w:w="1152" w:type="dxa"/>
            <w:vMerge w:val="continue"/>
            <w:vAlign w:val="center"/>
          </w:tcPr>
          <w:p w14:paraId="04FAFCE0">
            <w:pPr>
              <w:spacing w:line="240" w:lineRule="exact"/>
              <w:jc w:val="center"/>
              <w:rPr>
                <w:rFonts w:ascii="宋体"/>
                <w:kern w:val="0"/>
              </w:rPr>
            </w:pPr>
          </w:p>
        </w:tc>
        <w:tc>
          <w:tcPr>
            <w:tcW w:w="1559" w:type="dxa"/>
            <w:vMerge w:val="continue"/>
            <w:vAlign w:val="center"/>
          </w:tcPr>
          <w:p w14:paraId="79012483">
            <w:pPr>
              <w:spacing w:line="240" w:lineRule="exact"/>
              <w:jc w:val="center"/>
              <w:rPr>
                <w:rFonts w:ascii="宋体"/>
                <w:kern w:val="0"/>
              </w:rPr>
            </w:pPr>
          </w:p>
        </w:tc>
        <w:tc>
          <w:tcPr>
            <w:tcW w:w="1099" w:type="dxa"/>
            <w:vAlign w:val="center"/>
          </w:tcPr>
          <w:p w14:paraId="428C2B45">
            <w:pPr>
              <w:widowControl/>
              <w:spacing w:line="240" w:lineRule="exact"/>
              <w:jc w:val="center"/>
              <w:rPr>
                <w:rFonts w:ascii="宋体"/>
              </w:rPr>
            </w:pPr>
            <w:r>
              <w:rPr>
                <w:rFonts w:hint="eastAsia" w:ascii="宋体"/>
              </w:rPr>
              <w:t>情节严重</w:t>
            </w:r>
          </w:p>
        </w:tc>
        <w:tc>
          <w:tcPr>
            <w:tcW w:w="3437" w:type="dxa"/>
            <w:vAlign w:val="center"/>
          </w:tcPr>
          <w:p w14:paraId="737BC0DF">
            <w:pPr>
              <w:widowControl/>
              <w:spacing w:line="240" w:lineRule="exact"/>
              <w:jc w:val="left"/>
              <w:rPr>
                <w:rFonts w:ascii="宋体"/>
              </w:rPr>
            </w:pPr>
            <w:r>
              <w:rPr>
                <w:rFonts w:hint="eastAsia" w:ascii="宋体"/>
              </w:rPr>
              <w:t>1.造成较大等级以上事故的；</w:t>
            </w:r>
          </w:p>
          <w:p w14:paraId="2DA8CCD8">
            <w:pPr>
              <w:widowControl/>
              <w:spacing w:line="240" w:lineRule="exact"/>
              <w:jc w:val="left"/>
              <w:rPr>
                <w:rFonts w:ascii="宋体"/>
              </w:rPr>
            </w:pPr>
            <w:r>
              <w:rPr>
                <w:rFonts w:hint="eastAsia" w:ascii="宋体"/>
              </w:rPr>
              <w:t>2.具有其他严重情节的。</w:t>
            </w:r>
          </w:p>
        </w:tc>
        <w:tc>
          <w:tcPr>
            <w:tcW w:w="6662" w:type="dxa"/>
            <w:vAlign w:val="center"/>
          </w:tcPr>
          <w:p w14:paraId="00CC5754">
            <w:pPr>
              <w:widowControl/>
              <w:spacing w:line="240" w:lineRule="exact"/>
              <w:jc w:val="center"/>
              <w:rPr>
                <w:rFonts w:ascii="宋体"/>
              </w:rPr>
            </w:pPr>
            <w:r>
              <w:rPr>
                <w:rFonts w:hint="eastAsia" w:ascii="宋体"/>
              </w:rPr>
              <w:t>2-3万元</w:t>
            </w:r>
          </w:p>
        </w:tc>
        <w:tc>
          <w:tcPr>
            <w:tcW w:w="2268" w:type="dxa"/>
            <w:vAlign w:val="center"/>
          </w:tcPr>
          <w:p w14:paraId="7F785DF5">
            <w:pPr>
              <w:widowControl/>
              <w:spacing w:line="240" w:lineRule="exact"/>
              <w:jc w:val="center"/>
              <w:rPr>
                <w:rFonts w:ascii="宋体"/>
              </w:rPr>
            </w:pPr>
            <w:r>
              <w:rPr>
                <w:rFonts w:hint="eastAsia" w:ascii="宋体"/>
              </w:rPr>
              <w:t>吊销适任证书</w:t>
            </w:r>
          </w:p>
        </w:tc>
        <w:tc>
          <w:tcPr>
            <w:tcW w:w="3028" w:type="dxa"/>
            <w:vAlign w:val="center"/>
          </w:tcPr>
          <w:p w14:paraId="1069E4A1">
            <w:pPr>
              <w:widowControl/>
              <w:spacing w:line="240" w:lineRule="exact"/>
              <w:jc w:val="center"/>
              <w:rPr>
                <w:rFonts w:ascii="宋体"/>
              </w:rPr>
            </w:pPr>
            <w:r>
              <w:rPr>
                <w:rFonts w:hint="eastAsia" w:ascii="宋体"/>
              </w:rPr>
              <w:t>吊销适任证书</w:t>
            </w:r>
          </w:p>
        </w:tc>
      </w:tr>
    </w:tbl>
    <w:p w14:paraId="68E0AF14">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1077"/>
        <w:gridCol w:w="1559"/>
        <w:gridCol w:w="1099"/>
        <w:gridCol w:w="3436"/>
        <w:gridCol w:w="6660"/>
        <w:gridCol w:w="2267"/>
        <w:gridCol w:w="3032"/>
      </w:tblGrid>
      <w:tr w14:paraId="32757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965" w:type="dxa"/>
            <w:vMerge w:val="restart"/>
            <w:vAlign w:val="center"/>
          </w:tcPr>
          <w:p w14:paraId="32CBBD69">
            <w:pPr>
              <w:spacing w:line="240" w:lineRule="exact"/>
              <w:jc w:val="center"/>
              <w:rPr>
                <w:rFonts w:ascii="宋体"/>
                <w:b/>
                <w:kern w:val="0"/>
              </w:rPr>
            </w:pPr>
            <w:r>
              <w:rPr>
                <w:rFonts w:hint="eastAsia" w:ascii="宋体"/>
                <w:b/>
                <w:kern w:val="0"/>
              </w:rPr>
              <w:t>案由53</w:t>
            </w:r>
          </w:p>
        </w:tc>
        <w:tc>
          <w:tcPr>
            <w:tcW w:w="2636" w:type="dxa"/>
            <w:gridSpan w:val="2"/>
            <w:vAlign w:val="center"/>
          </w:tcPr>
          <w:p w14:paraId="444FA1EF">
            <w:pPr>
              <w:spacing w:line="240" w:lineRule="exact"/>
              <w:jc w:val="center"/>
              <w:rPr>
                <w:rFonts w:ascii="宋体"/>
                <w:b/>
                <w:kern w:val="0"/>
              </w:rPr>
            </w:pPr>
            <w:r>
              <w:rPr>
                <w:rFonts w:hint="eastAsia" w:ascii="宋体"/>
                <w:b/>
                <w:kern w:val="0"/>
              </w:rPr>
              <w:t>法律依据</w:t>
            </w:r>
          </w:p>
        </w:tc>
        <w:tc>
          <w:tcPr>
            <w:tcW w:w="1099" w:type="dxa"/>
            <w:vMerge w:val="restart"/>
            <w:vAlign w:val="center"/>
          </w:tcPr>
          <w:p w14:paraId="1643AD07">
            <w:pPr>
              <w:spacing w:line="240" w:lineRule="exact"/>
              <w:jc w:val="center"/>
              <w:rPr>
                <w:rFonts w:ascii="宋体"/>
                <w:b/>
                <w:kern w:val="0"/>
              </w:rPr>
            </w:pPr>
            <w:r>
              <w:rPr>
                <w:rFonts w:hint="eastAsia" w:ascii="宋体"/>
                <w:b/>
                <w:kern w:val="0"/>
              </w:rPr>
              <w:t>违法情节</w:t>
            </w:r>
          </w:p>
        </w:tc>
        <w:tc>
          <w:tcPr>
            <w:tcW w:w="3436" w:type="dxa"/>
            <w:vMerge w:val="restart"/>
            <w:vAlign w:val="center"/>
          </w:tcPr>
          <w:p w14:paraId="21955966">
            <w:pPr>
              <w:spacing w:line="240" w:lineRule="exact"/>
              <w:jc w:val="center"/>
              <w:rPr>
                <w:rFonts w:ascii="宋体"/>
                <w:b/>
                <w:kern w:val="0"/>
              </w:rPr>
            </w:pPr>
            <w:r>
              <w:rPr>
                <w:rFonts w:hint="eastAsia" w:ascii="宋体"/>
                <w:b/>
                <w:kern w:val="0"/>
              </w:rPr>
              <w:t>主要考虑因素（事实、性质、情节、危害程度和实际后果等）</w:t>
            </w:r>
          </w:p>
        </w:tc>
        <w:tc>
          <w:tcPr>
            <w:tcW w:w="11959" w:type="dxa"/>
            <w:gridSpan w:val="3"/>
            <w:vAlign w:val="center"/>
          </w:tcPr>
          <w:p w14:paraId="11DE7969">
            <w:pPr>
              <w:spacing w:line="240" w:lineRule="exact"/>
              <w:jc w:val="left"/>
              <w:rPr>
                <w:rFonts w:ascii="宋体"/>
                <w:b/>
                <w:kern w:val="0"/>
              </w:rPr>
            </w:pPr>
            <w:r>
              <w:rPr>
                <w:rFonts w:hint="eastAsia" w:ascii="宋体"/>
                <w:b/>
                <w:kern w:val="0"/>
              </w:rPr>
              <w:t>【法定幅度和种类】</w:t>
            </w:r>
            <w:r>
              <w:rPr>
                <w:rFonts w:hint="eastAsia" w:ascii="宋体"/>
                <w:bCs/>
                <w:kern w:val="0"/>
              </w:rPr>
              <w:t>对船舶的所有人、经营人或者管理人处三千元以上三万元以下的罚款，对船长、责任船员或者其他责任人员处五百元以上五千元以下的罚款。</w:t>
            </w:r>
          </w:p>
        </w:tc>
      </w:tr>
      <w:tr w14:paraId="1E62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965" w:type="dxa"/>
            <w:vMerge w:val="continue"/>
            <w:vAlign w:val="center"/>
          </w:tcPr>
          <w:p w14:paraId="1E4E2516">
            <w:pPr>
              <w:spacing w:line="240" w:lineRule="exact"/>
              <w:jc w:val="center"/>
              <w:rPr>
                <w:rFonts w:ascii="宋体"/>
                <w:b/>
                <w:kern w:val="0"/>
              </w:rPr>
            </w:pPr>
          </w:p>
        </w:tc>
        <w:tc>
          <w:tcPr>
            <w:tcW w:w="1077" w:type="dxa"/>
            <w:vAlign w:val="center"/>
          </w:tcPr>
          <w:p w14:paraId="72B16980">
            <w:pPr>
              <w:spacing w:line="240" w:lineRule="exact"/>
              <w:jc w:val="center"/>
              <w:rPr>
                <w:rFonts w:ascii="宋体"/>
                <w:b/>
                <w:kern w:val="0"/>
              </w:rPr>
            </w:pPr>
            <w:r>
              <w:rPr>
                <w:rFonts w:hint="eastAsia" w:ascii="宋体"/>
                <w:b/>
                <w:kern w:val="0"/>
              </w:rPr>
              <w:t>违反条款</w:t>
            </w:r>
          </w:p>
        </w:tc>
        <w:tc>
          <w:tcPr>
            <w:tcW w:w="1559" w:type="dxa"/>
            <w:vAlign w:val="center"/>
          </w:tcPr>
          <w:p w14:paraId="37F9B4E0">
            <w:pPr>
              <w:spacing w:line="240" w:lineRule="exact"/>
              <w:jc w:val="center"/>
              <w:rPr>
                <w:rFonts w:ascii="宋体"/>
                <w:b/>
                <w:kern w:val="0"/>
              </w:rPr>
            </w:pPr>
            <w:r>
              <w:rPr>
                <w:rFonts w:hint="eastAsia" w:ascii="宋体"/>
                <w:b/>
                <w:kern w:val="0"/>
              </w:rPr>
              <w:t>处罚依据</w:t>
            </w:r>
          </w:p>
        </w:tc>
        <w:tc>
          <w:tcPr>
            <w:tcW w:w="1099" w:type="dxa"/>
            <w:vMerge w:val="continue"/>
            <w:vAlign w:val="center"/>
          </w:tcPr>
          <w:p w14:paraId="7BDACC4B">
            <w:pPr>
              <w:spacing w:line="240" w:lineRule="exact"/>
              <w:jc w:val="center"/>
              <w:rPr>
                <w:rFonts w:ascii="宋体"/>
                <w:b/>
                <w:kern w:val="0"/>
              </w:rPr>
            </w:pPr>
          </w:p>
        </w:tc>
        <w:tc>
          <w:tcPr>
            <w:tcW w:w="3436" w:type="dxa"/>
            <w:vMerge w:val="continue"/>
            <w:vAlign w:val="center"/>
          </w:tcPr>
          <w:p w14:paraId="4D1F4645">
            <w:pPr>
              <w:spacing w:line="240" w:lineRule="exact"/>
              <w:jc w:val="center"/>
              <w:rPr>
                <w:rFonts w:ascii="宋体"/>
                <w:b/>
                <w:kern w:val="0"/>
              </w:rPr>
            </w:pPr>
          </w:p>
        </w:tc>
        <w:tc>
          <w:tcPr>
            <w:tcW w:w="6660" w:type="dxa"/>
            <w:vAlign w:val="center"/>
          </w:tcPr>
          <w:p w14:paraId="47EE22F6">
            <w:pPr>
              <w:spacing w:line="240" w:lineRule="exact"/>
              <w:jc w:val="center"/>
              <w:rPr>
                <w:rFonts w:ascii="宋体"/>
                <w:b/>
                <w:kern w:val="0"/>
              </w:rPr>
            </w:pPr>
            <w:r>
              <w:rPr>
                <w:rFonts w:hint="eastAsia" w:ascii="宋体"/>
                <w:b/>
                <w:kern w:val="0"/>
              </w:rPr>
              <w:t>【对象】对船舶的所有人、经营人或者管理人</w:t>
            </w:r>
          </w:p>
        </w:tc>
        <w:tc>
          <w:tcPr>
            <w:tcW w:w="2267" w:type="dxa"/>
            <w:vAlign w:val="center"/>
          </w:tcPr>
          <w:p w14:paraId="3DAD4DA6">
            <w:pPr>
              <w:spacing w:line="240" w:lineRule="exact"/>
              <w:jc w:val="center"/>
              <w:rPr>
                <w:rFonts w:ascii="宋体"/>
                <w:b/>
                <w:kern w:val="0"/>
              </w:rPr>
            </w:pPr>
            <w:r>
              <w:rPr>
                <w:rFonts w:hint="eastAsia" w:ascii="宋体"/>
                <w:b/>
                <w:kern w:val="0"/>
              </w:rPr>
              <w:t>【对象】船长</w:t>
            </w:r>
          </w:p>
        </w:tc>
        <w:tc>
          <w:tcPr>
            <w:tcW w:w="3032" w:type="dxa"/>
            <w:vAlign w:val="center"/>
          </w:tcPr>
          <w:p w14:paraId="07DDE527">
            <w:pPr>
              <w:spacing w:line="240" w:lineRule="exact"/>
              <w:jc w:val="center"/>
              <w:rPr>
                <w:rFonts w:ascii="宋体"/>
                <w:b/>
                <w:kern w:val="0"/>
              </w:rPr>
            </w:pPr>
            <w:r>
              <w:rPr>
                <w:rFonts w:hint="eastAsia" w:ascii="宋体"/>
                <w:b/>
                <w:kern w:val="0"/>
              </w:rPr>
              <w:t>【对象】责任船员/人员</w:t>
            </w:r>
          </w:p>
        </w:tc>
      </w:tr>
      <w:tr w14:paraId="48BA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965" w:type="dxa"/>
            <w:vMerge w:val="restart"/>
            <w:vAlign w:val="center"/>
          </w:tcPr>
          <w:p w14:paraId="360C5BDC">
            <w:pPr>
              <w:widowControl/>
              <w:spacing w:line="240" w:lineRule="exact"/>
              <w:jc w:val="left"/>
              <w:rPr>
                <w:rFonts w:ascii="宋体"/>
                <w:b/>
                <w:kern w:val="0"/>
              </w:rPr>
            </w:pPr>
            <w:r>
              <w:rPr>
                <w:rFonts w:hint="eastAsia" w:ascii="宋体"/>
                <w:bCs/>
                <w:kern w:val="0"/>
              </w:rPr>
              <w:t>国内航行船舶进出港口、港外装卸站未依法向海事管理机构报告</w:t>
            </w:r>
          </w:p>
        </w:tc>
        <w:tc>
          <w:tcPr>
            <w:tcW w:w="1077" w:type="dxa"/>
            <w:vMerge w:val="restart"/>
            <w:vAlign w:val="center"/>
          </w:tcPr>
          <w:p w14:paraId="684E2B70">
            <w:pPr>
              <w:widowControl/>
              <w:spacing w:line="240" w:lineRule="exact"/>
              <w:jc w:val="left"/>
              <w:rPr>
                <w:rFonts w:ascii="宋体"/>
                <w:kern w:val="0"/>
              </w:rPr>
            </w:pPr>
            <w:r>
              <w:rPr>
                <w:rFonts w:hint="eastAsia" w:ascii="宋体"/>
                <w:kern w:val="0"/>
              </w:rPr>
              <w:t>1.《中华人民共和国海上交通安全法》第四十六条第三款；</w:t>
            </w:r>
          </w:p>
          <w:p w14:paraId="70214C2F">
            <w:pPr>
              <w:widowControl/>
              <w:spacing w:line="240" w:lineRule="exact"/>
              <w:jc w:val="left"/>
              <w:rPr>
                <w:rFonts w:ascii="宋体"/>
              </w:rPr>
            </w:pPr>
            <w:r>
              <w:rPr>
                <w:rFonts w:hint="eastAsia" w:ascii="宋体"/>
              </w:rPr>
              <w:t>2.其他法律、法规、规章等</w:t>
            </w:r>
          </w:p>
        </w:tc>
        <w:tc>
          <w:tcPr>
            <w:tcW w:w="1559" w:type="dxa"/>
            <w:vMerge w:val="restart"/>
            <w:vAlign w:val="center"/>
          </w:tcPr>
          <w:p w14:paraId="797496D1">
            <w:pPr>
              <w:spacing w:line="240" w:lineRule="exact"/>
              <w:jc w:val="left"/>
              <w:rPr>
                <w:rFonts w:ascii="宋体"/>
                <w:kern w:val="0"/>
              </w:rPr>
            </w:pPr>
            <w:r>
              <w:rPr>
                <w:rFonts w:hint="eastAsia" w:ascii="宋体"/>
                <w:kern w:val="0"/>
              </w:rPr>
              <w:t>1.《中华人民共和国海上交通安全法》第一百零四条第二款、《中华人民共和国海上海事行政处罚规定》第二十三条。</w:t>
            </w:r>
          </w:p>
          <w:p w14:paraId="11001D19">
            <w:pPr>
              <w:spacing w:line="240" w:lineRule="exact"/>
              <w:jc w:val="left"/>
              <w:rPr>
                <w:rFonts w:ascii="宋体"/>
                <w:kern w:val="0"/>
              </w:rPr>
            </w:pPr>
            <w:r>
              <w:rPr>
                <w:rFonts w:hint="eastAsia" w:ascii="宋体"/>
                <w:kern w:val="0"/>
              </w:rPr>
              <w:t>2. 《中华人民共和国海上海事行政处罚规定》第七条。</w:t>
            </w:r>
          </w:p>
        </w:tc>
        <w:tc>
          <w:tcPr>
            <w:tcW w:w="1099" w:type="dxa"/>
            <w:vAlign w:val="center"/>
          </w:tcPr>
          <w:p w14:paraId="381D43C3">
            <w:pPr>
              <w:spacing w:line="240" w:lineRule="exact"/>
              <w:jc w:val="center"/>
              <w:rPr>
                <w:rFonts w:ascii="宋体"/>
                <w:kern w:val="0"/>
              </w:rPr>
            </w:pPr>
            <w:r>
              <w:rPr>
                <w:rFonts w:hint="eastAsia" w:ascii="宋体"/>
                <w:kern w:val="0"/>
              </w:rPr>
              <w:t>从轻</w:t>
            </w:r>
          </w:p>
        </w:tc>
        <w:tc>
          <w:tcPr>
            <w:tcW w:w="3436" w:type="dxa"/>
            <w:vAlign w:val="center"/>
          </w:tcPr>
          <w:p w14:paraId="5B4A4B4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0" w:type="dxa"/>
            <w:vAlign w:val="center"/>
          </w:tcPr>
          <w:p w14:paraId="5C066C78">
            <w:pPr>
              <w:spacing w:line="240" w:lineRule="exact"/>
              <w:jc w:val="center"/>
              <w:rPr>
                <w:rFonts w:ascii="宋体"/>
                <w:kern w:val="0"/>
              </w:rPr>
            </w:pPr>
            <w:r>
              <w:rPr>
                <w:rFonts w:hint="eastAsia" w:ascii="宋体"/>
                <w:kern w:val="0"/>
              </w:rPr>
              <w:t>3000-5000元</w:t>
            </w:r>
          </w:p>
        </w:tc>
        <w:tc>
          <w:tcPr>
            <w:tcW w:w="2267" w:type="dxa"/>
            <w:vAlign w:val="center"/>
          </w:tcPr>
          <w:p w14:paraId="6B211D18">
            <w:pPr>
              <w:spacing w:line="240" w:lineRule="exact"/>
              <w:jc w:val="center"/>
              <w:rPr>
                <w:rFonts w:ascii="宋体"/>
                <w:kern w:val="0"/>
              </w:rPr>
            </w:pPr>
            <w:r>
              <w:rPr>
                <w:rFonts w:hint="eastAsia" w:ascii="宋体"/>
                <w:kern w:val="0"/>
              </w:rPr>
              <w:t>500-1500元</w:t>
            </w:r>
          </w:p>
        </w:tc>
        <w:tc>
          <w:tcPr>
            <w:tcW w:w="3032" w:type="dxa"/>
            <w:vAlign w:val="center"/>
          </w:tcPr>
          <w:p w14:paraId="38D8D25E">
            <w:pPr>
              <w:spacing w:line="240" w:lineRule="exact"/>
              <w:jc w:val="center"/>
              <w:rPr>
                <w:rFonts w:ascii="宋体"/>
                <w:kern w:val="0"/>
              </w:rPr>
            </w:pPr>
            <w:r>
              <w:rPr>
                <w:rFonts w:hint="eastAsia" w:ascii="宋体"/>
                <w:kern w:val="0"/>
              </w:rPr>
              <w:t>500-1000元</w:t>
            </w:r>
          </w:p>
        </w:tc>
      </w:tr>
      <w:tr w14:paraId="2CBF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965" w:type="dxa"/>
            <w:vMerge w:val="continue"/>
            <w:vAlign w:val="center"/>
          </w:tcPr>
          <w:p w14:paraId="090ED85A">
            <w:pPr>
              <w:spacing w:line="240" w:lineRule="exact"/>
              <w:jc w:val="left"/>
              <w:rPr>
                <w:rFonts w:ascii="宋体"/>
                <w:kern w:val="0"/>
              </w:rPr>
            </w:pPr>
          </w:p>
        </w:tc>
        <w:tc>
          <w:tcPr>
            <w:tcW w:w="1077" w:type="dxa"/>
            <w:vMerge w:val="continue"/>
            <w:vAlign w:val="center"/>
          </w:tcPr>
          <w:p w14:paraId="6693F1A5">
            <w:pPr>
              <w:widowControl/>
              <w:spacing w:line="240" w:lineRule="exact"/>
              <w:jc w:val="center"/>
              <w:rPr>
                <w:rFonts w:ascii="宋体"/>
                <w:kern w:val="0"/>
              </w:rPr>
            </w:pPr>
          </w:p>
        </w:tc>
        <w:tc>
          <w:tcPr>
            <w:tcW w:w="1559" w:type="dxa"/>
            <w:vMerge w:val="continue"/>
            <w:vAlign w:val="center"/>
          </w:tcPr>
          <w:p w14:paraId="384ECE3F">
            <w:pPr>
              <w:spacing w:line="240" w:lineRule="exact"/>
              <w:jc w:val="center"/>
              <w:rPr>
                <w:rFonts w:ascii="宋体"/>
                <w:kern w:val="0"/>
              </w:rPr>
            </w:pPr>
          </w:p>
        </w:tc>
        <w:tc>
          <w:tcPr>
            <w:tcW w:w="1099" w:type="dxa"/>
            <w:vMerge w:val="restart"/>
            <w:vAlign w:val="center"/>
          </w:tcPr>
          <w:p w14:paraId="3997EFC2">
            <w:pPr>
              <w:spacing w:line="240" w:lineRule="exact"/>
              <w:jc w:val="center"/>
              <w:rPr>
                <w:rFonts w:ascii="宋体"/>
                <w:kern w:val="0"/>
              </w:rPr>
            </w:pPr>
            <w:r>
              <w:rPr>
                <w:rFonts w:hint="eastAsia" w:ascii="宋体"/>
                <w:kern w:val="0"/>
              </w:rPr>
              <w:t>一般</w:t>
            </w:r>
          </w:p>
        </w:tc>
        <w:tc>
          <w:tcPr>
            <w:tcW w:w="3436" w:type="dxa"/>
            <w:vAlign w:val="center"/>
          </w:tcPr>
          <w:p w14:paraId="0AE327A6">
            <w:pPr>
              <w:widowControl/>
              <w:spacing w:line="240" w:lineRule="exact"/>
              <w:jc w:val="left"/>
              <w:rPr>
                <w:rFonts w:ascii="宋体"/>
              </w:rPr>
            </w:pPr>
            <w:r>
              <w:rPr>
                <w:rFonts w:hint="eastAsia" w:ascii="宋体"/>
                <w:kern w:val="0"/>
              </w:rPr>
              <w:t>单个航次未按规定报告船舶的航次计划、适航状态、船员配备和载货载客等情况的</w:t>
            </w:r>
          </w:p>
        </w:tc>
        <w:tc>
          <w:tcPr>
            <w:tcW w:w="6660" w:type="dxa"/>
            <w:vAlign w:val="center"/>
          </w:tcPr>
          <w:p w14:paraId="3978EF12">
            <w:pPr>
              <w:spacing w:line="240" w:lineRule="exact"/>
              <w:jc w:val="center"/>
              <w:rPr>
                <w:rFonts w:ascii="宋体"/>
                <w:kern w:val="0"/>
              </w:rPr>
            </w:pPr>
            <w:r>
              <w:rPr>
                <w:rFonts w:hint="eastAsia" w:ascii="宋体"/>
                <w:kern w:val="0"/>
              </w:rPr>
              <w:t>5000元-1万元</w:t>
            </w:r>
          </w:p>
        </w:tc>
        <w:tc>
          <w:tcPr>
            <w:tcW w:w="2267" w:type="dxa"/>
            <w:vAlign w:val="center"/>
          </w:tcPr>
          <w:p w14:paraId="56BD4DCF">
            <w:pPr>
              <w:spacing w:line="240" w:lineRule="exact"/>
              <w:jc w:val="center"/>
              <w:rPr>
                <w:rFonts w:ascii="宋体"/>
                <w:kern w:val="0"/>
              </w:rPr>
            </w:pPr>
            <w:r>
              <w:rPr>
                <w:rFonts w:hint="eastAsia" w:ascii="宋体"/>
                <w:kern w:val="0"/>
              </w:rPr>
              <w:t>1500-3000元</w:t>
            </w:r>
          </w:p>
        </w:tc>
        <w:tc>
          <w:tcPr>
            <w:tcW w:w="3032" w:type="dxa"/>
            <w:vAlign w:val="center"/>
          </w:tcPr>
          <w:p w14:paraId="09EA5198">
            <w:pPr>
              <w:spacing w:line="240" w:lineRule="exact"/>
              <w:jc w:val="center"/>
              <w:rPr>
                <w:rFonts w:ascii="宋体"/>
                <w:b/>
                <w:kern w:val="0"/>
              </w:rPr>
            </w:pPr>
            <w:r>
              <w:rPr>
                <w:rFonts w:hint="eastAsia" w:ascii="宋体"/>
                <w:kern w:val="0"/>
              </w:rPr>
              <w:t>1000-2000元</w:t>
            </w:r>
          </w:p>
        </w:tc>
      </w:tr>
      <w:tr w14:paraId="49F7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trPr>
        <w:tc>
          <w:tcPr>
            <w:tcW w:w="965" w:type="dxa"/>
            <w:vMerge w:val="continue"/>
            <w:vAlign w:val="center"/>
          </w:tcPr>
          <w:p w14:paraId="77B24EFB">
            <w:pPr>
              <w:spacing w:line="240" w:lineRule="exact"/>
              <w:jc w:val="left"/>
              <w:rPr>
                <w:rFonts w:ascii="宋体"/>
                <w:kern w:val="0"/>
              </w:rPr>
            </w:pPr>
          </w:p>
        </w:tc>
        <w:tc>
          <w:tcPr>
            <w:tcW w:w="1077" w:type="dxa"/>
            <w:vMerge w:val="continue"/>
            <w:vAlign w:val="center"/>
          </w:tcPr>
          <w:p w14:paraId="75EA0A91">
            <w:pPr>
              <w:spacing w:line="240" w:lineRule="exact"/>
              <w:jc w:val="center"/>
              <w:rPr>
                <w:rFonts w:ascii="宋体"/>
                <w:kern w:val="0"/>
              </w:rPr>
            </w:pPr>
          </w:p>
        </w:tc>
        <w:tc>
          <w:tcPr>
            <w:tcW w:w="1559" w:type="dxa"/>
            <w:vMerge w:val="continue"/>
            <w:vAlign w:val="center"/>
          </w:tcPr>
          <w:p w14:paraId="423BF06F">
            <w:pPr>
              <w:spacing w:line="240" w:lineRule="exact"/>
              <w:jc w:val="center"/>
              <w:rPr>
                <w:rFonts w:ascii="宋体"/>
                <w:kern w:val="0"/>
              </w:rPr>
            </w:pPr>
          </w:p>
        </w:tc>
        <w:tc>
          <w:tcPr>
            <w:tcW w:w="1099" w:type="dxa"/>
            <w:vMerge w:val="continue"/>
            <w:vAlign w:val="center"/>
          </w:tcPr>
          <w:p w14:paraId="636D1102">
            <w:pPr>
              <w:spacing w:line="240" w:lineRule="exact"/>
              <w:jc w:val="center"/>
              <w:rPr>
                <w:rFonts w:ascii="宋体"/>
                <w:kern w:val="0"/>
              </w:rPr>
            </w:pPr>
          </w:p>
        </w:tc>
        <w:tc>
          <w:tcPr>
            <w:tcW w:w="3436" w:type="dxa"/>
            <w:vAlign w:val="center"/>
          </w:tcPr>
          <w:p w14:paraId="05D85A36">
            <w:pPr>
              <w:spacing w:line="240" w:lineRule="exact"/>
              <w:jc w:val="left"/>
              <w:rPr>
                <w:rFonts w:ascii="宋体"/>
                <w:kern w:val="0"/>
              </w:rPr>
            </w:pPr>
            <w:r>
              <w:rPr>
                <w:rFonts w:hint="eastAsia" w:ascii="宋体"/>
                <w:kern w:val="0"/>
              </w:rPr>
              <w:t>1.2个及以上航次未按规定报告船舶的航次计划、适航状态、船员配备和载货载客等情况的；</w:t>
            </w:r>
          </w:p>
          <w:p w14:paraId="395E5CEC">
            <w:pPr>
              <w:spacing w:line="240" w:lineRule="exact"/>
              <w:jc w:val="left"/>
              <w:rPr>
                <w:rFonts w:ascii="宋体"/>
                <w:kern w:val="0"/>
              </w:rPr>
            </w:pPr>
            <w:r>
              <w:rPr>
                <w:rFonts w:hint="eastAsia" w:ascii="宋体"/>
                <w:kern w:val="0"/>
              </w:rPr>
              <w:t>2.具有其他较重情节的</w:t>
            </w:r>
          </w:p>
        </w:tc>
        <w:tc>
          <w:tcPr>
            <w:tcW w:w="6660" w:type="dxa"/>
            <w:vAlign w:val="center"/>
          </w:tcPr>
          <w:p w14:paraId="11ECD9BD">
            <w:pPr>
              <w:spacing w:line="240" w:lineRule="exact"/>
              <w:jc w:val="center"/>
              <w:rPr>
                <w:rFonts w:ascii="宋体"/>
                <w:kern w:val="0"/>
              </w:rPr>
            </w:pPr>
            <w:r>
              <w:rPr>
                <w:rFonts w:hint="eastAsia" w:ascii="宋体"/>
                <w:kern w:val="0"/>
              </w:rPr>
              <w:t>1-3万元</w:t>
            </w:r>
          </w:p>
        </w:tc>
        <w:tc>
          <w:tcPr>
            <w:tcW w:w="2267" w:type="dxa"/>
            <w:vAlign w:val="center"/>
          </w:tcPr>
          <w:p w14:paraId="4D36A224">
            <w:pPr>
              <w:spacing w:line="240" w:lineRule="exact"/>
              <w:jc w:val="center"/>
              <w:rPr>
                <w:rFonts w:ascii="宋体"/>
                <w:kern w:val="0"/>
              </w:rPr>
            </w:pPr>
            <w:r>
              <w:rPr>
                <w:rFonts w:hint="eastAsia" w:ascii="宋体"/>
                <w:kern w:val="0"/>
              </w:rPr>
              <w:t>3000-5000元</w:t>
            </w:r>
          </w:p>
        </w:tc>
        <w:tc>
          <w:tcPr>
            <w:tcW w:w="3032" w:type="dxa"/>
            <w:vAlign w:val="center"/>
          </w:tcPr>
          <w:p w14:paraId="7CB88958">
            <w:pPr>
              <w:spacing w:line="240" w:lineRule="exact"/>
              <w:jc w:val="center"/>
              <w:rPr>
                <w:rFonts w:ascii="宋体"/>
                <w:kern w:val="0"/>
              </w:rPr>
            </w:pPr>
            <w:r>
              <w:rPr>
                <w:rFonts w:hint="eastAsia" w:ascii="宋体"/>
                <w:kern w:val="0"/>
              </w:rPr>
              <w:t>2000-5000元</w:t>
            </w:r>
          </w:p>
        </w:tc>
      </w:tr>
    </w:tbl>
    <w:p w14:paraId="1BD645A3">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3827"/>
        <w:gridCol w:w="5387"/>
        <w:gridCol w:w="5015"/>
      </w:tblGrid>
      <w:tr w14:paraId="42D5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14:paraId="55564D9F">
            <w:pPr>
              <w:spacing w:line="240" w:lineRule="exact"/>
              <w:jc w:val="center"/>
              <w:rPr>
                <w:rFonts w:ascii="宋体"/>
                <w:b/>
                <w:kern w:val="0"/>
              </w:rPr>
            </w:pPr>
            <w:r>
              <w:rPr>
                <w:rFonts w:hint="eastAsia" w:ascii="宋体"/>
                <w:b/>
                <w:kern w:val="0"/>
              </w:rPr>
              <w:t>案由</w:t>
            </w:r>
            <w:r>
              <w:rPr>
                <w:rFonts w:hint="eastAsia" w:ascii="宋体"/>
                <w:b/>
                <w:bCs/>
                <w:kern w:val="0"/>
              </w:rPr>
              <w:t>54</w:t>
            </w:r>
          </w:p>
        </w:tc>
        <w:tc>
          <w:tcPr>
            <w:tcW w:w="3877" w:type="dxa"/>
            <w:gridSpan w:val="2"/>
            <w:vAlign w:val="center"/>
          </w:tcPr>
          <w:p w14:paraId="2F246216">
            <w:pPr>
              <w:spacing w:line="240" w:lineRule="exact"/>
              <w:jc w:val="center"/>
              <w:rPr>
                <w:rFonts w:ascii="宋体"/>
                <w:b/>
                <w:kern w:val="0"/>
              </w:rPr>
            </w:pPr>
            <w:r>
              <w:rPr>
                <w:rFonts w:hint="eastAsia" w:ascii="宋体"/>
                <w:b/>
                <w:kern w:val="0"/>
              </w:rPr>
              <w:t>法律依据</w:t>
            </w:r>
          </w:p>
        </w:tc>
        <w:tc>
          <w:tcPr>
            <w:tcW w:w="992" w:type="dxa"/>
            <w:vMerge w:val="restart"/>
            <w:vAlign w:val="center"/>
          </w:tcPr>
          <w:p w14:paraId="7029F1E7">
            <w:pPr>
              <w:spacing w:line="240" w:lineRule="exact"/>
              <w:jc w:val="center"/>
              <w:rPr>
                <w:rFonts w:ascii="宋体"/>
                <w:b/>
                <w:kern w:val="0"/>
              </w:rPr>
            </w:pPr>
            <w:r>
              <w:rPr>
                <w:rFonts w:hint="eastAsia" w:ascii="宋体"/>
                <w:b/>
                <w:kern w:val="0"/>
              </w:rPr>
              <w:t>违法情节</w:t>
            </w:r>
          </w:p>
        </w:tc>
        <w:tc>
          <w:tcPr>
            <w:tcW w:w="3827" w:type="dxa"/>
            <w:vMerge w:val="restart"/>
            <w:vAlign w:val="center"/>
          </w:tcPr>
          <w:p w14:paraId="091659A3">
            <w:pPr>
              <w:spacing w:line="240" w:lineRule="exact"/>
              <w:jc w:val="center"/>
              <w:rPr>
                <w:rFonts w:ascii="宋体"/>
                <w:b/>
                <w:kern w:val="0"/>
              </w:rPr>
            </w:pPr>
            <w:r>
              <w:rPr>
                <w:rFonts w:hint="eastAsia" w:ascii="宋体"/>
                <w:b/>
                <w:kern w:val="0"/>
              </w:rPr>
              <w:t>主要考虑因素（事实、性质、情节、危害程度和实际后果等）</w:t>
            </w:r>
          </w:p>
        </w:tc>
        <w:tc>
          <w:tcPr>
            <w:tcW w:w="10402" w:type="dxa"/>
            <w:gridSpan w:val="2"/>
            <w:tcBorders>
              <w:bottom w:val="single" w:color="auto" w:sz="4" w:space="0"/>
            </w:tcBorders>
            <w:vAlign w:val="center"/>
          </w:tcPr>
          <w:p w14:paraId="65ECF17B">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14:paraId="1711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14:paraId="0DF32246">
            <w:pPr>
              <w:spacing w:line="240" w:lineRule="exact"/>
              <w:jc w:val="center"/>
              <w:rPr>
                <w:rFonts w:ascii="宋体"/>
                <w:b/>
                <w:kern w:val="0"/>
              </w:rPr>
            </w:pPr>
          </w:p>
        </w:tc>
        <w:tc>
          <w:tcPr>
            <w:tcW w:w="1940" w:type="dxa"/>
            <w:tcBorders>
              <w:bottom w:val="single" w:color="000000" w:sz="4" w:space="0"/>
            </w:tcBorders>
            <w:vAlign w:val="center"/>
          </w:tcPr>
          <w:p w14:paraId="0C29F158">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14:paraId="61906BFE">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1EC089E3">
            <w:pPr>
              <w:spacing w:line="240" w:lineRule="exact"/>
              <w:jc w:val="center"/>
              <w:rPr>
                <w:rFonts w:ascii="宋体"/>
                <w:b/>
                <w:kern w:val="0"/>
              </w:rPr>
            </w:pPr>
          </w:p>
        </w:tc>
        <w:tc>
          <w:tcPr>
            <w:tcW w:w="3827" w:type="dxa"/>
            <w:vMerge w:val="continue"/>
            <w:tcBorders>
              <w:bottom w:val="single" w:color="000000" w:sz="4" w:space="0"/>
            </w:tcBorders>
            <w:vAlign w:val="center"/>
          </w:tcPr>
          <w:p w14:paraId="6C473AD3">
            <w:pPr>
              <w:spacing w:line="240" w:lineRule="exact"/>
              <w:jc w:val="center"/>
              <w:rPr>
                <w:rFonts w:ascii="宋体"/>
                <w:b/>
                <w:kern w:val="0"/>
              </w:rPr>
            </w:pPr>
          </w:p>
        </w:tc>
        <w:tc>
          <w:tcPr>
            <w:tcW w:w="5387" w:type="dxa"/>
            <w:tcBorders>
              <w:top w:val="single" w:color="auto" w:sz="4" w:space="0"/>
              <w:right w:val="single" w:color="auto" w:sz="4" w:space="0"/>
            </w:tcBorders>
            <w:vAlign w:val="center"/>
          </w:tcPr>
          <w:p w14:paraId="09603805">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14:paraId="71687863">
            <w:pPr>
              <w:spacing w:line="240" w:lineRule="exact"/>
              <w:jc w:val="center"/>
              <w:rPr>
                <w:rFonts w:ascii="宋体"/>
                <w:b/>
                <w:kern w:val="0"/>
              </w:rPr>
            </w:pPr>
            <w:r>
              <w:rPr>
                <w:rFonts w:hint="eastAsia" w:ascii="宋体"/>
                <w:b/>
                <w:kern w:val="0"/>
              </w:rPr>
              <w:t>【对象】船长</w:t>
            </w:r>
          </w:p>
        </w:tc>
      </w:tr>
      <w:tr w14:paraId="37FD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14:paraId="520A31FA">
            <w:pPr>
              <w:widowControl/>
              <w:spacing w:line="240" w:lineRule="exact"/>
              <w:jc w:val="left"/>
              <w:rPr>
                <w:rFonts w:ascii="宋体"/>
                <w:kern w:val="0"/>
              </w:rPr>
            </w:pPr>
            <w:r>
              <w:rPr>
                <w:rFonts w:hint="eastAsia" w:ascii="宋体"/>
                <w:kern w:val="0"/>
              </w:rPr>
              <w:t>外国籍船舶临时进入非对外开放水域，未依照国务院关于船舶进出口岸的规定取得许可的</w:t>
            </w:r>
          </w:p>
        </w:tc>
        <w:tc>
          <w:tcPr>
            <w:tcW w:w="1940" w:type="dxa"/>
            <w:vMerge w:val="restart"/>
            <w:vAlign w:val="center"/>
          </w:tcPr>
          <w:p w14:paraId="39FFD220">
            <w:pPr>
              <w:widowControl/>
              <w:spacing w:line="240" w:lineRule="exact"/>
              <w:jc w:val="left"/>
              <w:rPr>
                <w:rFonts w:ascii="宋体"/>
              </w:rPr>
            </w:pPr>
            <w:r>
              <w:rPr>
                <w:rFonts w:hint="eastAsia" w:ascii="宋体"/>
                <w:kern w:val="0"/>
              </w:rPr>
              <w:t>1.《中华人民共和国海上交通安全法》第四十六</w:t>
            </w:r>
            <w:r>
              <w:rPr>
                <w:rFonts w:hint="eastAsia" w:ascii="宋体"/>
              </w:rPr>
              <w:t>条第二款。</w:t>
            </w:r>
          </w:p>
          <w:p w14:paraId="44FC940E">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14:paraId="71346E93">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《中华人民共和国海上海事行政处罚规定》第二十一条第（一）项。</w:t>
            </w:r>
          </w:p>
          <w:p w14:paraId="10C03731">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14:paraId="145CDEF4">
            <w:pPr>
              <w:spacing w:line="240" w:lineRule="exact"/>
              <w:jc w:val="center"/>
              <w:rPr>
                <w:rFonts w:ascii="宋体"/>
                <w:kern w:val="0"/>
              </w:rPr>
            </w:pPr>
            <w:r>
              <w:rPr>
                <w:rFonts w:hint="eastAsia" w:ascii="宋体"/>
                <w:kern w:val="0"/>
              </w:rPr>
              <w:t>从轻</w:t>
            </w:r>
          </w:p>
        </w:tc>
        <w:tc>
          <w:tcPr>
            <w:tcW w:w="3827" w:type="dxa"/>
            <w:vAlign w:val="center"/>
          </w:tcPr>
          <w:p w14:paraId="34E453D8">
            <w:pPr>
              <w:spacing w:line="240" w:lineRule="exact"/>
              <w:jc w:val="center"/>
              <w:rPr>
                <w:rFonts w:ascii="宋体"/>
                <w:kern w:val="0"/>
              </w:rPr>
            </w:pPr>
            <w:r>
              <w:rPr>
                <w:rFonts w:hint="eastAsia" w:ascii="宋体"/>
                <w:kern w:val="0"/>
              </w:rPr>
              <w:t>具有法定从轻处罚情节的</w:t>
            </w:r>
          </w:p>
        </w:tc>
        <w:tc>
          <w:tcPr>
            <w:tcW w:w="5387" w:type="dxa"/>
            <w:tcBorders>
              <w:right w:val="single" w:color="auto" w:sz="4" w:space="0"/>
            </w:tcBorders>
            <w:vAlign w:val="center"/>
          </w:tcPr>
          <w:p w14:paraId="25C51548">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14:paraId="2CDDF86F">
            <w:pPr>
              <w:spacing w:line="240" w:lineRule="exact"/>
              <w:jc w:val="center"/>
              <w:rPr>
                <w:rFonts w:ascii="宋体"/>
                <w:kern w:val="0"/>
              </w:rPr>
            </w:pPr>
            <w:r>
              <w:rPr>
                <w:rFonts w:hint="eastAsia" w:ascii="宋体"/>
                <w:kern w:val="0"/>
              </w:rPr>
              <w:t>1-1.5万元</w:t>
            </w:r>
          </w:p>
        </w:tc>
      </w:tr>
      <w:tr w14:paraId="50F7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14:paraId="3060F101">
            <w:pPr>
              <w:spacing w:line="240" w:lineRule="exact"/>
              <w:jc w:val="left"/>
              <w:rPr>
                <w:rFonts w:ascii="宋体"/>
                <w:kern w:val="0"/>
              </w:rPr>
            </w:pPr>
          </w:p>
        </w:tc>
        <w:tc>
          <w:tcPr>
            <w:tcW w:w="1940" w:type="dxa"/>
            <w:vMerge w:val="continue"/>
            <w:vAlign w:val="center"/>
          </w:tcPr>
          <w:p w14:paraId="531F3EF6">
            <w:pPr>
              <w:widowControl/>
              <w:spacing w:line="240" w:lineRule="exact"/>
              <w:jc w:val="left"/>
              <w:rPr>
                <w:rFonts w:ascii="宋体"/>
                <w:kern w:val="0"/>
              </w:rPr>
            </w:pPr>
          </w:p>
        </w:tc>
        <w:tc>
          <w:tcPr>
            <w:tcW w:w="1937" w:type="dxa"/>
            <w:vMerge w:val="continue"/>
            <w:vAlign w:val="center"/>
          </w:tcPr>
          <w:p w14:paraId="5D4FE47D">
            <w:pPr>
              <w:spacing w:line="240" w:lineRule="exact"/>
              <w:jc w:val="left"/>
              <w:rPr>
                <w:rFonts w:ascii="宋体"/>
                <w:kern w:val="0"/>
              </w:rPr>
            </w:pPr>
          </w:p>
        </w:tc>
        <w:tc>
          <w:tcPr>
            <w:tcW w:w="992" w:type="dxa"/>
            <w:vMerge w:val="restart"/>
            <w:vAlign w:val="center"/>
          </w:tcPr>
          <w:p w14:paraId="76B9B5FC">
            <w:pPr>
              <w:spacing w:line="240" w:lineRule="exact"/>
              <w:jc w:val="center"/>
              <w:rPr>
                <w:rFonts w:ascii="宋体"/>
                <w:kern w:val="0"/>
              </w:rPr>
            </w:pPr>
            <w:r>
              <w:rPr>
                <w:rFonts w:hint="eastAsia" w:ascii="宋体"/>
                <w:kern w:val="0"/>
              </w:rPr>
              <w:t>一般</w:t>
            </w:r>
          </w:p>
        </w:tc>
        <w:tc>
          <w:tcPr>
            <w:tcW w:w="3827" w:type="dxa"/>
            <w:vAlign w:val="center"/>
          </w:tcPr>
          <w:p w14:paraId="08949C06">
            <w:pPr>
              <w:widowControl/>
              <w:spacing w:line="240" w:lineRule="exact"/>
              <w:jc w:val="left"/>
              <w:rPr>
                <w:rFonts w:ascii="宋体"/>
                <w:kern w:val="0"/>
              </w:rPr>
            </w:pPr>
            <w:r>
              <w:rPr>
                <w:rFonts w:hint="eastAsia" w:ascii="宋体"/>
              </w:rPr>
              <w:t>已经提交申请尚未审批的</w:t>
            </w:r>
          </w:p>
        </w:tc>
        <w:tc>
          <w:tcPr>
            <w:tcW w:w="5387" w:type="dxa"/>
            <w:tcBorders>
              <w:right w:val="single" w:color="auto" w:sz="4" w:space="0"/>
            </w:tcBorders>
            <w:vAlign w:val="center"/>
          </w:tcPr>
          <w:p w14:paraId="6ABDC921">
            <w:pPr>
              <w:spacing w:line="240" w:lineRule="exact"/>
              <w:jc w:val="center"/>
              <w:rPr>
                <w:rFonts w:ascii="宋体"/>
                <w:kern w:val="0"/>
              </w:rPr>
            </w:pPr>
            <w:r>
              <w:rPr>
                <w:rFonts w:hint="eastAsia" w:ascii="宋体"/>
                <w:kern w:val="0"/>
              </w:rPr>
              <w:t>10-15万元</w:t>
            </w:r>
          </w:p>
        </w:tc>
        <w:tc>
          <w:tcPr>
            <w:tcW w:w="5015" w:type="dxa"/>
            <w:tcBorders>
              <w:top w:val="single" w:color="auto" w:sz="4" w:space="0"/>
              <w:left w:val="single" w:color="auto" w:sz="4" w:space="0"/>
              <w:bottom w:val="single" w:color="auto" w:sz="4" w:space="0"/>
            </w:tcBorders>
            <w:vAlign w:val="center"/>
          </w:tcPr>
          <w:p w14:paraId="3C8F2ADA">
            <w:pPr>
              <w:spacing w:line="240" w:lineRule="exact"/>
              <w:jc w:val="center"/>
              <w:rPr>
                <w:rFonts w:ascii="宋体"/>
                <w:kern w:val="0"/>
              </w:rPr>
            </w:pPr>
            <w:r>
              <w:rPr>
                <w:rFonts w:hint="eastAsia" w:ascii="宋体"/>
                <w:kern w:val="0"/>
              </w:rPr>
              <w:t>1.5-2万元</w:t>
            </w:r>
          </w:p>
        </w:tc>
      </w:tr>
      <w:tr w14:paraId="0090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14:paraId="2E5508B8">
            <w:pPr>
              <w:spacing w:line="240" w:lineRule="exact"/>
              <w:jc w:val="left"/>
              <w:rPr>
                <w:rFonts w:ascii="宋体"/>
                <w:kern w:val="0"/>
              </w:rPr>
            </w:pPr>
          </w:p>
        </w:tc>
        <w:tc>
          <w:tcPr>
            <w:tcW w:w="1940" w:type="dxa"/>
            <w:vMerge w:val="continue"/>
            <w:vAlign w:val="center"/>
          </w:tcPr>
          <w:p w14:paraId="73FAEC5F">
            <w:pPr>
              <w:widowControl/>
              <w:spacing w:line="240" w:lineRule="exact"/>
              <w:jc w:val="left"/>
              <w:rPr>
                <w:rFonts w:ascii="宋体"/>
                <w:kern w:val="0"/>
              </w:rPr>
            </w:pPr>
          </w:p>
        </w:tc>
        <w:tc>
          <w:tcPr>
            <w:tcW w:w="1937" w:type="dxa"/>
            <w:vMerge w:val="continue"/>
            <w:vAlign w:val="center"/>
          </w:tcPr>
          <w:p w14:paraId="166231CF">
            <w:pPr>
              <w:spacing w:line="240" w:lineRule="exact"/>
              <w:jc w:val="left"/>
              <w:rPr>
                <w:rFonts w:ascii="宋体"/>
                <w:kern w:val="0"/>
              </w:rPr>
            </w:pPr>
          </w:p>
        </w:tc>
        <w:tc>
          <w:tcPr>
            <w:tcW w:w="992" w:type="dxa"/>
            <w:vMerge w:val="continue"/>
            <w:vAlign w:val="center"/>
          </w:tcPr>
          <w:p w14:paraId="719D0B55">
            <w:pPr>
              <w:spacing w:line="240" w:lineRule="exact"/>
              <w:jc w:val="center"/>
              <w:rPr>
                <w:rFonts w:ascii="宋体"/>
                <w:kern w:val="0"/>
              </w:rPr>
            </w:pPr>
          </w:p>
        </w:tc>
        <w:tc>
          <w:tcPr>
            <w:tcW w:w="3827" w:type="dxa"/>
            <w:vAlign w:val="center"/>
          </w:tcPr>
          <w:p w14:paraId="3AC4339D">
            <w:pPr>
              <w:widowControl/>
              <w:spacing w:line="240" w:lineRule="exact"/>
              <w:jc w:val="left"/>
              <w:rPr>
                <w:rFonts w:ascii="宋体"/>
                <w:kern w:val="0"/>
              </w:rPr>
            </w:pPr>
            <w:r>
              <w:rPr>
                <w:rFonts w:hint="eastAsia" w:ascii="宋体"/>
              </w:rPr>
              <w:t>未提交申请的</w:t>
            </w:r>
          </w:p>
        </w:tc>
        <w:tc>
          <w:tcPr>
            <w:tcW w:w="5387" w:type="dxa"/>
            <w:tcBorders>
              <w:right w:val="single" w:color="auto" w:sz="4" w:space="0"/>
            </w:tcBorders>
            <w:vAlign w:val="center"/>
          </w:tcPr>
          <w:p w14:paraId="5AFA7431">
            <w:pPr>
              <w:spacing w:line="240" w:lineRule="exact"/>
              <w:jc w:val="center"/>
              <w:rPr>
                <w:rFonts w:ascii="宋体"/>
                <w:kern w:val="0"/>
              </w:rPr>
            </w:pPr>
            <w:r>
              <w:rPr>
                <w:rFonts w:hint="eastAsia" w:ascii="宋体"/>
                <w:kern w:val="0"/>
              </w:rPr>
              <w:t>15-20万元</w:t>
            </w:r>
          </w:p>
        </w:tc>
        <w:tc>
          <w:tcPr>
            <w:tcW w:w="5015" w:type="dxa"/>
            <w:tcBorders>
              <w:top w:val="single" w:color="auto" w:sz="4" w:space="0"/>
              <w:left w:val="single" w:color="auto" w:sz="4" w:space="0"/>
              <w:bottom w:val="single" w:color="auto" w:sz="4" w:space="0"/>
            </w:tcBorders>
            <w:vAlign w:val="center"/>
          </w:tcPr>
          <w:p w14:paraId="65BAC7B1">
            <w:pPr>
              <w:spacing w:line="240" w:lineRule="exact"/>
              <w:jc w:val="center"/>
              <w:rPr>
                <w:rFonts w:ascii="宋体"/>
                <w:kern w:val="0"/>
              </w:rPr>
            </w:pPr>
            <w:r>
              <w:rPr>
                <w:rFonts w:hint="eastAsia" w:ascii="宋体"/>
                <w:kern w:val="0"/>
              </w:rPr>
              <w:t>2-2.5万元</w:t>
            </w:r>
          </w:p>
        </w:tc>
      </w:tr>
      <w:tr w14:paraId="53AA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14:paraId="300710A9">
            <w:pPr>
              <w:spacing w:line="240" w:lineRule="exact"/>
              <w:jc w:val="left"/>
              <w:rPr>
                <w:rFonts w:ascii="宋体"/>
                <w:kern w:val="0"/>
              </w:rPr>
            </w:pPr>
          </w:p>
        </w:tc>
        <w:tc>
          <w:tcPr>
            <w:tcW w:w="1940" w:type="dxa"/>
            <w:vMerge w:val="continue"/>
            <w:vAlign w:val="center"/>
          </w:tcPr>
          <w:p w14:paraId="108CB8C3">
            <w:pPr>
              <w:widowControl/>
              <w:spacing w:line="240" w:lineRule="exact"/>
              <w:jc w:val="left"/>
              <w:rPr>
                <w:rFonts w:ascii="宋体"/>
                <w:kern w:val="0"/>
              </w:rPr>
            </w:pPr>
          </w:p>
        </w:tc>
        <w:tc>
          <w:tcPr>
            <w:tcW w:w="1937" w:type="dxa"/>
            <w:vMerge w:val="continue"/>
            <w:vAlign w:val="center"/>
          </w:tcPr>
          <w:p w14:paraId="669D388D">
            <w:pPr>
              <w:spacing w:line="240" w:lineRule="exact"/>
              <w:jc w:val="left"/>
              <w:rPr>
                <w:rFonts w:ascii="宋体"/>
                <w:kern w:val="0"/>
              </w:rPr>
            </w:pPr>
          </w:p>
        </w:tc>
        <w:tc>
          <w:tcPr>
            <w:tcW w:w="992" w:type="dxa"/>
            <w:vMerge w:val="continue"/>
            <w:vAlign w:val="center"/>
          </w:tcPr>
          <w:p w14:paraId="634C4975">
            <w:pPr>
              <w:spacing w:line="240" w:lineRule="exact"/>
              <w:jc w:val="center"/>
              <w:rPr>
                <w:rFonts w:ascii="宋体"/>
                <w:kern w:val="0"/>
              </w:rPr>
            </w:pPr>
          </w:p>
        </w:tc>
        <w:tc>
          <w:tcPr>
            <w:tcW w:w="3827" w:type="dxa"/>
            <w:vAlign w:val="center"/>
          </w:tcPr>
          <w:p w14:paraId="70CE38DD">
            <w:pPr>
              <w:widowControl/>
              <w:jc w:val="left"/>
              <w:rPr>
                <w:rFonts w:ascii="宋体"/>
                <w:kern w:val="0"/>
              </w:rPr>
            </w:pPr>
            <w:r>
              <w:rPr>
                <w:rFonts w:hint="eastAsia" w:ascii="宋体"/>
              </w:rPr>
              <w:t>特殊船舶未提交申请的</w:t>
            </w:r>
          </w:p>
        </w:tc>
        <w:tc>
          <w:tcPr>
            <w:tcW w:w="5387" w:type="dxa"/>
            <w:tcBorders>
              <w:right w:val="single" w:color="auto" w:sz="4" w:space="0"/>
            </w:tcBorders>
            <w:vAlign w:val="center"/>
          </w:tcPr>
          <w:p w14:paraId="527AC2F8">
            <w:pPr>
              <w:spacing w:line="240" w:lineRule="exact"/>
              <w:jc w:val="center"/>
              <w:rPr>
                <w:rFonts w:ascii="宋体"/>
                <w:kern w:val="0"/>
              </w:rPr>
            </w:pPr>
            <w:r>
              <w:rPr>
                <w:rFonts w:hint="eastAsia" w:ascii="宋体"/>
                <w:kern w:val="0"/>
              </w:rPr>
              <w:t>20-25万元</w:t>
            </w:r>
          </w:p>
        </w:tc>
        <w:tc>
          <w:tcPr>
            <w:tcW w:w="5015" w:type="dxa"/>
            <w:tcBorders>
              <w:top w:val="single" w:color="auto" w:sz="4" w:space="0"/>
              <w:left w:val="single" w:color="auto" w:sz="4" w:space="0"/>
              <w:bottom w:val="single" w:color="auto" w:sz="4" w:space="0"/>
            </w:tcBorders>
            <w:vAlign w:val="center"/>
          </w:tcPr>
          <w:p w14:paraId="37881ECC">
            <w:pPr>
              <w:spacing w:line="240" w:lineRule="exact"/>
              <w:jc w:val="center"/>
              <w:rPr>
                <w:rFonts w:ascii="宋体"/>
                <w:kern w:val="0"/>
              </w:rPr>
            </w:pPr>
            <w:r>
              <w:rPr>
                <w:rFonts w:hint="eastAsia" w:ascii="宋体"/>
                <w:kern w:val="0"/>
              </w:rPr>
              <w:t>2.5-3万元</w:t>
            </w:r>
          </w:p>
        </w:tc>
      </w:tr>
      <w:tr w14:paraId="2C43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00" w:type="dxa"/>
            <w:vMerge w:val="continue"/>
            <w:vAlign w:val="center"/>
          </w:tcPr>
          <w:p w14:paraId="6002FB81">
            <w:pPr>
              <w:spacing w:line="240" w:lineRule="exact"/>
              <w:jc w:val="left"/>
              <w:rPr>
                <w:rFonts w:ascii="宋体"/>
                <w:kern w:val="0"/>
              </w:rPr>
            </w:pPr>
          </w:p>
        </w:tc>
        <w:tc>
          <w:tcPr>
            <w:tcW w:w="1940" w:type="dxa"/>
            <w:vMerge w:val="continue"/>
            <w:vAlign w:val="center"/>
          </w:tcPr>
          <w:p w14:paraId="5AD51DB8">
            <w:pPr>
              <w:spacing w:line="240" w:lineRule="exact"/>
              <w:jc w:val="left"/>
              <w:rPr>
                <w:rFonts w:ascii="宋体"/>
                <w:kern w:val="0"/>
              </w:rPr>
            </w:pPr>
          </w:p>
        </w:tc>
        <w:tc>
          <w:tcPr>
            <w:tcW w:w="1937" w:type="dxa"/>
            <w:vMerge w:val="continue"/>
            <w:vAlign w:val="center"/>
          </w:tcPr>
          <w:p w14:paraId="4C99C8EA">
            <w:pPr>
              <w:spacing w:line="240" w:lineRule="exact"/>
              <w:jc w:val="left"/>
              <w:rPr>
                <w:rFonts w:ascii="宋体"/>
                <w:kern w:val="0"/>
              </w:rPr>
            </w:pPr>
          </w:p>
        </w:tc>
        <w:tc>
          <w:tcPr>
            <w:tcW w:w="992" w:type="dxa"/>
            <w:vMerge w:val="continue"/>
            <w:vAlign w:val="center"/>
          </w:tcPr>
          <w:p w14:paraId="2571B69F">
            <w:pPr>
              <w:spacing w:line="240" w:lineRule="exact"/>
              <w:jc w:val="center"/>
              <w:rPr>
                <w:rFonts w:ascii="宋体"/>
                <w:kern w:val="0"/>
              </w:rPr>
            </w:pPr>
          </w:p>
        </w:tc>
        <w:tc>
          <w:tcPr>
            <w:tcW w:w="3827" w:type="dxa"/>
            <w:tcBorders>
              <w:top w:val="single" w:color="auto" w:sz="4" w:space="0"/>
              <w:bottom w:val="single" w:color="auto" w:sz="4" w:space="0"/>
            </w:tcBorders>
            <w:vAlign w:val="center"/>
          </w:tcPr>
          <w:p w14:paraId="471057C2">
            <w:pPr>
              <w:spacing w:line="240" w:lineRule="exact"/>
              <w:jc w:val="left"/>
              <w:rPr>
                <w:rFonts w:ascii="宋体"/>
                <w:kern w:val="0"/>
              </w:rPr>
            </w:pPr>
            <w:r>
              <w:rPr>
                <w:rFonts w:hint="eastAsia" w:ascii="宋体"/>
                <w:kern w:val="0"/>
              </w:rPr>
              <w:t>1.造成不良后果的；</w:t>
            </w:r>
          </w:p>
          <w:p w14:paraId="1CA21571">
            <w:pPr>
              <w:spacing w:line="240" w:lineRule="exact"/>
              <w:jc w:val="left"/>
              <w:rPr>
                <w:rFonts w:ascii="宋体"/>
                <w:kern w:val="0"/>
              </w:rPr>
            </w:pPr>
            <w:r>
              <w:rPr>
                <w:rFonts w:hint="eastAsia" w:ascii="宋体"/>
                <w:kern w:val="0"/>
              </w:rPr>
              <w:t>2.具有其他较重情节的。</w:t>
            </w:r>
          </w:p>
        </w:tc>
        <w:tc>
          <w:tcPr>
            <w:tcW w:w="5387" w:type="dxa"/>
            <w:tcBorders>
              <w:right w:val="single" w:color="auto" w:sz="4" w:space="0"/>
            </w:tcBorders>
            <w:vAlign w:val="center"/>
          </w:tcPr>
          <w:p w14:paraId="1241E0B5">
            <w:pPr>
              <w:spacing w:line="240" w:lineRule="exact"/>
              <w:jc w:val="center"/>
              <w:rPr>
                <w:rFonts w:ascii="宋体"/>
                <w:kern w:val="0"/>
              </w:rPr>
            </w:pPr>
            <w:r>
              <w:rPr>
                <w:rFonts w:hint="eastAsia" w:ascii="宋体"/>
              </w:rPr>
              <w:t xml:space="preserve">25-50万元 </w:t>
            </w:r>
          </w:p>
        </w:tc>
        <w:tc>
          <w:tcPr>
            <w:tcW w:w="5015" w:type="dxa"/>
            <w:tcBorders>
              <w:left w:val="single" w:color="auto" w:sz="4" w:space="0"/>
            </w:tcBorders>
            <w:vAlign w:val="center"/>
          </w:tcPr>
          <w:p w14:paraId="506304C0">
            <w:pPr>
              <w:spacing w:line="240" w:lineRule="exact"/>
              <w:jc w:val="center"/>
              <w:rPr>
                <w:rFonts w:ascii="宋体"/>
                <w:kern w:val="0"/>
              </w:rPr>
            </w:pPr>
            <w:r>
              <w:rPr>
                <w:rFonts w:hint="eastAsia" w:ascii="宋体"/>
                <w:kern w:val="0"/>
              </w:rPr>
              <w:t>2.5-3万元</w:t>
            </w:r>
          </w:p>
        </w:tc>
      </w:tr>
      <w:tr w14:paraId="4E8B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10" w:hRule="atLeast"/>
        </w:trPr>
        <w:tc>
          <w:tcPr>
            <w:tcW w:w="20098" w:type="dxa"/>
            <w:gridSpan w:val="7"/>
            <w:vAlign w:val="center"/>
          </w:tcPr>
          <w:p w14:paraId="5DDEB0E0">
            <w:pPr>
              <w:spacing w:line="240" w:lineRule="exact"/>
              <w:jc w:val="left"/>
              <w:rPr>
                <w:rFonts w:ascii="宋体"/>
              </w:rPr>
            </w:pPr>
            <w:r>
              <w:rPr>
                <w:rFonts w:hint="eastAsia" w:ascii="宋体"/>
                <w:kern w:val="0"/>
              </w:rPr>
              <w:t>注：“特殊船舶”是指《中华人民共和国海上交通安全法》第五十四</w:t>
            </w:r>
            <w:r>
              <w:rPr>
                <w:rFonts w:hint="eastAsia" w:ascii="宋体"/>
              </w:rPr>
              <w:t>条规定的船舶：</w:t>
            </w:r>
          </w:p>
          <w:p w14:paraId="485F2E95">
            <w:pPr>
              <w:spacing w:line="240" w:lineRule="exact"/>
              <w:jc w:val="left"/>
              <w:rPr>
                <w:rFonts w:ascii="宋体"/>
              </w:rPr>
            </w:pPr>
            <w:r>
              <w:rPr>
                <w:rFonts w:hint="eastAsia" w:ascii="宋体"/>
              </w:rPr>
              <w:t>（一）潜水器；</w:t>
            </w:r>
          </w:p>
          <w:p w14:paraId="1C5CE2ED">
            <w:pPr>
              <w:spacing w:line="240" w:lineRule="exact"/>
              <w:jc w:val="left"/>
              <w:rPr>
                <w:rFonts w:ascii="宋体"/>
              </w:rPr>
            </w:pPr>
            <w:r>
              <w:rPr>
                <w:rFonts w:hint="eastAsia" w:ascii="宋体"/>
              </w:rPr>
              <w:t>（二）核动力船舶；</w:t>
            </w:r>
          </w:p>
          <w:p w14:paraId="7E11AE1B">
            <w:pPr>
              <w:spacing w:line="240" w:lineRule="exact"/>
              <w:jc w:val="left"/>
              <w:rPr>
                <w:rFonts w:ascii="宋体"/>
              </w:rPr>
            </w:pPr>
            <w:r>
              <w:rPr>
                <w:rFonts w:hint="eastAsia" w:ascii="宋体"/>
              </w:rPr>
              <w:t>（三）载运放射性物质或者其他有毒有害物质的船舶；</w:t>
            </w:r>
          </w:p>
          <w:p w14:paraId="028A9112">
            <w:pPr>
              <w:spacing w:line="240" w:lineRule="exact"/>
              <w:jc w:val="left"/>
              <w:rPr>
                <w:rFonts w:ascii="宋体"/>
              </w:rPr>
            </w:pPr>
            <w:r>
              <w:rPr>
                <w:rFonts w:hint="eastAsia" w:ascii="宋体"/>
              </w:rPr>
              <w:t>（四）法律、行政法规或者国务院规定的可能危及中华人民共和国海上交通安全的其他船舶。</w:t>
            </w:r>
          </w:p>
        </w:tc>
      </w:tr>
    </w:tbl>
    <w:p w14:paraId="2B1A8134">
      <w:pPr>
        <w:spacing w:line="240" w:lineRule="exact"/>
        <w:rPr>
          <w:rFonts w:ascii="宋体"/>
          <w:shd w:val="clear" w:color="auto" w:fill="FFFFFF"/>
        </w:rPr>
      </w:pPr>
      <w:r>
        <w:rPr>
          <w:rFonts w:hint="eastAsia"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4110"/>
        <w:gridCol w:w="5104"/>
        <w:gridCol w:w="5015"/>
      </w:tblGrid>
      <w:tr w14:paraId="35CFC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14:paraId="47126FF2">
            <w:pPr>
              <w:spacing w:line="240" w:lineRule="exact"/>
              <w:jc w:val="center"/>
              <w:rPr>
                <w:rFonts w:ascii="宋体"/>
                <w:b/>
                <w:kern w:val="0"/>
              </w:rPr>
            </w:pPr>
            <w:r>
              <w:rPr>
                <w:rFonts w:hint="eastAsia" w:ascii="宋体"/>
                <w:b/>
                <w:kern w:val="0"/>
              </w:rPr>
              <w:t>案由</w:t>
            </w:r>
            <w:r>
              <w:rPr>
                <w:rFonts w:hint="eastAsia" w:ascii="宋体"/>
                <w:b/>
                <w:bCs/>
                <w:kern w:val="0"/>
              </w:rPr>
              <w:t>55</w:t>
            </w:r>
          </w:p>
        </w:tc>
        <w:tc>
          <w:tcPr>
            <w:tcW w:w="3877" w:type="dxa"/>
            <w:gridSpan w:val="2"/>
            <w:vAlign w:val="center"/>
          </w:tcPr>
          <w:p w14:paraId="43186AD7">
            <w:pPr>
              <w:spacing w:line="240" w:lineRule="exact"/>
              <w:jc w:val="center"/>
              <w:rPr>
                <w:rFonts w:ascii="宋体"/>
                <w:b/>
                <w:kern w:val="0"/>
              </w:rPr>
            </w:pPr>
            <w:r>
              <w:rPr>
                <w:rFonts w:hint="eastAsia" w:ascii="宋体"/>
                <w:b/>
                <w:kern w:val="0"/>
              </w:rPr>
              <w:t>法律依据</w:t>
            </w:r>
          </w:p>
        </w:tc>
        <w:tc>
          <w:tcPr>
            <w:tcW w:w="992" w:type="dxa"/>
            <w:vMerge w:val="restart"/>
            <w:vAlign w:val="center"/>
          </w:tcPr>
          <w:p w14:paraId="378D5D1B">
            <w:pPr>
              <w:spacing w:line="240" w:lineRule="exact"/>
              <w:jc w:val="center"/>
              <w:rPr>
                <w:rFonts w:ascii="宋体"/>
                <w:b/>
                <w:kern w:val="0"/>
              </w:rPr>
            </w:pPr>
            <w:r>
              <w:rPr>
                <w:rFonts w:hint="eastAsia" w:ascii="宋体"/>
                <w:b/>
                <w:kern w:val="0"/>
              </w:rPr>
              <w:t>违法情节</w:t>
            </w:r>
          </w:p>
        </w:tc>
        <w:tc>
          <w:tcPr>
            <w:tcW w:w="4110" w:type="dxa"/>
            <w:vMerge w:val="restart"/>
            <w:vAlign w:val="center"/>
          </w:tcPr>
          <w:p w14:paraId="508BBB62">
            <w:pPr>
              <w:spacing w:line="240" w:lineRule="exact"/>
              <w:jc w:val="center"/>
              <w:rPr>
                <w:rFonts w:ascii="宋体"/>
                <w:b/>
                <w:kern w:val="0"/>
              </w:rPr>
            </w:pPr>
            <w:r>
              <w:rPr>
                <w:rFonts w:hint="eastAsia" w:ascii="宋体"/>
                <w:b/>
                <w:kern w:val="0"/>
              </w:rPr>
              <w:t>主要考虑因素（事实、性质、情节、危害程度和实际后果等）</w:t>
            </w:r>
          </w:p>
        </w:tc>
        <w:tc>
          <w:tcPr>
            <w:tcW w:w="10119" w:type="dxa"/>
            <w:gridSpan w:val="2"/>
            <w:tcBorders>
              <w:bottom w:val="single" w:color="auto" w:sz="4" w:space="0"/>
            </w:tcBorders>
            <w:vAlign w:val="center"/>
          </w:tcPr>
          <w:p w14:paraId="0B9B2548">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14:paraId="06FE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14:paraId="48A6D011">
            <w:pPr>
              <w:spacing w:line="240" w:lineRule="exact"/>
              <w:jc w:val="center"/>
              <w:rPr>
                <w:rFonts w:ascii="宋体"/>
                <w:b/>
                <w:kern w:val="0"/>
              </w:rPr>
            </w:pPr>
          </w:p>
        </w:tc>
        <w:tc>
          <w:tcPr>
            <w:tcW w:w="1940" w:type="dxa"/>
            <w:tcBorders>
              <w:bottom w:val="single" w:color="000000" w:sz="4" w:space="0"/>
            </w:tcBorders>
            <w:vAlign w:val="center"/>
          </w:tcPr>
          <w:p w14:paraId="512F2F35">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14:paraId="35A2367A">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7641E7CD">
            <w:pPr>
              <w:spacing w:line="240" w:lineRule="exact"/>
              <w:jc w:val="center"/>
              <w:rPr>
                <w:rFonts w:ascii="宋体"/>
                <w:b/>
                <w:kern w:val="0"/>
              </w:rPr>
            </w:pPr>
          </w:p>
        </w:tc>
        <w:tc>
          <w:tcPr>
            <w:tcW w:w="4110" w:type="dxa"/>
            <w:vMerge w:val="continue"/>
            <w:tcBorders>
              <w:bottom w:val="single" w:color="000000" w:sz="4" w:space="0"/>
            </w:tcBorders>
            <w:vAlign w:val="center"/>
          </w:tcPr>
          <w:p w14:paraId="0047C786">
            <w:pPr>
              <w:spacing w:line="240" w:lineRule="exact"/>
              <w:jc w:val="center"/>
              <w:rPr>
                <w:rFonts w:ascii="宋体"/>
                <w:b/>
                <w:kern w:val="0"/>
              </w:rPr>
            </w:pPr>
          </w:p>
        </w:tc>
        <w:tc>
          <w:tcPr>
            <w:tcW w:w="5104" w:type="dxa"/>
            <w:tcBorders>
              <w:top w:val="single" w:color="auto" w:sz="4" w:space="0"/>
              <w:right w:val="single" w:color="auto" w:sz="4" w:space="0"/>
            </w:tcBorders>
            <w:vAlign w:val="center"/>
          </w:tcPr>
          <w:p w14:paraId="0D73EAF9">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14:paraId="0267E585">
            <w:pPr>
              <w:spacing w:line="240" w:lineRule="exact"/>
              <w:jc w:val="center"/>
              <w:rPr>
                <w:rFonts w:ascii="宋体"/>
                <w:b/>
                <w:kern w:val="0"/>
              </w:rPr>
            </w:pPr>
            <w:r>
              <w:rPr>
                <w:rFonts w:hint="eastAsia" w:ascii="宋体"/>
                <w:b/>
                <w:kern w:val="0"/>
              </w:rPr>
              <w:t>【对象】船长</w:t>
            </w:r>
          </w:p>
        </w:tc>
      </w:tr>
      <w:tr w14:paraId="4777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14:paraId="1783ACAE">
            <w:pPr>
              <w:widowControl/>
              <w:spacing w:line="240" w:lineRule="exact"/>
              <w:jc w:val="left"/>
              <w:rPr>
                <w:rFonts w:ascii="宋体"/>
                <w:kern w:val="0"/>
              </w:rPr>
            </w:pPr>
            <w:r>
              <w:rPr>
                <w:rFonts w:hint="eastAsia" w:ascii="宋体"/>
                <w:kern w:val="0"/>
              </w:rPr>
              <w:t>外国籍船舶在中华人民共和国领海非无害通过的</w:t>
            </w:r>
          </w:p>
        </w:tc>
        <w:tc>
          <w:tcPr>
            <w:tcW w:w="1940" w:type="dxa"/>
            <w:vMerge w:val="restart"/>
            <w:vAlign w:val="center"/>
          </w:tcPr>
          <w:p w14:paraId="73D40A05">
            <w:pPr>
              <w:widowControl/>
              <w:spacing w:line="240" w:lineRule="exact"/>
              <w:jc w:val="left"/>
              <w:rPr>
                <w:rFonts w:ascii="宋体"/>
              </w:rPr>
            </w:pPr>
            <w:r>
              <w:rPr>
                <w:rFonts w:hint="eastAsia" w:ascii="宋体"/>
                <w:kern w:val="0"/>
              </w:rPr>
              <w:t>1.《中华人民共和国海上交通安全法》第五十三</w:t>
            </w:r>
            <w:r>
              <w:rPr>
                <w:rFonts w:hint="eastAsia" w:ascii="宋体"/>
              </w:rPr>
              <w:t>条。</w:t>
            </w:r>
          </w:p>
          <w:p w14:paraId="7BB6CB6D">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14:paraId="27E9BC8A">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《中华人民共和国海上海事行政处罚规定》第二十一条第（二）项。</w:t>
            </w:r>
          </w:p>
          <w:p w14:paraId="1DC47EE2">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14:paraId="1B44B87D">
            <w:pPr>
              <w:spacing w:line="240" w:lineRule="exact"/>
              <w:jc w:val="center"/>
              <w:rPr>
                <w:rFonts w:ascii="宋体"/>
                <w:kern w:val="0"/>
              </w:rPr>
            </w:pPr>
            <w:r>
              <w:rPr>
                <w:rFonts w:hint="eastAsia" w:ascii="宋体"/>
                <w:kern w:val="0"/>
              </w:rPr>
              <w:t>从轻</w:t>
            </w:r>
          </w:p>
        </w:tc>
        <w:tc>
          <w:tcPr>
            <w:tcW w:w="4110" w:type="dxa"/>
            <w:vAlign w:val="center"/>
          </w:tcPr>
          <w:p w14:paraId="1087B66A">
            <w:pPr>
              <w:spacing w:line="240" w:lineRule="exact"/>
              <w:jc w:val="center"/>
              <w:rPr>
                <w:rFonts w:ascii="宋体"/>
                <w:kern w:val="0"/>
              </w:rPr>
            </w:pPr>
            <w:r>
              <w:rPr>
                <w:rFonts w:hint="eastAsia" w:ascii="宋体"/>
                <w:kern w:val="0"/>
              </w:rPr>
              <w:t>具有法定从轻处罚情节的</w:t>
            </w:r>
          </w:p>
        </w:tc>
        <w:tc>
          <w:tcPr>
            <w:tcW w:w="5104" w:type="dxa"/>
            <w:tcBorders>
              <w:right w:val="single" w:color="auto" w:sz="4" w:space="0"/>
            </w:tcBorders>
            <w:vAlign w:val="center"/>
          </w:tcPr>
          <w:p w14:paraId="44E0F655">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14:paraId="4EF7ACF5">
            <w:pPr>
              <w:spacing w:line="240" w:lineRule="exact"/>
              <w:jc w:val="center"/>
              <w:rPr>
                <w:rFonts w:ascii="宋体"/>
                <w:kern w:val="0"/>
              </w:rPr>
            </w:pPr>
            <w:r>
              <w:rPr>
                <w:rFonts w:hint="eastAsia" w:ascii="宋体"/>
                <w:kern w:val="0"/>
              </w:rPr>
              <w:t>1-1.5万元</w:t>
            </w:r>
          </w:p>
        </w:tc>
      </w:tr>
      <w:tr w14:paraId="6376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9" w:hRule="atLeast"/>
        </w:trPr>
        <w:tc>
          <w:tcPr>
            <w:tcW w:w="1000" w:type="dxa"/>
            <w:vMerge w:val="continue"/>
            <w:vAlign w:val="center"/>
          </w:tcPr>
          <w:p w14:paraId="04893520">
            <w:pPr>
              <w:spacing w:line="240" w:lineRule="exact"/>
              <w:jc w:val="left"/>
              <w:rPr>
                <w:rFonts w:ascii="宋体"/>
                <w:kern w:val="0"/>
              </w:rPr>
            </w:pPr>
          </w:p>
        </w:tc>
        <w:tc>
          <w:tcPr>
            <w:tcW w:w="1940" w:type="dxa"/>
            <w:vMerge w:val="continue"/>
            <w:vAlign w:val="center"/>
          </w:tcPr>
          <w:p w14:paraId="1EC00987">
            <w:pPr>
              <w:widowControl/>
              <w:spacing w:line="240" w:lineRule="exact"/>
              <w:jc w:val="left"/>
              <w:rPr>
                <w:rFonts w:ascii="宋体"/>
                <w:kern w:val="0"/>
              </w:rPr>
            </w:pPr>
          </w:p>
        </w:tc>
        <w:tc>
          <w:tcPr>
            <w:tcW w:w="1937" w:type="dxa"/>
            <w:vMerge w:val="continue"/>
            <w:vAlign w:val="center"/>
          </w:tcPr>
          <w:p w14:paraId="00A48FAD">
            <w:pPr>
              <w:spacing w:line="240" w:lineRule="exact"/>
              <w:jc w:val="left"/>
              <w:rPr>
                <w:rFonts w:ascii="宋体"/>
                <w:kern w:val="0"/>
              </w:rPr>
            </w:pPr>
          </w:p>
        </w:tc>
        <w:tc>
          <w:tcPr>
            <w:tcW w:w="992" w:type="dxa"/>
            <w:vMerge w:val="restart"/>
            <w:vAlign w:val="center"/>
          </w:tcPr>
          <w:p w14:paraId="5FA387B5">
            <w:pPr>
              <w:spacing w:line="240" w:lineRule="exact"/>
              <w:jc w:val="center"/>
              <w:rPr>
                <w:rFonts w:ascii="宋体"/>
                <w:kern w:val="0"/>
              </w:rPr>
            </w:pPr>
            <w:r>
              <w:rPr>
                <w:rFonts w:hint="eastAsia" w:ascii="宋体"/>
                <w:kern w:val="0"/>
              </w:rPr>
              <w:t>一般</w:t>
            </w:r>
          </w:p>
        </w:tc>
        <w:tc>
          <w:tcPr>
            <w:tcW w:w="4110" w:type="dxa"/>
            <w:vAlign w:val="center"/>
          </w:tcPr>
          <w:p w14:paraId="0794E8B6">
            <w:pPr>
              <w:spacing w:line="240" w:lineRule="exact"/>
              <w:jc w:val="left"/>
              <w:rPr>
                <w:rFonts w:ascii="宋体"/>
                <w:kern w:val="0"/>
              </w:rPr>
            </w:pPr>
            <w:r>
              <w:rPr>
                <w:rFonts w:hint="eastAsia" w:ascii="宋体"/>
                <w:kern w:val="0"/>
              </w:rPr>
              <w:t>一般船舶非无害通过的</w:t>
            </w:r>
          </w:p>
        </w:tc>
        <w:tc>
          <w:tcPr>
            <w:tcW w:w="5104" w:type="dxa"/>
            <w:tcBorders>
              <w:right w:val="single" w:color="auto" w:sz="4" w:space="0"/>
            </w:tcBorders>
            <w:vAlign w:val="center"/>
          </w:tcPr>
          <w:p w14:paraId="4CDE212B">
            <w:pPr>
              <w:spacing w:line="240" w:lineRule="exact"/>
              <w:jc w:val="center"/>
              <w:rPr>
                <w:rFonts w:ascii="宋体"/>
                <w:kern w:val="0"/>
              </w:rPr>
            </w:pPr>
            <w:r>
              <w:rPr>
                <w:rFonts w:hint="eastAsia" w:ascii="宋体"/>
                <w:kern w:val="0"/>
              </w:rPr>
              <w:t>10-20万元</w:t>
            </w:r>
          </w:p>
        </w:tc>
        <w:tc>
          <w:tcPr>
            <w:tcW w:w="5015" w:type="dxa"/>
            <w:tcBorders>
              <w:top w:val="single" w:color="auto" w:sz="4" w:space="0"/>
              <w:left w:val="single" w:color="auto" w:sz="4" w:space="0"/>
              <w:bottom w:val="single" w:color="auto" w:sz="4" w:space="0"/>
            </w:tcBorders>
            <w:vAlign w:val="center"/>
          </w:tcPr>
          <w:p w14:paraId="49DF5F04">
            <w:pPr>
              <w:spacing w:line="240" w:lineRule="exact"/>
              <w:jc w:val="center"/>
              <w:rPr>
                <w:rFonts w:ascii="宋体"/>
                <w:kern w:val="0"/>
              </w:rPr>
            </w:pPr>
            <w:r>
              <w:rPr>
                <w:rFonts w:hint="eastAsia" w:ascii="宋体"/>
                <w:kern w:val="0"/>
              </w:rPr>
              <w:t>1.5-2万元</w:t>
            </w:r>
          </w:p>
        </w:tc>
      </w:tr>
      <w:tr w14:paraId="1A530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14:paraId="0892EEF3">
            <w:pPr>
              <w:spacing w:line="240" w:lineRule="exact"/>
              <w:jc w:val="left"/>
              <w:rPr>
                <w:rFonts w:ascii="宋体"/>
                <w:kern w:val="0"/>
              </w:rPr>
            </w:pPr>
          </w:p>
        </w:tc>
        <w:tc>
          <w:tcPr>
            <w:tcW w:w="1940" w:type="dxa"/>
            <w:vMerge w:val="continue"/>
            <w:vAlign w:val="center"/>
          </w:tcPr>
          <w:p w14:paraId="19A27F53">
            <w:pPr>
              <w:widowControl/>
              <w:spacing w:line="240" w:lineRule="exact"/>
              <w:jc w:val="left"/>
              <w:rPr>
                <w:rFonts w:ascii="宋体"/>
                <w:kern w:val="0"/>
              </w:rPr>
            </w:pPr>
          </w:p>
        </w:tc>
        <w:tc>
          <w:tcPr>
            <w:tcW w:w="1937" w:type="dxa"/>
            <w:vMerge w:val="continue"/>
            <w:vAlign w:val="center"/>
          </w:tcPr>
          <w:p w14:paraId="599ABA68">
            <w:pPr>
              <w:spacing w:line="240" w:lineRule="exact"/>
              <w:jc w:val="left"/>
              <w:rPr>
                <w:rFonts w:ascii="宋体"/>
                <w:kern w:val="0"/>
              </w:rPr>
            </w:pPr>
          </w:p>
        </w:tc>
        <w:tc>
          <w:tcPr>
            <w:tcW w:w="992" w:type="dxa"/>
            <w:vMerge w:val="continue"/>
            <w:vAlign w:val="center"/>
          </w:tcPr>
          <w:p w14:paraId="5BB95761">
            <w:pPr>
              <w:spacing w:line="240" w:lineRule="exact"/>
              <w:jc w:val="center"/>
              <w:rPr>
                <w:rFonts w:ascii="宋体"/>
                <w:kern w:val="0"/>
              </w:rPr>
            </w:pPr>
          </w:p>
        </w:tc>
        <w:tc>
          <w:tcPr>
            <w:tcW w:w="4110" w:type="dxa"/>
            <w:vAlign w:val="center"/>
          </w:tcPr>
          <w:p w14:paraId="46202562">
            <w:pPr>
              <w:spacing w:line="240" w:lineRule="exact"/>
              <w:jc w:val="left"/>
              <w:rPr>
                <w:rFonts w:ascii="宋体"/>
                <w:kern w:val="0"/>
              </w:rPr>
            </w:pPr>
            <w:r>
              <w:rPr>
                <w:rFonts w:hint="eastAsia" w:ascii="宋体"/>
                <w:kern w:val="0"/>
              </w:rPr>
              <w:t>特殊船舶非无害通过的</w:t>
            </w:r>
          </w:p>
        </w:tc>
        <w:tc>
          <w:tcPr>
            <w:tcW w:w="5104" w:type="dxa"/>
            <w:tcBorders>
              <w:right w:val="single" w:color="auto" w:sz="4" w:space="0"/>
            </w:tcBorders>
            <w:vAlign w:val="center"/>
          </w:tcPr>
          <w:p w14:paraId="0D1C1E98">
            <w:pPr>
              <w:spacing w:line="240" w:lineRule="exact"/>
              <w:jc w:val="center"/>
              <w:rPr>
                <w:rFonts w:ascii="宋体"/>
                <w:kern w:val="0"/>
              </w:rPr>
            </w:pPr>
            <w:r>
              <w:rPr>
                <w:rFonts w:hint="eastAsia" w:ascii="宋体"/>
                <w:kern w:val="0"/>
              </w:rPr>
              <w:t>20-30万元</w:t>
            </w:r>
          </w:p>
        </w:tc>
        <w:tc>
          <w:tcPr>
            <w:tcW w:w="5015" w:type="dxa"/>
            <w:tcBorders>
              <w:top w:val="single" w:color="auto" w:sz="4" w:space="0"/>
              <w:left w:val="single" w:color="auto" w:sz="4" w:space="0"/>
              <w:bottom w:val="single" w:color="auto" w:sz="4" w:space="0"/>
            </w:tcBorders>
            <w:vAlign w:val="center"/>
          </w:tcPr>
          <w:p w14:paraId="6445A4C2">
            <w:pPr>
              <w:spacing w:line="240" w:lineRule="exact"/>
              <w:jc w:val="center"/>
              <w:rPr>
                <w:rFonts w:ascii="宋体"/>
                <w:kern w:val="0"/>
              </w:rPr>
            </w:pPr>
            <w:r>
              <w:rPr>
                <w:rFonts w:hint="eastAsia" w:ascii="宋体"/>
                <w:kern w:val="0"/>
              </w:rPr>
              <w:t>2-2.5万元</w:t>
            </w:r>
          </w:p>
        </w:tc>
      </w:tr>
      <w:tr w14:paraId="31399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4" w:hRule="atLeast"/>
        </w:trPr>
        <w:tc>
          <w:tcPr>
            <w:tcW w:w="1000" w:type="dxa"/>
            <w:vMerge w:val="continue"/>
            <w:vAlign w:val="center"/>
          </w:tcPr>
          <w:p w14:paraId="362C2242">
            <w:pPr>
              <w:spacing w:line="240" w:lineRule="exact"/>
              <w:jc w:val="left"/>
              <w:rPr>
                <w:rFonts w:ascii="宋体"/>
                <w:kern w:val="0"/>
              </w:rPr>
            </w:pPr>
          </w:p>
        </w:tc>
        <w:tc>
          <w:tcPr>
            <w:tcW w:w="1940" w:type="dxa"/>
            <w:vMerge w:val="continue"/>
            <w:vAlign w:val="center"/>
          </w:tcPr>
          <w:p w14:paraId="49B3ECDA">
            <w:pPr>
              <w:widowControl/>
              <w:spacing w:line="240" w:lineRule="exact"/>
              <w:jc w:val="left"/>
              <w:rPr>
                <w:rFonts w:ascii="宋体"/>
                <w:kern w:val="0"/>
              </w:rPr>
            </w:pPr>
          </w:p>
        </w:tc>
        <w:tc>
          <w:tcPr>
            <w:tcW w:w="1937" w:type="dxa"/>
            <w:vMerge w:val="continue"/>
            <w:vAlign w:val="center"/>
          </w:tcPr>
          <w:p w14:paraId="5B76E8A9">
            <w:pPr>
              <w:spacing w:line="240" w:lineRule="exact"/>
              <w:jc w:val="left"/>
              <w:rPr>
                <w:rFonts w:ascii="宋体"/>
                <w:kern w:val="0"/>
              </w:rPr>
            </w:pPr>
          </w:p>
        </w:tc>
        <w:tc>
          <w:tcPr>
            <w:tcW w:w="992" w:type="dxa"/>
            <w:vMerge w:val="continue"/>
            <w:vAlign w:val="center"/>
          </w:tcPr>
          <w:p w14:paraId="46299874">
            <w:pPr>
              <w:spacing w:line="240" w:lineRule="exact"/>
              <w:jc w:val="center"/>
              <w:rPr>
                <w:rFonts w:ascii="宋体"/>
                <w:kern w:val="0"/>
              </w:rPr>
            </w:pPr>
          </w:p>
        </w:tc>
        <w:tc>
          <w:tcPr>
            <w:tcW w:w="4110" w:type="dxa"/>
            <w:vAlign w:val="center"/>
          </w:tcPr>
          <w:p w14:paraId="5C900106">
            <w:pPr>
              <w:spacing w:line="240" w:lineRule="exact"/>
              <w:jc w:val="left"/>
              <w:rPr>
                <w:rFonts w:ascii="宋体"/>
                <w:kern w:val="0"/>
              </w:rPr>
            </w:pPr>
            <w:r>
              <w:rPr>
                <w:rFonts w:hint="eastAsia" w:ascii="宋体"/>
                <w:kern w:val="0"/>
              </w:rPr>
              <w:t>1.造成不良后果的；</w:t>
            </w:r>
          </w:p>
          <w:p w14:paraId="5FF27266">
            <w:pPr>
              <w:spacing w:line="240" w:lineRule="exact"/>
              <w:jc w:val="left"/>
              <w:rPr>
                <w:rFonts w:ascii="宋体"/>
                <w:kern w:val="0"/>
              </w:rPr>
            </w:pPr>
            <w:r>
              <w:rPr>
                <w:rFonts w:hint="eastAsia" w:ascii="宋体"/>
                <w:kern w:val="0"/>
              </w:rPr>
              <w:t>2.具有其他较重情节的。</w:t>
            </w:r>
          </w:p>
        </w:tc>
        <w:tc>
          <w:tcPr>
            <w:tcW w:w="5104" w:type="dxa"/>
            <w:tcBorders>
              <w:right w:val="single" w:color="auto" w:sz="4" w:space="0"/>
            </w:tcBorders>
            <w:vAlign w:val="center"/>
          </w:tcPr>
          <w:p w14:paraId="465C5909">
            <w:pPr>
              <w:spacing w:line="240" w:lineRule="exact"/>
              <w:jc w:val="center"/>
              <w:rPr>
                <w:rFonts w:ascii="宋体"/>
                <w:kern w:val="0"/>
              </w:rPr>
            </w:pPr>
            <w:r>
              <w:rPr>
                <w:rFonts w:hint="eastAsia" w:ascii="宋体"/>
                <w:kern w:val="0"/>
              </w:rPr>
              <w:t>30-50万元</w:t>
            </w:r>
          </w:p>
        </w:tc>
        <w:tc>
          <w:tcPr>
            <w:tcW w:w="5015" w:type="dxa"/>
            <w:tcBorders>
              <w:top w:val="single" w:color="auto" w:sz="4" w:space="0"/>
              <w:left w:val="single" w:color="auto" w:sz="4" w:space="0"/>
              <w:bottom w:val="single" w:color="auto" w:sz="4" w:space="0"/>
            </w:tcBorders>
            <w:vAlign w:val="center"/>
          </w:tcPr>
          <w:p w14:paraId="531FB1DA">
            <w:pPr>
              <w:spacing w:line="240" w:lineRule="exact"/>
              <w:jc w:val="center"/>
              <w:rPr>
                <w:rFonts w:ascii="宋体"/>
                <w:kern w:val="0"/>
              </w:rPr>
            </w:pPr>
            <w:r>
              <w:rPr>
                <w:rFonts w:hint="eastAsia" w:ascii="宋体"/>
                <w:kern w:val="0"/>
              </w:rPr>
              <w:t>2.5-3万元</w:t>
            </w:r>
          </w:p>
        </w:tc>
      </w:tr>
      <w:tr w14:paraId="22D6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29" w:hRule="atLeast"/>
        </w:trPr>
        <w:tc>
          <w:tcPr>
            <w:tcW w:w="20098" w:type="dxa"/>
            <w:gridSpan w:val="7"/>
            <w:vAlign w:val="center"/>
          </w:tcPr>
          <w:p w14:paraId="28FE90CB">
            <w:pPr>
              <w:spacing w:line="240" w:lineRule="exact"/>
              <w:jc w:val="left"/>
              <w:rPr>
                <w:rFonts w:ascii="宋体"/>
              </w:rPr>
            </w:pPr>
            <w:r>
              <w:rPr>
                <w:rFonts w:hint="eastAsia" w:ascii="宋体"/>
                <w:kern w:val="0"/>
              </w:rPr>
              <w:t>注：“特殊船舶”是指《中华人民共和国海上交通安全法》第五十四</w:t>
            </w:r>
            <w:r>
              <w:rPr>
                <w:rFonts w:hint="eastAsia" w:ascii="宋体"/>
              </w:rPr>
              <w:t>条规定的船舶：</w:t>
            </w:r>
          </w:p>
          <w:p w14:paraId="468958A5">
            <w:pPr>
              <w:spacing w:line="240" w:lineRule="exact"/>
              <w:jc w:val="left"/>
              <w:rPr>
                <w:rFonts w:ascii="宋体"/>
              </w:rPr>
            </w:pPr>
            <w:r>
              <w:rPr>
                <w:rFonts w:hint="eastAsia" w:ascii="宋体"/>
              </w:rPr>
              <w:t>（一）潜水器；</w:t>
            </w:r>
          </w:p>
          <w:p w14:paraId="3A907704">
            <w:pPr>
              <w:spacing w:line="240" w:lineRule="exact"/>
              <w:jc w:val="left"/>
              <w:rPr>
                <w:rFonts w:ascii="宋体"/>
              </w:rPr>
            </w:pPr>
            <w:r>
              <w:rPr>
                <w:rFonts w:hint="eastAsia" w:ascii="宋体"/>
              </w:rPr>
              <w:t>（二）核动力船舶；</w:t>
            </w:r>
          </w:p>
          <w:p w14:paraId="02EE5081">
            <w:pPr>
              <w:spacing w:line="240" w:lineRule="exact"/>
              <w:jc w:val="left"/>
              <w:rPr>
                <w:rFonts w:ascii="宋体"/>
              </w:rPr>
            </w:pPr>
            <w:r>
              <w:rPr>
                <w:rFonts w:hint="eastAsia" w:ascii="宋体"/>
              </w:rPr>
              <w:t>（三）载运放射性物质或者其他有毒有害物质的船舶；</w:t>
            </w:r>
          </w:p>
          <w:p w14:paraId="6A66DD50">
            <w:pPr>
              <w:spacing w:line="240" w:lineRule="exact"/>
              <w:jc w:val="left"/>
              <w:rPr>
                <w:rFonts w:ascii="宋体"/>
                <w:kern w:val="0"/>
              </w:rPr>
            </w:pPr>
            <w:r>
              <w:rPr>
                <w:rFonts w:hint="eastAsia" w:ascii="宋体"/>
              </w:rPr>
              <w:t>（四）法律、行政法规或者国务院规定的可能危及中华人民共和国海上交通安全的其他船舶。</w:t>
            </w:r>
          </w:p>
        </w:tc>
      </w:tr>
    </w:tbl>
    <w:p w14:paraId="6A86AC8E">
      <w:pPr>
        <w:spacing w:line="240" w:lineRule="exact"/>
        <w:rPr>
          <w:rFonts w:ascii="宋体"/>
          <w:shd w:val="clear" w:color="auto" w:fill="FFFFFF"/>
        </w:rPr>
      </w:pPr>
      <w:r>
        <w:rPr>
          <w:rFonts w:hint="eastAsia"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0"/>
        <w:gridCol w:w="1940"/>
        <w:gridCol w:w="1937"/>
        <w:gridCol w:w="992"/>
        <w:gridCol w:w="3827"/>
        <w:gridCol w:w="5387"/>
        <w:gridCol w:w="5015"/>
      </w:tblGrid>
      <w:tr w14:paraId="633E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00" w:type="dxa"/>
            <w:vMerge w:val="restart"/>
            <w:vAlign w:val="center"/>
          </w:tcPr>
          <w:p w14:paraId="7E21D325">
            <w:pPr>
              <w:spacing w:line="240" w:lineRule="exact"/>
              <w:jc w:val="center"/>
              <w:rPr>
                <w:rFonts w:ascii="宋体"/>
                <w:b/>
                <w:kern w:val="0"/>
              </w:rPr>
            </w:pPr>
            <w:r>
              <w:rPr>
                <w:rFonts w:hint="eastAsia" w:ascii="宋体"/>
                <w:b/>
                <w:kern w:val="0"/>
              </w:rPr>
              <w:t>案由</w:t>
            </w:r>
            <w:r>
              <w:rPr>
                <w:rFonts w:hint="eastAsia" w:ascii="宋体"/>
                <w:b/>
                <w:bCs/>
                <w:kern w:val="0"/>
              </w:rPr>
              <w:t>56</w:t>
            </w:r>
          </w:p>
        </w:tc>
        <w:tc>
          <w:tcPr>
            <w:tcW w:w="3877" w:type="dxa"/>
            <w:gridSpan w:val="2"/>
            <w:vAlign w:val="center"/>
          </w:tcPr>
          <w:p w14:paraId="29BAC724">
            <w:pPr>
              <w:spacing w:line="240" w:lineRule="exact"/>
              <w:jc w:val="center"/>
              <w:rPr>
                <w:rFonts w:ascii="宋体"/>
                <w:b/>
                <w:kern w:val="0"/>
              </w:rPr>
            </w:pPr>
            <w:r>
              <w:rPr>
                <w:rFonts w:hint="eastAsia" w:ascii="宋体"/>
                <w:b/>
                <w:kern w:val="0"/>
              </w:rPr>
              <w:t>法律依据</w:t>
            </w:r>
          </w:p>
        </w:tc>
        <w:tc>
          <w:tcPr>
            <w:tcW w:w="992" w:type="dxa"/>
            <w:vMerge w:val="restart"/>
            <w:vAlign w:val="center"/>
          </w:tcPr>
          <w:p w14:paraId="3C67F91C">
            <w:pPr>
              <w:spacing w:line="240" w:lineRule="exact"/>
              <w:jc w:val="center"/>
              <w:rPr>
                <w:rFonts w:ascii="宋体"/>
                <w:b/>
                <w:kern w:val="0"/>
              </w:rPr>
            </w:pPr>
            <w:r>
              <w:rPr>
                <w:rFonts w:hint="eastAsia" w:ascii="宋体"/>
                <w:b/>
                <w:kern w:val="0"/>
              </w:rPr>
              <w:t>违法情节</w:t>
            </w:r>
          </w:p>
        </w:tc>
        <w:tc>
          <w:tcPr>
            <w:tcW w:w="3827" w:type="dxa"/>
            <w:vMerge w:val="restart"/>
            <w:vAlign w:val="center"/>
          </w:tcPr>
          <w:p w14:paraId="5BB9143D">
            <w:pPr>
              <w:spacing w:line="240" w:lineRule="exact"/>
              <w:jc w:val="center"/>
              <w:rPr>
                <w:rFonts w:ascii="宋体"/>
                <w:b/>
                <w:kern w:val="0"/>
              </w:rPr>
            </w:pPr>
            <w:r>
              <w:rPr>
                <w:rFonts w:hint="eastAsia" w:ascii="宋体"/>
                <w:b/>
                <w:kern w:val="0"/>
              </w:rPr>
              <w:t>主要考虑因素（事实、性质、情节、危害程度和实际后果等）</w:t>
            </w:r>
          </w:p>
        </w:tc>
        <w:tc>
          <w:tcPr>
            <w:tcW w:w="10402" w:type="dxa"/>
            <w:gridSpan w:val="2"/>
            <w:tcBorders>
              <w:bottom w:val="single" w:color="auto" w:sz="4" w:space="0"/>
            </w:tcBorders>
            <w:vAlign w:val="center"/>
          </w:tcPr>
          <w:p w14:paraId="0761D1F6">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14:paraId="237C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00" w:type="dxa"/>
            <w:vMerge w:val="continue"/>
            <w:tcBorders>
              <w:bottom w:val="single" w:color="000000" w:sz="4" w:space="0"/>
            </w:tcBorders>
            <w:vAlign w:val="center"/>
          </w:tcPr>
          <w:p w14:paraId="2C468954">
            <w:pPr>
              <w:spacing w:line="240" w:lineRule="exact"/>
              <w:jc w:val="center"/>
              <w:rPr>
                <w:rFonts w:ascii="宋体"/>
                <w:b/>
                <w:kern w:val="0"/>
              </w:rPr>
            </w:pPr>
          </w:p>
        </w:tc>
        <w:tc>
          <w:tcPr>
            <w:tcW w:w="1940" w:type="dxa"/>
            <w:tcBorders>
              <w:bottom w:val="single" w:color="000000" w:sz="4" w:space="0"/>
            </w:tcBorders>
            <w:vAlign w:val="center"/>
          </w:tcPr>
          <w:p w14:paraId="21976508">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14:paraId="234E5106">
            <w:pPr>
              <w:spacing w:line="240" w:lineRule="exact"/>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1DDCCE58">
            <w:pPr>
              <w:spacing w:line="240" w:lineRule="exact"/>
              <w:jc w:val="center"/>
              <w:rPr>
                <w:rFonts w:ascii="宋体"/>
                <w:b/>
                <w:kern w:val="0"/>
              </w:rPr>
            </w:pPr>
          </w:p>
        </w:tc>
        <w:tc>
          <w:tcPr>
            <w:tcW w:w="3827" w:type="dxa"/>
            <w:vMerge w:val="continue"/>
            <w:tcBorders>
              <w:bottom w:val="single" w:color="000000" w:sz="4" w:space="0"/>
            </w:tcBorders>
            <w:vAlign w:val="center"/>
          </w:tcPr>
          <w:p w14:paraId="6CFEFEA9">
            <w:pPr>
              <w:spacing w:line="240" w:lineRule="exact"/>
              <w:jc w:val="center"/>
              <w:rPr>
                <w:rFonts w:ascii="宋体"/>
                <w:b/>
                <w:kern w:val="0"/>
              </w:rPr>
            </w:pPr>
          </w:p>
        </w:tc>
        <w:tc>
          <w:tcPr>
            <w:tcW w:w="5387" w:type="dxa"/>
            <w:tcBorders>
              <w:top w:val="single" w:color="auto" w:sz="4" w:space="0"/>
              <w:right w:val="single" w:color="auto" w:sz="4" w:space="0"/>
            </w:tcBorders>
            <w:vAlign w:val="center"/>
          </w:tcPr>
          <w:p w14:paraId="679E6973">
            <w:pPr>
              <w:spacing w:line="240" w:lineRule="exact"/>
              <w:jc w:val="center"/>
              <w:rPr>
                <w:rFonts w:ascii="宋体"/>
                <w:b/>
                <w:kern w:val="0"/>
              </w:rPr>
            </w:pPr>
            <w:r>
              <w:rPr>
                <w:rFonts w:hint="eastAsia" w:ascii="宋体"/>
                <w:b/>
                <w:kern w:val="0"/>
              </w:rPr>
              <w:t>【对象】外国籍船舶的所有人、经营人或者管理人</w:t>
            </w:r>
          </w:p>
        </w:tc>
        <w:tc>
          <w:tcPr>
            <w:tcW w:w="5015" w:type="dxa"/>
            <w:tcBorders>
              <w:top w:val="single" w:color="auto" w:sz="4" w:space="0"/>
              <w:left w:val="single" w:color="auto" w:sz="4" w:space="0"/>
            </w:tcBorders>
            <w:vAlign w:val="center"/>
          </w:tcPr>
          <w:p w14:paraId="4A5749E3">
            <w:pPr>
              <w:spacing w:line="240" w:lineRule="exact"/>
              <w:jc w:val="center"/>
              <w:rPr>
                <w:rFonts w:ascii="宋体"/>
                <w:b/>
                <w:kern w:val="0"/>
              </w:rPr>
            </w:pPr>
            <w:r>
              <w:rPr>
                <w:rFonts w:hint="eastAsia" w:ascii="宋体"/>
                <w:b/>
                <w:kern w:val="0"/>
              </w:rPr>
              <w:t>【对象】船长</w:t>
            </w:r>
          </w:p>
        </w:tc>
      </w:tr>
      <w:tr w14:paraId="33936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5" w:hRule="atLeast"/>
        </w:trPr>
        <w:tc>
          <w:tcPr>
            <w:tcW w:w="1000" w:type="dxa"/>
            <w:vMerge w:val="restart"/>
            <w:vAlign w:val="center"/>
          </w:tcPr>
          <w:p w14:paraId="1390AE74">
            <w:pPr>
              <w:widowControl/>
              <w:spacing w:line="240" w:lineRule="exact"/>
              <w:jc w:val="left"/>
              <w:rPr>
                <w:rFonts w:ascii="宋体"/>
                <w:kern w:val="0"/>
              </w:rPr>
            </w:pPr>
            <w:r>
              <w:rPr>
                <w:rFonts w:hint="eastAsia" w:ascii="宋体"/>
                <w:kern w:val="0"/>
              </w:rPr>
              <w:t>外国籍船舶进出中华人民共和国领海，应当向海事管理机构报告而未报告的</w:t>
            </w:r>
          </w:p>
        </w:tc>
        <w:tc>
          <w:tcPr>
            <w:tcW w:w="1940" w:type="dxa"/>
            <w:vMerge w:val="restart"/>
            <w:vAlign w:val="center"/>
          </w:tcPr>
          <w:p w14:paraId="28E4F546">
            <w:pPr>
              <w:widowControl/>
              <w:spacing w:line="240" w:lineRule="exact"/>
              <w:jc w:val="left"/>
              <w:rPr>
                <w:rFonts w:ascii="宋体"/>
              </w:rPr>
            </w:pPr>
            <w:r>
              <w:rPr>
                <w:rFonts w:hint="eastAsia" w:ascii="宋体"/>
                <w:kern w:val="0"/>
              </w:rPr>
              <w:t>1.《中华人民共和国海上交通安全法》第五十四</w:t>
            </w:r>
            <w:r>
              <w:rPr>
                <w:rFonts w:hint="eastAsia" w:ascii="宋体"/>
              </w:rPr>
              <w:t>条第一款。</w:t>
            </w:r>
          </w:p>
          <w:p w14:paraId="3A1B6820">
            <w:pPr>
              <w:widowControl/>
              <w:spacing w:line="240" w:lineRule="exact"/>
              <w:jc w:val="left"/>
              <w:rPr>
                <w:rFonts w:ascii="宋体"/>
              </w:rPr>
            </w:pPr>
            <w:r>
              <w:rPr>
                <w:rFonts w:hint="eastAsia" w:ascii="宋体"/>
                <w:kern w:val="0"/>
              </w:rPr>
              <w:t>2.其他法律、行政法规和规章</w:t>
            </w:r>
            <w:r>
              <w:rPr>
                <w:rFonts w:hint="eastAsia" w:ascii="宋体"/>
              </w:rPr>
              <w:t>。</w:t>
            </w:r>
          </w:p>
        </w:tc>
        <w:tc>
          <w:tcPr>
            <w:tcW w:w="1937" w:type="dxa"/>
            <w:vMerge w:val="restart"/>
            <w:vAlign w:val="center"/>
          </w:tcPr>
          <w:p w14:paraId="072512C7">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《中华人民共和国海上海事行政处罚规定》第二十一条第（三）项。</w:t>
            </w:r>
          </w:p>
          <w:p w14:paraId="29BA5FD3">
            <w:pPr>
              <w:spacing w:line="240" w:lineRule="exact"/>
              <w:jc w:val="left"/>
              <w:rPr>
                <w:rFonts w:ascii="宋体"/>
                <w:kern w:val="0"/>
              </w:rPr>
            </w:pPr>
            <w:r>
              <w:rPr>
                <w:rFonts w:hint="eastAsia" w:ascii="宋体"/>
                <w:kern w:val="0"/>
              </w:rPr>
              <w:t>2. 《中华人民共和国海上海事行政处罚规定》第七条。</w:t>
            </w:r>
          </w:p>
        </w:tc>
        <w:tc>
          <w:tcPr>
            <w:tcW w:w="992" w:type="dxa"/>
            <w:vAlign w:val="center"/>
          </w:tcPr>
          <w:p w14:paraId="01E0C205">
            <w:pPr>
              <w:spacing w:line="240" w:lineRule="exact"/>
              <w:jc w:val="center"/>
              <w:rPr>
                <w:rFonts w:ascii="宋体"/>
                <w:kern w:val="0"/>
              </w:rPr>
            </w:pPr>
            <w:r>
              <w:rPr>
                <w:rFonts w:hint="eastAsia" w:ascii="宋体"/>
                <w:kern w:val="0"/>
              </w:rPr>
              <w:t>从轻</w:t>
            </w:r>
          </w:p>
        </w:tc>
        <w:tc>
          <w:tcPr>
            <w:tcW w:w="3827" w:type="dxa"/>
            <w:vAlign w:val="center"/>
          </w:tcPr>
          <w:p w14:paraId="439E99BB">
            <w:pPr>
              <w:spacing w:line="240" w:lineRule="exact"/>
              <w:jc w:val="center"/>
              <w:rPr>
                <w:rFonts w:ascii="宋体"/>
                <w:kern w:val="0"/>
              </w:rPr>
            </w:pPr>
            <w:r>
              <w:rPr>
                <w:rFonts w:hint="eastAsia" w:ascii="宋体"/>
                <w:kern w:val="0"/>
              </w:rPr>
              <w:t>具有法定从轻处罚情节的</w:t>
            </w:r>
          </w:p>
        </w:tc>
        <w:tc>
          <w:tcPr>
            <w:tcW w:w="5387" w:type="dxa"/>
            <w:tcBorders>
              <w:right w:val="single" w:color="auto" w:sz="4" w:space="0"/>
            </w:tcBorders>
            <w:vAlign w:val="center"/>
          </w:tcPr>
          <w:p w14:paraId="60C0F521">
            <w:pPr>
              <w:spacing w:line="240" w:lineRule="exact"/>
              <w:jc w:val="center"/>
              <w:rPr>
                <w:rFonts w:ascii="宋体"/>
                <w:kern w:val="0"/>
              </w:rPr>
            </w:pPr>
            <w:r>
              <w:rPr>
                <w:rFonts w:hint="eastAsia" w:ascii="宋体"/>
                <w:kern w:val="0"/>
              </w:rPr>
              <w:t>5-10万元</w:t>
            </w:r>
          </w:p>
        </w:tc>
        <w:tc>
          <w:tcPr>
            <w:tcW w:w="5015" w:type="dxa"/>
            <w:tcBorders>
              <w:left w:val="single" w:color="auto" w:sz="4" w:space="0"/>
              <w:bottom w:val="single" w:color="auto" w:sz="4" w:space="0"/>
            </w:tcBorders>
            <w:vAlign w:val="center"/>
          </w:tcPr>
          <w:p w14:paraId="2ADF0938">
            <w:pPr>
              <w:spacing w:line="240" w:lineRule="exact"/>
              <w:jc w:val="center"/>
              <w:rPr>
                <w:rFonts w:ascii="宋体"/>
                <w:kern w:val="0"/>
              </w:rPr>
            </w:pPr>
            <w:r>
              <w:rPr>
                <w:rFonts w:hint="eastAsia" w:ascii="宋体"/>
                <w:kern w:val="0"/>
              </w:rPr>
              <w:t>1-1.5万元</w:t>
            </w:r>
          </w:p>
        </w:tc>
      </w:tr>
      <w:tr w14:paraId="3ED6B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2" w:hRule="atLeast"/>
        </w:trPr>
        <w:tc>
          <w:tcPr>
            <w:tcW w:w="1000" w:type="dxa"/>
            <w:vMerge w:val="continue"/>
            <w:vAlign w:val="center"/>
          </w:tcPr>
          <w:p w14:paraId="01C90FE7">
            <w:pPr>
              <w:spacing w:line="240" w:lineRule="exact"/>
              <w:jc w:val="left"/>
              <w:rPr>
                <w:rFonts w:ascii="宋体"/>
                <w:kern w:val="0"/>
              </w:rPr>
            </w:pPr>
          </w:p>
        </w:tc>
        <w:tc>
          <w:tcPr>
            <w:tcW w:w="1940" w:type="dxa"/>
            <w:vMerge w:val="continue"/>
            <w:vAlign w:val="center"/>
          </w:tcPr>
          <w:p w14:paraId="29D29F0F">
            <w:pPr>
              <w:widowControl/>
              <w:spacing w:line="240" w:lineRule="exact"/>
              <w:jc w:val="left"/>
              <w:rPr>
                <w:rFonts w:ascii="宋体"/>
                <w:kern w:val="0"/>
              </w:rPr>
            </w:pPr>
          </w:p>
        </w:tc>
        <w:tc>
          <w:tcPr>
            <w:tcW w:w="1937" w:type="dxa"/>
            <w:vMerge w:val="continue"/>
            <w:vAlign w:val="center"/>
          </w:tcPr>
          <w:p w14:paraId="37A6ADE0">
            <w:pPr>
              <w:spacing w:line="240" w:lineRule="exact"/>
              <w:jc w:val="left"/>
              <w:rPr>
                <w:rFonts w:ascii="宋体"/>
                <w:kern w:val="0"/>
              </w:rPr>
            </w:pPr>
          </w:p>
        </w:tc>
        <w:tc>
          <w:tcPr>
            <w:tcW w:w="992" w:type="dxa"/>
            <w:vMerge w:val="restart"/>
            <w:vAlign w:val="center"/>
          </w:tcPr>
          <w:p w14:paraId="4438DAC0">
            <w:pPr>
              <w:spacing w:line="240" w:lineRule="exact"/>
              <w:jc w:val="center"/>
              <w:rPr>
                <w:rFonts w:ascii="宋体"/>
                <w:kern w:val="0"/>
              </w:rPr>
            </w:pPr>
            <w:r>
              <w:rPr>
                <w:rFonts w:hint="eastAsia" w:ascii="宋体"/>
                <w:kern w:val="0"/>
              </w:rPr>
              <w:t>一般</w:t>
            </w:r>
          </w:p>
        </w:tc>
        <w:tc>
          <w:tcPr>
            <w:tcW w:w="3827" w:type="dxa"/>
            <w:vAlign w:val="center"/>
          </w:tcPr>
          <w:p w14:paraId="03602DF0">
            <w:pPr>
              <w:jc w:val="left"/>
              <w:rPr>
                <w:rFonts w:ascii="宋体"/>
                <w:kern w:val="0"/>
              </w:rPr>
            </w:pPr>
            <w:r>
              <w:rPr>
                <w:rFonts w:hint="eastAsia" w:ascii="宋体"/>
                <w:kern w:val="0"/>
              </w:rPr>
              <w:t>1.报告信息不完整，迟报的。</w:t>
            </w:r>
          </w:p>
          <w:p w14:paraId="3581E14C">
            <w:pPr>
              <w:jc w:val="left"/>
              <w:rPr>
                <w:rFonts w:ascii="宋体"/>
                <w:kern w:val="0"/>
              </w:rPr>
            </w:pPr>
            <w:r>
              <w:rPr>
                <w:rFonts w:hint="eastAsia" w:ascii="宋体"/>
                <w:kern w:val="0"/>
              </w:rPr>
              <w:t>2.船舶自动识别系统设备无法正常使用，未按规定进行后续报告的。</w:t>
            </w:r>
          </w:p>
        </w:tc>
        <w:tc>
          <w:tcPr>
            <w:tcW w:w="5387" w:type="dxa"/>
            <w:tcBorders>
              <w:right w:val="single" w:color="auto" w:sz="4" w:space="0"/>
            </w:tcBorders>
            <w:vAlign w:val="center"/>
          </w:tcPr>
          <w:p w14:paraId="04FA075E">
            <w:pPr>
              <w:spacing w:line="240" w:lineRule="exact"/>
              <w:jc w:val="center"/>
              <w:rPr>
                <w:rFonts w:ascii="宋体"/>
                <w:kern w:val="0"/>
              </w:rPr>
            </w:pPr>
            <w:r>
              <w:rPr>
                <w:rFonts w:hint="eastAsia" w:ascii="宋体"/>
                <w:kern w:val="0"/>
              </w:rPr>
              <w:t>10-15万元</w:t>
            </w:r>
          </w:p>
        </w:tc>
        <w:tc>
          <w:tcPr>
            <w:tcW w:w="5015" w:type="dxa"/>
            <w:tcBorders>
              <w:top w:val="single" w:color="auto" w:sz="4" w:space="0"/>
              <w:left w:val="single" w:color="auto" w:sz="4" w:space="0"/>
              <w:bottom w:val="single" w:color="auto" w:sz="4" w:space="0"/>
            </w:tcBorders>
            <w:vAlign w:val="center"/>
          </w:tcPr>
          <w:p w14:paraId="09C08B6E">
            <w:pPr>
              <w:spacing w:line="240" w:lineRule="exact"/>
              <w:jc w:val="center"/>
              <w:rPr>
                <w:rFonts w:ascii="宋体"/>
                <w:kern w:val="0"/>
              </w:rPr>
            </w:pPr>
            <w:r>
              <w:rPr>
                <w:rFonts w:hint="eastAsia" w:ascii="宋体"/>
                <w:kern w:val="0"/>
              </w:rPr>
              <w:t>1.5-2万元</w:t>
            </w:r>
          </w:p>
        </w:tc>
      </w:tr>
      <w:tr w14:paraId="54D1C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31" w:hRule="atLeast"/>
        </w:trPr>
        <w:tc>
          <w:tcPr>
            <w:tcW w:w="1000" w:type="dxa"/>
            <w:vMerge w:val="continue"/>
            <w:vAlign w:val="center"/>
          </w:tcPr>
          <w:p w14:paraId="3753C55F">
            <w:pPr>
              <w:spacing w:line="240" w:lineRule="exact"/>
              <w:jc w:val="left"/>
              <w:rPr>
                <w:rFonts w:ascii="宋体"/>
                <w:kern w:val="0"/>
              </w:rPr>
            </w:pPr>
          </w:p>
        </w:tc>
        <w:tc>
          <w:tcPr>
            <w:tcW w:w="1940" w:type="dxa"/>
            <w:vMerge w:val="continue"/>
            <w:vAlign w:val="center"/>
          </w:tcPr>
          <w:p w14:paraId="433C78F7">
            <w:pPr>
              <w:widowControl/>
              <w:spacing w:line="240" w:lineRule="exact"/>
              <w:jc w:val="left"/>
              <w:rPr>
                <w:rFonts w:ascii="宋体"/>
                <w:kern w:val="0"/>
              </w:rPr>
            </w:pPr>
          </w:p>
        </w:tc>
        <w:tc>
          <w:tcPr>
            <w:tcW w:w="1937" w:type="dxa"/>
            <w:vMerge w:val="continue"/>
            <w:vAlign w:val="center"/>
          </w:tcPr>
          <w:p w14:paraId="7D94E7E1">
            <w:pPr>
              <w:spacing w:line="240" w:lineRule="exact"/>
              <w:jc w:val="left"/>
              <w:rPr>
                <w:rFonts w:ascii="宋体"/>
                <w:kern w:val="0"/>
              </w:rPr>
            </w:pPr>
          </w:p>
        </w:tc>
        <w:tc>
          <w:tcPr>
            <w:tcW w:w="992" w:type="dxa"/>
            <w:vMerge w:val="continue"/>
            <w:vAlign w:val="center"/>
          </w:tcPr>
          <w:p w14:paraId="08FA049E">
            <w:pPr>
              <w:spacing w:line="240" w:lineRule="exact"/>
              <w:jc w:val="center"/>
              <w:rPr>
                <w:rFonts w:ascii="宋体"/>
                <w:kern w:val="0"/>
              </w:rPr>
            </w:pPr>
          </w:p>
        </w:tc>
        <w:tc>
          <w:tcPr>
            <w:tcW w:w="3827" w:type="dxa"/>
            <w:vAlign w:val="center"/>
          </w:tcPr>
          <w:p w14:paraId="7BDDC9F0">
            <w:pPr>
              <w:spacing w:line="240" w:lineRule="exact"/>
              <w:jc w:val="left"/>
              <w:rPr>
                <w:rFonts w:ascii="宋体"/>
                <w:kern w:val="0"/>
              </w:rPr>
            </w:pPr>
            <w:r>
              <w:rPr>
                <w:rFonts w:hint="eastAsia" w:ascii="宋体"/>
                <w:kern w:val="0"/>
              </w:rPr>
              <w:t>一般外国籍船舶未报告的。</w:t>
            </w:r>
          </w:p>
        </w:tc>
        <w:tc>
          <w:tcPr>
            <w:tcW w:w="5387" w:type="dxa"/>
            <w:tcBorders>
              <w:right w:val="single" w:color="auto" w:sz="4" w:space="0"/>
            </w:tcBorders>
            <w:vAlign w:val="center"/>
          </w:tcPr>
          <w:p w14:paraId="4D421016">
            <w:pPr>
              <w:spacing w:line="240" w:lineRule="exact"/>
              <w:jc w:val="center"/>
              <w:rPr>
                <w:rFonts w:ascii="宋体"/>
                <w:kern w:val="0"/>
              </w:rPr>
            </w:pPr>
            <w:r>
              <w:rPr>
                <w:rFonts w:hint="eastAsia" w:ascii="宋体"/>
                <w:kern w:val="0"/>
              </w:rPr>
              <w:t>15-20万元</w:t>
            </w:r>
          </w:p>
        </w:tc>
        <w:tc>
          <w:tcPr>
            <w:tcW w:w="5015" w:type="dxa"/>
            <w:tcBorders>
              <w:top w:val="single" w:color="auto" w:sz="4" w:space="0"/>
              <w:left w:val="single" w:color="auto" w:sz="4" w:space="0"/>
              <w:bottom w:val="single" w:color="auto" w:sz="4" w:space="0"/>
            </w:tcBorders>
            <w:vAlign w:val="center"/>
          </w:tcPr>
          <w:p w14:paraId="4286EF34">
            <w:pPr>
              <w:spacing w:line="240" w:lineRule="exact"/>
              <w:jc w:val="center"/>
              <w:rPr>
                <w:rFonts w:ascii="宋体"/>
                <w:kern w:val="0"/>
              </w:rPr>
            </w:pPr>
            <w:r>
              <w:rPr>
                <w:rFonts w:hint="eastAsia" w:ascii="宋体"/>
                <w:kern w:val="0"/>
              </w:rPr>
              <w:t>2-2.5万元</w:t>
            </w:r>
          </w:p>
        </w:tc>
      </w:tr>
      <w:tr w14:paraId="354C0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3" w:hRule="atLeast"/>
        </w:trPr>
        <w:tc>
          <w:tcPr>
            <w:tcW w:w="1000" w:type="dxa"/>
            <w:vMerge w:val="continue"/>
            <w:vAlign w:val="center"/>
          </w:tcPr>
          <w:p w14:paraId="1BE5F128">
            <w:pPr>
              <w:spacing w:line="240" w:lineRule="exact"/>
              <w:jc w:val="left"/>
              <w:rPr>
                <w:rFonts w:ascii="宋体"/>
                <w:kern w:val="0"/>
              </w:rPr>
            </w:pPr>
          </w:p>
        </w:tc>
        <w:tc>
          <w:tcPr>
            <w:tcW w:w="1940" w:type="dxa"/>
            <w:vMerge w:val="continue"/>
            <w:vAlign w:val="center"/>
          </w:tcPr>
          <w:p w14:paraId="7A5A2030">
            <w:pPr>
              <w:widowControl/>
              <w:spacing w:line="240" w:lineRule="exact"/>
              <w:jc w:val="left"/>
              <w:rPr>
                <w:rFonts w:ascii="宋体"/>
                <w:kern w:val="0"/>
              </w:rPr>
            </w:pPr>
          </w:p>
        </w:tc>
        <w:tc>
          <w:tcPr>
            <w:tcW w:w="1937" w:type="dxa"/>
            <w:vMerge w:val="continue"/>
            <w:vAlign w:val="center"/>
          </w:tcPr>
          <w:p w14:paraId="0BEBB086">
            <w:pPr>
              <w:spacing w:line="240" w:lineRule="exact"/>
              <w:jc w:val="left"/>
              <w:rPr>
                <w:rFonts w:ascii="宋体"/>
                <w:kern w:val="0"/>
              </w:rPr>
            </w:pPr>
          </w:p>
        </w:tc>
        <w:tc>
          <w:tcPr>
            <w:tcW w:w="992" w:type="dxa"/>
            <w:vMerge w:val="continue"/>
            <w:vAlign w:val="center"/>
          </w:tcPr>
          <w:p w14:paraId="7A3031AB">
            <w:pPr>
              <w:spacing w:line="240" w:lineRule="exact"/>
              <w:jc w:val="center"/>
              <w:rPr>
                <w:rFonts w:ascii="宋体"/>
                <w:kern w:val="0"/>
              </w:rPr>
            </w:pPr>
          </w:p>
        </w:tc>
        <w:tc>
          <w:tcPr>
            <w:tcW w:w="3827" w:type="dxa"/>
            <w:vAlign w:val="center"/>
          </w:tcPr>
          <w:p w14:paraId="6D40319D">
            <w:pPr>
              <w:spacing w:line="240" w:lineRule="exact"/>
              <w:jc w:val="left"/>
              <w:rPr>
                <w:rFonts w:ascii="宋体"/>
                <w:kern w:val="0"/>
              </w:rPr>
            </w:pPr>
            <w:r>
              <w:rPr>
                <w:rFonts w:hint="eastAsia" w:ascii="宋体"/>
                <w:kern w:val="0"/>
              </w:rPr>
              <w:t>潜水器、核动力船舶、载运放射性物质的外国籍船舶未报告的。</w:t>
            </w:r>
          </w:p>
        </w:tc>
        <w:tc>
          <w:tcPr>
            <w:tcW w:w="5387" w:type="dxa"/>
            <w:tcBorders>
              <w:right w:val="single" w:color="auto" w:sz="4" w:space="0"/>
            </w:tcBorders>
            <w:vAlign w:val="center"/>
          </w:tcPr>
          <w:p w14:paraId="41409EC7">
            <w:pPr>
              <w:spacing w:line="240" w:lineRule="exact"/>
              <w:jc w:val="center"/>
              <w:rPr>
                <w:rFonts w:ascii="宋体"/>
                <w:kern w:val="0"/>
              </w:rPr>
            </w:pPr>
            <w:r>
              <w:rPr>
                <w:rFonts w:hint="eastAsia" w:ascii="宋体"/>
                <w:kern w:val="0"/>
              </w:rPr>
              <w:t>20-25万元</w:t>
            </w:r>
          </w:p>
        </w:tc>
        <w:tc>
          <w:tcPr>
            <w:tcW w:w="5015" w:type="dxa"/>
            <w:tcBorders>
              <w:top w:val="single" w:color="auto" w:sz="4" w:space="0"/>
              <w:left w:val="single" w:color="auto" w:sz="4" w:space="0"/>
              <w:bottom w:val="single" w:color="auto" w:sz="4" w:space="0"/>
            </w:tcBorders>
            <w:vAlign w:val="center"/>
          </w:tcPr>
          <w:p w14:paraId="46FD22D2">
            <w:pPr>
              <w:spacing w:line="240" w:lineRule="exact"/>
              <w:jc w:val="center"/>
              <w:rPr>
                <w:rFonts w:ascii="宋体"/>
                <w:kern w:val="0"/>
              </w:rPr>
            </w:pPr>
            <w:r>
              <w:rPr>
                <w:rFonts w:hint="eastAsia" w:ascii="宋体"/>
                <w:kern w:val="0"/>
              </w:rPr>
              <w:t>2.5-3万元</w:t>
            </w:r>
          </w:p>
        </w:tc>
      </w:tr>
      <w:tr w14:paraId="636D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trPr>
        <w:tc>
          <w:tcPr>
            <w:tcW w:w="1000" w:type="dxa"/>
            <w:vMerge w:val="continue"/>
            <w:vAlign w:val="center"/>
          </w:tcPr>
          <w:p w14:paraId="3EB4A84B">
            <w:pPr>
              <w:spacing w:line="240" w:lineRule="exact"/>
              <w:jc w:val="left"/>
              <w:rPr>
                <w:rFonts w:ascii="宋体"/>
                <w:kern w:val="0"/>
              </w:rPr>
            </w:pPr>
          </w:p>
        </w:tc>
        <w:tc>
          <w:tcPr>
            <w:tcW w:w="1940" w:type="dxa"/>
            <w:vMerge w:val="continue"/>
            <w:vAlign w:val="center"/>
          </w:tcPr>
          <w:p w14:paraId="594878BB">
            <w:pPr>
              <w:spacing w:line="240" w:lineRule="exact"/>
              <w:jc w:val="left"/>
              <w:rPr>
                <w:rFonts w:ascii="宋体"/>
                <w:kern w:val="0"/>
              </w:rPr>
            </w:pPr>
          </w:p>
        </w:tc>
        <w:tc>
          <w:tcPr>
            <w:tcW w:w="1937" w:type="dxa"/>
            <w:vMerge w:val="continue"/>
            <w:vAlign w:val="center"/>
          </w:tcPr>
          <w:p w14:paraId="0A993BC4">
            <w:pPr>
              <w:spacing w:line="240" w:lineRule="exact"/>
              <w:jc w:val="left"/>
              <w:rPr>
                <w:rFonts w:ascii="宋体"/>
                <w:kern w:val="0"/>
              </w:rPr>
            </w:pPr>
          </w:p>
        </w:tc>
        <w:tc>
          <w:tcPr>
            <w:tcW w:w="992" w:type="dxa"/>
            <w:vMerge w:val="continue"/>
            <w:vAlign w:val="center"/>
          </w:tcPr>
          <w:p w14:paraId="03381696">
            <w:pPr>
              <w:spacing w:line="240" w:lineRule="exact"/>
              <w:jc w:val="center"/>
              <w:rPr>
                <w:rFonts w:ascii="宋体"/>
                <w:kern w:val="0"/>
              </w:rPr>
            </w:pPr>
          </w:p>
        </w:tc>
        <w:tc>
          <w:tcPr>
            <w:tcW w:w="3827" w:type="dxa"/>
            <w:tcBorders>
              <w:top w:val="single" w:color="auto" w:sz="4" w:space="0"/>
              <w:bottom w:val="single" w:color="auto" w:sz="4" w:space="0"/>
            </w:tcBorders>
            <w:vAlign w:val="center"/>
          </w:tcPr>
          <w:p w14:paraId="11388846">
            <w:pPr>
              <w:spacing w:line="240" w:lineRule="exact"/>
              <w:jc w:val="left"/>
              <w:rPr>
                <w:rFonts w:ascii="宋体"/>
                <w:kern w:val="0"/>
              </w:rPr>
            </w:pPr>
            <w:r>
              <w:rPr>
                <w:rFonts w:hint="eastAsia" w:ascii="宋体"/>
                <w:kern w:val="0"/>
              </w:rPr>
              <w:t>1.造成不良后果的；</w:t>
            </w:r>
          </w:p>
          <w:p w14:paraId="179F648A">
            <w:pPr>
              <w:spacing w:line="240" w:lineRule="exact"/>
              <w:jc w:val="left"/>
              <w:rPr>
                <w:rFonts w:ascii="宋体"/>
                <w:kern w:val="0"/>
              </w:rPr>
            </w:pPr>
            <w:r>
              <w:rPr>
                <w:rFonts w:hint="eastAsia" w:ascii="宋体"/>
                <w:kern w:val="0"/>
              </w:rPr>
              <w:t>2.具有其他较重情节的。</w:t>
            </w:r>
          </w:p>
        </w:tc>
        <w:tc>
          <w:tcPr>
            <w:tcW w:w="5387" w:type="dxa"/>
            <w:tcBorders>
              <w:right w:val="single" w:color="auto" w:sz="4" w:space="0"/>
            </w:tcBorders>
            <w:vAlign w:val="center"/>
          </w:tcPr>
          <w:p w14:paraId="641028A3">
            <w:pPr>
              <w:spacing w:line="240" w:lineRule="exact"/>
              <w:jc w:val="center"/>
              <w:rPr>
                <w:rFonts w:ascii="宋体"/>
                <w:kern w:val="0"/>
              </w:rPr>
            </w:pPr>
            <w:r>
              <w:rPr>
                <w:rFonts w:hint="eastAsia" w:ascii="宋体"/>
              </w:rPr>
              <w:t xml:space="preserve">25-50万元 </w:t>
            </w:r>
          </w:p>
        </w:tc>
        <w:tc>
          <w:tcPr>
            <w:tcW w:w="5015" w:type="dxa"/>
            <w:tcBorders>
              <w:left w:val="single" w:color="auto" w:sz="4" w:space="0"/>
            </w:tcBorders>
            <w:vAlign w:val="center"/>
          </w:tcPr>
          <w:p w14:paraId="70E4B049">
            <w:pPr>
              <w:spacing w:line="240" w:lineRule="exact"/>
              <w:jc w:val="center"/>
              <w:rPr>
                <w:rFonts w:ascii="宋体"/>
                <w:kern w:val="0"/>
              </w:rPr>
            </w:pPr>
            <w:r>
              <w:rPr>
                <w:rFonts w:hint="eastAsia" w:ascii="宋体"/>
                <w:kern w:val="0"/>
              </w:rPr>
              <w:t>2.5-3万元</w:t>
            </w:r>
          </w:p>
        </w:tc>
      </w:tr>
    </w:tbl>
    <w:p w14:paraId="23E46331">
      <w:pPr>
        <w:spacing w:line="240" w:lineRule="exact"/>
        <w:rPr>
          <w:rFonts w:ascii="宋体"/>
          <w:shd w:val="clear" w:color="auto" w:fill="FFFFFF"/>
        </w:rPr>
      </w:pPr>
      <w:r>
        <w:rPr>
          <w:rFonts w:ascii="宋体"/>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60"/>
        <w:gridCol w:w="1880"/>
        <w:gridCol w:w="1833"/>
        <w:gridCol w:w="1275"/>
        <w:gridCol w:w="2490"/>
        <w:gridCol w:w="5805"/>
        <w:gridCol w:w="5779"/>
      </w:tblGrid>
      <w:tr w14:paraId="580B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060" w:type="dxa"/>
            <w:vMerge w:val="restart"/>
            <w:vAlign w:val="center"/>
          </w:tcPr>
          <w:p w14:paraId="18CE7A31">
            <w:pPr>
              <w:spacing w:line="240" w:lineRule="exact"/>
              <w:jc w:val="center"/>
              <w:rPr>
                <w:rFonts w:ascii="宋体"/>
                <w:b/>
                <w:kern w:val="0"/>
              </w:rPr>
            </w:pPr>
            <w:r>
              <w:rPr>
                <w:rFonts w:hint="eastAsia" w:ascii="宋体"/>
                <w:b/>
                <w:kern w:val="0"/>
              </w:rPr>
              <w:t>案由57</w:t>
            </w:r>
          </w:p>
        </w:tc>
        <w:tc>
          <w:tcPr>
            <w:tcW w:w="3713" w:type="dxa"/>
            <w:gridSpan w:val="2"/>
            <w:vAlign w:val="center"/>
          </w:tcPr>
          <w:p w14:paraId="48D4C928">
            <w:pPr>
              <w:spacing w:line="240" w:lineRule="exact"/>
              <w:jc w:val="center"/>
              <w:rPr>
                <w:rFonts w:ascii="宋体"/>
                <w:b/>
                <w:kern w:val="0"/>
              </w:rPr>
            </w:pPr>
            <w:r>
              <w:rPr>
                <w:rFonts w:hint="eastAsia" w:ascii="宋体"/>
                <w:b/>
                <w:kern w:val="0"/>
              </w:rPr>
              <w:t>法律依据</w:t>
            </w:r>
          </w:p>
        </w:tc>
        <w:tc>
          <w:tcPr>
            <w:tcW w:w="1275" w:type="dxa"/>
            <w:vMerge w:val="restart"/>
            <w:vAlign w:val="center"/>
          </w:tcPr>
          <w:p w14:paraId="289E7CE0">
            <w:pPr>
              <w:spacing w:line="240" w:lineRule="exact"/>
              <w:jc w:val="center"/>
              <w:rPr>
                <w:rFonts w:ascii="宋体"/>
                <w:b/>
                <w:kern w:val="0"/>
              </w:rPr>
            </w:pPr>
            <w:r>
              <w:rPr>
                <w:rFonts w:hint="eastAsia" w:ascii="宋体"/>
                <w:b/>
                <w:kern w:val="0"/>
              </w:rPr>
              <w:t>违法情节</w:t>
            </w:r>
          </w:p>
        </w:tc>
        <w:tc>
          <w:tcPr>
            <w:tcW w:w="2490" w:type="dxa"/>
            <w:vMerge w:val="restart"/>
            <w:vAlign w:val="center"/>
          </w:tcPr>
          <w:p w14:paraId="48FCF095">
            <w:pPr>
              <w:spacing w:line="240" w:lineRule="exact"/>
              <w:jc w:val="center"/>
              <w:rPr>
                <w:rFonts w:ascii="宋体"/>
                <w:b/>
                <w:kern w:val="0"/>
              </w:rPr>
            </w:pPr>
            <w:r>
              <w:rPr>
                <w:rFonts w:hint="eastAsia" w:ascii="宋体"/>
                <w:b/>
                <w:kern w:val="0"/>
              </w:rPr>
              <w:t>主要考虑因素（事实、性质、情节、危害程度和实际后果等）</w:t>
            </w:r>
          </w:p>
        </w:tc>
        <w:tc>
          <w:tcPr>
            <w:tcW w:w="11584" w:type="dxa"/>
            <w:gridSpan w:val="2"/>
            <w:tcBorders>
              <w:bottom w:val="single" w:color="auto" w:sz="4" w:space="0"/>
            </w:tcBorders>
            <w:vAlign w:val="center"/>
          </w:tcPr>
          <w:p w14:paraId="73B92449">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14:paraId="1EF0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060" w:type="dxa"/>
            <w:vMerge w:val="continue"/>
            <w:tcBorders>
              <w:bottom w:val="single" w:color="000000" w:sz="4" w:space="0"/>
            </w:tcBorders>
            <w:vAlign w:val="center"/>
          </w:tcPr>
          <w:p w14:paraId="30A00D87">
            <w:pPr>
              <w:spacing w:line="240" w:lineRule="exact"/>
              <w:jc w:val="center"/>
              <w:rPr>
                <w:rFonts w:ascii="宋体"/>
                <w:b/>
                <w:kern w:val="0"/>
              </w:rPr>
            </w:pPr>
          </w:p>
        </w:tc>
        <w:tc>
          <w:tcPr>
            <w:tcW w:w="1880" w:type="dxa"/>
            <w:tcBorders>
              <w:bottom w:val="single" w:color="000000" w:sz="4" w:space="0"/>
            </w:tcBorders>
            <w:vAlign w:val="center"/>
          </w:tcPr>
          <w:p w14:paraId="29772402">
            <w:pPr>
              <w:spacing w:line="240" w:lineRule="exact"/>
              <w:jc w:val="center"/>
              <w:rPr>
                <w:rFonts w:ascii="宋体"/>
                <w:b/>
                <w:kern w:val="0"/>
              </w:rPr>
            </w:pPr>
            <w:r>
              <w:rPr>
                <w:rFonts w:hint="eastAsia" w:ascii="宋体"/>
                <w:b/>
                <w:kern w:val="0"/>
              </w:rPr>
              <w:t>违反条款</w:t>
            </w:r>
          </w:p>
        </w:tc>
        <w:tc>
          <w:tcPr>
            <w:tcW w:w="1833" w:type="dxa"/>
            <w:tcBorders>
              <w:bottom w:val="single" w:color="000000" w:sz="4" w:space="0"/>
            </w:tcBorders>
            <w:vAlign w:val="center"/>
          </w:tcPr>
          <w:p w14:paraId="1993428A">
            <w:pPr>
              <w:spacing w:line="240" w:lineRule="exact"/>
              <w:jc w:val="center"/>
              <w:rPr>
                <w:rFonts w:ascii="宋体"/>
                <w:b/>
                <w:kern w:val="0"/>
              </w:rPr>
            </w:pPr>
            <w:r>
              <w:rPr>
                <w:rFonts w:hint="eastAsia" w:ascii="宋体"/>
                <w:b/>
                <w:kern w:val="0"/>
              </w:rPr>
              <w:t>处罚依据</w:t>
            </w:r>
          </w:p>
        </w:tc>
        <w:tc>
          <w:tcPr>
            <w:tcW w:w="1275" w:type="dxa"/>
            <w:vMerge w:val="continue"/>
            <w:tcBorders>
              <w:bottom w:val="single" w:color="000000" w:sz="4" w:space="0"/>
            </w:tcBorders>
            <w:vAlign w:val="center"/>
          </w:tcPr>
          <w:p w14:paraId="1FCD1E98">
            <w:pPr>
              <w:spacing w:line="240" w:lineRule="exact"/>
              <w:jc w:val="center"/>
              <w:rPr>
                <w:rFonts w:ascii="宋体"/>
                <w:b/>
                <w:kern w:val="0"/>
              </w:rPr>
            </w:pPr>
          </w:p>
        </w:tc>
        <w:tc>
          <w:tcPr>
            <w:tcW w:w="2490" w:type="dxa"/>
            <w:vMerge w:val="continue"/>
            <w:tcBorders>
              <w:bottom w:val="single" w:color="000000" w:sz="4" w:space="0"/>
            </w:tcBorders>
            <w:vAlign w:val="center"/>
          </w:tcPr>
          <w:p w14:paraId="7F4C1048">
            <w:pPr>
              <w:spacing w:line="240" w:lineRule="exact"/>
              <w:jc w:val="center"/>
              <w:rPr>
                <w:rFonts w:ascii="宋体"/>
                <w:b/>
                <w:kern w:val="0"/>
              </w:rPr>
            </w:pPr>
          </w:p>
        </w:tc>
        <w:tc>
          <w:tcPr>
            <w:tcW w:w="5805" w:type="dxa"/>
            <w:tcBorders>
              <w:top w:val="single" w:color="auto" w:sz="4" w:space="0"/>
              <w:right w:val="single" w:color="auto" w:sz="4" w:space="0"/>
            </w:tcBorders>
            <w:vAlign w:val="center"/>
          </w:tcPr>
          <w:p w14:paraId="375E7F76">
            <w:pPr>
              <w:spacing w:line="240" w:lineRule="exact"/>
              <w:jc w:val="center"/>
              <w:rPr>
                <w:rFonts w:ascii="宋体"/>
                <w:b/>
                <w:kern w:val="0"/>
              </w:rPr>
            </w:pPr>
            <w:r>
              <w:rPr>
                <w:rFonts w:hint="eastAsia" w:ascii="宋体"/>
                <w:b/>
                <w:kern w:val="0"/>
              </w:rPr>
              <w:t>【对象】外国籍船舶的所有人、经营人或者管理人</w:t>
            </w:r>
          </w:p>
        </w:tc>
        <w:tc>
          <w:tcPr>
            <w:tcW w:w="5779" w:type="dxa"/>
            <w:tcBorders>
              <w:top w:val="single" w:color="auto" w:sz="4" w:space="0"/>
              <w:left w:val="single" w:color="auto" w:sz="4" w:space="0"/>
            </w:tcBorders>
            <w:vAlign w:val="center"/>
          </w:tcPr>
          <w:p w14:paraId="2BF663DC">
            <w:pPr>
              <w:spacing w:line="240" w:lineRule="exact"/>
              <w:jc w:val="center"/>
              <w:rPr>
                <w:rFonts w:ascii="宋体"/>
                <w:b/>
                <w:kern w:val="0"/>
              </w:rPr>
            </w:pPr>
            <w:r>
              <w:rPr>
                <w:rFonts w:hint="eastAsia" w:ascii="宋体"/>
                <w:b/>
                <w:kern w:val="0"/>
              </w:rPr>
              <w:t>【对象】船长</w:t>
            </w:r>
          </w:p>
        </w:tc>
      </w:tr>
      <w:tr w14:paraId="41DE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1" w:hRule="atLeast"/>
        </w:trPr>
        <w:tc>
          <w:tcPr>
            <w:tcW w:w="1060" w:type="dxa"/>
            <w:vMerge w:val="restart"/>
            <w:vAlign w:val="center"/>
          </w:tcPr>
          <w:p w14:paraId="3BBCD726">
            <w:pPr>
              <w:widowControl/>
              <w:spacing w:line="240" w:lineRule="exact"/>
              <w:jc w:val="left"/>
              <w:rPr>
                <w:rFonts w:ascii="宋体"/>
                <w:kern w:val="0"/>
              </w:rPr>
            </w:pPr>
            <w:r>
              <w:rPr>
                <w:rFonts w:hint="eastAsia" w:ascii="宋体"/>
                <w:kern w:val="0"/>
              </w:rPr>
              <w:t>外国籍船舶进出中华人民共和国领海未持有有关证书，或未采取符合中华人民共和国法律、行政法规和规章规定的特别预防措施，或不接受海事管理机构的指令和监督</w:t>
            </w:r>
          </w:p>
        </w:tc>
        <w:tc>
          <w:tcPr>
            <w:tcW w:w="1880" w:type="dxa"/>
            <w:vMerge w:val="restart"/>
            <w:vAlign w:val="center"/>
          </w:tcPr>
          <w:p w14:paraId="779C3448">
            <w:pPr>
              <w:widowControl/>
              <w:spacing w:line="240" w:lineRule="exact"/>
              <w:rPr>
                <w:rFonts w:ascii="宋体"/>
              </w:rPr>
            </w:pPr>
            <w:r>
              <w:rPr>
                <w:rFonts w:hint="eastAsia" w:ascii="宋体"/>
                <w:kern w:val="0"/>
              </w:rPr>
              <w:t>1.《中华人民共和国海上交通安全法》第五十四</w:t>
            </w:r>
            <w:r>
              <w:rPr>
                <w:rFonts w:hint="eastAsia" w:ascii="宋体"/>
              </w:rPr>
              <w:t>条第二款；</w:t>
            </w:r>
          </w:p>
          <w:p w14:paraId="243BCDFB">
            <w:pPr>
              <w:widowControl/>
              <w:spacing w:line="240" w:lineRule="exact"/>
              <w:rPr>
                <w:rFonts w:ascii="宋体"/>
              </w:rPr>
            </w:pPr>
            <w:r>
              <w:rPr>
                <w:rFonts w:hint="eastAsia" w:ascii="宋体"/>
                <w:kern w:val="0"/>
              </w:rPr>
              <w:t>2.其他法律、行政法规和规章</w:t>
            </w:r>
            <w:r>
              <w:rPr>
                <w:rFonts w:hint="eastAsia" w:ascii="宋体"/>
              </w:rPr>
              <w:t>。</w:t>
            </w:r>
          </w:p>
        </w:tc>
        <w:tc>
          <w:tcPr>
            <w:tcW w:w="1833" w:type="dxa"/>
            <w:vMerge w:val="restart"/>
            <w:vAlign w:val="center"/>
          </w:tcPr>
          <w:p w14:paraId="3DC0A0C5">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《中华人民共和国海上海事行政处罚规定》第二十一条第（四）项。</w:t>
            </w:r>
          </w:p>
          <w:p w14:paraId="17A11002">
            <w:pPr>
              <w:spacing w:line="240" w:lineRule="exact"/>
              <w:jc w:val="left"/>
              <w:rPr>
                <w:rFonts w:ascii="宋体"/>
                <w:kern w:val="0"/>
              </w:rPr>
            </w:pPr>
            <w:r>
              <w:rPr>
                <w:rFonts w:hint="eastAsia" w:ascii="宋体"/>
                <w:kern w:val="0"/>
              </w:rPr>
              <w:t>2.《中华人民共和国海上海事行政处罚规定》第七条。</w:t>
            </w:r>
          </w:p>
        </w:tc>
        <w:tc>
          <w:tcPr>
            <w:tcW w:w="1275" w:type="dxa"/>
            <w:vAlign w:val="center"/>
          </w:tcPr>
          <w:p w14:paraId="354A0491">
            <w:pPr>
              <w:spacing w:line="240" w:lineRule="exact"/>
              <w:jc w:val="center"/>
              <w:rPr>
                <w:rFonts w:ascii="宋体"/>
                <w:kern w:val="0"/>
              </w:rPr>
            </w:pPr>
            <w:r>
              <w:rPr>
                <w:rFonts w:hint="eastAsia" w:ascii="宋体"/>
                <w:kern w:val="0"/>
              </w:rPr>
              <w:t>从轻</w:t>
            </w:r>
          </w:p>
        </w:tc>
        <w:tc>
          <w:tcPr>
            <w:tcW w:w="2490" w:type="dxa"/>
            <w:vAlign w:val="center"/>
          </w:tcPr>
          <w:p w14:paraId="5EBA299F">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805" w:type="dxa"/>
            <w:tcBorders>
              <w:right w:val="single" w:color="auto" w:sz="4" w:space="0"/>
            </w:tcBorders>
            <w:vAlign w:val="center"/>
          </w:tcPr>
          <w:p w14:paraId="400CF363">
            <w:pPr>
              <w:spacing w:line="240" w:lineRule="exact"/>
              <w:jc w:val="center"/>
              <w:rPr>
                <w:rFonts w:ascii="宋体"/>
                <w:kern w:val="0"/>
              </w:rPr>
            </w:pPr>
            <w:r>
              <w:rPr>
                <w:rFonts w:hint="eastAsia" w:ascii="宋体"/>
                <w:kern w:val="0"/>
              </w:rPr>
              <w:t>5-8万元</w:t>
            </w:r>
          </w:p>
        </w:tc>
        <w:tc>
          <w:tcPr>
            <w:tcW w:w="5779" w:type="dxa"/>
            <w:tcBorders>
              <w:left w:val="single" w:color="auto" w:sz="4" w:space="0"/>
              <w:bottom w:val="single" w:color="auto" w:sz="4" w:space="0"/>
            </w:tcBorders>
            <w:vAlign w:val="center"/>
          </w:tcPr>
          <w:p w14:paraId="21C0B660">
            <w:pPr>
              <w:spacing w:line="240" w:lineRule="exact"/>
              <w:jc w:val="center"/>
              <w:rPr>
                <w:rFonts w:ascii="宋体"/>
                <w:kern w:val="0"/>
              </w:rPr>
            </w:pPr>
            <w:r>
              <w:rPr>
                <w:rFonts w:hint="eastAsia" w:ascii="宋体"/>
                <w:kern w:val="0"/>
              </w:rPr>
              <w:t>1-1.5万元</w:t>
            </w:r>
          </w:p>
        </w:tc>
      </w:tr>
      <w:tr w14:paraId="13F6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8" w:hRule="atLeast"/>
        </w:trPr>
        <w:tc>
          <w:tcPr>
            <w:tcW w:w="1060" w:type="dxa"/>
            <w:vMerge w:val="continue"/>
            <w:vAlign w:val="center"/>
          </w:tcPr>
          <w:p w14:paraId="4834766E">
            <w:pPr>
              <w:spacing w:line="240" w:lineRule="exact"/>
              <w:jc w:val="left"/>
              <w:rPr>
                <w:rFonts w:ascii="宋体"/>
                <w:kern w:val="0"/>
              </w:rPr>
            </w:pPr>
          </w:p>
        </w:tc>
        <w:tc>
          <w:tcPr>
            <w:tcW w:w="1880" w:type="dxa"/>
            <w:vMerge w:val="continue"/>
            <w:vAlign w:val="center"/>
          </w:tcPr>
          <w:p w14:paraId="67805A7A">
            <w:pPr>
              <w:widowControl/>
              <w:spacing w:line="240" w:lineRule="exact"/>
              <w:jc w:val="left"/>
              <w:rPr>
                <w:rFonts w:ascii="宋体"/>
                <w:kern w:val="0"/>
              </w:rPr>
            </w:pPr>
          </w:p>
        </w:tc>
        <w:tc>
          <w:tcPr>
            <w:tcW w:w="1833" w:type="dxa"/>
            <w:vMerge w:val="continue"/>
            <w:vAlign w:val="center"/>
          </w:tcPr>
          <w:p w14:paraId="3AD9AC41">
            <w:pPr>
              <w:spacing w:line="240" w:lineRule="exact"/>
              <w:jc w:val="left"/>
              <w:rPr>
                <w:rFonts w:ascii="宋体"/>
                <w:kern w:val="0"/>
              </w:rPr>
            </w:pPr>
          </w:p>
        </w:tc>
        <w:tc>
          <w:tcPr>
            <w:tcW w:w="1275" w:type="dxa"/>
            <w:vMerge w:val="restart"/>
            <w:vAlign w:val="center"/>
          </w:tcPr>
          <w:p w14:paraId="56D47552">
            <w:pPr>
              <w:spacing w:line="240" w:lineRule="exact"/>
              <w:jc w:val="center"/>
              <w:rPr>
                <w:rFonts w:ascii="宋体"/>
                <w:kern w:val="0"/>
              </w:rPr>
            </w:pPr>
            <w:r>
              <w:rPr>
                <w:rFonts w:hint="eastAsia" w:ascii="宋体"/>
                <w:kern w:val="0"/>
              </w:rPr>
              <w:t>一般</w:t>
            </w:r>
          </w:p>
        </w:tc>
        <w:tc>
          <w:tcPr>
            <w:tcW w:w="2490" w:type="dxa"/>
            <w:vAlign w:val="center"/>
          </w:tcPr>
          <w:p w14:paraId="208E2AA0">
            <w:pPr>
              <w:widowControl/>
              <w:spacing w:line="240" w:lineRule="exact"/>
              <w:jc w:val="left"/>
              <w:rPr>
                <w:rFonts w:ascii="宋体"/>
                <w:kern w:val="0"/>
              </w:rPr>
            </w:pPr>
            <w:r>
              <w:rPr>
                <w:rFonts w:hint="eastAsia" w:ascii="宋体"/>
                <w:kern w:val="0"/>
              </w:rPr>
              <w:t>未持有有关证书</w:t>
            </w:r>
          </w:p>
        </w:tc>
        <w:tc>
          <w:tcPr>
            <w:tcW w:w="5805" w:type="dxa"/>
            <w:tcBorders>
              <w:right w:val="single" w:color="auto" w:sz="4" w:space="0"/>
            </w:tcBorders>
            <w:vAlign w:val="center"/>
          </w:tcPr>
          <w:p w14:paraId="3375F514">
            <w:pPr>
              <w:spacing w:line="240" w:lineRule="exact"/>
              <w:jc w:val="center"/>
              <w:rPr>
                <w:rFonts w:ascii="宋体"/>
                <w:kern w:val="0"/>
              </w:rPr>
            </w:pPr>
            <w:r>
              <w:rPr>
                <w:rFonts w:hint="eastAsia" w:ascii="宋体"/>
                <w:kern w:val="0"/>
              </w:rPr>
              <w:t>8-10万元</w:t>
            </w:r>
          </w:p>
        </w:tc>
        <w:tc>
          <w:tcPr>
            <w:tcW w:w="5779" w:type="dxa"/>
            <w:tcBorders>
              <w:top w:val="single" w:color="auto" w:sz="4" w:space="0"/>
              <w:left w:val="single" w:color="auto" w:sz="4" w:space="0"/>
              <w:bottom w:val="single" w:color="auto" w:sz="4" w:space="0"/>
            </w:tcBorders>
            <w:vAlign w:val="center"/>
          </w:tcPr>
          <w:p w14:paraId="6E144C69">
            <w:pPr>
              <w:spacing w:line="240" w:lineRule="exact"/>
              <w:jc w:val="center"/>
              <w:rPr>
                <w:rFonts w:ascii="宋体"/>
                <w:kern w:val="0"/>
              </w:rPr>
            </w:pPr>
            <w:r>
              <w:rPr>
                <w:rFonts w:hint="eastAsia" w:ascii="宋体"/>
                <w:kern w:val="0"/>
              </w:rPr>
              <w:t>1.5-1.8万元</w:t>
            </w:r>
          </w:p>
        </w:tc>
      </w:tr>
      <w:tr w14:paraId="0167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58" w:hRule="atLeast"/>
        </w:trPr>
        <w:tc>
          <w:tcPr>
            <w:tcW w:w="1060" w:type="dxa"/>
            <w:vMerge w:val="continue"/>
            <w:vAlign w:val="center"/>
          </w:tcPr>
          <w:p w14:paraId="65284716">
            <w:pPr>
              <w:spacing w:line="240" w:lineRule="exact"/>
              <w:jc w:val="left"/>
              <w:rPr>
                <w:rFonts w:ascii="宋体"/>
                <w:kern w:val="0"/>
              </w:rPr>
            </w:pPr>
          </w:p>
        </w:tc>
        <w:tc>
          <w:tcPr>
            <w:tcW w:w="1880" w:type="dxa"/>
            <w:vMerge w:val="continue"/>
            <w:vAlign w:val="center"/>
          </w:tcPr>
          <w:p w14:paraId="1C98D050">
            <w:pPr>
              <w:widowControl/>
              <w:spacing w:line="240" w:lineRule="exact"/>
              <w:jc w:val="left"/>
              <w:rPr>
                <w:rFonts w:ascii="宋体"/>
                <w:kern w:val="0"/>
              </w:rPr>
            </w:pPr>
          </w:p>
        </w:tc>
        <w:tc>
          <w:tcPr>
            <w:tcW w:w="1833" w:type="dxa"/>
            <w:vMerge w:val="continue"/>
            <w:vAlign w:val="center"/>
          </w:tcPr>
          <w:p w14:paraId="59A359C4">
            <w:pPr>
              <w:spacing w:line="240" w:lineRule="exact"/>
              <w:jc w:val="left"/>
              <w:rPr>
                <w:rFonts w:ascii="宋体"/>
                <w:kern w:val="0"/>
              </w:rPr>
            </w:pPr>
          </w:p>
        </w:tc>
        <w:tc>
          <w:tcPr>
            <w:tcW w:w="1275" w:type="dxa"/>
            <w:vMerge w:val="continue"/>
            <w:vAlign w:val="center"/>
          </w:tcPr>
          <w:p w14:paraId="7E309F11">
            <w:pPr>
              <w:spacing w:line="240" w:lineRule="exact"/>
              <w:jc w:val="center"/>
              <w:rPr>
                <w:rFonts w:ascii="宋体"/>
                <w:kern w:val="0"/>
              </w:rPr>
            </w:pPr>
          </w:p>
        </w:tc>
        <w:tc>
          <w:tcPr>
            <w:tcW w:w="2490" w:type="dxa"/>
            <w:vAlign w:val="center"/>
          </w:tcPr>
          <w:p w14:paraId="73E94A58">
            <w:pPr>
              <w:widowControl/>
              <w:spacing w:line="240" w:lineRule="exact"/>
              <w:jc w:val="left"/>
              <w:rPr>
                <w:rFonts w:ascii="宋体"/>
                <w:kern w:val="0"/>
              </w:rPr>
            </w:pPr>
            <w:r>
              <w:rPr>
                <w:rFonts w:hint="eastAsia" w:ascii="宋体"/>
                <w:kern w:val="0"/>
              </w:rPr>
              <w:t>未采取特别预防措施</w:t>
            </w:r>
          </w:p>
        </w:tc>
        <w:tc>
          <w:tcPr>
            <w:tcW w:w="5805" w:type="dxa"/>
            <w:tcBorders>
              <w:right w:val="single" w:color="auto" w:sz="4" w:space="0"/>
            </w:tcBorders>
            <w:vAlign w:val="center"/>
          </w:tcPr>
          <w:p w14:paraId="15B27EFB">
            <w:pPr>
              <w:spacing w:line="240" w:lineRule="exact"/>
              <w:jc w:val="center"/>
              <w:rPr>
                <w:rFonts w:ascii="宋体"/>
                <w:kern w:val="0"/>
              </w:rPr>
            </w:pPr>
            <w:r>
              <w:rPr>
                <w:rFonts w:hint="eastAsia" w:ascii="宋体"/>
                <w:kern w:val="0"/>
              </w:rPr>
              <w:t>10-12万元</w:t>
            </w:r>
          </w:p>
        </w:tc>
        <w:tc>
          <w:tcPr>
            <w:tcW w:w="5779" w:type="dxa"/>
            <w:tcBorders>
              <w:top w:val="single" w:color="auto" w:sz="4" w:space="0"/>
              <w:left w:val="single" w:color="auto" w:sz="4" w:space="0"/>
              <w:bottom w:val="single" w:color="auto" w:sz="4" w:space="0"/>
            </w:tcBorders>
            <w:vAlign w:val="center"/>
          </w:tcPr>
          <w:p w14:paraId="749577BD">
            <w:pPr>
              <w:spacing w:line="240" w:lineRule="exact"/>
              <w:jc w:val="center"/>
              <w:rPr>
                <w:rFonts w:ascii="宋体"/>
                <w:kern w:val="0"/>
              </w:rPr>
            </w:pPr>
            <w:r>
              <w:rPr>
                <w:rFonts w:hint="eastAsia" w:ascii="宋体"/>
                <w:kern w:val="0"/>
              </w:rPr>
              <w:t>1.8-2万元</w:t>
            </w:r>
          </w:p>
        </w:tc>
      </w:tr>
      <w:tr w14:paraId="7862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04" w:hRule="atLeast"/>
        </w:trPr>
        <w:tc>
          <w:tcPr>
            <w:tcW w:w="1060" w:type="dxa"/>
            <w:vMerge w:val="continue"/>
            <w:vAlign w:val="center"/>
          </w:tcPr>
          <w:p w14:paraId="2233CA5B">
            <w:pPr>
              <w:spacing w:line="240" w:lineRule="exact"/>
              <w:jc w:val="left"/>
              <w:rPr>
                <w:rFonts w:ascii="宋体"/>
                <w:kern w:val="0"/>
              </w:rPr>
            </w:pPr>
          </w:p>
        </w:tc>
        <w:tc>
          <w:tcPr>
            <w:tcW w:w="1880" w:type="dxa"/>
            <w:vMerge w:val="continue"/>
            <w:vAlign w:val="center"/>
          </w:tcPr>
          <w:p w14:paraId="062F5C62">
            <w:pPr>
              <w:widowControl/>
              <w:spacing w:line="240" w:lineRule="exact"/>
              <w:jc w:val="left"/>
              <w:rPr>
                <w:rFonts w:ascii="宋体"/>
                <w:kern w:val="0"/>
              </w:rPr>
            </w:pPr>
          </w:p>
        </w:tc>
        <w:tc>
          <w:tcPr>
            <w:tcW w:w="1833" w:type="dxa"/>
            <w:vMerge w:val="continue"/>
            <w:vAlign w:val="center"/>
          </w:tcPr>
          <w:p w14:paraId="35A33DBE">
            <w:pPr>
              <w:spacing w:line="240" w:lineRule="exact"/>
              <w:jc w:val="left"/>
              <w:rPr>
                <w:rFonts w:ascii="宋体"/>
                <w:kern w:val="0"/>
              </w:rPr>
            </w:pPr>
          </w:p>
        </w:tc>
        <w:tc>
          <w:tcPr>
            <w:tcW w:w="1275" w:type="dxa"/>
            <w:vMerge w:val="continue"/>
            <w:vAlign w:val="center"/>
          </w:tcPr>
          <w:p w14:paraId="3EF35620">
            <w:pPr>
              <w:spacing w:line="240" w:lineRule="exact"/>
              <w:jc w:val="center"/>
              <w:rPr>
                <w:rFonts w:ascii="宋体"/>
                <w:kern w:val="0"/>
              </w:rPr>
            </w:pPr>
          </w:p>
        </w:tc>
        <w:tc>
          <w:tcPr>
            <w:tcW w:w="2490" w:type="dxa"/>
            <w:vAlign w:val="center"/>
          </w:tcPr>
          <w:p w14:paraId="3D930AC8">
            <w:pPr>
              <w:widowControl/>
              <w:spacing w:line="240" w:lineRule="exact"/>
              <w:jc w:val="left"/>
              <w:rPr>
                <w:rFonts w:ascii="宋体"/>
                <w:kern w:val="0"/>
              </w:rPr>
            </w:pPr>
            <w:r>
              <w:rPr>
                <w:rFonts w:hint="eastAsia" w:ascii="宋体"/>
                <w:kern w:val="0"/>
              </w:rPr>
              <w:t>不接受海事管理机构的指令和监督</w:t>
            </w:r>
          </w:p>
        </w:tc>
        <w:tc>
          <w:tcPr>
            <w:tcW w:w="5805" w:type="dxa"/>
            <w:tcBorders>
              <w:right w:val="single" w:color="auto" w:sz="4" w:space="0"/>
            </w:tcBorders>
            <w:vAlign w:val="center"/>
          </w:tcPr>
          <w:p w14:paraId="76256090">
            <w:pPr>
              <w:spacing w:line="240" w:lineRule="exact"/>
              <w:jc w:val="center"/>
              <w:rPr>
                <w:rFonts w:ascii="宋体"/>
                <w:kern w:val="0"/>
              </w:rPr>
            </w:pPr>
            <w:r>
              <w:rPr>
                <w:rFonts w:hint="eastAsia" w:ascii="宋体"/>
              </w:rPr>
              <w:t>12-15万元</w:t>
            </w:r>
          </w:p>
        </w:tc>
        <w:tc>
          <w:tcPr>
            <w:tcW w:w="5779" w:type="dxa"/>
            <w:tcBorders>
              <w:top w:val="single" w:color="auto" w:sz="4" w:space="0"/>
              <w:left w:val="single" w:color="auto" w:sz="4" w:space="0"/>
              <w:bottom w:val="single" w:color="auto" w:sz="4" w:space="0"/>
            </w:tcBorders>
            <w:vAlign w:val="center"/>
          </w:tcPr>
          <w:p w14:paraId="397E73BE">
            <w:pPr>
              <w:spacing w:line="240" w:lineRule="exact"/>
              <w:jc w:val="center"/>
              <w:rPr>
                <w:rFonts w:ascii="宋体"/>
                <w:kern w:val="0"/>
              </w:rPr>
            </w:pPr>
            <w:r>
              <w:rPr>
                <w:rFonts w:hint="eastAsia" w:ascii="宋体"/>
                <w:kern w:val="0"/>
              </w:rPr>
              <w:t>2-3万元</w:t>
            </w:r>
          </w:p>
        </w:tc>
      </w:tr>
      <w:tr w14:paraId="59EC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6" w:hRule="atLeast"/>
        </w:trPr>
        <w:tc>
          <w:tcPr>
            <w:tcW w:w="1060" w:type="dxa"/>
            <w:vMerge w:val="continue"/>
            <w:vAlign w:val="center"/>
          </w:tcPr>
          <w:p w14:paraId="6861A71F">
            <w:pPr>
              <w:spacing w:line="240" w:lineRule="exact"/>
              <w:jc w:val="left"/>
              <w:rPr>
                <w:rFonts w:ascii="宋体"/>
                <w:kern w:val="0"/>
              </w:rPr>
            </w:pPr>
          </w:p>
        </w:tc>
        <w:tc>
          <w:tcPr>
            <w:tcW w:w="1880" w:type="dxa"/>
            <w:vMerge w:val="continue"/>
            <w:vAlign w:val="center"/>
          </w:tcPr>
          <w:p w14:paraId="08E1A2BF">
            <w:pPr>
              <w:spacing w:line="240" w:lineRule="exact"/>
              <w:jc w:val="left"/>
              <w:rPr>
                <w:rFonts w:ascii="宋体"/>
                <w:kern w:val="0"/>
              </w:rPr>
            </w:pPr>
          </w:p>
        </w:tc>
        <w:tc>
          <w:tcPr>
            <w:tcW w:w="1833" w:type="dxa"/>
            <w:vMerge w:val="continue"/>
            <w:vAlign w:val="center"/>
          </w:tcPr>
          <w:p w14:paraId="05CC227F">
            <w:pPr>
              <w:spacing w:line="240" w:lineRule="exact"/>
              <w:jc w:val="left"/>
              <w:rPr>
                <w:rFonts w:ascii="宋体"/>
                <w:kern w:val="0"/>
              </w:rPr>
            </w:pPr>
          </w:p>
        </w:tc>
        <w:tc>
          <w:tcPr>
            <w:tcW w:w="1275" w:type="dxa"/>
            <w:vMerge w:val="continue"/>
            <w:vAlign w:val="center"/>
          </w:tcPr>
          <w:p w14:paraId="2B3CFCCF">
            <w:pPr>
              <w:spacing w:line="240" w:lineRule="exact"/>
              <w:jc w:val="center"/>
              <w:rPr>
                <w:rFonts w:ascii="宋体"/>
                <w:kern w:val="0"/>
              </w:rPr>
            </w:pPr>
          </w:p>
        </w:tc>
        <w:tc>
          <w:tcPr>
            <w:tcW w:w="2490" w:type="dxa"/>
            <w:tcBorders>
              <w:top w:val="single" w:color="auto" w:sz="4" w:space="0"/>
              <w:bottom w:val="single" w:color="auto" w:sz="4" w:space="0"/>
            </w:tcBorders>
            <w:vAlign w:val="center"/>
          </w:tcPr>
          <w:p w14:paraId="7874A64E">
            <w:pPr>
              <w:widowControl/>
              <w:spacing w:line="240" w:lineRule="exact"/>
              <w:jc w:val="left"/>
              <w:rPr>
                <w:rFonts w:ascii="宋体"/>
                <w:kern w:val="0"/>
              </w:rPr>
            </w:pPr>
            <w:r>
              <w:rPr>
                <w:rFonts w:hint="eastAsia" w:ascii="宋体"/>
                <w:kern w:val="0"/>
              </w:rPr>
              <w:t>具有其他较重情节的</w:t>
            </w:r>
          </w:p>
        </w:tc>
        <w:tc>
          <w:tcPr>
            <w:tcW w:w="5805" w:type="dxa"/>
            <w:tcBorders>
              <w:right w:val="single" w:color="auto" w:sz="4" w:space="0"/>
            </w:tcBorders>
            <w:vAlign w:val="center"/>
          </w:tcPr>
          <w:p w14:paraId="5B57A5BB">
            <w:pPr>
              <w:spacing w:line="240" w:lineRule="exact"/>
              <w:jc w:val="center"/>
              <w:rPr>
                <w:rFonts w:ascii="宋体"/>
                <w:kern w:val="0"/>
              </w:rPr>
            </w:pPr>
            <w:r>
              <w:rPr>
                <w:rFonts w:hint="eastAsia" w:ascii="宋体"/>
              </w:rPr>
              <w:t xml:space="preserve">15-50万元 </w:t>
            </w:r>
          </w:p>
        </w:tc>
        <w:tc>
          <w:tcPr>
            <w:tcW w:w="5779" w:type="dxa"/>
            <w:tcBorders>
              <w:left w:val="single" w:color="auto" w:sz="4" w:space="0"/>
            </w:tcBorders>
            <w:vAlign w:val="center"/>
          </w:tcPr>
          <w:p w14:paraId="2AD7F8F8">
            <w:pPr>
              <w:spacing w:line="240" w:lineRule="exact"/>
              <w:jc w:val="center"/>
              <w:rPr>
                <w:rFonts w:ascii="宋体"/>
                <w:kern w:val="0"/>
              </w:rPr>
            </w:pPr>
            <w:r>
              <w:rPr>
                <w:rFonts w:hint="eastAsia" w:ascii="宋体"/>
                <w:kern w:val="0"/>
              </w:rPr>
              <w:t>2</w:t>
            </w:r>
            <w:r>
              <w:rPr>
                <w:rFonts w:hint="eastAsia" w:ascii="宋体"/>
              </w:rPr>
              <w:t>-3</w:t>
            </w:r>
            <w:r>
              <w:rPr>
                <w:rFonts w:hint="eastAsia" w:ascii="宋体"/>
                <w:kern w:val="0"/>
              </w:rPr>
              <w:t>万元</w:t>
            </w:r>
          </w:p>
        </w:tc>
      </w:tr>
      <w:tr w14:paraId="73C0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8" w:hRule="atLeast"/>
        </w:trPr>
        <w:tc>
          <w:tcPr>
            <w:tcW w:w="1060" w:type="dxa"/>
            <w:vMerge w:val="continue"/>
            <w:vAlign w:val="center"/>
          </w:tcPr>
          <w:p w14:paraId="2C199332">
            <w:pPr>
              <w:spacing w:line="240" w:lineRule="exact"/>
              <w:jc w:val="left"/>
              <w:rPr>
                <w:rFonts w:ascii="宋体"/>
                <w:kern w:val="0"/>
              </w:rPr>
            </w:pPr>
          </w:p>
        </w:tc>
        <w:tc>
          <w:tcPr>
            <w:tcW w:w="1880" w:type="dxa"/>
            <w:vMerge w:val="continue"/>
            <w:vAlign w:val="center"/>
          </w:tcPr>
          <w:p w14:paraId="34E48866">
            <w:pPr>
              <w:spacing w:line="240" w:lineRule="exact"/>
              <w:jc w:val="left"/>
              <w:rPr>
                <w:rFonts w:ascii="宋体"/>
                <w:kern w:val="0"/>
              </w:rPr>
            </w:pPr>
          </w:p>
        </w:tc>
        <w:tc>
          <w:tcPr>
            <w:tcW w:w="1833" w:type="dxa"/>
            <w:vMerge w:val="continue"/>
            <w:vAlign w:val="center"/>
          </w:tcPr>
          <w:p w14:paraId="29CB8536">
            <w:pPr>
              <w:spacing w:line="240" w:lineRule="exact"/>
              <w:jc w:val="left"/>
              <w:rPr>
                <w:rFonts w:ascii="宋体"/>
                <w:kern w:val="0"/>
              </w:rPr>
            </w:pPr>
          </w:p>
        </w:tc>
        <w:tc>
          <w:tcPr>
            <w:tcW w:w="1275" w:type="dxa"/>
            <w:vMerge w:val="continue"/>
            <w:vAlign w:val="center"/>
          </w:tcPr>
          <w:p w14:paraId="28C0606B">
            <w:pPr>
              <w:spacing w:line="240" w:lineRule="exact"/>
              <w:jc w:val="left"/>
              <w:rPr>
                <w:rFonts w:ascii="宋体"/>
                <w:kern w:val="0"/>
              </w:rPr>
            </w:pPr>
          </w:p>
        </w:tc>
        <w:tc>
          <w:tcPr>
            <w:tcW w:w="2490" w:type="dxa"/>
            <w:tcBorders>
              <w:top w:val="single" w:color="auto" w:sz="4" w:space="0"/>
              <w:bottom w:val="single" w:color="auto" w:sz="4" w:space="0"/>
            </w:tcBorders>
            <w:vAlign w:val="center"/>
          </w:tcPr>
          <w:p w14:paraId="5C268F28">
            <w:pPr>
              <w:widowControl/>
              <w:spacing w:line="240" w:lineRule="exact"/>
              <w:jc w:val="left"/>
              <w:rPr>
                <w:rFonts w:ascii="宋体"/>
                <w:kern w:val="0"/>
              </w:rPr>
            </w:pPr>
            <w:r>
              <w:rPr>
                <w:rFonts w:hint="eastAsia" w:ascii="宋体"/>
                <w:kern w:val="0"/>
              </w:rPr>
              <w:t>造成险情的</w:t>
            </w:r>
          </w:p>
        </w:tc>
        <w:tc>
          <w:tcPr>
            <w:tcW w:w="5805" w:type="dxa"/>
            <w:tcBorders>
              <w:right w:val="single" w:color="auto" w:sz="4" w:space="0"/>
            </w:tcBorders>
            <w:vAlign w:val="center"/>
          </w:tcPr>
          <w:p w14:paraId="4F798A4A">
            <w:pPr>
              <w:spacing w:line="240" w:lineRule="exact"/>
              <w:jc w:val="center"/>
              <w:rPr>
                <w:rFonts w:ascii="宋体"/>
              </w:rPr>
            </w:pPr>
            <w:r>
              <w:rPr>
                <w:rFonts w:hint="eastAsia" w:ascii="宋体"/>
              </w:rPr>
              <w:t xml:space="preserve">20-50万元 </w:t>
            </w:r>
          </w:p>
        </w:tc>
        <w:tc>
          <w:tcPr>
            <w:tcW w:w="5779" w:type="dxa"/>
            <w:tcBorders>
              <w:left w:val="single" w:color="auto" w:sz="4" w:space="0"/>
            </w:tcBorders>
            <w:vAlign w:val="center"/>
          </w:tcPr>
          <w:p w14:paraId="074E0105">
            <w:pPr>
              <w:spacing w:line="240" w:lineRule="exact"/>
              <w:jc w:val="center"/>
              <w:rPr>
                <w:rFonts w:ascii="宋体"/>
                <w:kern w:val="0"/>
              </w:rPr>
            </w:pPr>
            <w:r>
              <w:rPr>
                <w:rFonts w:hint="eastAsia" w:ascii="宋体"/>
                <w:kern w:val="0"/>
              </w:rPr>
              <w:t>2.2</w:t>
            </w:r>
            <w:r>
              <w:rPr>
                <w:rFonts w:hint="eastAsia" w:ascii="宋体"/>
              </w:rPr>
              <w:t>-3</w:t>
            </w:r>
            <w:r>
              <w:rPr>
                <w:rFonts w:hint="eastAsia" w:ascii="宋体"/>
                <w:kern w:val="0"/>
              </w:rPr>
              <w:t>万元</w:t>
            </w:r>
          </w:p>
        </w:tc>
      </w:tr>
      <w:tr w14:paraId="474C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0" w:hRule="atLeast"/>
        </w:trPr>
        <w:tc>
          <w:tcPr>
            <w:tcW w:w="1060" w:type="dxa"/>
            <w:vMerge w:val="continue"/>
            <w:vAlign w:val="center"/>
          </w:tcPr>
          <w:p w14:paraId="0A6BA69B">
            <w:pPr>
              <w:spacing w:line="240" w:lineRule="exact"/>
              <w:jc w:val="center"/>
              <w:rPr>
                <w:rFonts w:ascii="宋体"/>
              </w:rPr>
            </w:pPr>
          </w:p>
        </w:tc>
        <w:tc>
          <w:tcPr>
            <w:tcW w:w="1880" w:type="dxa"/>
            <w:vMerge w:val="continue"/>
            <w:vAlign w:val="center"/>
          </w:tcPr>
          <w:p w14:paraId="2DAEFB38">
            <w:pPr>
              <w:spacing w:line="240" w:lineRule="exact"/>
              <w:jc w:val="center"/>
              <w:rPr>
                <w:rFonts w:ascii="宋体"/>
              </w:rPr>
            </w:pPr>
          </w:p>
        </w:tc>
        <w:tc>
          <w:tcPr>
            <w:tcW w:w="1833" w:type="dxa"/>
            <w:vMerge w:val="continue"/>
            <w:vAlign w:val="center"/>
          </w:tcPr>
          <w:p w14:paraId="479ACEAE">
            <w:pPr>
              <w:spacing w:line="240" w:lineRule="exact"/>
              <w:jc w:val="center"/>
              <w:rPr>
                <w:rFonts w:ascii="宋体"/>
              </w:rPr>
            </w:pPr>
          </w:p>
        </w:tc>
        <w:tc>
          <w:tcPr>
            <w:tcW w:w="1275" w:type="dxa"/>
            <w:vMerge w:val="continue"/>
            <w:vAlign w:val="center"/>
          </w:tcPr>
          <w:p w14:paraId="68119537">
            <w:pPr>
              <w:spacing w:line="240" w:lineRule="exact"/>
              <w:jc w:val="center"/>
              <w:rPr>
                <w:rFonts w:ascii="宋体"/>
              </w:rPr>
            </w:pPr>
          </w:p>
        </w:tc>
        <w:tc>
          <w:tcPr>
            <w:tcW w:w="2490" w:type="dxa"/>
            <w:tcBorders>
              <w:top w:val="single" w:color="auto" w:sz="4" w:space="0"/>
              <w:bottom w:val="single" w:color="auto" w:sz="4" w:space="0"/>
            </w:tcBorders>
            <w:vAlign w:val="center"/>
          </w:tcPr>
          <w:p w14:paraId="7F897047">
            <w:pPr>
              <w:widowControl/>
              <w:spacing w:line="240" w:lineRule="exact"/>
              <w:jc w:val="left"/>
              <w:rPr>
                <w:rFonts w:ascii="宋体"/>
                <w:kern w:val="0"/>
              </w:rPr>
            </w:pPr>
            <w:r>
              <w:rPr>
                <w:rFonts w:hint="eastAsia" w:ascii="宋体"/>
                <w:kern w:val="0"/>
              </w:rPr>
              <w:t>造成事故的</w:t>
            </w:r>
          </w:p>
        </w:tc>
        <w:tc>
          <w:tcPr>
            <w:tcW w:w="5805" w:type="dxa"/>
            <w:tcBorders>
              <w:right w:val="single" w:color="auto" w:sz="4" w:space="0"/>
            </w:tcBorders>
            <w:vAlign w:val="center"/>
          </w:tcPr>
          <w:p w14:paraId="40EE3FF6">
            <w:pPr>
              <w:spacing w:line="240" w:lineRule="exact"/>
              <w:jc w:val="center"/>
              <w:rPr>
                <w:rFonts w:ascii="宋体"/>
                <w:kern w:val="0"/>
              </w:rPr>
            </w:pPr>
            <w:r>
              <w:rPr>
                <w:rFonts w:hint="eastAsia" w:ascii="宋体"/>
              </w:rPr>
              <w:t xml:space="preserve">30-50万元 </w:t>
            </w:r>
          </w:p>
        </w:tc>
        <w:tc>
          <w:tcPr>
            <w:tcW w:w="5779" w:type="dxa"/>
            <w:tcBorders>
              <w:left w:val="single" w:color="auto" w:sz="4" w:space="0"/>
            </w:tcBorders>
            <w:vAlign w:val="center"/>
          </w:tcPr>
          <w:p w14:paraId="4F46B23C">
            <w:pPr>
              <w:spacing w:line="240" w:lineRule="exact"/>
              <w:jc w:val="center"/>
              <w:rPr>
                <w:rFonts w:ascii="宋体"/>
                <w:kern w:val="0"/>
              </w:rPr>
            </w:pPr>
            <w:r>
              <w:rPr>
                <w:rFonts w:hint="eastAsia" w:ascii="宋体"/>
                <w:kern w:val="0"/>
              </w:rPr>
              <w:t>2.5</w:t>
            </w:r>
            <w:r>
              <w:rPr>
                <w:rFonts w:hint="eastAsia" w:ascii="宋体"/>
              </w:rPr>
              <w:t>-3</w:t>
            </w:r>
            <w:r>
              <w:rPr>
                <w:rFonts w:hint="eastAsia" w:ascii="宋体"/>
                <w:kern w:val="0"/>
              </w:rPr>
              <w:t>万元</w:t>
            </w:r>
          </w:p>
        </w:tc>
      </w:tr>
    </w:tbl>
    <w:p w14:paraId="5E8C502E">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20"/>
        <w:gridCol w:w="1820"/>
        <w:gridCol w:w="1937"/>
        <w:gridCol w:w="961"/>
        <w:gridCol w:w="2955"/>
        <w:gridCol w:w="5385"/>
        <w:gridCol w:w="5048"/>
      </w:tblGrid>
      <w:tr w14:paraId="11E0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1" w:hRule="atLeast"/>
        </w:trPr>
        <w:tc>
          <w:tcPr>
            <w:tcW w:w="1120" w:type="dxa"/>
            <w:vMerge w:val="restart"/>
            <w:vAlign w:val="center"/>
          </w:tcPr>
          <w:p w14:paraId="3FBFDC77">
            <w:pPr>
              <w:spacing w:line="240" w:lineRule="exact"/>
              <w:jc w:val="center"/>
              <w:rPr>
                <w:rFonts w:ascii="宋体"/>
                <w:b/>
                <w:kern w:val="0"/>
              </w:rPr>
            </w:pPr>
            <w:r>
              <w:rPr>
                <w:rFonts w:hint="eastAsia" w:ascii="宋体"/>
                <w:b/>
                <w:kern w:val="0"/>
              </w:rPr>
              <w:t>案由</w:t>
            </w:r>
            <w:r>
              <w:rPr>
                <w:rFonts w:hint="eastAsia" w:ascii="宋体"/>
                <w:b/>
                <w:bCs/>
                <w:kern w:val="0"/>
              </w:rPr>
              <w:t>58</w:t>
            </w:r>
          </w:p>
        </w:tc>
        <w:tc>
          <w:tcPr>
            <w:tcW w:w="3757" w:type="dxa"/>
            <w:gridSpan w:val="2"/>
            <w:vAlign w:val="center"/>
          </w:tcPr>
          <w:p w14:paraId="4259BB1E">
            <w:pPr>
              <w:spacing w:line="240" w:lineRule="exact"/>
              <w:jc w:val="center"/>
              <w:rPr>
                <w:rFonts w:ascii="宋体"/>
                <w:b/>
                <w:kern w:val="0"/>
              </w:rPr>
            </w:pPr>
            <w:r>
              <w:rPr>
                <w:rFonts w:hint="eastAsia" w:ascii="宋体"/>
                <w:b/>
                <w:kern w:val="0"/>
              </w:rPr>
              <w:t>法律依据</w:t>
            </w:r>
          </w:p>
        </w:tc>
        <w:tc>
          <w:tcPr>
            <w:tcW w:w="961" w:type="dxa"/>
            <w:vMerge w:val="restart"/>
            <w:vAlign w:val="center"/>
          </w:tcPr>
          <w:p w14:paraId="0F180038">
            <w:pPr>
              <w:spacing w:line="240" w:lineRule="exact"/>
              <w:jc w:val="center"/>
              <w:rPr>
                <w:rFonts w:ascii="宋体"/>
                <w:b/>
                <w:kern w:val="0"/>
              </w:rPr>
            </w:pPr>
            <w:r>
              <w:rPr>
                <w:rFonts w:hint="eastAsia" w:ascii="宋体"/>
                <w:b/>
                <w:kern w:val="0"/>
              </w:rPr>
              <w:t>违法情节</w:t>
            </w:r>
          </w:p>
        </w:tc>
        <w:tc>
          <w:tcPr>
            <w:tcW w:w="2955" w:type="dxa"/>
            <w:vMerge w:val="restart"/>
            <w:vAlign w:val="center"/>
          </w:tcPr>
          <w:p w14:paraId="1FC2C949">
            <w:pPr>
              <w:spacing w:line="240" w:lineRule="exact"/>
              <w:jc w:val="center"/>
              <w:rPr>
                <w:rFonts w:ascii="宋体"/>
                <w:b/>
                <w:kern w:val="0"/>
              </w:rPr>
            </w:pPr>
            <w:r>
              <w:rPr>
                <w:rFonts w:hint="eastAsia" w:ascii="宋体"/>
                <w:b/>
                <w:kern w:val="0"/>
              </w:rPr>
              <w:t>主要考虑因素（事实、性质、情节、危害程度和实际后果等）</w:t>
            </w:r>
          </w:p>
        </w:tc>
        <w:tc>
          <w:tcPr>
            <w:tcW w:w="10433" w:type="dxa"/>
            <w:gridSpan w:val="2"/>
            <w:tcBorders>
              <w:bottom w:val="single" w:color="auto" w:sz="4" w:space="0"/>
            </w:tcBorders>
            <w:vAlign w:val="center"/>
          </w:tcPr>
          <w:p w14:paraId="3D8D1DCB">
            <w:pPr>
              <w:spacing w:line="240" w:lineRule="exact"/>
              <w:jc w:val="left"/>
              <w:rPr>
                <w:rFonts w:ascii="宋体"/>
                <w:kern w:val="0"/>
              </w:rPr>
            </w:pPr>
            <w:r>
              <w:rPr>
                <w:rFonts w:hint="eastAsia" w:ascii="宋体"/>
                <w:b/>
                <w:kern w:val="0"/>
              </w:rPr>
              <w:t>【法定幅度和种类】</w:t>
            </w:r>
            <w:r>
              <w:rPr>
                <w:rFonts w:hint="eastAsia" w:ascii="宋体"/>
                <w:bCs/>
                <w:kern w:val="0"/>
              </w:rPr>
              <w:t>由海事管理机构对违法船舶的所有人、经营人或者管理人处五万元以上五十万元以下的罚款，对船长处一万元以上三万元以下的罚款。</w:t>
            </w:r>
          </w:p>
        </w:tc>
      </w:tr>
      <w:tr w14:paraId="32FA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2" w:hRule="atLeast"/>
        </w:trPr>
        <w:tc>
          <w:tcPr>
            <w:tcW w:w="1120" w:type="dxa"/>
            <w:vMerge w:val="continue"/>
            <w:tcBorders>
              <w:bottom w:val="single" w:color="000000" w:sz="4" w:space="0"/>
            </w:tcBorders>
            <w:vAlign w:val="center"/>
          </w:tcPr>
          <w:p w14:paraId="5EA56C74">
            <w:pPr>
              <w:spacing w:line="240" w:lineRule="exact"/>
              <w:jc w:val="center"/>
              <w:rPr>
                <w:rFonts w:ascii="宋体"/>
                <w:b/>
                <w:kern w:val="0"/>
              </w:rPr>
            </w:pPr>
          </w:p>
        </w:tc>
        <w:tc>
          <w:tcPr>
            <w:tcW w:w="1820" w:type="dxa"/>
            <w:tcBorders>
              <w:bottom w:val="single" w:color="000000" w:sz="4" w:space="0"/>
            </w:tcBorders>
            <w:vAlign w:val="center"/>
          </w:tcPr>
          <w:p w14:paraId="6DC9689C">
            <w:pPr>
              <w:spacing w:line="240" w:lineRule="exact"/>
              <w:jc w:val="center"/>
              <w:rPr>
                <w:rFonts w:ascii="宋体"/>
                <w:b/>
                <w:kern w:val="0"/>
              </w:rPr>
            </w:pPr>
            <w:r>
              <w:rPr>
                <w:rFonts w:hint="eastAsia" w:ascii="宋体"/>
                <w:b/>
                <w:kern w:val="0"/>
              </w:rPr>
              <w:t>违反条款</w:t>
            </w:r>
          </w:p>
        </w:tc>
        <w:tc>
          <w:tcPr>
            <w:tcW w:w="1937" w:type="dxa"/>
            <w:tcBorders>
              <w:bottom w:val="single" w:color="000000" w:sz="4" w:space="0"/>
            </w:tcBorders>
            <w:vAlign w:val="center"/>
          </w:tcPr>
          <w:p w14:paraId="7E178365">
            <w:pPr>
              <w:spacing w:line="240" w:lineRule="exact"/>
              <w:jc w:val="center"/>
              <w:rPr>
                <w:rFonts w:ascii="宋体"/>
                <w:b/>
                <w:kern w:val="0"/>
              </w:rPr>
            </w:pPr>
            <w:r>
              <w:rPr>
                <w:rFonts w:hint="eastAsia" w:ascii="宋体"/>
                <w:b/>
                <w:kern w:val="0"/>
              </w:rPr>
              <w:t>处罚依据</w:t>
            </w:r>
          </w:p>
        </w:tc>
        <w:tc>
          <w:tcPr>
            <w:tcW w:w="961" w:type="dxa"/>
            <w:vMerge w:val="continue"/>
            <w:tcBorders>
              <w:bottom w:val="single" w:color="000000" w:sz="4" w:space="0"/>
            </w:tcBorders>
            <w:vAlign w:val="center"/>
          </w:tcPr>
          <w:p w14:paraId="6626EA4E">
            <w:pPr>
              <w:spacing w:line="240" w:lineRule="exact"/>
              <w:jc w:val="center"/>
              <w:rPr>
                <w:rFonts w:ascii="宋体"/>
                <w:b/>
                <w:kern w:val="0"/>
              </w:rPr>
            </w:pPr>
          </w:p>
        </w:tc>
        <w:tc>
          <w:tcPr>
            <w:tcW w:w="2955" w:type="dxa"/>
            <w:vMerge w:val="continue"/>
            <w:tcBorders>
              <w:bottom w:val="single" w:color="000000" w:sz="4" w:space="0"/>
            </w:tcBorders>
            <w:vAlign w:val="center"/>
          </w:tcPr>
          <w:p w14:paraId="149EF0EA">
            <w:pPr>
              <w:spacing w:line="240" w:lineRule="exact"/>
              <w:jc w:val="center"/>
              <w:rPr>
                <w:rFonts w:ascii="宋体"/>
                <w:b/>
                <w:kern w:val="0"/>
              </w:rPr>
            </w:pPr>
          </w:p>
        </w:tc>
        <w:tc>
          <w:tcPr>
            <w:tcW w:w="5385" w:type="dxa"/>
            <w:tcBorders>
              <w:top w:val="single" w:color="auto" w:sz="4" w:space="0"/>
              <w:right w:val="single" w:color="auto" w:sz="4" w:space="0"/>
            </w:tcBorders>
            <w:vAlign w:val="center"/>
          </w:tcPr>
          <w:p w14:paraId="44E68737">
            <w:pPr>
              <w:spacing w:line="240" w:lineRule="exact"/>
              <w:jc w:val="center"/>
              <w:rPr>
                <w:rFonts w:ascii="宋体"/>
                <w:b/>
                <w:kern w:val="0"/>
              </w:rPr>
            </w:pPr>
            <w:r>
              <w:rPr>
                <w:rFonts w:hint="eastAsia" w:ascii="宋体"/>
                <w:b/>
                <w:kern w:val="0"/>
              </w:rPr>
              <w:t>【对象】外国籍船舶的所有人、经营人或者管理人</w:t>
            </w:r>
          </w:p>
        </w:tc>
        <w:tc>
          <w:tcPr>
            <w:tcW w:w="5048" w:type="dxa"/>
            <w:tcBorders>
              <w:top w:val="single" w:color="auto" w:sz="4" w:space="0"/>
              <w:left w:val="single" w:color="auto" w:sz="4" w:space="0"/>
            </w:tcBorders>
            <w:vAlign w:val="center"/>
          </w:tcPr>
          <w:p w14:paraId="7E96FA09">
            <w:pPr>
              <w:spacing w:line="240" w:lineRule="exact"/>
              <w:jc w:val="center"/>
              <w:rPr>
                <w:rFonts w:ascii="宋体"/>
                <w:b/>
                <w:kern w:val="0"/>
              </w:rPr>
            </w:pPr>
            <w:r>
              <w:rPr>
                <w:rFonts w:hint="eastAsia" w:ascii="宋体"/>
                <w:b/>
                <w:kern w:val="0"/>
              </w:rPr>
              <w:t>【对象】船长</w:t>
            </w:r>
          </w:p>
        </w:tc>
      </w:tr>
      <w:tr w14:paraId="5E630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5" w:hRule="atLeast"/>
        </w:trPr>
        <w:tc>
          <w:tcPr>
            <w:tcW w:w="1120" w:type="dxa"/>
            <w:vMerge w:val="restart"/>
            <w:vAlign w:val="center"/>
          </w:tcPr>
          <w:p w14:paraId="207E10DE">
            <w:pPr>
              <w:widowControl/>
              <w:spacing w:line="240" w:lineRule="exact"/>
              <w:jc w:val="left"/>
              <w:rPr>
                <w:rFonts w:ascii="宋体"/>
                <w:kern w:val="0"/>
              </w:rPr>
            </w:pPr>
            <w:r>
              <w:rPr>
                <w:rFonts w:hint="eastAsia" w:ascii="宋体"/>
                <w:kern w:val="0"/>
              </w:rPr>
              <w:t>外国籍船舶因紧急情况未及获得许可进入中华人民共和国内水，未及时向海事管理机构紧急报告，或不接受海事管理机构的指令和监督</w:t>
            </w:r>
          </w:p>
        </w:tc>
        <w:tc>
          <w:tcPr>
            <w:tcW w:w="1820" w:type="dxa"/>
            <w:vMerge w:val="restart"/>
            <w:vAlign w:val="center"/>
          </w:tcPr>
          <w:p w14:paraId="5B287CFD">
            <w:pPr>
              <w:widowControl/>
              <w:spacing w:line="240" w:lineRule="exact"/>
              <w:jc w:val="left"/>
              <w:rPr>
                <w:rFonts w:ascii="宋体"/>
              </w:rPr>
            </w:pPr>
            <w:r>
              <w:rPr>
                <w:rFonts w:hint="eastAsia" w:ascii="宋体"/>
                <w:kern w:val="0"/>
              </w:rPr>
              <w:t>1.《中华人民共和国海上交通安全法》第五十五</w:t>
            </w:r>
            <w:r>
              <w:rPr>
                <w:rFonts w:hint="eastAsia" w:ascii="宋体"/>
              </w:rPr>
              <w:t>条。</w:t>
            </w:r>
          </w:p>
        </w:tc>
        <w:tc>
          <w:tcPr>
            <w:tcW w:w="1937" w:type="dxa"/>
            <w:vMerge w:val="restart"/>
            <w:vAlign w:val="center"/>
          </w:tcPr>
          <w:p w14:paraId="453CCA02">
            <w:pPr>
              <w:spacing w:line="240" w:lineRule="exact"/>
              <w:jc w:val="left"/>
              <w:rPr>
                <w:rFonts w:ascii="宋体"/>
                <w:kern w:val="0"/>
              </w:rPr>
            </w:pPr>
            <w:r>
              <w:rPr>
                <w:rFonts w:hint="eastAsia" w:ascii="宋体"/>
                <w:kern w:val="0"/>
              </w:rPr>
              <w:t>1.《中华人民共和国海上交通安全法》第一百零七条、</w:t>
            </w:r>
            <w:r>
              <w:rPr>
                <w:rFonts w:hint="eastAsia" w:ascii="宋体"/>
              </w:rPr>
              <w:t>《中华人民共和国海上海事行政处罚规定》第二十一条第（五）项。</w:t>
            </w:r>
          </w:p>
          <w:p w14:paraId="337648D4">
            <w:pPr>
              <w:spacing w:line="240" w:lineRule="exact"/>
              <w:jc w:val="left"/>
              <w:rPr>
                <w:rFonts w:ascii="宋体"/>
                <w:kern w:val="0"/>
              </w:rPr>
            </w:pPr>
            <w:r>
              <w:rPr>
                <w:rFonts w:hint="eastAsia" w:ascii="宋体"/>
                <w:kern w:val="0"/>
              </w:rPr>
              <w:t>2.《中华人民共和国海上海事行政处罚规定》第七条。</w:t>
            </w:r>
          </w:p>
        </w:tc>
        <w:tc>
          <w:tcPr>
            <w:tcW w:w="961" w:type="dxa"/>
            <w:vAlign w:val="center"/>
          </w:tcPr>
          <w:p w14:paraId="7C5C0F44">
            <w:pPr>
              <w:spacing w:line="240" w:lineRule="exact"/>
              <w:jc w:val="center"/>
              <w:rPr>
                <w:rFonts w:ascii="宋体"/>
                <w:kern w:val="0"/>
              </w:rPr>
            </w:pPr>
            <w:r>
              <w:rPr>
                <w:rFonts w:hint="eastAsia" w:ascii="宋体"/>
                <w:kern w:val="0"/>
              </w:rPr>
              <w:t>从轻</w:t>
            </w:r>
          </w:p>
        </w:tc>
        <w:tc>
          <w:tcPr>
            <w:tcW w:w="2955" w:type="dxa"/>
            <w:vAlign w:val="center"/>
          </w:tcPr>
          <w:p w14:paraId="095B1B4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85" w:type="dxa"/>
            <w:tcBorders>
              <w:right w:val="single" w:color="auto" w:sz="4" w:space="0"/>
            </w:tcBorders>
            <w:vAlign w:val="center"/>
          </w:tcPr>
          <w:p w14:paraId="61DCD84D">
            <w:pPr>
              <w:spacing w:line="240" w:lineRule="exact"/>
              <w:jc w:val="center"/>
              <w:rPr>
                <w:rFonts w:ascii="宋体"/>
                <w:kern w:val="0"/>
              </w:rPr>
            </w:pPr>
            <w:r>
              <w:rPr>
                <w:rFonts w:hint="eastAsia" w:ascii="宋体"/>
                <w:kern w:val="0"/>
              </w:rPr>
              <w:t>5-8万元</w:t>
            </w:r>
          </w:p>
        </w:tc>
        <w:tc>
          <w:tcPr>
            <w:tcW w:w="5048" w:type="dxa"/>
            <w:tcBorders>
              <w:left w:val="single" w:color="auto" w:sz="4" w:space="0"/>
              <w:bottom w:val="single" w:color="auto" w:sz="4" w:space="0"/>
            </w:tcBorders>
            <w:vAlign w:val="center"/>
          </w:tcPr>
          <w:p w14:paraId="456CB9A5">
            <w:pPr>
              <w:spacing w:line="240" w:lineRule="exact"/>
              <w:jc w:val="center"/>
              <w:rPr>
                <w:rFonts w:ascii="宋体"/>
                <w:kern w:val="0"/>
              </w:rPr>
            </w:pPr>
            <w:r>
              <w:rPr>
                <w:rFonts w:hint="eastAsia" w:ascii="宋体"/>
                <w:kern w:val="0"/>
              </w:rPr>
              <w:t>1-1.5万元</w:t>
            </w:r>
          </w:p>
        </w:tc>
      </w:tr>
      <w:tr w14:paraId="6DD3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0" w:hRule="atLeast"/>
        </w:trPr>
        <w:tc>
          <w:tcPr>
            <w:tcW w:w="1120" w:type="dxa"/>
            <w:vMerge w:val="continue"/>
            <w:vAlign w:val="center"/>
          </w:tcPr>
          <w:p w14:paraId="13728F26">
            <w:pPr>
              <w:spacing w:line="240" w:lineRule="exact"/>
              <w:jc w:val="left"/>
              <w:rPr>
                <w:rFonts w:ascii="宋体"/>
                <w:kern w:val="0"/>
              </w:rPr>
            </w:pPr>
          </w:p>
        </w:tc>
        <w:tc>
          <w:tcPr>
            <w:tcW w:w="1820" w:type="dxa"/>
            <w:vMerge w:val="continue"/>
            <w:vAlign w:val="center"/>
          </w:tcPr>
          <w:p w14:paraId="2A160322">
            <w:pPr>
              <w:widowControl/>
              <w:spacing w:line="240" w:lineRule="exact"/>
              <w:jc w:val="left"/>
              <w:rPr>
                <w:rFonts w:ascii="宋体"/>
                <w:kern w:val="0"/>
              </w:rPr>
            </w:pPr>
          </w:p>
        </w:tc>
        <w:tc>
          <w:tcPr>
            <w:tcW w:w="1937" w:type="dxa"/>
            <w:vMerge w:val="continue"/>
            <w:vAlign w:val="center"/>
          </w:tcPr>
          <w:p w14:paraId="7DE8A741">
            <w:pPr>
              <w:spacing w:line="240" w:lineRule="exact"/>
              <w:jc w:val="left"/>
              <w:rPr>
                <w:rFonts w:ascii="宋体"/>
                <w:kern w:val="0"/>
              </w:rPr>
            </w:pPr>
          </w:p>
        </w:tc>
        <w:tc>
          <w:tcPr>
            <w:tcW w:w="961" w:type="dxa"/>
            <w:vMerge w:val="restart"/>
            <w:vAlign w:val="center"/>
          </w:tcPr>
          <w:p w14:paraId="47D57D44">
            <w:pPr>
              <w:spacing w:line="240" w:lineRule="exact"/>
              <w:jc w:val="center"/>
              <w:rPr>
                <w:rFonts w:ascii="宋体"/>
                <w:kern w:val="0"/>
              </w:rPr>
            </w:pPr>
            <w:r>
              <w:rPr>
                <w:rFonts w:hint="eastAsia" w:ascii="宋体"/>
                <w:kern w:val="0"/>
              </w:rPr>
              <w:t>一般</w:t>
            </w:r>
          </w:p>
        </w:tc>
        <w:tc>
          <w:tcPr>
            <w:tcW w:w="2955" w:type="dxa"/>
            <w:vAlign w:val="center"/>
          </w:tcPr>
          <w:p w14:paraId="0CB10EE3">
            <w:pPr>
              <w:widowControl/>
              <w:spacing w:line="240" w:lineRule="exact"/>
              <w:jc w:val="left"/>
              <w:rPr>
                <w:rFonts w:ascii="宋体"/>
                <w:kern w:val="0"/>
              </w:rPr>
            </w:pPr>
            <w:r>
              <w:rPr>
                <w:rFonts w:hint="eastAsia" w:ascii="宋体"/>
                <w:kern w:val="0"/>
              </w:rPr>
              <w:t>未在进入的同时向海事管理机构紧急报告；</w:t>
            </w:r>
          </w:p>
        </w:tc>
        <w:tc>
          <w:tcPr>
            <w:tcW w:w="5385" w:type="dxa"/>
            <w:tcBorders>
              <w:right w:val="single" w:color="auto" w:sz="4" w:space="0"/>
            </w:tcBorders>
            <w:vAlign w:val="center"/>
          </w:tcPr>
          <w:p w14:paraId="4DE44174">
            <w:pPr>
              <w:spacing w:line="240" w:lineRule="exact"/>
              <w:jc w:val="center"/>
              <w:rPr>
                <w:rFonts w:ascii="宋体"/>
                <w:kern w:val="0"/>
              </w:rPr>
            </w:pPr>
            <w:r>
              <w:rPr>
                <w:rFonts w:hint="eastAsia" w:ascii="宋体"/>
                <w:kern w:val="0"/>
              </w:rPr>
              <w:t>8-10万元</w:t>
            </w:r>
          </w:p>
        </w:tc>
        <w:tc>
          <w:tcPr>
            <w:tcW w:w="5048" w:type="dxa"/>
            <w:tcBorders>
              <w:top w:val="single" w:color="auto" w:sz="4" w:space="0"/>
              <w:left w:val="single" w:color="auto" w:sz="4" w:space="0"/>
              <w:bottom w:val="single" w:color="auto" w:sz="4" w:space="0"/>
            </w:tcBorders>
            <w:vAlign w:val="center"/>
          </w:tcPr>
          <w:p w14:paraId="5CFB34DE">
            <w:pPr>
              <w:spacing w:line="240" w:lineRule="exact"/>
              <w:jc w:val="center"/>
              <w:rPr>
                <w:rFonts w:ascii="宋体"/>
                <w:kern w:val="0"/>
              </w:rPr>
            </w:pPr>
            <w:r>
              <w:rPr>
                <w:rFonts w:hint="eastAsia" w:ascii="宋体"/>
                <w:kern w:val="0"/>
              </w:rPr>
              <w:t>1.5-1.8万元</w:t>
            </w:r>
          </w:p>
        </w:tc>
      </w:tr>
      <w:tr w14:paraId="26C0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0" w:hRule="atLeast"/>
        </w:trPr>
        <w:tc>
          <w:tcPr>
            <w:tcW w:w="1120" w:type="dxa"/>
            <w:vMerge w:val="continue"/>
            <w:vAlign w:val="center"/>
          </w:tcPr>
          <w:p w14:paraId="14C87E4C">
            <w:pPr>
              <w:spacing w:line="240" w:lineRule="exact"/>
              <w:jc w:val="left"/>
              <w:rPr>
                <w:rFonts w:ascii="宋体"/>
                <w:kern w:val="0"/>
              </w:rPr>
            </w:pPr>
          </w:p>
        </w:tc>
        <w:tc>
          <w:tcPr>
            <w:tcW w:w="1820" w:type="dxa"/>
            <w:vMerge w:val="continue"/>
            <w:vAlign w:val="center"/>
          </w:tcPr>
          <w:p w14:paraId="624A9099">
            <w:pPr>
              <w:widowControl/>
              <w:spacing w:line="240" w:lineRule="exact"/>
              <w:jc w:val="left"/>
              <w:rPr>
                <w:rFonts w:ascii="宋体"/>
                <w:kern w:val="0"/>
              </w:rPr>
            </w:pPr>
          </w:p>
        </w:tc>
        <w:tc>
          <w:tcPr>
            <w:tcW w:w="1937" w:type="dxa"/>
            <w:vMerge w:val="continue"/>
            <w:vAlign w:val="center"/>
          </w:tcPr>
          <w:p w14:paraId="5D29AA12">
            <w:pPr>
              <w:spacing w:line="240" w:lineRule="exact"/>
              <w:jc w:val="left"/>
              <w:rPr>
                <w:rFonts w:ascii="宋体"/>
                <w:kern w:val="0"/>
              </w:rPr>
            </w:pPr>
          </w:p>
        </w:tc>
        <w:tc>
          <w:tcPr>
            <w:tcW w:w="961" w:type="dxa"/>
            <w:vMerge w:val="continue"/>
            <w:vAlign w:val="center"/>
          </w:tcPr>
          <w:p w14:paraId="2E283A54">
            <w:pPr>
              <w:spacing w:line="240" w:lineRule="exact"/>
              <w:jc w:val="center"/>
              <w:rPr>
                <w:rFonts w:ascii="宋体"/>
                <w:kern w:val="0"/>
              </w:rPr>
            </w:pPr>
          </w:p>
        </w:tc>
        <w:tc>
          <w:tcPr>
            <w:tcW w:w="2955" w:type="dxa"/>
            <w:vAlign w:val="center"/>
          </w:tcPr>
          <w:p w14:paraId="613EF73F">
            <w:pPr>
              <w:widowControl/>
              <w:spacing w:line="240" w:lineRule="exact"/>
              <w:jc w:val="left"/>
              <w:rPr>
                <w:rFonts w:ascii="宋体"/>
                <w:kern w:val="0"/>
              </w:rPr>
            </w:pPr>
            <w:r>
              <w:rPr>
                <w:rFonts w:hint="eastAsia" w:ascii="宋体"/>
                <w:kern w:val="0"/>
              </w:rPr>
              <w:t>紧急情况解除后仍未向海事管理机构报告；</w:t>
            </w:r>
          </w:p>
        </w:tc>
        <w:tc>
          <w:tcPr>
            <w:tcW w:w="5385" w:type="dxa"/>
            <w:tcBorders>
              <w:right w:val="single" w:color="auto" w:sz="4" w:space="0"/>
            </w:tcBorders>
            <w:vAlign w:val="center"/>
          </w:tcPr>
          <w:p w14:paraId="3BF81A15">
            <w:pPr>
              <w:spacing w:line="240" w:lineRule="exact"/>
              <w:jc w:val="center"/>
              <w:rPr>
                <w:rFonts w:ascii="宋体"/>
                <w:kern w:val="0"/>
              </w:rPr>
            </w:pPr>
            <w:r>
              <w:rPr>
                <w:rFonts w:hint="eastAsia" w:ascii="宋体"/>
                <w:kern w:val="0"/>
              </w:rPr>
              <w:t>10-12万元</w:t>
            </w:r>
          </w:p>
        </w:tc>
        <w:tc>
          <w:tcPr>
            <w:tcW w:w="5048" w:type="dxa"/>
            <w:tcBorders>
              <w:top w:val="single" w:color="auto" w:sz="4" w:space="0"/>
              <w:left w:val="single" w:color="auto" w:sz="4" w:space="0"/>
              <w:bottom w:val="single" w:color="auto" w:sz="4" w:space="0"/>
            </w:tcBorders>
            <w:vAlign w:val="center"/>
          </w:tcPr>
          <w:p w14:paraId="5A7D7CB1">
            <w:pPr>
              <w:spacing w:line="240" w:lineRule="exact"/>
              <w:jc w:val="center"/>
              <w:rPr>
                <w:rFonts w:ascii="宋体"/>
                <w:kern w:val="0"/>
              </w:rPr>
            </w:pPr>
            <w:r>
              <w:rPr>
                <w:rFonts w:hint="eastAsia" w:ascii="宋体"/>
                <w:kern w:val="0"/>
              </w:rPr>
              <w:t>1.8-2万元</w:t>
            </w:r>
          </w:p>
        </w:tc>
      </w:tr>
      <w:tr w14:paraId="58D5C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89" w:hRule="atLeast"/>
        </w:trPr>
        <w:tc>
          <w:tcPr>
            <w:tcW w:w="1120" w:type="dxa"/>
            <w:vMerge w:val="continue"/>
            <w:vAlign w:val="center"/>
          </w:tcPr>
          <w:p w14:paraId="096A218B">
            <w:pPr>
              <w:spacing w:line="240" w:lineRule="exact"/>
              <w:jc w:val="left"/>
              <w:rPr>
                <w:rFonts w:ascii="宋体"/>
                <w:kern w:val="0"/>
              </w:rPr>
            </w:pPr>
          </w:p>
        </w:tc>
        <w:tc>
          <w:tcPr>
            <w:tcW w:w="1820" w:type="dxa"/>
            <w:vMerge w:val="continue"/>
            <w:vAlign w:val="center"/>
          </w:tcPr>
          <w:p w14:paraId="4BDACD3C">
            <w:pPr>
              <w:spacing w:line="240" w:lineRule="exact"/>
              <w:jc w:val="left"/>
              <w:rPr>
                <w:rFonts w:ascii="宋体"/>
                <w:kern w:val="0"/>
              </w:rPr>
            </w:pPr>
          </w:p>
        </w:tc>
        <w:tc>
          <w:tcPr>
            <w:tcW w:w="1937" w:type="dxa"/>
            <w:vMerge w:val="continue"/>
            <w:vAlign w:val="center"/>
          </w:tcPr>
          <w:p w14:paraId="11E6908F">
            <w:pPr>
              <w:spacing w:line="240" w:lineRule="exact"/>
              <w:jc w:val="left"/>
              <w:rPr>
                <w:rFonts w:ascii="宋体"/>
                <w:kern w:val="0"/>
              </w:rPr>
            </w:pPr>
          </w:p>
        </w:tc>
        <w:tc>
          <w:tcPr>
            <w:tcW w:w="961" w:type="dxa"/>
            <w:vMerge w:val="continue"/>
            <w:vAlign w:val="center"/>
          </w:tcPr>
          <w:p w14:paraId="397B478F">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14:paraId="7E7FCE5D">
            <w:pPr>
              <w:spacing w:line="240" w:lineRule="exact"/>
              <w:jc w:val="left"/>
              <w:rPr>
                <w:rFonts w:ascii="宋体"/>
                <w:kern w:val="0"/>
              </w:rPr>
            </w:pPr>
            <w:r>
              <w:rPr>
                <w:rFonts w:hint="eastAsia" w:ascii="宋体"/>
                <w:kern w:val="0"/>
              </w:rPr>
              <w:t>不接受海事管理机构的指令和监督。</w:t>
            </w:r>
          </w:p>
        </w:tc>
        <w:tc>
          <w:tcPr>
            <w:tcW w:w="5385" w:type="dxa"/>
            <w:tcBorders>
              <w:bottom w:val="single" w:color="auto" w:sz="4" w:space="0"/>
              <w:right w:val="single" w:color="auto" w:sz="4" w:space="0"/>
            </w:tcBorders>
            <w:vAlign w:val="center"/>
          </w:tcPr>
          <w:p w14:paraId="1452FCF0">
            <w:pPr>
              <w:spacing w:line="240" w:lineRule="exact"/>
              <w:jc w:val="center"/>
              <w:rPr>
                <w:rFonts w:ascii="宋体"/>
                <w:kern w:val="0"/>
              </w:rPr>
            </w:pPr>
            <w:r>
              <w:rPr>
                <w:rFonts w:hint="eastAsia" w:ascii="宋体"/>
                <w:kern w:val="0"/>
              </w:rPr>
              <w:t>12-15万元</w:t>
            </w:r>
          </w:p>
        </w:tc>
        <w:tc>
          <w:tcPr>
            <w:tcW w:w="5048" w:type="dxa"/>
            <w:tcBorders>
              <w:left w:val="single" w:color="auto" w:sz="4" w:space="0"/>
              <w:bottom w:val="single" w:color="auto" w:sz="4" w:space="0"/>
            </w:tcBorders>
            <w:vAlign w:val="center"/>
          </w:tcPr>
          <w:p w14:paraId="710FD44F">
            <w:pPr>
              <w:spacing w:line="240" w:lineRule="exact"/>
              <w:jc w:val="center"/>
              <w:rPr>
                <w:rFonts w:ascii="宋体"/>
                <w:kern w:val="0"/>
              </w:rPr>
            </w:pPr>
            <w:r>
              <w:rPr>
                <w:rFonts w:hint="eastAsia" w:ascii="宋体"/>
                <w:kern w:val="0"/>
              </w:rPr>
              <w:t>2-3万元</w:t>
            </w:r>
          </w:p>
        </w:tc>
      </w:tr>
      <w:tr w14:paraId="10B8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7" w:hRule="atLeast"/>
        </w:trPr>
        <w:tc>
          <w:tcPr>
            <w:tcW w:w="1120" w:type="dxa"/>
            <w:vMerge w:val="continue"/>
            <w:vAlign w:val="center"/>
          </w:tcPr>
          <w:p w14:paraId="11856E52">
            <w:pPr>
              <w:spacing w:line="240" w:lineRule="exact"/>
              <w:jc w:val="left"/>
              <w:rPr>
                <w:rFonts w:ascii="宋体"/>
                <w:kern w:val="0"/>
              </w:rPr>
            </w:pPr>
          </w:p>
        </w:tc>
        <w:tc>
          <w:tcPr>
            <w:tcW w:w="1820" w:type="dxa"/>
            <w:vMerge w:val="continue"/>
            <w:vAlign w:val="center"/>
          </w:tcPr>
          <w:p w14:paraId="54FB77BA">
            <w:pPr>
              <w:spacing w:line="240" w:lineRule="exact"/>
              <w:jc w:val="left"/>
              <w:rPr>
                <w:rFonts w:ascii="宋体"/>
                <w:kern w:val="0"/>
              </w:rPr>
            </w:pPr>
          </w:p>
        </w:tc>
        <w:tc>
          <w:tcPr>
            <w:tcW w:w="1937" w:type="dxa"/>
            <w:vMerge w:val="continue"/>
            <w:vAlign w:val="center"/>
          </w:tcPr>
          <w:p w14:paraId="5E1EE34D">
            <w:pPr>
              <w:spacing w:line="240" w:lineRule="exact"/>
              <w:jc w:val="left"/>
              <w:rPr>
                <w:rFonts w:ascii="宋体"/>
                <w:kern w:val="0"/>
              </w:rPr>
            </w:pPr>
          </w:p>
        </w:tc>
        <w:tc>
          <w:tcPr>
            <w:tcW w:w="961" w:type="dxa"/>
            <w:vMerge w:val="continue"/>
            <w:vAlign w:val="center"/>
          </w:tcPr>
          <w:p w14:paraId="3B6966CF">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14:paraId="73995ED6">
            <w:pPr>
              <w:spacing w:line="240" w:lineRule="exact"/>
              <w:jc w:val="left"/>
              <w:rPr>
                <w:rFonts w:ascii="宋体"/>
                <w:kern w:val="0"/>
              </w:rPr>
            </w:pPr>
            <w:r>
              <w:rPr>
                <w:rFonts w:hint="eastAsia" w:ascii="宋体"/>
                <w:kern w:val="0"/>
              </w:rPr>
              <w:t>具有其他较重情节的；</w:t>
            </w:r>
          </w:p>
        </w:tc>
        <w:tc>
          <w:tcPr>
            <w:tcW w:w="5385" w:type="dxa"/>
            <w:tcBorders>
              <w:bottom w:val="single" w:color="auto" w:sz="4" w:space="0"/>
              <w:right w:val="single" w:color="auto" w:sz="4" w:space="0"/>
            </w:tcBorders>
            <w:vAlign w:val="center"/>
          </w:tcPr>
          <w:p w14:paraId="559AFBF8">
            <w:pPr>
              <w:spacing w:line="240" w:lineRule="exact"/>
              <w:jc w:val="center"/>
              <w:rPr>
                <w:rFonts w:ascii="宋体"/>
                <w:kern w:val="0"/>
              </w:rPr>
            </w:pPr>
            <w:r>
              <w:rPr>
                <w:rFonts w:hint="eastAsia" w:ascii="宋体"/>
              </w:rPr>
              <w:t xml:space="preserve">15-50万元 </w:t>
            </w:r>
          </w:p>
        </w:tc>
        <w:tc>
          <w:tcPr>
            <w:tcW w:w="5048" w:type="dxa"/>
            <w:tcBorders>
              <w:left w:val="single" w:color="auto" w:sz="4" w:space="0"/>
              <w:bottom w:val="single" w:color="auto" w:sz="4" w:space="0"/>
            </w:tcBorders>
            <w:vAlign w:val="center"/>
          </w:tcPr>
          <w:p w14:paraId="0F9874E7">
            <w:pPr>
              <w:spacing w:line="240" w:lineRule="exact"/>
              <w:jc w:val="center"/>
              <w:rPr>
                <w:rFonts w:ascii="宋体"/>
                <w:kern w:val="0"/>
              </w:rPr>
            </w:pPr>
            <w:r>
              <w:rPr>
                <w:rFonts w:hint="eastAsia" w:ascii="宋体"/>
                <w:kern w:val="0"/>
              </w:rPr>
              <w:t>2</w:t>
            </w:r>
            <w:r>
              <w:rPr>
                <w:rFonts w:hint="eastAsia" w:ascii="宋体"/>
              </w:rPr>
              <w:t>-3</w:t>
            </w:r>
            <w:r>
              <w:rPr>
                <w:rFonts w:hint="eastAsia" w:ascii="宋体"/>
                <w:kern w:val="0"/>
              </w:rPr>
              <w:t>万元</w:t>
            </w:r>
          </w:p>
        </w:tc>
      </w:tr>
      <w:tr w14:paraId="4651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41" w:hRule="atLeast"/>
        </w:trPr>
        <w:tc>
          <w:tcPr>
            <w:tcW w:w="1120" w:type="dxa"/>
            <w:vMerge w:val="continue"/>
            <w:vAlign w:val="center"/>
          </w:tcPr>
          <w:p w14:paraId="4FB8A115">
            <w:pPr>
              <w:spacing w:line="240" w:lineRule="exact"/>
              <w:jc w:val="left"/>
              <w:rPr>
                <w:rFonts w:ascii="宋体"/>
                <w:kern w:val="0"/>
              </w:rPr>
            </w:pPr>
          </w:p>
        </w:tc>
        <w:tc>
          <w:tcPr>
            <w:tcW w:w="1820" w:type="dxa"/>
            <w:vMerge w:val="continue"/>
            <w:vAlign w:val="center"/>
          </w:tcPr>
          <w:p w14:paraId="78BECFDA">
            <w:pPr>
              <w:spacing w:line="240" w:lineRule="exact"/>
              <w:jc w:val="left"/>
              <w:rPr>
                <w:rFonts w:ascii="宋体"/>
                <w:kern w:val="0"/>
              </w:rPr>
            </w:pPr>
          </w:p>
        </w:tc>
        <w:tc>
          <w:tcPr>
            <w:tcW w:w="1937" w:type="dxa"/>
            <w:vMerge w:val="continue"/>
            <w:vAlign w:val="center"/>
          </w:tcPr>
          <w:p w14:paraId="0BE11CF4">
            <w:pPr>
              <w:spacing w:line="240" w:lineRule="exact"/>
              <w:jc w:val="left"/>
              <w:rPr>
                <w:rFonts w:ascii="宋体"/>
                <w:kern w:val="0"/>
              </w:rPr>
            </w:pPr>
          </w:p>
        </w:tc>
        <w:tc>
          <w:tcPr>
            <w:tcW w:w="961" w:type="dxa"/>
            <w:vMerge w:val="continue"/>
            <w:vAlign w:val="center"/>
          </w:tcPr>
          <w:p w14:paraId="4C7B800B">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14:paraId="09971C73">
            <w:pPr>
              <w:spacing w:line="240" w:lineRule="exact"/>
              <w:jc w:val="left"/>
              <w:rPr>
                <w:rFonts w:ascii="宋体"/>
                <w:kern w:val="0"/>
              </w:rPr>
            </w:pPr>
            <w:r>
              <w:rPr>
                <w:rFonts w:hint="eastAsia" w:ascii="宋体"/>
                <w:kern w:val="0"/>
              </w:rPr>
              <w:t>造成险情的；</w:t>
            </w:r>
          </w:p>
        </w:tc>
        <w:tc>
          <w:tcPr>
            <w:tcW w:w="5385" w:type="dxa"/>
            <w:tcBorders>
              <w:bottom w:val="single" w:color="auto" w:sz="4" w:space="0"/>
              <w:right w:val="single" w:color="auto" w:sz="4" w:space="0"/>
            </w:tcBorders>
            <w:vAlign w:val="center"/>
          </w:tcPr>
          <w:p w14:paraId="1AE67D00">
            <w:pPr>
              <w:spacing w:line="240" w:lineRule="exact"/>
              <w:jc w:val="center"/>
              <w:rPr>
                <w:rFonts w:ascii="宋体"/>
              </w:rPr>
            </w:pPr>
            <w:r>
              <w:rPr>
                <w:rFonts w:hint="eastAsia" w:ascii="宋体"/>
              </w:rPr>
              <w:t xml:space="preserve">20-50万元 </w:t>
            </w:r>
          </w:p>
        </w:tc>
        <w:tc>
          <w:tcPr>
            <w:tcW w:w="5048" w:type="dxa"/>
            <w:tcBorders>
              <w:left w:val="single" w:color="auto" w:sz="4" w:space="0"/>
              <w:bottom w:val="single" w:color="auto" w:sz="4" w:space="0"/>
            </w:tcBorders>
            <w:vAlign w:val="center"/>
          </w:tcPr>
          <w:p w14:paraId="07AF32AD">
            <w:pPr>
              <w:spacing w:line="240" w:lineRule="exact"/>
              <w:jc w:val="center"/>
              <w:rPr>
                <w:rFonts w:ascii="宋体"/>
                <w:kern w:val="0"/>
              </w:rPr>
            </w:pPr>
            <w:r>
              <w:rPr>
                <w:rFonts w:hint="eastAsia" w:ascii="宋体"/>
                <w:kern w:val="0"/>
              </w:rPr>
              <w:t>2.2</w:t>
            </w:r>
            <w:r>
              <w:rPr>
                <w:rFonts w:hint="eastAsia" w:ascii="宋体"/>
              </w:rPr>
              <w:t>-3</w:t>
            </w:r>
            <w:r>
              <w:rPr>
                <w:rFonts w:hint="eastAsia" w:ascii="宋体"/>
                <w:kern w:val="0"/>
              </w:rPr>
              <w:t>万元</w:t>
            </w:r>
          </w:p>
        </w:tc>
      </w:tr>
      <w:tr w14:paraId="5A2B0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0" w:hRule="atLeast"/>
        </w:trPr>
        <w:tc>
          <w:tcPr>
            <w:tcW w:w="1120" w:type="dxa"/>
            <w:vMerge w:val="continue"/>
            <w:vAlign w:val="center"/>
          </w:tcPr>
          <w:p w14:paraId="18BDE31A">
            <w:pPr>
              <w:spacing w:line="240" w:lineRule="exact"/>
              <w:jc w:val="left"/>
              <w:rPr>
                <w:rFonts w:ascii="宋体"/>
                <w:kern w:val="0"/>
              </w:rPr>
            </w:pPr>
          </w:p>
        </w:tc>
        <w:tc>
          <w:tcPr>
            <w:tcW w:w="1820" w:type="dxa"/>
            <w:vMerge w:val="continue"/>
            <w:vAlign w:val="center"/>
          </w:tcPr>
          <w:p w14:paraId="4544FBB0">
            <w:pPr>
              <w:spacing w:line="240" w:lineRule="exact"/>
              <w:jc w:val="left"/>
              <w:rPr>
                <w:rFonts w:ascii="宋体"/>
                <w:kern w:val="0"/>
              </w:rPr>
            </w:pPr>
          </w:p>
        </w:tc>
        <w:tc>
          <w:tcPr>
            <w:tcW w:w="1937" w:type="dxa"/>
            <w:vMerge w:val="continue"/>
            <w:vAlign w:val="center"/>
          </w:tcPr>
          <w:p w14:paraId="08FDFC78">
            <w:pPr>
              <w:spacing w:line="240" w:lineRule="exact"/>
              <w:jc w:val="left"/>
              <w:rPr>
                <w:rFonts w:ascii="宋体"/>
                <w:kern w:val="0"/>
              </w:rPr>
            </w:pPr>
          </w:p>
        </w:tc>
        <w:tc>
          <w:tcPr>
            <w:tcW w:w="961" w:type="dxa"/>
            <w:vMerge w:val="continue"/>
            <w:tcBorders>
              <w:bottom w:val="single" w:color="auto" w:sz="4" w:space="0"/>
            </w:tcBorders>
            <w:vAlign w:val="center"/>
          </w:tcPr>
          <w:p w14:paraId="3671443C">
            <w:pPr>
              <w:spacing w:line="240" w:lineRule="exact"/>
              <w:jc w:val="center"/>
              <w:rPr>
                <w:rFonts w:ascii="宋体"/>
                <w:kern w:val="0"/>
              </w:rPr>
            </w:pPr>
          </w:p>
        </w:tc>
        <w:tc>
          <w:tcPr>
            <w:tcW w:w="2955" w:type="dxa"/>
            <w:tcBorders>
              <w:top w:val="single" w:color="auto" w:sz="4" w:space="0"/>
              <w:left w:val="single" w:color="auto" w:sz="4" w:space="0"/>
              <w:bottom w:val="single" w:color="auto" w:sz="4" w:space="0"/>
            </w:tcBorders>
            <w:vAlign w:val="center"/>
          </w:tcPr>
          <w:p w14:paraId="7C4B89F3">
            <w:pPr>
              <w:spacing w:line="240" w:lineRule="exact"/>
              <w:jc w:val="left"/>
              <w:rPr>
                <w:rFonts w:ascii="宋体"/>
                <w:kern w:val="0"/>
              </w:rPr>
            </w:pPr>
            <w:r>
              <w:rPr>
                <w:rFonts w:hint="eastAsia" w:ascii="宋体"/>
                <w:kern w:val="0"/>
              </w:rPr>
              <w:t>造成事故的。</w:t>
            </w:r>
          </w:p>
        </w:tc>
        <w:tc>
          <w:tcPr>
            <w:tcW w:w="5385" w:type="dxa"/>
            <w:tcBorders>
              <w:top w:val="single" w:color="auto" w:sz="4" w:space="0"/>
              <w:bottom w:val="single" w:color="auto" w:sz="4" w:space="0"/>
              <w:right w:val="single" w:color="auto" w:sz="4" w:space="0"/>
            </w:tcBorders>
            <w:vAlign w:val="center"/>
          </w:tcPr>
          <w:p w14:paraId="2EE144D5">
            <w:pPr>
              <w:spacing w:line="240" w:lineRule="exact"/>
              <w:jc w:val="center"/>
              <w:rPr>
                <w:rFonts w:ascii="宋体"/>
                <w:kern w:val="0"/>
              </w:rPr>
            </w:pPr>
            <w:r>
              <w:rPr>
                <w:rFonts w:hint="eastAsia" w:ascii="宋体"/>
              </w:rPr>
              <w:t xml:space="preserve">30-50万元 </w:t>
            </w:r>
          </w:p>
        </w:tc>
        <w:tc>
          <w:tcPr>
            <w:tcW w:w="5048" w:type="dxa"/>
            <w:tcBorders>
              <w:top w:val="single" w:color="auto" w:sz="4" w:space="0"/>
              <w:left w:val="single" w:color="auto" w:sz="4" w:space="0"/>
              <w:bottom w:val="single" w:color="auto" w:sz="4" w:space="0"/>
            </w:tcBorders>
            <w:vAlign w:val="center"/>
          </w:tcPr>
          <w:p w14:paraId="7D60C194">
            <w:pPr>
              <w:spacing w:line="240" w:lineRule="exact"/>
              <w:jc w:val="center"/>
              <w:rPr>
                <w:rFonts w:ascii="宋体"/>
                <w:kern w:val="0"/>
              </w:rPr>
            </w:pPr>
            <w:r>
              <w:rPr>
                <w:rFonts w:hint="eastAsia" w:ascii="宋体"/>
                <w:kern w:val="0"/>
              </w:rPr>
              <w:t>2.5</w:t>
            </w:r>
            <w:r>
              <w:rPr>
                <w:rFonts w:hint="eastAsia" w:ascii="宋体"/>
              </w:rPr>
              <w:t>-3</w:t>
            </w:r>
            <w:r>
              <w:rPr>
                <w:rFonts w:hint="eastAsia" w:ascii="宋体"/>
                <w:kern w:val="0"/>
              </w:rPr>
              <w:t>万元</w:t>
            </w:r>
          </w:p>
        </w:tc>
      </w:tr>
    </w:tbl>
    <w:p w14:paraId="064B1E66">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2240"/>
        <w:gridCol w:w="2146"/>
        <w:gridCol w:w="1211"/>
        <w:gridCol w:w="2488"/>
        <w:gridCol w:w="5036"/>
        <w:gridCol w:w="2676"/>
        <w:gridCol w:w="3109"/>
      </w:tblGrid>
      <w:tr w14:paraId="3168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1243" w:type="dxa"/>
            <w:vMerge w:val="restart"/>
            <w:vAlign w:val="center"/>
          </w:tcPr>
          <w:p w14:paraId="69246E96">
            <w:pPr>
              <w:spacing w:line="240" w:lineRule="exact"/>
              <w:jc w:val="center"/>
              <w:rPr>
                <w:rFonts w:ascii="宋体"/>
                <w:b/>
              </w:rPr>
            </w:pPr>
            <w:r>
              <w:rPr>
                <w:rFonts w:hint="eastAsia" w:ascii="宋体"/>
                <w:b/>
              </w:rPr>
              <w:t>案由59</w:t>
            </w:r>
          </w:p>
        </w:tc>
        <w:tc>
          <w:tcPr>
            <w:tcW w:w="4386" w:type="dxa"/>
            <w:gridSpan w:val="2"/>
            <w:vAlign w:val="center"/>
          </w:tcPr>
          <w:p w14:paraId="7D2BEC1C">
            <w:pPr>
              <w:spacing w:line="240" w:lineRule="exact"/>
              <w:jc w:val="center"/>
              <w:rPr>
                <w:rFonts w:ascii="宋体"/>
                <w:b/>
              </w:rPr>
            </w:pPr>
            <w:r>
              <w:rPr>
                <w:rFonts w:hint="eastAsia" w:ascii="宋体"/>
                <w:b/>
              </w:rPr>
              <w:t>法律依据</w:t>
            </w:r>
          </w:p>
        </w:tc>
        <w:tc>
          <w:tcPr>
            <w:tcW w:w="1211" w:type="dxa"/>
            <w:vMerge w:val="restart"/>
            <w:vAlign w:val="center"/>
          </w:tcPr>
          <w:p w14:paraId="4F9FCDC8">
            <w:pPr>
              <w:spacing w:line="240" w:lineRule="exact"/>
              <w:jc w:val="center"/>
              <w:rPr>
                <w:rFonts w:ascii="宋体"/>
                <w:b/>
              </w:rPr>
            </w:pPr>
            <w:r>
              <w:rPr>
                <w:rFonts w:hint="eastAsia" w:ascii="宋体"/>
                <w:b/>
              </w:rPr>
              <w:t>违法情节</w:t>
            </w:r>
          </w:p>
        </w:tc>
        <w:tc>
          <w:tcPr>
            <w:tcW w:w="2488" w:type="dxa"/>
            <w:vMerge w:val="restart"/>
            <w:vAlign w:val="center"/>
          </w:tcPr>
          <w:p w14:paraId="74047F58">
            <w:pPr>
              <w:spacing w:line="240" w:lineRule="exact"/>
              <w:jc w:val="center"/>
              <w:rPr>
                <w:rFonts w:ascii="宋体"/>
                <w:b/>
              </w:rPr>
            </w:pPr>
            <w:r>
              <w:rPr>
                <w:rFonts w:hint="eastAsia" w:ascii="宋体"/>
                <w:b/>
              </w:rPr>
              <w:t>主要考虑因素（事实、性质、情节、危害程度和实际后果等）</w:t>
            </w:r>
          </w:p>
        </w:tc>
        <w:tc>
          <w:tcPr>
            <w:tcW w:w="10821" w:type="dxa"/>
            <w:gridSpan w:val="3"/>
            <w:tcBorders>
              <w:bottom w:val="single" w:color="auto" w:sz="4" w:space="0"/>
              <w:right w:val="single" w:color="auto" w:sz="4" w:space="0"/>
            </w:tcBorders>
            <w:vAlign w:val="center"/>
          </w:tcPr>
          <w:p w14:paraId="532BE774">
            <w:pPr>
              <w:spacing w:line="240" w:lineRule="exact"/>
              <w:jc w:val="left"/>
              <w:rPr>
                <w:rFonts w:ascii="宋体"/>
                <w:b/>
              </w:rPr>
            </w:pPr>
            <w:r>
              <w:rPr>
                <w:rFonts w:hint="eastAsia" w:ascii="宋体"/>
                <w:b/>
              </w:rPr>
              <w:t>【法定幅度和种类】</w:t>
            </w:r>
            <w:r>
              <w:rPr>
                <w:rFonts w:hint="eastAsia" w:ascii="宋体"/>
              </w:rPr>
              <w:t>由海事管理机构处二千元以上二万元以下的罚款，暂扣船长、责任船员的船员适任证书六个月至二十四个月，直至吊销船员适任证书。</w:t>
            </w:r>
          </w:p>
        </w:tc>
      </w:tr>
      <w:tr w14:paraId="4EEEA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1243" w:type="dxa"/>
            <w:vMerge w:val="continue"/>
            <w:vAlign w:val="center"/>
          </w:tcPr>
          <w:p w14:paraId="4A7865D3">
            <w:pPr>
              <w:spacing w:line="240" w:lineRule="exact"/>
              <w:jc w:val="center"/>
              <w:rPr>
                <w:rFonts w:ascii="宋体"/>
                <w:b/>
              </w:rPr>
            </w:pPr>
          </w:p>
        </w:tc>
        <w:tc>
          <w:tcPr>
            <w:tcW w:w="2240" w:type="dxa"/>
            <w:tcBorders>
              <w:bottom w:val="single" w:color="000000" w:sz="4" w:space="0"/>
            </w:tcBorders>
            <w:vAlign w:val="center"/>
          </w:tcPr>
          <w:p w14:paraId="664868E6">
            <w:pPr>
              <w:spacing w:line="240" w:lineRule="exact"/>
              <w:jc w:val="center"/>
              <w:rPr>
                <w:rFonts w:ascii="宋体"/>
                <w:b/>
              </w:rPr>
            </w:pPr>
            <w:r>
              <w:rPr>
                <w:rFonts w:hint="eastAsia" w:ascii="宋体"/>
                <w:b/>
              </w:rPr>
              <w:t>违反条款</w:t>
            </w:r>
          </w:p>
        </w:tc>
        <w:tc>
          <w:tcPr>
            <w:tcW w:w="2146" w:type="dxa"/>
            <w:tcBorders>
              <w:bottom w:val="single" w:color="000000" w:sz="4" w:space="0"/>
            </w:tcBorders>
            <w:vAlign w:val="center"/>
          </w:tcPr>
          <w:p w14:paraId="2C95ED54">
            <w:pPr>
              <w:spacing w:line="240" w:lineRule="exact"/>
              <w:jc w:val="center"/>
              <w:rPr>
                <w:rFonts w:ascii="宋体"/>
                <w:b/>
              </w:rPr>
            </w:pPr>
            <w:r>
              <w:rPr>
                <w:rFonts w:hint="eastAsia" w:ascii="宋体"/>
                <w:b/>
              </w:rPr>
              <w:t>处罚依据</w:t>
            </w:r>
          </w:p>
        </w:tc>
        <w:tc>
          <w:tcPr>
            <w:tcW w:w="1211" w:type="dxa"/>
            <w:vMerge w:val="continue"/>
            <w:tcBorders>
              <w:bottom w:val="single" w:color="000000" w:sz="4" w:space="0"/>
            </w:tcBorders>
            <w:vAlign w:val="center"/>
          </w:tcPr>
          <w:p w14:paraId="61B24AC3">
            <w:pPr>
              <w:spacing w:line="240" w:lineRule="exact"/>
              <w:jc w:val="center"/>
              <w:rPr>
                <w:rFonts w:ascii="宋体"/>
                <w:b/>
              </w:rPr>
            </w:pPr>
          </w:p>
        </w:tc>
        <w:tc>
          <w:tcPr>
            <w:tcW w:w="2488" w:type="dxa"/>
            <w:vMerge w:val="continue"/>
            <w:tcBorders>
              <w:bottom w:val="single" w:color="000000" w:sz="4" w:space="0"/>
            </w:tcBorders>
            <w:vAlign w:val="center"/>
          </w:tcPr>
          <w:p w14:paraId="1E53AAA8">
            <w:pPr>
              <w:spacing w:line="240" w:lineRule="exact"/>
              <w:jc w:val="center"/>
              <w:rPr>
                <w:rFonts w:ascii="宋体"/>
                <w:b/>
              </w:rPr>
            </w:pPr>
          </w:p>
        </w:tc>
        <w:tc>
          <w:tcPr>
            <w:tcW w:w="5036" w:type="dxa"/>
            <w:tcBorders>
              <w:top w:val="single" w:color="auto" w:sz="4" w:space="0"/>
              <w:right w:val="single" w:color="auto" w:sz="4" w:space="0"/>
            </w:tcBorders>
            <w:vAlign w:val="center"/>
          </w:tcPr>
          <w:p w14:paraId="7B29EBFF">
            <w:pPr>
              <w:spacing w:line="240" w:lineRule="exact"/>
              <w:jc w:val="center"/>
              <w:rPr>
                <w:rFonts w:ascii="宋体"/>
                <w:b/>
              </w:rPr>
            </w:pPr>
            <w:r>
              <w:rPr>
                <w:rFonts w:hint="eastAsia" w:ascii="宋体"/>
                <w:b/>
              </w:rPr>
              <w:t>【对象】有义务接受监督检查的有关单位、个人</w:t>
            </w:r>
          </w:p>
        </w:tc>
        <w:tc>
          <w:tcPr>
            <w:tcW w:w="2676" w:type="dxa"/>
            <w:tcBorders>
              <w:top w:val="single" w:color="auto" w:sz="4" w:space="0"/>
              <w:left w:val="single" w:color="auto" w:sz="4" w:space="0"/>
              <w:right w:val="single" w:color="auto" w:sz="4" w:space="0"/>
            </w:tcBorders>
            <w:vAlign w:val="center"/>
          </w:tcPr>
          <w:p w14:paraId="04B5D00A">
            <w:pPr>
              <w:spacing w:line="240" w:lineRule="exact"/>
              <w:jc w:val="center"/>
              <w:rPr>
                <w:rFonts w:ascii="宋体"/>
                <w:b/>
              </w:rPr>
            </w:pPr>
            <w:r>
              <w:rPr>
                <w:rFonts w:hint="eastAsia" w:ascii="宋体"/>
                <w:b/>
              </w:rPr>
              <w:t>【对象】船长</w:t>
            </w:r>
          </w:p>
        </w:tc>
        <w:tc>
          <w:tcPr>
            <w:tcW w:w="3109" w:type="dxa"/>
            <w:tcBorders>
              <w:top w:val="single" w:color="auto" w:sz="4" w:space="0"/>
              <w:left w:val="single" w:color="auto" w:sz="4" w:space="0"/>
              <w:right w:val="single" w:color="auto" w:sz="4" w:space="0"/>
            </w:tcBorders>
            <w:vAlign w:val="center"/>
          </w:tcPr>
          <w:p w14:paraId="3296AF8E">
            <w:pPr>
              <w:spacing w:line="240" w:lineRule="exact"/>
              <w:jc w:val="center"/>
              <w:rPr>
                <w:rFonts w:ascii="宋体"/>
                <w:b/>
              </w:rPr>
            </w:pPr>
            <w:r>
              <w:rPr>
                <w:rFonts w:hint="eastAsia" w:ascii="宋体"/>
                <w:b/>
              </w:rPr>
              <w:t>【对象】责任船员</w:t>
            </w:r>
          </w:p>
        </w:tc>
      </w:tr>
      <w:tr w14:paraId="7A12F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1243" w:type="dxa"/>
            <w:vMerge w:val="restart"/>
            <w:vAlign w:val="center"/>
          </w:tcPr>
          <w:p w14:paraId="70B78EF4">
            <w:pPr>
              <w:widowControl/>
              <w:spacing w:line="240" w:lineRule="exact"/>
              <w:jc w:val="left"/>
              <w:rPr>
                <w:rFonts w:ascii="宋体"/>
              </w:rPr>
            </w:pPr>
            <w:r>
              <w:rPr>
                <w:rFonts w:hint="eastAsia" w:ascii="宋体"/>
              </w:rPr>
              <w:t>有关单位、个人拒绝、阻碍海事管理机构监督检查，或者在接受监督检查时弄虚作假的</w:t>
            </w:r>
          </w:p>
        </w:tc>
        <w:tc>
          <w:tcPr>
            <w:tcW w:w="2240" w:type="dxa"/>
            <w:vMerge w:val="restart"/>
            <w:vAlign w:val="center"/>
          </w:tcPr>
          <w:p w14:paraId="0280785B">
            <w:pPr>
              <w:widowControl/>
              <w:spacing w:line="240" w:lineRule="exact"/>
              <w:rPr>
                <w:rFonts w:ascii="宋体"/>
              </w:rPr>
            </w:pPr>
            <w:r>
              <w:rPr>
                <w:rFonts w:hint="eastAsia" w:ascii="宋体"/>
                <w:kern w:val="0"/>
              </w:rPr>
              <w:t>1.《中华人民共和国海上交通安全法》第八十四</w:t>
            </w:r>
            <w:r>
              <w:rPr>
                <w:rFonts w:hint="eastAsia" w:ascii="宋体"/>
              </w:rPr>
              <w:t>条、</w:t>
            </w:r>
            <w:r>
              <w:rPr>
                <w:rFonts w:hint="eastAsia" w:ascii="宋体"/>
                <w:kern w:val="0"/>
              </w:rPr>
              <w:t>第八十八</w:t>
            </w:r>
            <w:r>
              <w:rPr>
                <w:rFonts w:hint="eastAsia" w:ascii="宋体"/>
              </w:rPr>
              <w:t>条第四款、</w:t>
            </w:r>
            <w:r>
              <w:rPr>
                <w:rFonts w:hint="eastAsia" w:ascii="宋体"/>
                <w:kern w:val="0"/>
              </w:rPr>
              <w:t>第八十九</w:t>
            </w:r>
            <w:r>
              <w:rPr>
                <w:rFonts w:hint="eastAsia" w:ascii="宋体"/>
              </w:rPr>
              <w:t>条。</w:t>
            </w:r>
          </w:p>
        </w:tc>
        <w:tc>
          <w:tcPr>
            <w:tcW w:w="2146" w:type="dxa"/>
            <w:vMerge w:val="restart"/>
            <w:vAlign w:val="center"/>
          </w:tcPr>
          <w:p w14:paraId="404A4AD9">
            <w:pPr>
              <w:spacing w:line="240" w:lineRule="exact"/>
              <w:jc w:val="left"/>
              <w:rPr>
                <w:rFonts w:ascii="宋体"/>
                <w:kern w:val="0"/>
              </w:rPr>
            </w:pPr>
            <w:r>
              <w:rPr>
                <w:rFonts w:hint="eastAsia" w:ascii="宋体"/>
                <w:kern w:val="0"/>
              </w:rPr>
              <w:t>1.《中华人民共和国海上交通安全法》第一百一十三条、</w:t>
            </w:r>
            <w:r>
              <w:rPr>
                <w:rFonts w:hint="eastAsia" w:ascii="宋体"/>
              </w:rPr>
              <w:t>《中华人民共和国海上海事行政处罚规定》第二十七条。</w:t>
            </w:r>
            <w:r>
              <w:rPr>
                <w:rFonts w:hint="eastAsia" w:ascii="宋体"/>
                <w:kern w:val="0"/>
              </w:rPr>
              <w:t xml:space="preserve"> </w:t>
            </w:r>
          </w:p>
          <w:p w14:paraId="4E8B2B36">
            <w:pPr>
              <w:spacing w:line="240" w:lineRule="exact"/>
              <w:jc w:val="left"/>
              <w:rPr>
                <w:rFonts w:ascii="宋体"/>
                <w:kern w:val="0"/>
              </w:rPr>
            </w:pPr>
            <w:r>
              <w:rPr>
                <w:rFonts w:hint="eastAsia" w:ascii="宋体"/>
                <w:kern w:val="0"/>
              </w:rPr>
              <w:t>2.《中华人民共和国海上海事行政处罚规定》第七条。</w:t>
            </w:r>
          </w:p>
        </w:tc>
        <w:tc>
          <w:tcPr>
            <w:tcW w:w="1211" w:type="dxa"/>
            <w:vAlign w:val="center"/>
          </w:tcPr>
          <w:p w14:paraId="6DD104B7">
            <w:pPr>
              <w:spacing w:line="240" w:lineRule="exact"/>
              <w:jc w:val="center"/>
              <w:rPr>
                <w:rFonts w:ascii="宋体"/>
              </w:rPr>
            </w:pPr>
            <w:r>
              <w:rPr>
                <w:rFonts w:hint="eastAsia" w:ascii="宋体"/>
              </w:rPr>
              <w:t>从轻</w:t>
            </w:r>
          </w:p>
        </w:tc>
        <w:tc>
          <w:tcPr>
            <w:tcW w:w="2488" w:type="dxa"/>
            <w:vAlign w:val="center"/>
          </w:tcPr>
          <w:p w14:paraId="7D475E1F">
            <w:pPr>
              <w:widowControl/>
              <w:spacing w:line="240" w:lineRule="exact"/>
              <w:jc w:val="left"/>
              <w:rPr>
                <w:rFonts w:ascii="宋体"/>
              </w:rPr>
            </w:pPr>
            <w:r>
              <w:rPr>
                <w:rFonts w:hint="eastAsia" w:ascii="宋体"/>
              </w:rPr>
              <w:t>具有法定从轻处罚情节的</w:t>
            </w:r>
          </w:p>
        </w:tc>
        <w:tc>
          <w:tcPr>
            <w:tcW w:w="5036" w:type="dxa"/>
            <w:tcBorders>
              <w:right w:val="single" w:color="auto" w:sz="4" w:space="0"/>
            </w:tcBorders>
            <w:vAlign w:val="center"/>
          </w:tcPr>
          <w:p w14:paraId="3CEFF8EF">
            <w:pPr>
              <w:spacing w:line="240" w:lineRule="exact"/>
              <w:jc w:val="center"/>
              <w:rPr>
                <w:rFonts w:ascii="宋体"/>
              </w:rPr>
            </w:pPr>
            <w:r>
              <w:rPr>
                <w:rFonts w:hint="eastAsia" w:ascii="宋体"/>
              </w:rPr>
              <w:t>2000-8000元</w:t>
            </w:r>
          </w:p>
        </w:tc>
        <w:tc>
          <w:tcPr>
            <w:tcW w:w="2676" w:type="dxa"/>
            <w:tcBorders>
              <w:left w:val="single" w:color="auto" w:sz="4" w:space="0"/>
              <w:right w:val="single" w:color="auto" w:sz="4" w:space="0"/>
            </w:tcBorders>
            <w:vAlign w:val="center"/>
          </w:tcPr>
          <w:p w14:paraId="0B4DDD04">
            <w:pPr>
              <w:spacing w:line="240" w:lineRule="exact"/>
              <w:jc w:val="center"/>
              <w:rPr>
                <w:rFonts w:ascii="宋体"/>
              </w:rPr>
            </w:pPr>
            <w:r>
              <w:rPr>
                <w:rFonts w:hint="eastAsia" w:ascii="宋体"/>
              </w:rPr>
              <w:t>暂扣适任证书6个月至9个月</w:t>
            </w:r>
          </w:p>
        </w:tc>
        <w:tc>
          <w:tcPr>
            <w:tcW w:w="3109" w:type="dxa"/>
            <w:tcBorders>
              <w:left w:val="single" w:color="auto" w:sz="4" w:space="0"/>
              <w:right w:val="single" w:color="auto" w:sz="4" w:space="0"/>
            </w:tcBorders>
            <w:vAlign w:val="center"/>
          </w:tcPr>
          <w:p w14:paraId="3DEE126F">
            <w:pPr>
              <w:spacing w:line="240" w:lineRule="exact"/>
              <w:jc w:val="center"/>
              <w:rPr>
                <w:rFonts w:ascii="宋体"/>
              </w:rPr>
            </w:pPr>
            <w:r>
              <w:rPr>
                <w:rFonts w:hint="eastAsia" w:ascii="宋体"/>
              </w:rPr>
              <w:t>暂扣适任证书6个月至9个月</w:t>
            </w:r>
          </w:p>
        </w:tc>
      </w:tr>
      <w:tr w14:paraId="007DB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1243" w:type="dxa"/>
            <w:vMerge w:val="continue"/>
            <w:vAlign w:val="center"/>
          </w:tcPr>
          <w:p w14:paraId="018086A7">
            <w:pPr>
              <w:spacing w:line="240" w:lineRule="exact"/>
              <w:jc w:val="left"/>
              <w:rPr>
                <w:rFonts w:ascii="宋体"/>
              </w:rPr>
            </w:pPr>
          </w:p>
        </w:tc>
        <w:tc>
          <w:tcPr>
            <w:tcW w:w="2240" w:type="dxa"/>
            <w:vMerge w:val="continue"/>
            <w:vAlign w:val="center"/>
          </w:tcPr>
          <w:p w14:paraId="6261C687">
            <w:pPr>
              <w:widowControl/>
              <w:spacing w:line="240" w:lineRule="exact"/>
              <w:jc w:val="left"/>
              <w:rPr>
                <w:rFonts w:ascii="宋体"/>
              </w:rPr>
            </w:pPr>
          </w:p>
        </w:tc>
        <w:tc>
          <w:tcPr>
            <w:tcW w:w="2146" w:type="dxa"/>
            <w:vMerge w:val="continue"/>
            <w:vAlign w:val="center"/>
          </w:tcPr>
          <w:p w14:paraId="6F836EB6">
            <w:pPr>
              <w:spacing w:line="240" w:lineRule="exact"/>
              <w:jc w:val="left"/>
              <w:rPr>
                <w:rFonts w:ascii="宋体"/>
              </w:rPr>
            </w:pPr>
          </w:p>
        </w:tc>
        <w:tc>
          <w:tcPr>
            <w:tcW w:w="1211" w:type="dxa"/>
            <w:vMerge w:val="restart"/>
            <w:vAlign w:val="center"/>
          </w:tcPr>
          <w:p w14:paraId="07DA233E">
            <w:pPr>
              <w:spacing w:line="240" w:lineRule="exact"/>
              <w:jc w:val="center"/>
              <w:rPr>
                <w:rFonts w:ascii="宋体"/>
              </w:rPr>
            </w:pPr>
            <w:r>
              <w:rPr>
                <w:rFonts w:hint="eastAsia" w:ascii="宋体"/>
              </w:rPr>
              <w:t>一般</w:t>
            </w:r>
          </w:p>
        </w:tc>
        <w:tc>
          <w:tcPr>
            <w:tcW w:w="2488" w:type="dxa"/>
            <w:vAlign w:val="center"/>
          </w:tcPr>
          <w:p w14:paraId="5F13DCEF">
            <w:pPr>
              <w:spacing w:line="240" w:lineRule="exact"/>
              <w:jc w:val="left"/>
              <w:rPr>
                <w:rFonts w:ascii="宋体"/>
              </w:rPr>
            </w:pPr>
            <w:r>
              <w:rPr>
                <w:rFonts w:hint="eastAsia" w:ascii="宋体"/>
              </w:rPr>
              <w:t>1.阻碍海事管理机构监督检查；</w:t>
            </w:r>
          </w:p>
          <w:p w14:paraId="58B47855">
            <w:pPr>
              <w:spacing w:line="240" w:lineRule="exact"/>
              <w:jc w:val="left"/>
              <w:rPr>
                <w:rFonts w:ascii="宋体"/>
              </w:rPr>
            </w:pPr>
            <w:r>
              <w:rPr>
                <w:rFonts w:hint="eastAsia" w:ascii="宋体"/>
              </w:rPr>
              <w:t>2.隐瞒相关事实，未造成不良后果的。</w:t>
            </w:r>
          </w:p>
        </w:tc>
        <w:tc>
          <w:tcPr>
            <w:tcW w:w="5036" w:type="dxa"/>
            <w:tcBorders>
              <w:right w:val="single" w:color="auto" w:sz="4" w:space="0"/>
            </w:tcBorders>
            <w:vAlign w:val="center"/>
          </w:tcPr>
          <w:p w14:paraId="4FF2C7E2">
            <w:pPr>
              <w:spacing w:line="240" w:lineRule="exact"/>
              <w:jc w:val="center"/>
              <w:rPr>
                <w:rFonts w:ascii="宋体"/>
              </w:rPr>
            </w:pPr>
            <w:r>
              <w:rPr>
                <w:rFonts w:hint="eastAsia" w:ascii="宋体"/>
              </w:rPr>
              <w:t>8000元-1万元</w:t>
            </w:r>
          </w:p>
        </w:tc>
        <w:tc>
          <w:tcPr>
            <w:tcW w:w="2676" w:type="dxa"/>
            <w:tcBorders>
              <w:left w:val="single" w:color="auto" w:sz="4" w:space="0"/>
              <w:right w:val="single" w:color="auto" w:sz="4" w:space="0"/>
            </w:tcBorders>
            <w:vAlign w:val="center"/>
          </w:tcPr>
          <w:p w14:paraId="0DE9E881">
            <w:pPr>
              <w:spacing w:line="240" w:lineRule="exact"/>
              <w:jc w:val="center"/>
              <w:rPr>
                <w:rFonts w:ascii="宋体"/>
              </w:rPr>
            </w:pPr>
            <w:r>
              <w:rPr>
                <w:rFonts w:hint="eastAsia" w:ascii="宋体"/>
              </w:rPr>
              <w:t>暂扣适任证书9个月至12个月</w:t>
            </w:r>
          </w:p>
        </w:tc>
        <w:tc>
          <w:tcPr>
            <w:tcW w:w="3109" w:type="dxa"/>
            <w:tcBorders>
              <w:left w:val="single" w:color="auto" w:sz="4" w:space="0"/>
              <w:right w:val="single" w:color="auto" w:sz="4" w:space="0"/>
            </w:tcBorders>
            <w:vAlign w:val="center"/>
          </w:tcPr>
          <w:p w14:paraId="7D66F1D6">
            <w:pPr>
              <w:spacing w:line="240" w:lineRule="exact"/>
              <w:jc w:val="center"/>
              <w:rPr>
                <w:rFonts w:ascii="宋体"/>
              </w:rPr>
            </w:pPr>
            <w:r>
              <w:rPr>
                <w:rFonts w:hint="eastAsia" w:ascii="宋体"/>
              </w:rPr>
              <w:t>暂扣适任证书9个月至12个月</w:t>
            </w:r>
          </w:p>
        </w:tc>
      </w:tr>
      <w:tr w14:paraId="1DB6B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trPr>
        <w:tc>
          <w:tcPr>
            <w:tcW w:w="1243" w:type="dxa"/>
            <w:vMerge w:val="continue"/>
            <w:vAlign w:val="center"/>
          </w:tcPr>
          <w:p w14:paraId="3F52770A">
            <w:pPr>
              <w:spacing w:line="240" w:lineRule="exact"/>
              <w:jc w:val="left"/>
              <w:rPr>
                <w:rFonts w:ascii="宋体"/>
              </w:rPr>
            </w:pPr>
          </w:p>
        </w:tc>
        <w:tc>
          <w:tcPr>
            <w:tcW w:w="2240" w:type="dxa"/>
            <w:vMerge w:val="continue"/>
            <w:vAlign w:val="center"/>
          </w:tcPr>
          <w:p w14:paraId="6B6A3339">
            <w:pPr>
              <w:spacing w:line="240" w:lineRule="exact"/>
              <w:jc w:val="left"/>
              <w:rPr>
                <w:rFonts w:ascii="宋体"/>
              </w:rPr>
            </w:pPr>
          </w:p>
        </w:tc>
        <w:tc>
          <w:tcPr>
            <w:tcW w:w="2146" w:type="dxa"/>
            <w:vMerge w:val="continue"/>
            <w:vAlign w:val="center"/>
          </w:tcPr>
          <w:p w14:paraId="5F9C7E52">
            <w:pPr>
              <w:spacing w:line="240" w:lineRule="exact"/>
              <w:jc w:val="left"/>
              <w:rPr>
                <w:rFonts w:ascii="宋体"/>
              </w:rPr>
            </w:pPr>
          </w:p>
        </w:tc>
        <w:tc>
          <w:tcPr>
            <w:tcW w:w="1211" w:type="dxa"/>
            <w:vMerge w:val="continue"/>
            <w:vAlign w:val="center"/>
          </w:tcPr>
          <w:p w14:paraId="31FD990C">
            <w:pPr>
              <w:spacing w:line="240" w:lineRule="exact"/>
              <w:jc w:val="center"/>
              <w:rPr>
                <w:rFonts w:ascii="宋体"/>
              </w:rPr>
            </w:pPr>
          </w:p>
        </w:tc>
        <w:tc>
          <w:tcPr>
            <w:tcW w:w="2488" w:type="dxa"/>
            <w:tcBorders>
              <w:top w:val="single" w:color="auto" w:sz="4" w:space="0"/>
              <w:bottom w:val="single" w:color="auto" w:sz="4" w:space="0"/>
            </w:tcBorders>
            <w:vAlign w:val="center"/>
          </w:tcPr>
          <w:p w14:paraId="0995CA4C">
            <w:pPr>
              <w:widowControl/>
              <w:spacing w:line="240" w:lineRule="exact"/>
              <w:jc w:val="left"/>
              <w:rPr>
                <w:rFonts w:ascii="宋体"/>
              </w:rPr>
            </w:pPr>
            <w:r>
              <w:rPr>
                <w:rFonts w:hint="eastAsia" w:ascii="宋体"/>
              </w:rPr>
              <w:t>1.拒绝海事管理机构监督检查；</w:t>
            </w:r>
          </w:p>
          <w:p w14:paraId="17C7DE90">
            <w:pPr>
              <w:widowControl/>
              <w:spacing w:line="240" w:lineRule="exact"/>
              <w:jc w:val="left"/>
              <w:rPr>
                <w:rFonts w:ascii="宋体"/>
              </w:rPr>
            </w:pPr>
            <w:r>
              <w:rPr>
                <w:rFonts w:hint="eastAsia" w:ascii="宋体"/>
              </w:rPr>
              <w:t>2.伪造、捏造相关事实，未造成不良后果的。</w:t>
            </w:r>
          </w:p>
        </w:tc>
        <w:tc>
          <w:tcPr>
            <w:tcW w:w="5036" w:type="dxa"/>
            <w:tcBorders>
              <w:top w:val="single" w:color="auto" w:sz="4" w:space="0"/>
              <w:bottom w:val="single" w:color="auto" w:sz="4" w:space="0"/>
              <w:right w:val="single" w:color="auto" w:sz="4" w:space="0"/>
            </w:tcBorders>
            <w:vAlign w:val="center"/>
          </w:tcPr>
          <w:p w14:paraId="66919184">
            <w:pPr>
              <w:spacing w:line="240" w:lineRule="exact"/>
              <w:jc w:val="center"/>
              <w:rPr>
                <w:rFonts w:ascii="宋体"/>
              </w:rPr>
            </w:pPr>
            <w:r>
              <w:rPr>
                <w:rFonts w:hint="eastAsia" w:ascii="宋体"/>
              </w:rPr>
              <w:t>1-1.2万元</w:t>
            </w:r>
          </w:p>
        </w:tc>
        <w:tc>
          <w:tcPr>
            <w:tcW w:w="2676" w:type="dxa"/>
            <w:tcBorders>
              <w:top w:val="single" w:color="auto" w:sz="4" w:space="0"/>
              <w:left w:val="single" w:color="auto" w:sz="4" w:space="0"/>
              <w:bottom w:val="single" w:color="auto" w:sz="4" w:space="0"/>
              <w:right w:val="single" w:color="auto" w:sz="4" w:space="0"/>
            </w:tcBorders>
            <w:vAlign w:val="center"/>
          </w:tcPr>
          <w:p w14:paraId="35A51A3C">
            <w:pPr>
              <w:spacing w:line="240" w:lineRule="exact"/>
              <w:jc w:val="center"/>
              <w:rPr>
                <w:rFonts w:ascii="宋体"/>
              </w:rPr>
            </w:pPr>
            <w:r>
              <w:rPr>
                <w:rFonts w:hint="eastAsia" w:ascii="宋体"/>
              </w:rPr>
              <w:t>暂扣适任证书12个月至15个月</w:t>
            </w:r>
          </w:p>
        </w:tc>
        <w:tc>
          <w:tcPr>
            <w:tcW w:w="3109" w:type="dxa"/>
            <w:tcBorders>
              <w:top w:val="single" w:color="auto" w:sz="4" w:space="0"/>
              <w:left w:val="single" w:color="auto" w:sz="4" w:space="0"/>
              <w:bottom w:val="single" w:color="auto" w:sz="4" w:space="0"/>
              <w:right w:val="single" w:color="auto" w:sz="4" w:space="0"/>
            </w:tcBorders>
            <w:vAlign w:val="center"/>
          </w:tcPr>
          <w:p w14:paraId="7BE25258">
            <w:pPr>
              <w:spacing w:line="240" w:lineRule="exact"/>
              <w:jc w:val="center"/>
              <w:rPr>
                <w:rFonts w:ascii="宋体"/>
              </w:rPr>
            </w:pPr>
            <w:r>
              <w:rPr>
                <w:rFonts w:hint="eastAsia" w:ascii="宋体"/>
              </w:rPr>
              <w:t>暂扣适任证书12个月至15个月</w:t>
            </w:r>
          </w:p>
        </w:tc>
      </w:tr>
      <w:tr w14:paraId="610CF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1243" w:type="dxa"/>
            <w:vMerge w:val="continue"/>
            <w:vAlign w:val="center"/>
          </w:tcPr>
          <w:p w14:paraId="6A950745">
            <w:pPr>
              <w:spacing w:line="240" w:lineRule="exact"/>
              <w:jc w:val="left"/>
              <w:rPr>
                <w:rFonts w:ascii="宋体"/>
              </w:rPr>
            </w:pPr>
          </w:p>
        </w:tc>
        <w:tc>
          <w:tcPr>
            <w:tcW w:w="2240" w:type="dxa"/>
            <w:vMerge w:val="continue"/>
            <w:vAlign w:val="center"/>
          </w:tcPr>
          <w:p w14:paraId="406F32F3">
            <w:pPr>
              <w:spacing w:line="240" w:lineRule="exact"/>
              <w:jc w:val="left"/>
              <w:rPr>
                <w:rFonts w:ascii="宋体"/>
              </w:rPr>
            </w:pPr>
          </w:p>
        </w:tc>
        <w:tc>
          <w:tcPr>
            <w:tcW w:w="2146" w:type="dxa"/>
            <w:vMerge w:val="continue"/>
            <w:vAlign w:val="center"/>
          </w:tcPr>
          <w:p w14:paraId="5E508E8B">
            <w:pPr>
              <w:spacing w:line="240" w:lineRule="exact"/>
              <w:jc w:val="left"/>
              <w:rPr>
                <w:rFonts w:ascii="宋体"/>
              </w:rPr>
            </w:pPr>
          </w:p>
        </w:tc>
        <w:tc>
          <w:tcPr>
            <w:tcW w:w="1211" w:type="dxa"/>
            <w:vMerge w:val="continue"/>
            <w:vAlign w:val="center"/>
          </w:tcPr>
          <w:p w14:paraId="00B5BFF7">
            <w:pPr>
              <w:spacing w:line="240" w:lineRule="exact"/>
              <w:jc w:val="center"/>
              <w:rPr>
                <w:rFonts w:ascii="宋体"/>
              </w:rPr>
            </w:pPr>
          </w:p>
        </w:tc>
        <w:tc>
          <w:tcPr>
            <w:tcW w:w="2488" w:type="dxa"/>
            <w:tcBorders>
              <w:top w:val="single" w:color="auto" w:sz="4" w:space="0"/>
              <w:bottom w:val="single" w:color="auto" w:sz="4" w:space="0"/>
              <w:right w:val="single" w:color="auto" w:sz="4" w:space="0"/>
            </w:tcBorders>
            <w:vAlign w:val="center"/>
          </w:tcPr>
          <w:p w14:paraId="0435EFA6">
            <w:pPr>
              <w:spacing w:line="240" w:lineRule="exact"/>
              <w:jc w:val="left"/>
              <w:rPr>
                <w:rFonts w:ascii="宋体"/>
              </w:rPr>
            </w:pPr>
            <w:r>
              <w:rPr>
                <w:rFonts w:hint="eastAsia" w:ascii="宋体"/>
              </w:rPr>
              <w:t>具有其他较重情节的</w:t>
            </w:r>
          </w:p>
        </w:tc>
        <w:tc>
          <w:tcPr>
            <w:tcW w:w="5036" w:type="dxa"/>
            <w:tcBorders>
              <w:top w:val="single" w:color="auto" w:sz="4" w:space="0"/>
              <w:left w:val="single" w:color="auto" w:sz="4" w:space="0"/>
              <w:bottom w:val="single" w:color="auto" w:sz="4" w:space="0"/>
              <w:right w:val="single" w:color="auto" w:sz="4" w:space="0"/>
            </w:tcBorders>
            <w:vAlign w:val="center"/>
          </w:tcPr>
          <w:p w14:paraId="7B168BF4">
            <w:pPr>
              <w:spacing w:line="240" w:lineRule="exact"/>
              <w:jc w:val="center"/>
              <w:rPr>
                <w:rFonts w:ascii="宋体"/>
              </w:rPr>
            </w:pPr>
            <w:r>
              <w:rPr>
                <w:rFonts w:hint="eastAsia" w:ascii="宋体"/>
              </w:rPr>
              <w:t>1.2-2万元</w:t>
            </w:r>
          </w:p>
        </w:tc>
        <w:tc>
          <w:tcPr>
            <w:tcW w:w="2676" w:type="dxa"/>
            <w:tcBorders>
              <w:top w:val="single" w:color="auto" w:sz="4" w:space="0"/>
              <w:left w:val="single" w:color="auto" w:sz="4" w:space="0"/>
              <w:bottom w:val="single" w:color="auto" w:sz="4" w:space="0"/>
              <w:right w:val="single" w:color="auto" w:sz="4" w:space="0"/>
            </w:tcBorders>
            <w:vAlign w:val="center"/>
          </w:tcPr>
          <w:p w14:paraId="531BAEDF">
            <w:pPr>
              <w:spacing w:line="240" w:lineRule="exact"/>
              <w:jc w:val="center"/>
              <w:rPr>
                <w:rFonts w:ascii="宋体"/>
              </w:rPr>
            </w:pPr>
            <w:r>
              <w:rPr>
                <w:rFonts w:hint="eastAsia" w:ascii="宋体"/>
              </w:rPr>
              <w:t>暂扣适任证书15个月至24个月</w:t>
            </w:r>
          </w:p>
        </w:tc>
        <w:tc>
          <w:tcPr>
            <w:tcW w:w="3109" w:type="dxa"/>
            <w:tcBorders>
              <w:top w:val="single" w:color="auto" w:sz="4" w:space="0"/>
              <w:left w:val="single" w:color="auto" w:sz="4" w:space="0"/>
              <w:bottom w:val="single" w:color="auto" w:sz="4" w:space="0"/>
              <w:right w:val="single" w:color="auto" w:sz="4" w:space="0"/>
            </w:tcBorders>
            <w:vAlign w:val="center"/>
          </w:tcPr>
          <w:p w14:paraId="2B8970D5">
            <w:pPr>
              <w:spacing w:line="240" w:lineRule="exact"/>
              <w:jc w:val="center"/>
              <w:rPr>
                <w:rFonts w:ascii="宋体"/>
              </w:rPr>
            </w:pPr>
            <w:r>
              <w:rPr>
                <w:rFonts w:hint="eastAsia" w:ascii="宋体"/>
              </w:rPr>
              <w:t>暂扣适任证书15个月至24个月</w:t>
            </w:r>
          </w:p>
        </w:tc>
      </w:tr>
      <w:tr w14:paraId="0B4A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1243" w:type="dxa"/>
            <w:vMerge w:val="continue"/>
            <w:vAlign w:val="center"/>
          </w:tcPr>
          <w:p w14:paraId="6D78518D">
            <w:pPr>
              <w:spacing w:line="240" w:lineRule="exact"/>
              <w:jc w:val="left"/>
              <w:rPr>
                <w:rFonts w:ascii="宋体"/>
              </w:rPr>
            </w:pPr>
          </w:p>
        </w:tc>
        <w:tc>
          <w:tcPr>
            <w:tcW w:w="2240" w:type="dxa"/>
            <w:vMerge w:val="continue"/>
            <w:vAlign w:val="center"/>
          </w:tcPr>
          <w:p w14:paraId="07F28FBB">
            <w:pPr>
              <w:spacing w:line="240" w:lineRule="exact"/>
              <w:jc w:val="left"/>
              <w:rPr>
                <w:rFonts w:ascii="宋体"/>
              </w:rPr>
            </w:pPr>
          </w:p>
        </w:tc>
        <w:tc>
          <w:tcPr>
            <w:tcW w:w="2146" w:type="dxa"/>
            <w:vMerge w:val="continue"/>
            <w:vAlign w:val="center"/>
          </w:tcPr>
          <w:p w14:paraId="0EB6F0C3">
            <w:pPr>
              <w:spacing w:line="240" w:lineRule="exact"/>
              <w:jc w:val="left"/>
              <w:rPr>
                <w:rFonts w:ascii="宋体"/>
              </w:rPr>
            </w:pPr>
          </w:p>
        </w:tc>
        <w:tc>
          <w:tcPr>
            <w:tcW w:w="1211" w:type="dxa"/>
            <w:vMerge w:val="continue"/>
            <w:vAlign w:val="center"/>
          </w:tcPr>
          <w:p w14:paraId="2FCCD990">
            <w:pPr>
              <w:spacing w:line="240" w:lineRule="exact"/>
              <w:jc w:val="left"/>
              <w:rPr>
                <w:rFonts w:ascii="宋体"/>
              </w:rPr>
            </w:pPr>
          </w:p>
        </w:tc>
        <w:tc>
          <w:tcPr>
            <w:tcW w:w="2488" w:type="dxa"/>
            <w:tcBorders>
              <w:top w:val="single" w:color="auto" w:sz="4" w:space="0"/>
              <w:bottom w:val="single" w:color="auto" w:sz="4" w:space="0"/>
              <w:right w:val="single" w:color="auto" w:sz="4" w:space="0"/>
            </w:tcBorders>
            <w:vAlign w:val="center"/>
          </w:tcPr>
          <w:p w14:paraId="2DC5017F">
            <w:pPr>
              <w:spacing w:line="240" w:lineRule="exact"/>
              <w:jc w:val="left"/>
              <w:rPr>
                <w:rFonts w:ascii="宋体"/>
              </w:rPr>
            </w:pPr>
            <w:r>
              <w:rPr>
                <w:rFonts w:hint="eastAsia" w:ascii="宋体"/>
              </w:rPr>
              <w:t>1.阻碍、拒绝过程中采用暴力、威胁等手段；</w:t>
            </w:r>
          </w:p>
          <w:p w14:paraId="1559EDBC">
            <w:pPr>
              <w:spacing w:line="240" w:lineRule="exact"/>
              <w:jc w:val="left"/>
              <w:rPr>
                <w:rFonts w:ascii="宋体"/>
              </w:rPr>
            </w:pPr>
            <w:r>
              <w:rPr>
                <w:rFonts w:hint="eastAsia" w:ascii="宋体"/>
              </w:rPr>
              <w:t>2.弄虚作假造成不良后果的。</w:t>
            </w:r>
          </w:p>
        </w:tc>
        <w:tc>
          <w:tcPr>
            <w:tcW w:w="5036" w:type="dxa"/>
            <w:tcBorders>
              <w:top w:val="single" w:color="auto" w:sz="4" w:space="0"/>
              <w:left w:val="single" w:color="auto" w:sz="4" w:space="0"/>
              <w:bottom w:val="single" w:color="auto" w:sz="4" w:space="0"/>
              <w:right w:val="single" w:color="auto" w:sz="4" w:space="0"/>
            </w:tcBorders>
            <w:vAlign w:val="center"/>
          </w:tcPr>
          <w:p w14:paraId="5680C4AF">
            <w:pPr>
              <w:spacing w:line="240" w:lineRule="exact"/>
              <w:jc w:val="center"/>
              <w:rPr>
                <w:rFonts w:ascii="宋体"/>
              </w:rPr>
            </w:pPr>
            <w:r>
              <w:rPr>
                <w:rFonts w:hint="eastAsia" w:ascii="宋体"/>
              </w:rPr>
              <w:t>1.5-2万元</w:t>
            </w:r>
          </w:p>
        </w:tc>
        <w:tc>
          <w:tcPr>
            <w:tcW w:w="2676" w:type="dxa"/>
            <w:tcBorders>
              <w:top w:val="single" w:color="auto" w:sz="4" w:space="0"/>
              <w:left w:val="single" w:color="auto" w:sz="4" w:space="0"/>
              <w:bottom w:val="single" w:color="auto" w:sz="4" w:space="0"/>
              <w:right w:val="single" w:color="auto" w:sz="4" w:space="0"/>
            </w:tcBorders>
            <w:vAlign w:val="center"/>
          </w:tcPr>
          <w:p w14:paraId="4915DBE4">
            <w:pPr>
              <w:spacing w:line="240" w:lineRule="exact"/>
              <w:jc w:val="center"/>
              <w:rPr>
                <w:rFonts w:ascii="宋体"/>
              </w:rPr>
            </w:pPr>
            <w:r>
              <w:rPr>
                <w:rFonts w:hint="eastAsia" w:ascii="宋体"/>
              </w:rPr>
              <w:t>吊销适任证书</w:t>
            </w:r>
          </w:p>
        </w:tc>
        <w:tc>
          <w:tcPr>
            <w:tcW w:w="3109" w:type="dxa"/>
            <w:tcBorders>
              <w:top w:val="single" w:color="auto" w:sz="4" w:space="0"/>
              <w:left w:val="single" w:color="auto" w:sz="4" w:space="0"/>
              <w:bottom w:val="single" w:color="auto" w:sz="4" w:space="0"/>
              <w:right w:val="single" w:color="auto" w:sz="4" w:space="0"/>
            </w:tcBorders>
            <w:vAlign w:val="center"/>
          </w:tcPr>
          <w:p w14:paraId="1581B179">
            <w:pPr>
              <w:spacing w:line="240" w:lineRule="exact"/>
              <w:jc w:val="center"/>
              <w:rPr>
                <w:rFonts w:ascii="宋体"/>
              </w:rPr>
            </w:pPr>
            <w:r>
              <w:rPr>
                <w:rFonts w:hint="eastAsia" w:ascii="宋体"/>
              </w:rPr>
              <w:t>吊销适任证书</w:t>
            </w:r>
          </w:p>
        </w:tc>
      </w:tr>
    </w:tbl>
    <w:p w14:paraId="0DC8DACA">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2129"/>
        <w:gridCol w:w="2378"/>
        <w:gridCol w:w="1174"/>
        <w:gridCol w:w="3116"/>
        <w:gridCol w:w="6568"/>
        <w:gridCol w:w="2552"/>
      </w:tblGrid>
      <w:tr w14:paraId="1C2D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1186" w:type="dxa"/>
            <w:vMerge w:val="restart"/>
            <w:vAlign w:val="center"/>
          </w:tcPr>
          <w:p w14:paraId="0A045902">
            <w:pPr>
              <w:spacing w:line="240" w:lineRule="exact"/>
              <w:jc w:val="center"/>
              <w:rPr>
                <w:rFonts w:ascii="宋体"/>
                <w:b/>
                <w:kern w:val="0"/>
              </w:rPr>
            </w:pPr>
            <w:r>
              <w:rPr>
                <w:rFonts w:hint="eastAsia" w:ascii="宋体"/>
                <w:b/>
                <w:kern w:val="0"/>
              </w:rPr>
              <w:t>案由</w:t>
            </w:r>
            <w:r>
              <w:rPr>
                <w:rFonts w:hint="eastAsia" w:ascii="宋体"/>
                <w:b/>
                <w:bCs/>
                <w:kern w:val="0"/>
              </w:rPr>
              <w:t>60</w:t>
            </w:r>
          </w:p>
        </w:tc>
        <w:tc>
          <w:tcPr>
            <w:tcW w:w="4507" w:type="dxa"/>
            <w:gridSpan w:val="2"/>
            <w:vAlign w:val="center"/>
          </w:tcPr>
          <w:p w14:paraId="0E497E6B">
            <w:pPr>
              <w:spacing w:line="240" w:lineRule="exact"/>
              <w:jc w:val="center"/>
              <w:rPr>
                <w:rFonts w:ascii="宋体"/>
                <w:b/>
                <w:kern w:val="0"/>
              </w:rPr>
            </w:pPr>
            <w:r>
              <w:rPr>
                <w:rFonts w:hint="eastAsia" w:ascii="宋体"/>
                <w:b/>
                <w:kern w:val="0"/>
              </w:rPr>
              <w:t>法律依据</w:t>
            </w:r>
          </w:p>
        </w:tc>
        <w:tc>
          <w:tcPr>
            <w:tcW w:w="1174" w:type="dxa"/>
            <w:vMerge w:val="restart"/>
            <w:vAlign w:val="center"/>
          </w:tcPr>
          <w:p w14:paraId="613AFEFD">
            <w:pPr>
              <w:spacing w:line="240" w:lineRule="exact"/>
              <w:jc w:val="center"/>
              <w:rPr>
                <w:rFonts w:ascii="宋体"/>
                <w:b/>
                <w:kern w:val="0"/>
              </w:rPr>
            </w:pPr>
            <w:r>
              <w:rPr>
                <w:rFonts w:hint="eastAsia" w:ascii="宋体"/>
                <w:b/>
                <w:kern w:val="0"/>
              </w:rPr>
              <w:t>违法情节</w:t>
            </w:r>
          </w:p>
        </w:tc>
        <w:tc>
          <w:tcPr>
            <w:tcW w:w="3116" w:type="dxa"/>
            <w:vMerge w:val="restart"/>
            <w:vAlign w:val="center"/>
          </w:tcPr>
          <w:p w14:paraId="0062AB72">
            <w:pPr>
              <w:spacing w:line="240" w:lineRule="exact"/>
              <w:jc w:val="center"/>
              <w:rPr>
                <w:rFonts w:ascii="宋体"/>
                <w:b/>
                <w:kern w:val="0"/>
              </w:rPr>
            </w:pPr>
            <w:r>
              <w:rPr>
                <w:rFonts w:hint="eastAsia" w:ascii="宋体"/>
                <w:b/>
                <w:kern w:val="0"/>
              </w:rPr>
              <w:t>主要考虑因素（事实、性质、情节、危害程度和实际后果等）</w:t>
            </w:r>
          </w:p>
        </w:tc>
        <w:tc>
          <w:tcPr>
            <w:tcW w:w="9120" w:type="dxa"/>
            <w:gridSpan w:val="2"/>
            <w:tcBorders>
              <w:bottom w:val="single" w:color="auto" w:sz="4" w:space="0"/>
              <w:right w:val="single" w:color="auto" w:sz="4" w:space="0"/>
            </w:tcBorders>
            <w:vAlign w:val="center"/>
          </w:tcPr>
          <w:p w14:paraId="1A6D5F67">
            <w:pPr>
              <w:spacing w:line="240" w:lineRule="exact"/>
              <w:rPr>
                <w:rFonts w:ascii="宋体"/>
                <w:b/>
                <w:kern w:val="0"/>
              </w:rPr>
            </w:pPr>
            <w:r>
              <w:rPr>
                <w:rFonts w:hint="eastAsia" w:ascii="宋体"/>
                <w:b/>
                <w:kern w:val="0"/>
              </w:rPr>
              <w:t>【法定幅度和种类】</w:t>
            </w:r>
            <w:r>
              <w:rPr>
                <w:rFonts w:hint="eastAsia" w:ascii="宋体"/>
                <w:kern w:val="0"/>
              </w:rPr>
              <w:t>由海事管理机构对违法船舶所有人或者船舶经营人处1000元以上1万元以下的罚款；情节严重的，处1万元以上3万元以下的罚款。对船长或者其他责任人员处以100元以上1000元以下的罚款；情节严重的，处1000元以上3000元以下的罚款。</w:t>
            </w:r>
          </w:p>
        </w:tc>
      </w:tr>
      <w:tr w14:paraId="3B2C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1186" w:type="dxa"/>
            <w:vMerge w:val="continue"/>
            <w:vAlign w:val="center"/>
          </w:tcPr>
          <w:p w14:paraId="283A04A0">
            <w:pPr>
              <w:spacing w:line="240" w:lineRule="exact"/>
              <w:jc w:val="center"/>
              <w:rPr>
                <w:rFonts w:ascii="宋体"/>
                <w:b/>
                <w:kern w:val="0"/>
              </w:rPr>
            </w:pPr>
          </w:p>
        </w:tc>
        <w:tc>
          <w:tcPr>
            <w:tcW w:w="2129" w:type="dxa"/>
            <w:tcBorders>
              <w:bottom w:val="single" w:color="000000" w:sz="4" w:space="0"/>
            </w:tcBorders>
            <w:vAlign w:val="center"/>
          </w:tcPr>
          <w:p w14:paraId="4EC43746">
            <w:pPr>
              <w:spacing w:line="240" w:lineRule="exact"/>
              <w:jc w:val="center"/>
              <w:rPr>
                <w:rFonts w:ascii="宋体"/>
                <w:b/>
                <w:kern w:val="0"/>
              </w:rPr>
            </w:pPr>
            <w:r>
              <w:rPr>
                <w:rFonts w:hint="eastAsia" w:ascii="宋体"/>
                <w:b/>
                <w:kern w:val="0"/>
              </w:rPr>
              <w:t>违反条款</w:t>
            </w:r>
          </w:p>
        </w:tc>
        <w:tc>
          <w:tcPr>
            <w:tcW w:w="2378" w:type="dxa"/>
            <w:tcBorders>
              <w:bottom w:val="single" w:color="000000" w:sz="4" w:space="0"/>
            </w:tcBorders>
            <w:vAlign w:val="center"/>
          </w:tcPr>
          <w:p w14:paraId="2BF0DFF9">
            <w:pPr>
              <w:spacing w:line="240" w:lineRule="exact"/>
              <w:jc w:val="center"/>
              <w:rPr>
                <w:rFonts w:ascii="宋体"/>
                <w:b/>
                <w:kern w:val="0"/>
              </w:rPr>
            </w:pPr>
            <w:r>
              <w:rPr>
                <w:rFonts w:hint="eastAsia" w:ascii="宋体"/>
                <w:b/>
                <w:kern w:val="0"/>
              </w:rPr>
              <w:t>处罚依据</w:t>
            </w:r>
          </w:p>
        </w:tc>
        <w:tc>
          <w:tcPr>
            <w:tcW w:w="1174" w:type="dxa"/>
            <w:vMerge w:val="continue"/>
            <w:tcBorders>
              <w:bottom w:val="single" w:color="000000" w:sz="4" w:space="0"/>
            </w:tcBorders>
            <w:vAlign w:val="center"/>
          </w:tcPr>
          <w:p w14:paraId="01D0BFF1">
            <w:pPr>
              <w:spacing w:line="240" w:lineRule="exact"/>
              <w:jc w:val="center"/>
              <w:rPr>
                <w:rFonts w:ascii="宋体"/>
                <w:b/>
                <w:kern w:val="0"/>
              </w:rPr>
            </w:pPr>
          </w:p>
        </w:tc>
        <w:tc>
          <w:tcPr>
            <w:tcW w:w="3116" w:type="dxa"/>
            <w:vMerge w:val="continue"/>
            <w:tcBorders>
              <w:bottom w:val="single" w:color="000000" w:sz="4" w:space="0"/>
            </w:tcBorders>
            <w:vAlign w:val="center"/>
          </w:tcPr>
          <w:p w14:paraId="0763514C">
            <w:pPr>
              <w:spacing w:line="240" w:lineRule="exact"/>
              <w:jc w:val="center"/>
              <w:rPr>
                <w:rFonts w:ascii="宋体"/>
                <w:b/>
                <w:kern w:val="0"/>
              </w:rPr>
            </w:pPr>
          </w:p>
        </w:tc>
        <w:tc>
          <w:tcPr>
            <w:tcW w:w="6568" w:type="dxa"/>
            <w:tcBorders>
              <w:top w:val="single" w:color="auto" w:sz="4" w:space="0"/>
              <w:right w:val="single" w:color="auto" w:sz="4" w:space="0"/>
            </w:tcBorders>
            <w:vAlign w:val="center"/>
          </w:tcPr>
          <w:p w14:paraId="14430941">
            <w:pPr>
              <w:spacing w:line="240" w:lineRule="exact"/>
              <w:jc w:val="center"/>
              <w:rPr>
                <w:rFonts w:ascii="宋体"/>
                <w:b/>
                <w:kern w:val="0"/>
              </w:rPr>
            </w:pPr>
            <w:r>
              <w:rPr>
                <w:rFonts w:hint="eastAsia" w:ascii="宋体"/>
                <w:b/>
                <w:kern w:val="0"/>
              </w:rPr>
              <w:t xml:space="preserve">【对象】船舶所有人、经营人或管理人 </w:t>
            </w:r>
          </w:p>
        </w:tc>
        <w:tc>
          <w:tcPr>
            <w:tcW w:w="2552" w:type="dxa"/>
            <w:tcBorders>
              <w:top w:val="single" w:color="auto" w:sz="4" w:space="0"/>
              <w:left w:val="single" w:color="auto" w:sz="4" w:space="0"/>
              <w:right w:val="single" w:color="auto" w:sz="4" w:space="0"/>
            </w:tcBorders>
            <w:vAlign w:val="center"/>
          </w:tcPr>
          <w:p w14:paraId="614AB320">
            <w:pPr>
              <w:spacing w:line="240" w:lineRule="exact"/>
              <w:jc w:val="center"/>
              <w:rPr>
                <w:rFonts w:ascii="宋体"/>
                <w:b/>
                <w:kern w:val="0"/>
              </w:rPr>
            </w:pPr>
            <w:r>
              <w:rPr>
                <w:rFonts w:hint="eastAsia" w:ascii="宋体"/>
                <w:b/>
                <w:kern w:val="0"/>
              </w:rPr>
              <w:t>【对象】船长或者其他责任人员</w:t>
            </w:r>
          </w:p>
        </w:tc>
      </w:tr>
      <w:tr w14:paraId="4C3C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1186" w:type="dxa"/>
            <w:vMerge w:val="restart"/>
            <w:vAlign w:val="center"/>
          </w:tcPr>
          <w:p w14:paraId="39FF8AC9">
            <w:pPr>
              <w:widowControl/>
              <w:spacing w:line="240" w:lineRule="exact"/>
              <w:jc w:val="left"/>
              <w:rPr>
                <w:rFonts w:ascii="宋体"/>
                <w:kern w:val="0"/>
              </w:rPr>
            </w:pPr>
            <w:r>
              <w:rPr>
                <w:rFonts w:hint="eastAsia" w:ascii="宋体"/>
                <w:kern w:val="0"/>
              </w:rPr>
              <w:t>未按照《船舶现场监督报告》《船旗国监督检查报告》《港口国监督检查报告》的处理意见纠正缺陷或者采取措施的</w:t>
            </w:r>
          </w:p>
        </w:tc>
        <w:tc>
          <w:tcPr>
            <w:tcW w:w="2129" w:type="dxa"/>
            <w:vMerge w:val="restart"/>
            <w:vAlign w:val="center"/>
          </w:tcPr>
          <w:p w14:paraId="18F52292">
            <w:pPr>
              <w:widowControl/>
              <w:spacing w:line="240" w:lineRule="exact"/>
              <w:jc w:val="left"/>
              <w:rPr>
                <w:rFonts w:ascii="宋体"/>
                <w:kern w:val="0"/>
              </w:rPr>
            </w:pPr>
            <w:r>
              <w:rPr>
                <w:rFonts w:hint="eastAsia" w:ascii="宋体"/>
                <w:kern w:val="0"/>
              </w:rPr>
              <w:t>《中华人民共和国船舶安全监督规则》第三十四条第一款</w:t>
            </w:r>
          </w:p>
        </w:tc>
        <w:tc>
          <w:tcPr>
            <w:tcW w:w="2378" w:type="dxa"/>
            <w:vMerge w:val="restart"/>
            <w:vAlign w:val="center"/>
          </w:tcPr>
          <w:p w14:paraId="671F68D2">
            <w:pPr>
              <w:spacing w:line="240" w:lineRule="exact"/>
              <w:jc w:val="left"/>
              <w:rPr>
                <w:rFonts w:ascii="宋体"/>
                <w:kern w:val="0"/>
              </w:rPr>
            </w:pPr>
            <w:r>
              <w:rPr>
                <w:rFonts w:hint="eastAsia" w:ascii="宋体"/>
                <w:kern w:val="0"/>
              </w:rPr>
              <w:t>1.《中华人民共和国船舶安全监督规则》第五十二条第（二）项。</w:t>
            </w:r>
          </w:p>
          <w:p w14:paraId="57AD3D65">
            <w:pPr>
              <w:spacing w:line="240" w:lineRule="exact"/>
              <w:jc w:val="left"/>
              <w:rPr>
                <w:rFonts w:ascii="宋体"/>
                <w:kern w:val="0"/>
              </w:rPr>
            </w:pPr>
            <w:r>
              <w:rPr>
                <w:rFonts w:hint="eastAsia" w:ascii="宋体"/>
                <w:kern w:val="0"/>
              </w:rPr>
              <w:t>2. 《中华人民共和国海上海事行政处罚规定》第七条。</w:t>
            </w:r>
          </w:p>
        </w:tc>
        <w:tc>
          <w:tcPr>
            <w:tcW w:w="1174" w:type="dxa"/>
            <w:vAlign w:val="center"/>
          </w:tcPr>
          <w:p w14:paraId="478B0A73">
            <w:pPr>
              <w:spacing w:line="240" w:lineRule="exact"/>
              <w:jc w:val="center"/>
              <w:rPr>
                <w:rFonts w:ascii="宋体"/>
                <w:kern w:val="0"/>
              </w:rPr>
            </w:pPr>
            <w:r>
              <w:rPr>
                <w:rFonts w:hint="eastAsia" w:ascii="宋体"/>
                <w:kern w:val="0"/>
              </w:rPr>
              <w:t>从轻</w:t>
            </w:r>
          </w:p>
        </w:tc>
        <w:tc>
          <w:tcPr>
            <w:tcW w:w="3116" w:type="dxa"/>
            <w:vAlign w:val="center"/>
          </w:tcPr>
          <w:p w14:paraId="0A366D30">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568" w:type="dxa"/>
            <w:tcBorders>
              <w:right w:val="single" w:color="auto" w:sz="4" w:space="0"/>
            </w:tcBorders>
            <w:vAlign w:val="center"/>
          </w:tcPr>
          <w:p w14:paraId="5A3804DE">
            <w:pPr>
              <w:spacing w:line="240" w:lineRule="exact"/>
              <w:jc w:val="center"/>
              <w:rPr>
                <w:rFonts w:ascii="宋体"/>
                <w:kern w:val="0"/>
              </w:rPr>
            </w:pPr>
            <w:r>
              <w:rPr>
                <w:rFonts w:hint="eastAsia" w:ascii="宋体"/>
                <w:kern w:val="0"/>
              </w:rPr>
              <w:t>1000-2000元</w:t>
            </w:r>
          </w:p>
        </w:tc>
        <w:tc>
          <w:tcPr>
            <w:tcW w:w="2552" w:type="dxa"/>
            <w:tcBorders>
              <w:left w:val="single" w:color="auto" w:sz="4" w:space="0"/>
              <w:right w:val="single" w:color="auto" w:sz="4" w:space="0"/>
            </w:tcBorders>
            <w:vAlign w:val="center"/>
          </w:tcPr>
          <w:p w14:paraId="516A94E2">
            <w:pPr>
              <w:spacing w:line="240" w:lineRule="exact"/>
              <w:jc w:val="center"/>
              <w:rPr>
                <w:rFonts w:ascii="宋体"/>
                <w:kern w:val="0"/>
              </w:rPr>
            </w:pPr>
            <w:r>
              <w:rPr>
                <w:rFonts w:hint="eastAsia" w:ascii="宋体"/>
                <w:kern w:val="0"/>
              </w:rPr>
              <w:t>100-500元</w:t>
            </w:r>
          </w:p>
        </w:tc>
      </w:tr>
      <w:tr w14:paraId="36FFF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1186" w:type="dxa"/>
            <w:vMerge w:val="continue"/>
            <w:vAlign w:val="center"/>
          </w:tcPr>
          <w:p w14:paraId="40623766">
            <w:pPr>
              <w:spacing w:line="240" w:lineRule="exact"/>
              <w:jc w:val="center"/>
              <w:rPr>
                <w:rFonts w:ascii="宋体"/>
                <w:kern w:val="0"/>
              </w:rPr>
            </w:pPr>
          </w:p>
        </w:tc>
        <w:tc>
          <w:tcPr>
            <w:tcW w:w="2129" w:type="dxa"/>
            <w:vMerge w:val="continue"/>
            <w:vAlign w:val="center"/>
          </w:tcPr>
          <w:p w14:paraId="12BE08B8">
            <w:pPr>
              <w:widowControl/>
              <w:spacing w:line="240" w:lineRule="exact"/>
              <w:jc w:val="center"/>
              <w:rPr>
                <w:rFonts w:ascii="宋体"/>
                <w:kern w:val="0"/>
              </w:rPr>
            </w:pPr>
          </w:p>
        </w:tc>
        <w:tc>
          <w:tcPr>
            <w:tcW w:w="2378" w:type="dxa"/>
            <w:vMerge w:val="continue"/>
            <w:vAlign w:val="center"/>
          </w:tcPr>
          <w:p w14:paraId="43240C7C">
            <w:pPr>
              <w:spacing w:line="240" w:lineRule="exact"/>
              <w:jc w:val="center"/>
              <w:rPr>
                <w:rFonts w:ascii="宋体"/>
                <w:kern w:val="0"/>
              </w:rPr>
            </w:pPr>
          </w:p>
        </w:tc>
        <w:tc>
          <w:tcPr>
            <w:tcW w:w="1174" w:type="dxa"/>
            <w:vMerge w:val="restart"/>
            <w:vAlign w:val="center"/>
          </w:tcPr>
          <w:p w14:paraId="6A46AB69">
            <w:pPr>
              <w:spacing w:line="240" w:lineRule="exact"/>
              <w:jc w:val="center"/>
              <w:rPr>
                <w:rFonts w:ascii="宋体"/>
                <w:kern w:val="0"/>
              </w:rPr>
            </w:pPr>
            <w:r>
              <w:rPr>
                <w:rFonts w:hint="eastAsia" w:ascii="宋体"/>
                <w:kern w:val="0"/>
              </w:rPr>
              <w:t>一般</w:t>
            </w:r>
          </w:p>
        </w:tc>
        <w:tc>
          <w:tcPr>
            <w:tcW w:w="3116" w:type="dxa"/>
            <w:vAlign w:val="center"/>
          </w:tcPr>
          <w:p w14:paraId="30FE9A8D">
            <w:pPr>
              <w:spacing w:line="240" w:lineRule="exact"/>
              <w:jc w:val="left"/>
              <w:rPr>
                <w:rFonts w:ascii="宋体"/>
                <w:kern w:val="0"/>
              </w:rPr>
            </w:pPr>
            <w:r>
              <w:rPr>
                <w:rFonts w:hint="eastAsia" w:ascii="宋体"/>
                <w:kern w:val="0"/>
              </w:rPr>
              <w:t>未按规定纠正缺陷3个以下的</w:t>
            </w:r>
          </w:p>
        </w:tc>
        <w:tc>
          <w:tcPr>
            <w:tcW w:w="6568" w:type="dxa"/>
            <w:tcBorders>
              <w:right w:val="single" w:color="auto" w:sz="4" w:space="0"/>
            </w:tcBorders>
            <w:vAlign w:val="center"/>
          </w:tcPr>
          <w:p w14:paraId="6769A2F4">
            <w:pPr>
              <w:spacing w:line="240" w:lineRule="exact"/>
              <w:jc w:val="center"/>
              <w:rPr>
                <w:rFonts w:ascii="宋体"/>
                <w:kern w:val="0"/>
              </w:rPr>
            </w:pPr>
            <w:r>
              <w:rPr>
                <w:rFonts w:hint="eastAsia" w:ascii="宋体"/>
                <w:kern w:val="0"/>
              </w:rPr>
              <w:t>2000-5000元</w:t>
            </w:r>
          </w:p>
        </w:tc>
        <w:tc>
          <w:tcPr>
            <w:tcW w:w="2552" w:type="dxa"/>
            <w:tcBorders>
              <w:left w:val="single" w:color="auto" w:sz="4" w:space="0"/>
              <w:right w:val="single" w:color="auto" w:sz="4" w:space="0"/>
            </w:tcBorders>
            <w:vAlign w:val="center"/>
          </w:tcPr>
          <w:p w14:paraId="082960D7">
            <w:pPr>
              <w:spacing w:line="240" w:lineRule="exact"/>
              <w:jc w:val="center"/>
              <w:rPr>
                <w:rFonts w:ascii="宋体"/>
                <w:kern w:val="0"/>
              </w:rPr>
            </w:pPr>
            <w:r>
              <w:rPr>
                <w:rFonts w:hint="eastAsia" w:ascii="宋体"/>
                <w:kern w:val="0"/>
              </w:rPr>
              <w:t>500-800元</w:t>
            </w:r>
          </w:p>
        </w:tc>
      </w:tr>
      <w:tr w14:paraId="7D543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1186" w:type="dxa"/>
            <w:vMerge w:val="continue"/>
            <w:shd w:val="clear" w:color="auto" w:fill="auto"/>
            <w:vAlign w:val="center"/>
          </w:tcPr>
          <w:p w14:paraId="072FEB6A">
            <w:pPr>
              <w:spacing w:line="240" w:lineRule="exact"/>
              <w:jc w:val="center"/>
              <w:rPr>
                <w:rFonts w:ascii="宋体"/>
                <w:kern w:val="0"/>
              </w:rPr>
            </w:pPr>
          </w:p>
        </w:tc>
        <w:tc>
          <w:tcPr>
            <w:tcW w:w="2129" w:type="dxa"/>
            <w:vMerge w:val="continue"/>
            <w:shd w:val="clear" w:color="auto" w:fill="auto"/>
            <w:vAlign w:val="center"/>
          </w:tcPr>
          <w:p w14:paraId="3F835BEB">
            <w:pPr>
              <w:spacing w:line="240" w:lineRule="exact"/>
              <w:jc w:val="center"/>
              <w:rPr>
                <w:rFonts w:ascii="宋体"/>
                <w:kern w:val="0"/>
              </w:rPr>
            </w:pPr>
          </w:p>
        </w:tc>
        <w:tc>
          <w:tcPr>
            <w:tcW w:w="2378" w:type="dxa"/>
            <w:vMerge w:val="continue"/>
            <w:shd w:val="clear" w:color="auto" w:fill="auto"/>
            <w:vAlign w:val="center"/>
          </w:tcPr>
          <w:p w14:paraId="6E9D3D66">
            <w:pPr>
              <w:spacing w:line="240" w:lineRule="exact"/>
              <w:jc w:val="center"/>
              <w:rPr>
                <w:rFonts w:ascii="宋体"/>
                <w:kern w:val="0"/>
              </w:rPr>
            </w:pPr>
          </w:p>
        </w:tc>
        <w:tc>
          <w:tcPr>
            <w:tcW w:w="1174" w:type="dxa"/>
            <w:vMerge w:val="continue"/>
            <w:shd w:val="clear" w:color="auto" w:fill="auto"/>
            <w:vAlign w:val="center"/>
          </w:tcPr>
          <w:p w14:paraId="43CF8736">
            <w:pPr>
              <w:spacing w:line="240" w:lineRule="exact"/>
              <w:jc w:val="center"/>
              <w:rPr>
                <w:rFonts w:ascii="宋体"/>
                <w:kern w:val="0"/>
              </w:rPr>
            </w:pPr>
          </w:p>
        </w:tc>
        <w:tc>
          <w:tcPr>
            <w:tcW w:w="31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023E99">
            <w:pPr>
              <w:spacing w:line="240" w:lineRule="exact"/>
              <w:jc w:val="left"/>
              <w:rPr>
                <w:rFonts w:ascii="宋体"/>
                <w:kern w:val="0"/>
              </w:rPr>
            </w:pPr>
            <w:r>
              <w:rPr>
                <w:rFonts w:hint="eastAsia" w:ascii="宋体"/>
                <w:kern w:val="0"/>
              </w:rPr>
              <w:t>未按规定纠正缺陷超过3个的</w:t>
            </w:r>
          </w:p>
        </w:tc>
        <w:tc>
          <w:tcPr>
            <w:tcW w:w="656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46159E">
            <w:pPr>
              <w:spacing w:line="240" w:lineRule="exact"/>
              <w:jc w:val="center"/>
              <w:rPr>
                <w:rFonts w:ascii="宋体"/>
                <w:kern w:val="0"/>
              </w:rPr>
            </w:pPr>
            <w:r>
              <w:rPr>
                <w:rFonts w:hint="eastAsia" w:ascii="宋体"/>
                <w:kern w:val="0"/>
              </w:rPr>
              <w:t>以5000元为基准（3个缺陷），每增加一个缺陷，加罚1000元，最高不超过1万元。</w:t>
            </w:r>
          </w:p>
        </w:tc>
        <w:tc>
          <w:tcPr>
            <w:tcW w:w="255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A4F200">
            <w:pPr>
              <w:spacing w:line="240" w:lineRule="exact"/>
              <w:jc w:val="center"/>
              <w:rPr>
                <w:rFonts w:ascii="宋体"/>
                <w:kern w:val="0"/>
              </w:rPr>
            </w:pPr>
            <w:r>
              <w:rPr>
                <w:rFonts w:hint="eastAsia" w:ascii="宋体"/>
                <w:kern w:val="0"/>
              </w:rPr>
              <w:t>800-1000元</w:t>
            </w:r>
          </w:p>
        </w:tc>
      </w:tr>
      <w:tr w14:paraId="7E877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86" w:type="dxa"/>
            <w:vMerge w:val="continue"/>
            <w:vAlign w:val="center"/>
          </w:tcPr>
          <w:p w14:paraId="1D2E2A94">
            <w:pPr>
              <w:spacing w:line="240" w:lineRule="exact"/>
              <w:jc w:val="center"/>
              <w:rPr>
                <w:rFonts w:ascii="宋体"/>
                <w:kern w:val="0"/>
              </w:rPr>
            </w:pPr>
          </w:p>
        </w:tc>
        <w:tc>
          <w:tcPr>
            <w:tcW w:w="2129" w:type="dxa"/>
            <w:vMerge w:val="continue"/>
            <w:vAlign w:val="center"/>
          </w:tcPr>
          <w:p w14:paraId="447246A6">
            <w:pPr>
              <w:spacing w:line="240" w:lineRule="exact"/>
              <w:jc w:val="center"/>
              <w:rPr>
                <w:rFonts w:ascii="宋体"/>
                <w:kern w:val="0"/>
              </w:rPr>
            </w:pPr>
          </w:p>
        </w:tc>
        <w:tc>
          <w:tcPr>
            <w:tcW w:w="2378" w:type="dxa"/>
            <w:vMerge w:val="continue"/>
            <w:vAlign w:val="center"/>
          </w:tcPr>
          <w:p w14:paraId="21F6B061">
            <w:pPr>
              <w:spacing w:line="240" w:lineRule="exact"/>
              <w:jc w:val="center"/>
              <w:rPr>
                <w:rFonts w:ascii="宋体"/>
                <w:kern w:val="0"/>
              </w:rPr>
            </w:pPr>
          </w:p>
        </w:tc>
        <w:tc>
          <w:tcPr>
            <w:tcW w:w="1174" w:type="dxa"/>
            <w:vMerge w:val="continue"/>
            <w:tcBorders>
              <w:bottom w:val="single" w:color="auto" w:sz="4" w:space="0"/>
            </w:tcBorders>
            <w:vAlign w:val="center"/>
          </w:tcPr>
          <w:p w14:paraId="24711C5C">
            <w:pPr>
              <w:spacing w:line="240" w:lineRule="exact"/>
              <w:jc w:val="center"/>
              <w:rPr>
                <w:rFonts w:ascii="宋体"/>
                <w:kern w:val="0"/>
              </w:rPr>
            </w:pPr>
          </w:p>
        </w:tc>
        <w:tc>
          <w:tcPr>
            <w:tcW w:w="3116" w:type="dxa"/>
            <w:tcBorders>
              <w:top w:val="single" w:color="auto" w:sz="4" w:space="0"/>
              <w:bottom w:val="single" w:color="auto" w:sz="4" w:space="0"/>
            </w:tcBorders>
            <w:vAlign w:val="center"/>
          </w:tcPr>
          <w:p w14:paraId="7C143C1C">
            <w:pPr>
              <w:spacing w:line="240" w:lineRule="exact"/>
              <w:jc w:val="left"/>
              <w:rPr>
                <w:rFonts w:ascii="宋体"/>
                <w:kern w:val="0"/>
              </w:rPr>
            </w:pPr>
            <w:r>
              <w:rPr>
                <w:rFonts w:hint="eastAsia" w:ascii="宋体"/>
                <w:kern w:val="0"/>
              </w:rPr>
              <w:t>具有其他较重情节的</w:t>
            </w:r>
          </w:p>
        </w:tc>
        <w:tc>
          <w:tcPr>
            <w:tcW w:w="6568" w:type="dxa"/>
            <w:tcBorders>
              <w:top w:val="single" w:color="auto" w:sz="4" w:space="0"/>
              <w:bottom w:val="single" w:color="auto" w:sz="4" w:space="0"/>
              <w:right w:val="single" w:color="auto" w:sz="4" w:space="0"/>
            </w:tcBorders>
            <w:vAlign w:val="center"/>
          </w:tcPr>
          <w:p w14:paraId="60B11582">
            <w:pPr>
              <w:spacing w:line="240" w:lineRule="exact"/>
              <w:jc w:val="center"/>
              <w:rPr>
                <w:rFonts w:ascii="宋体"/>
                <w:kern w:val="0"/>
              </w:rPr>
            </w:pPr>
            <w:r>
              <w:rPr>
                <w:rFonts w:hint="eastAsia" w:ascii="宋体"/>
                <w:kern w:val="0"/>
              </w:rPr>
              <w:t>5000-1万元</w:t>
            </w:r>
          </w:p>
        </w:tc>
        <w:tc>
          <w:tcPr>
            <w:tcW w:w="2552" w:type="dxa"/>
            <w:tcBorders>
              <w:top w:val="single" w:color="auto" w:sz="4" w:space="0"/>
              <w:left w:val="single" w:color="auto" w:sz="4" w:space="0"/>
              <w:bottom w:val="single" w:color="auto" w:sz="4" w:space="0"/>
              <w:right w:val="single" w:color="auto" w:sz="4" w:space="0"/>
            </w:tcBorders>
            <w:vAlign w:val="center"/>
          </w:tcPr>
          <w:p w14:paraId="66AE7A5C">
            <w:pPr>
              <w:spacing w:line="240" w:lineRule="exact"/>
              <w:jc w:val="center"/>
              <w:rPr>
                <w:rFonts w:ascii="宋体"/>
                <w:kern w:val="0"/>
              </w:rPr>
            </w:pPr>
            <w:r>
              <w:rPr>
                <w:rFonts w:hint="eastAsia" w:ascii="宋体"/>
                <w:kern w:val="0"/>
              </w:rPr>
              <w:t>800-1000元</w:t>
            </w:r>
          </w:p>
        </w:tc>
      </w:tr>
      <w:tr w14:paraId="3CEF9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1186" w:type="dxa"/>
            <w:vMerge w:val="continue"/>
            <w:vAlign w:val="center"/>
          </w:tcPr>
          <w:p w14:paraId="48D9019E">
            <w:pPr>
              <w:spacing w:line="240" w:lineRule="exact"/>
              <w:jc w:val="center"/>
              <w:rPr>
                <w:rFonts w:ascii="宋体"/>
                <w:kern w:val="0"/>
              </w:rPr>
            </w:pPr>
          </w:p>
        </w:tc>
        <w:tc>
          <w:tcPr>
            <w:tcW w:w="2129" w:type="dxa"/>
            <w:vMerge w:val="continue"/>
            <w:vAlign w:val="center"/>
          </w:tcPr>
          <w:p w14:paraId="71E3FE87">
            <w:pPr>
              <w:spacing w:line="240" w:lineRule="exact"/>
              <w:jc w:val="center"/>
              <w:rPr>
                <w:rFonts w:ascii="宋体"/>
                <w:kern w:val="0"/>
              </w:rPr>
            </w:pPr>
          </w:p>
        </w:tc>
        <w:tc>
          <w:tcPr>
            <w:tcW w:w="2378" w:type="dxa"/>
            <w:vMerge w:val="continue"/>
            <w:vAlign w:val="center"/>
          </w:tcPr>
          <w:p w14:paraId="763E2913">
            <w:pPr>
              <w:spacing w:line="240" w:lineRule="exact"/>
              <w:jc w:val="center"/>
              <w:rPr>
                <w:rFonts w:ascii="宋体"/>
                <w:kern w:val="0"/>
              </w:rPr>
            </w:pPr>
          </w:p>
        </w:tc>
        <w:tc>
          <w:tcPr>
            <w:tcW w:w="1174" w:type="dxa"/>
            <w:vMerge w:val="restart"/>
            <w:tcBorders>
              <w:top w:val="single" w:color="auto" w:sz="4" w:space="0"/>
              <w:right w:val="single" w:color="auto" w:sz="4" w:space="0"/>
            </w:tcBorders>
            <w:vAlign w:val="center"/>
          </w:tcPr>
          <w:p w14:paraId="230F5E5F">
            <w:pPr>
              <w:spacing w:line="240" w:lineRule="exact"/>
              <w:jc w:val="center"/>
              <w:rPr>
                <w:rFonts w:ascii="宋体"/>
                <w:kern w:val="0"/>
              </w:rPr>
            </w:pPr>
            <w:r>
              <w:rPr>
                <w:rFonts w:hint="eastAsia" w:ascii="宋体"/>
                <w:kern w:val="0"/>
              </w:rPr>
              <w:t>情节严重</w:t>
            </w:r>
          </w:p>
        </w:tc>
        <w:tc>
          <w:tcPr>
            <w:tcW w:w="3116" w:type="dxa"/>
            <w:tcBorders>
              <w:top w:val="single" w:color="auto" w:sz="4" w:space="0"/>
              <w:left w:val="single" w:color="auto" w:sz="4" w:space="0"/>
              <w:bottom w:val="single" w:color="auto" w:sz="4" w:space="0"/>
            </w:tcBorders>
            <w:vAlign w:val="center"/>
          </w:tcPr>
          <w:p w14:paraId="178E0902">
            <w:pPr>
              <w:spacing w:line="240" w:lineRule="exact"/>
              <w:jc w:val="left"/>
              <w:rPr>
                <w:rFonts w:ascii="宋体"/>
                <w:kern w:val="0"/>
              </w:rPr>
            </w:pPr>
            <w:r>
              <w:rPr>
                <w:rFonts w:hint="eastAsia" w:ascii="宋体"/>
                <w:kern w:val="0"/>
              </w:rPr>
              <w:t>因未按规定纠正的缺陷导致小事故或险情的</w:t>
            </w:r>
          </w:p>
        </w:tc>
        <w:tc>
          <w:tcPr>
            <w:tcW w:w="6568" w:type="dxa"/>
            <w:tcBorders>
              <w:top w:val="single" w:color="auto" w:sz="4" w:space="0"/>
              <w:bottom w:val="single" w:color="auto" w:sz="4" w:space="0"/>
              <w:right w:val="single" w:color="auto" w:sz="4" w:space="0"/>
            </w:tcBorders>
            <w:vAlign w:val="center"/>
          </w:tcPr>
          <w:p w14:paraId="0E231285">
            <w:pPr>
              <w:spacing w:line="240" w:lineRule="exact"/>
              <w:jc w:val="center"/>
              <w:rPr>
                <w:rFonts w:ascii="宋体"/>
                <w:kern w:val="0"/>
              </w:rPr>
            </w:pPr>
            <w:r>
              <w:rPr>
                <w:rFonts w:hint="eastAsia" w:ascii="宋体"/>
                <w:kern w:val="0"/>
              </w:rPr>
              <w:t xml:space="preserve">1-2万元 </w:t>
            </w:r>
          </w:p>
        </w:tc>
        <w:tc>
          <w:tcPr>
            <w:tcW w:w="2552" w:type="dxa"/>
            <w:tcBorders>
              <w:top w:val="single" w:color="auto" w:sz="4" w:space="0"/>
              <w:left w:val="single" w:color="auto" w:sz="4" w:space="0"/>
              <w:bottom w:val="single" w:color="auto" w:sz="4" w:space="0"/>
              <w:right w:val="single" w:color="auto" w:sz="4" w:space="0"/>
            </w:tcBorders>
            <w:vAlign w:val="center"/>
          </w:tcPr>
          <w:p w14:paraId="6E673A2F">
            <w:pPr>
              <w:spacing w:line="240" w:lineRule="exact"/>
              <w:jc w:val="center"/>
              <w:rPr>
                <w:rFonts w:ascii="宋体"/>
                <w:kern w:val="0"/>
              </w:rPr>
            </w:pPr>
            <w:r>
              <w:rPr>
                <w:rFonts w:hint="eastAsia" w:ascii="宋体"/>
                <w:kern w:val="0"/>
              </w:rPr>
              <w:t>1000-2000元</w:t>
            </w:r>
          </w:p>
        </w:tc>
      </w:tr>
      <w:tr w14:paraId="1DD90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186" w:type="dxa"/>
            <w:vMerge w:val="continue"/>
            <w:vAlign w:val="center"/>
          </w:tcPr>
          <w:p w14:paraId="3C346236">
            <w:pPr>
              <w:spacing w:line="240" w:lineRule="exact"/>
              <w:jc w:val="center"/>
              <w:rPr>
                <w:rFonts w:ascii="宋体"/>
                <w:kern w:val="0"/>
              </w:rPr>
            </w:pPr>
          </w:p>
        </w:tc>
        <w:tc>
          <w:tcPr>
            <w:tcW w:w="2129" w:type="dxa"/>
            <w:vMerge w:val="continue"/>
            <w:vAlign w:val="center"/>
          </w:tcPr>
          <w:p w14:paraId="4EF493C5">
            <w:pPr>
              <w:spacing w:line="240" w:lineRule="exact"/>
              <w:jc w:val="center"/>
              <w:rPr>
                <w:rFonts w:ascii="宋体"/>
                <w:kern w:val="0"/>
              </w:rPr>
            </w:pPr>
          </w:p>
        </w:tc>
        <w:tc>
          <w:tcPr>
            <w:tcW w:w="2378" w:type="dxa"/>
            <w:vMerge w:val="continue"/>
            <w:vAlign w:val="center"/>
          </w:tcPr>
          <w:p w14:paraId="71074C1D">
            <w:pPr>
              <w:spacing w:line="240" w:lineRule="exact"/>
              <w:jc w:val="center"/>
              <w:rPr>
                <w:rFonts w:ascii="宋体"/>
                <w:kern w:val="0"/>
              </w:rPr>
            </w:pPr>
          </w:p>
        </w:tc>
        <w:tc>
          <w:tcPr>
            <w:tcW w:w="1174" w:type="dxa"/>
            <w:vMerge w:val="continue"/>
            <w:tcBorders>
              <w:right w:val="single" w:color="auto" w:sz="4" w:space="0"/>
            </w:tcBorders>
            <w:vAlign w:val="center"/>
          </w:tcPr>
          <w:p w14:paraId="51B91F44">
            <w:pPr>
              <w:spacing w:line="240" w:lineRule="exact"/>
              <w:jc w:val="center"/>
              <w:rPr>
                <w:rFonts w:ascii="宋体"/>
                <w:kern w:val="0"/>
              </w:rPr>
            </w:pPr>
          </w:p>
        </w:tc>
        <w:tc>
          <w:tcPr>
            <w:tcW w:w="3116" w:type="dxa"/>
            <w:tcBorders>
              <w:top w:val="single" w:color="auto" w:sz="4" w:space="0"/>
              <w:left w:val="single" w:color="auto" w:sz="4" w:space="0"/>
              <w:bottom w:val="single" w:color="auto" w:sz="4" w:space="0"/>
            </w:tcBorders>
            <w:vAlign w:val="center"/>
          </w:tcPr>
          <w:p w14:paraId="3BA8144D">
            <w:pPr>
              <w:spacing w:line="240" w:lineRule="exact"/>
              <w:jc w:val="left"/>
              <w:rPr>
                <w:rFonts w:ascii="宋体"/>
                <w:kern w:val="0"/>
              </w:rPr>
            </w:pPr>
            <w:r>
              <w:rPr>
                <w:rFonts w:hint="eastAsia" w:ascii="宋体"/>
                <w:kern w:val="0"/>
              </w:rPr>
              <w:t>1.船舶存在应当复查的缺陷未按规定纠正的；</w:t>
            </w:r>
          </w:p>
          <w:p w14:paraId="1BE422B9">
            <w:pPr>
              <w:spacing w:line="240" w:lineRule="exact"/>
              <w:jc w:val="left"/>
              <w:rPr>
                <w:rFonts w:ascii="宋体"/>
                <w:kern w:val="0"/>
              </w:rPr>
            </w:pPr>
            <w:r>
              <w:rPr>
                <w:rFonts w:hint="eastAsia" w:ascii="宋体"/>
                <w:kern w:val="0"/>
              </w:rPr>
              <w:t>2.因未按规定纠正的缺陷导致一般等级以上事故的。</w:t>
            </w:r>
          </w:p>
        </w:tc>
        <w:tc>
          <w:tcPr>
            <w:tcW w:w="6568" w:type="dxa"/>
            <w:tcBorders>
              <w:top w:val="single" w:color="auto" w:sz="4" w:space="0"/>
              <w:bottom w:val="single" w:color="auto" w:sz="4" w:space="0"/>
              <w:right w:val="single" w:color="auto" w:sz="4" w:space="0"/>
            </w:tcBorders>
            <w:vAlign w:val="center"/>
          </w:tcPr>
          <w:p w14:paraId="5F5FB70D">
            <w:pPr>
              <w:spacing w:line="240" w:lineRule="exact"/>
              <w:jc w:val="center"/>
              <w:rPr>
                <w:rFonts w:ascii="宋体"/>
                <w:kern w:val="0"/>
              </w:rPr>
            </w:pPr>
            <w:r>
              <w:rPr>
                <w:rFonts w:hint="eastAsia" w:ascii="宋体"/>
                <w:kern w:val="0"/>
              </w:rPr>
              <w:t xml:space="preserve"> 2-3万元 </w:t>
            </w:r>
          </w:p>
        </w:tc>
        <w:tc>
          <w:tcPr>
            <w:tcW w:w="2552" w:type="dxa"/>
            <w:tcBorders>
              <w:top w:val="single" w:color="auto" w:sz="4" w:space="0"/>
              <w:left w:val="single" w:color="auto" w:sz="4" w:space="0"/>
              <w:bottom w:val="single" w:color="auto" w:sz="4" w:space="0"/>
              <w:right w:val="single" w:color="auto" w:sz="4" w:space="0"/>
            </w:tcBorders>
            <w:vAlign w:val="center"/>
          </w:tcPr>
          <w:p w14:paraId="0EFEA311">
            <w:pPr>
              <w:spacing w:line="240" w:lineRule="exact"/>
              <w:jc w:val="center"/>
              <w:rPr>
                <w:rFonts w:ascii="宋体"/>
                <w:kern w:val="0"/>
              </w:rPr>
            </w:pPr>
            <w:r>
              <w:rPr>
                <w:rFonts w:hint="eastAsia" w:ascii="宋体"/>
                <w:kern w:val="0"/>
              </w:rPr>
              <w:t>2000-3000元</w:t>
            </w:r>
          </w:p>
        </w:tc>
      </w:tr>
      <w:tr w14:paraId="5A3CC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103" w:type="dxa"/>
            <w:gridSpan w:val="7"/>
            <w:tcBorders>
              <w:right w:val="single" w:color="auto" w:sz="4" w:space="0"/>
            </w:tcBorders>
            <w:vAlign w:val="center"/>
          </w:tcPr>
          <w:p w14:paraId="477F6C04">
            <w:pPr>
              <w:spacing w:line="240" w:lineRule="exact"/>
              <w:jc w:val="left"/>
              <w:rPr>
                <w:rFonts w:ascii="宋体"/>
                <w:kern w:val="0"/>
              </w:rPr>
            </w:pPr>
            <w:r>
              <w:rPr>
                <w:rFonts w:hint="eastAsia" w:ascii="宋体"/>
                <w:kern w:val="0"/>
              </w:rPr>
              <w:t>注：</w:t>
            </w:r>
          </w:p>
          <w:p w14:paraId="0B503F93">
            <w:pPr>
              <w:spacing w:line="240" w:lineRule="exact"/>
              <w:jc w:val="left"/>
              <w:rPr>
                <w:rFonts w:ascii="宋体"/>
                <w:kern w:val="0"/>
              </w:rPr>
            </w:pPr>
            <w:r>
              <w:rPr>
                <w:rFonts w:hint="eastAsia" w:ascii="宋体"/>
                <w:kern w:val="0"/>
              </w:rPr>
              <w:t>“船舶存在应当复查的缺陷未按规定纠正”的是指《中华人民共和国船舶安全监督规则》第二十七条第（四）（五）（六）（八）项措施。</w:t>
            </w:r>
          </w:p>
        </w:tc>
      </w:tr>
    </w:tbl>
    <w:p w14:paraId="55795F9C">
      <w:pPr>
        <w:spacing w:line="240" w:lineRule="exact"/>
        <w:rPr>
          <w:rFonts w:ascii="宋体"/>
          <w:bCs/>
        </w:rPr>
      </w:pPr>
      <w:r>
        <w:rPr>
          <w:rFonts w:ascii="宋体"/>
          <w:bCs/>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5"/>
        <w:gridCol w:w="1925"/>
        <w:gridCol w:w="2422"/>
        <w:gridCol w:w="1324"/>
        <w:gridCol w:w="2621"/>
        <w:gridCol w:w="6450"/>
        <w:gridCol w:w="3696"/>
      </w:tblGrid>
      <w:tr w14:paraId="3D794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8" w:hRule="atLeast"/>
        </w:trPr>
        <w:tc>
          <w:tcPr>
            <w:tcW w:w="1495" w:type="dxa"/>
            <w:vMerge w:val="restart"/>
            <w:vAlign w:val="center"/>
          </w:tcPr>
          <w:p w14:paraId="06859C0F">
            <w:pPr>
              <w:spacing w:line="240" w:lineRule="exact"/>
              <w:jc w:val="center"/>
              <w:rPr>
                <w:rFonts w:ascii="宋体"/>
                <w:b/>
              </w:rPr>
            </w:pPr>
            <w:r>
              <w:rPr>
                <w:rFonts w:hint="eastAsia" w:ascii="宋体"/>
                <w:b/>
              </w:rPr>
              <w:t>案由</w:t>
            </w:r>
            <w:r>
              <w:rPr>
                <w:rFonts w:hint="eastAsia" w:ascii="宋体"/>
                <w:b/>
                <w:bCs/>
              </w:rPr>
              <w:t>61</w:t>
            </w:r>
          </w:p>
        </w:tc>
        <w:tc>
          <w:tcPr>
            <w:tcW w:w="4347" w:type="dxa"/>
            <w:gridSpan w:val="2"/>
            <w:vAlign w:val="center"/>
          </w:tcPr>
          <w:p w14:paraId="4DFD8208">
            <w:pPr>
              <w:spacing w:line="240" w:lineRule="exact"/>
              <w:jc w:val="center"/>
              <w:rPr>
                <w:rFonts w:ascii="宋体"/>
                <w:b/>
              </w:rPr>
            </w:pPr>
            <w:r>
              <w:rPr>
                <w:rFonts w:hint="eastAsia" w:ascii="宋体"/>
                <w:b/>
              </w:rPr>
              <w:t>法律依据</w:t>
            </w:r>
          </w:p>
        </w:tc>
        <w:tc>
          <w:tcPr>
            <w:tcW w:w="1324" w:type="dxa"/>
            <w:vMerge w:val="restart"/>
            <w:vAlign w:val="center"/>
          </w:tcPr>
          <w:p w14:paraId="28CF43F6">
            <w:pPr>
              <w:spacing w:line="240" w:lineRule="exact"/>
              <w:jc w:val="center"/>
              <w:rPr>
                <w:rFonts w:ascii="宋体"/>
                <w:b/>
              </w:rPr>
            </w:pPr>
            <w:r>
              <w:rPr>
                <w:rFonts w:hint="eastAsia" w:ascii="宋体"/>
                <w:b/>
              </w:rPr>
              <w:t>违法情节</w:t>
            </w:r>
          </w:p>
        </w:tc>
        <w:tc>
          <w:tcPr>
            <w:tcW w:w="2621" w:type="dxa"/>
            <w:vMerge w:val="restart"/>
            <w:vAlign w:val="center"/>
          </w:tcPr>
          <w:p w14:paraId="7EB799F3">
            <w:pPr>
              <w:spacing w:line="240" w:lineRule="exact"/>
              <w:jc w:val="center"/>
              <w:rPr>
                <w:rFonts w:ascii="宋体"/>
                <w:b/>
              </w:rPr>
            </w:pPr>
            <w:r>
              <w:rPr>
                <w:rFonts w:hint="eastAsia" w:ascii="宋体"/>
                <w:b/>
              </w:rPr>
              <w:t>主要考虑因素（事实、性质、情节、危害程度和实际后果等）</w:t>
            </w:r>
          </w:p>
        </w:tc>
        <w:tc>
          <w:tcPr>
            <w:tcW w:w="10146" w:type="dxa"/>
            <w:gridSpan w:val="2"/>
            <w:tcBorders>
              <w:bottom w:val="single" w:color="auto" w:sz="4" w:space="0"/>
              <w:right w:val="single" w:color="auto" w:sz="4" w:space="0"/>
            </w:tcBorders>
            <w:vAlign w:val="center"/>
          </w:tcPr>
          <w:p w14:paraId="7907E182">
            <w:pPr>
              <w:spacing w:line="240" w:lineRule="exact"/>
              <w:jc w:val="left"/>
              <w:rPr>
                <w:rFonts w:ascii="宋体"/>
                <w:b/>
              </w:rPr>
            </w:pPr>
            <w:r>
              <w:rPr>
                <w:rFonts w:hint="eastAsia" w:ascii="宋体"/>
                <w:b/>
              </w:rPr>
              <w:t>【法定幅度和种类】</w:t>
            </w:r>
            <w:r>
              <w:rPr>
                <w:rFonts w:hint="eastAsia" w:ascii="宋体"/>
                <w:bCs/>
                <w:kern w:val="0"/>
              </w:rPr>
              <w:t>由海事管理机构</w:t>
            </w:r>
            <w:r>
              <w:rPr>
                <w:rFonts w:hint="eastAsia" w:ascii="宋体"/>
                <w:bCs/>
              </w:rPr>
              <w:t>对违法船舶所有人或者船舶经营人处1000元以上1万元以下罚款；情节严重的，处1万元以上3万元以下罚款。对船长或者其他责任人员处100元以上1000元以下罚款；情节严重的，处1000元以上3000元以下罚款。</w:t>
            </w:r>
          </w:p>
        </w:tc>
      </w:tr>
      <w:tr w14:paraId="63D4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495" w:type="dxa"/>
            <w:vMerge w:val="continue"/>
            <w:vAlign w:val="center"/>
          </w:tcPr>
          <w:p w14:paraId="29F6CDC4">
            <w:pPr>
              <w:spacing w:line="240" w:lineRule="exact"/>
              <w:jc w:val="center"/>
              <w:rPr>
                <w:rFonts w:ascii="宋体"/>
                <w:b/>
              </w:rPr>
            </w:pPr>
          </w:p>
        </w:tc>
        <w:tc>
          <w:tcPr>
            <w:tcW w:w="1925" w:type="dxa"/>
            <w:tcBorders>
              <w:bottom w:val="single" w:color="000000" w:sz="4" w:space="0"/>
            </w:tcBorders>
            <w:vAlign w:val="center"/>
          </w:tcPr>
          <w:p w14:paraId="6EE8F175">
            <w:pPr>
              <w:spacing w:line="240" w:lineRule="exact"/>
              <w:jc w:val="center"/>
              <w:rPr>
                <w:rFonts w:ascii="宋体"/>
                <w:b/>
              </w:rPr>
            </w:pPr>
            <w:r>
              <w:rPr>
                <w:rFonts w:hint="eastAsia" w:ascii="宋体"/>
                <w:b/>
              </w:rPr>
              <w:t>违反条款</w:t>
            </w:r>
          </w:p>
        </w:tc>
        <w:tc>
          <w:tcPr>
            <w:tcW w:w="2422" w:type="dxa"/>
            <w:tcBorders>
              <w:bottom w:val="single" w:color="000000" w:sz="4" w:space="0"/>
            </w:tcBorders>
            <w:vAlign w:val="center"/>
          </w:tcPr>
          <w:p w14:paraId="003B3144">
            <w:pPr>
              <w:spacing w:line="240" w:lineRule="exact"/>
              <w:jc w:val="center"/>
              <w:rPr>
                <w:rFonts w:ascii="宋体"/>
                <w:b/>
              </w:rPr>
            </w:pPr>
            <w:r>
              <w:rPr>
                <w:rFonts w:hint="eastAsia" w:ascii="宋体"/>
                <w:b/>
              </w:rPr>
              <w:t>处罚依据</w:t>
            </w:r>
          </w:p>
        </w:tc>
        <w:tc>
          <w:tcPr>
            <w:tcW w:w="1324" w:type="dxa"/>
            <w:vMerge w:val="continue"/>
            <w:tcBorders>
              <w:bottom w:val="single" w:color="000000" w:sz="4" w:space="0"/>
            </w:tcBorders>
            <w:vAlign w:val="center"/>
          </w:tcPr>
          <w:p w14:paraId="5EE1BFC4">
            <w:pPr>
              <w:spacing w:line="240" w:lineRule="exact"/>
              <w:jc w:val="center"/>
              <w:rPr>
                <w:rFonts w:ascii="宋体"/>
                <w:b/>
              </w:rPr>
            </w:pPr>
          </w:p>
        </w:tc>
        <w:tc>
          <w:tcPr>
            <w:tcW w:w="2621" w:type="dxa"/>
            <w:vMerge w:val="continue"/>
            <w:tcBorders>
              <w:bottom w:val="single" w:color="000000" w:sz="4" w:space="0"/>
            </w:tcBorders>
            <w:vAlign w:val="center"/>
          </w:tcPr>
          <w:p w14:paraId="492008BB">
            <w:pPr>
              <w:spacing w:line="240" w:lineRule="exact"/>
              <w:jc w:val="center"/>
              <w:rPr>
                <w:rFonts w:ascii="宋体"/>
                <w:b/>
              </w:rPr>
            </w:pPr>
          </w:p>
        </w:tc>
        <w:tc>
          <w:tcPr>
            <w:tcW w:w="6450" w:type="dxa"/>
            <w:tcBorders>
              <w:top w:val="single" w:color="auto" w:sz="4" w:space="0"/>
              <w:right w:val="single" w:color="auto" w:sz="4" w:space="0"/>
            </w:tcBorders>
            <w:vAlign w:val="center"/>
          </w:tcPr>
          <w:p w14:paraId="5656D91E">
            <w:pPr>
              <w:spacing w:line="240" w:lineRule="exact"/>
              <w:jc w:val="center"/>
              <w:rPr>
                <w:rFonts w:ascii="宋体"/>
                <w:b/>
              </w:rPr>
            </w:pPr>
            <w:r>
              <w:rPr>
                <w:rFonts w:hint="eastAsia" w:ascii="宋体"/>
                <w:b/>
              </w:rPr>
              <w:t>【对象】船舶所有人、经营人</w:t>
            </w:r>
          </w:p>
        </w:tc>
        <w:tc>
          <w:tcPr>
            <w:tcW w:w="3696" w:type="dxa"/>
            <w:tcBorders>
              <w:top w:val="single" w:color="auto" w:sz="4" w:space="0"/>
              <w:left w:val="single" w:color="auto" w:sz="4" w:space="0"/>
              <w:right w:val="single" w:color="auto" w:sz="4" w:space="0"/>
            </w:tcBorders>
            <w:vAlign w:val="center"/>
          </w:tcPr>
          <w:p w14:paraId="0D01D149">
            <w:pPr>
              <w:spacing w:line="240" w:lineRule="exact"/>
              <w:jc w:val="center"/>
              <w:rPr>
                <w:rFonts w:ascii="宋体"/>
                <w:b/>
              </w:rPr>
            </w:pPr>
            <w:r>
              <w:rPr>
                <w:rFonts w:hint="eastAsia" w:ascii="宋体"/>
                <w:b/>
              </w:rPr>
              <w:t>【对象】船长或者其他责任人员</w:t>
            </w:r>
          </w:p>
        </w:tc>
      </w:tr>
      <w:tr w14:paraId="46CBF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495" w:type="dxa"/>
            <w:vMerge w:val="restart"/>
            <w:vAlign w:val="center"/>
          </w:tcPr>
          <w:p w14:paraId="472730AE">
            <w:pPr>
              <w:widowControl/>
              <w:spacing w:line="240" w:lineRule="exact"/>
              <w:jc w:val="left"/>
              <w:rPr>
                <w:rFonts w:ascii="宋体"/>
              </w:rPr>
            </w:pPr>
            <w:r>
              <w:rPr>
                <w:rFonts w:hint="eastAsia" w:ascii="宋体"/>
              </w:rPr>
              <w:t>船舶在纠正应当申请复查的缺陷后未申请复查的</w:t>
            </w:r>
          </w:p>
        </w:tc>
        <w:tc>
          <w:tcPr>
            <w:tcW w:w="1925" w:type="dxa"/>
            <w:vMerge w:val="restart"/>
            <w:vAlign w:val="center"/>
          </w:tcPr>
          <w:p w14:paraId="2ED7F869">
            <w:pPr>
              <w:widowControl/>
              <w:spacing w:line="240" w:lineRule="exact"/>
              <w:jc w:val="left"/>
              <w:rPr>
                <w:rFonts w:ascii="宋体"/>
              </w:rPr>
            </w:pPr>
            <w:r>
              <w:rPr>
                <w:rFonts w:hint="eastAsia" w:ascii="宋体"/>
              </w:rPr>
              <w:t>1.《中华人民共和国船舶安全监督规则》第三十条第一款</w:t>
            </w:r>
          </w:p>
        </w:tc>
        <w:tc>
          <w:tcPr>
            <w:tcW w:w="2422" w:type="dxa"/>
            <w:vMerge w:val="restart"/>
            <w:vAlign w:val="center"/>
          </w:tcPr>
          <w:p w14:paraId="0DEB7661">
            <w:pPr>
              <w:spacing w:line="240" w:lineRule="exact"/>
              <w:jc w:val="left"/>
              <w:rPr>
                <w:rFonts w:ascii="宋体"/>
              </w:rPr>
            </w:pPr>
            <w:r>
              <w:rPr>
                <w:rFonts w:hint="eastAsia" w:ascii="宋体"/>
              </w:rPr>
              <w:t>1.《中华人民共和国船舶安全监督规则》第五十二条第（三）项；</w:t>
            </w:r>
          </w:p>
          <w:p w14:paraId="638B0653">
            <w:pPr>
              <w:spacing w:line="240" w:lineRule="exact"/>
              <w:jc w:val="left"/>
              <w:rPr>
                <w:rFonts w:ascii="宋体"/>
                <w:kern w:val="0"/>
              </w:rPr>
            </w:pPr>
            <w:r>
              <w:rPr>
                <w:rFonts w:hint="eastAsia" w:ascii="宋体"/>
                <w:kern w:val="0"/>
              </w:rPr>
              <w:t>2. 《中华人民共和国海上海事行政处罚规定》第七条。</w:t>
            </w:r>
          </w:p>
        </w:tc>
        <w:tc>
          <w:tcPr>
            <w:tcW w:w="1324" w:type="dxa"/>
            <w:vAlign w:val="center"/>
          </w:tcPr>
          <w:p w14:paraId="1FE35356">
            <w:pPr>
              <w:spacing w:line="240" w:lineRule="exact"/>
              <w:jc w:val="center"/>
              <w:rPr>
                <w:rFonts w:ascii="宋体"/>
              </w:rPr>
            </w:pPr>
            <w:r>
              <w:rPr>
                <w:rFonts w:hint="eastAsia" w:ascii="宋体"/>
              </w:rPr>
              <w:t>从轻</w:t>
            </w:r>
          </w:p>
        </w:tc>
        <w:tc>
          <w:tcPr>
            <w:tcW w:w="2621" w:type="dxa"/>
            <w:vAlign w:val="center"/>
          </w:tcPr>
          <w:p w14:paraId="2316F43D">
            <w:pPr>
              <w:widowControl/>
              <w:spacing w:line="240" w:lineRule="exact"/>
              <w:jc w:val="left"/>
              <w:rPr>
                <w:rFonts w:ascii="宋体"/>
              </w:rPr>
            </w:pPr>
            <w:r>
              <w:rPr>
                <w:rFonts w:hint="eastAsia" w:ascii="宋体"/>
              </w:rPr>
              <w:t>具有法定从轻处罚情节的</w:t>
            </w:r>
          </w:p>
        </w:tc>
        <w:tc>
          <w:tcPr>
            <w:tcW w:w="6450" w:type="dxa"/>
            <w:tcBorders>
              <w:right w:val="single" w:color="auto" w:sz="4" w:space="0"/>
            </w:tcBorders>
            <w:vAlign w:val="center"/>
          </w:tcPr>
          <w:p w14:paraId="15D85AD1">
            <w:pPr>
              <w:spacing w:line="240" w:lineRule="exact"/>
              <w:jc w:val="center"/>
              <w:rPr>
                <w:rFonts w:ascii="宋体"/>
              </w:rPr>
            </w:pPr>
            <w:r>
              <w:rPr>
                <w:rFonts w:hint="eastAsia" w:ascii="宋体"/>
              </w:rPr>
              <w:t>1000-4000元</w:t>
            </w:r>
          </w:p>
        </w:tc>
        <w:tc>
          <w:tcPr>
            <w:tcW w:w="3696" w:type="dxa"/>
            <w:tcBorders>
              <w:left w:val="single" w:color="auto" w:sz="4" w:space="0"/>
              <w:right w:val="single" w:color="auto" w:sz="4" w:space="0"/>
            </w:tcBorders>
            <w:vAlign w:val="center"/>
          </w:tcPr>
          <w:p w14:paraId="53DC602A">
            <w:pPr>
              <w:spacing w:line="240" w:lineRule="exact"/>
              <w:jc w:val="center"/>
              <w:rPr>
                <w:rFonts w:ascii="宋体"/>
              </w:rPr>
            </w:pPr>
            <w:r>
              <w:rPr>
                <w:rFonts w:hint="eastAsia" w:ascii="宋体"/>
              </w:rPr>
              <w:t>100-500元</w:t>
            </w:r>
          </w:p>
        </w:tc>
      </w:tr>
      <w:tr w14:paraId="06F0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495" w:type="dxa"/>
            <w:vMerge w:val="continue"/>
            <w:vAlign w:val="center"/>
          </w:tcPr>
          <w:p w14:paraId="160EB537">
            <w:pPr>
              <w:spacing w:line="240" w:lineRule="exact"/>
              <w:jc w:val="center"/>
              <w:rPr>
                <w:rFonts w:ascii="宋体"/>
              </w:rPr>
            </w:pPr>
          </w:p>
        </w:tc>
        <w:tc>
          <w:tcPr>
            <w:tcW w:w="1925" w:type="dxa"/>
            <w:vMerge w:val="continue"/>
            <w:vAlign w:val="center"/>
          </w:tcPr>
          <w:p w14:paraId="72EF3C7B">
            <w:pPr>
              <w:widowControl/>
              <w:spacing w:line="240" w:lineRule="exact"/>
              <w:jc w:val="center"/>
              <w:rPr>
                <w:rFonts w:ascii="宋体"/>
              </w:rPr>
            </w:pPr>
          </w:p>
        </w:tc>
        <w:tc>
          <w:tcPr>
            <w:tcW w:w="2422" w:type="dxa"/>
            <w:vMerge w:val="continue"/>
            <w:vAlign w:val="center"/>
          </w:tcPr>
          <w:p w14:paraId="1E3D860A">
            <w:pPr>
              <w:spacing w:line="240" w:lineRule="exact"/>
              <w:jc w:val="center"/>
              <w:rPr>
                <w:rFonts w:ascii="宋体"/>
              </w:rPr>
            </w:pPr>
          </w:p>
        </w:tc>
        <w:tc>
          <w:tcPr>
            <w:tcW w:w="1324" w:type="dxa"/>
            <w:vMerge w:val="restart"/>
            <w:vAlign w:val="center"/>
          </w:tcPr>
          <w:p w14:paraId="61A6A567">
            <w:pPr>
              <w:spacing w:line="240" w:lineRule="exact"/>
              <w:jc w:val="center"/>
              <w:rPr>
                <w:rFonts w:ascii="宋体"/>
              </w:rPr>
            </w:pPr>
            <w:r>
              <w:rPr>
                <w:rFonts w:hint="eastAsia" w:ascii="宋体"/>
              </w:rPr>
              <w:t>一般</w:t>
            </w:r>
          </w:p>
        </w:tc>
        <w:tc>
          <w:tcPr>
            <w:tcW w:w="2621" w:type="dxa"/>
            <w:vAlign w:val="center"/>
          </w:tcPr>
          <w:p w14:paraId="38782D6A">
            <w:pPr>
              <w:spacing w:line="240" w:lineRule="exact"/>
              <w:jc w:val="left"/>
              <w:rPr>
                <w:rFonts w:ascii="宋体"/>
              </w:rPr>
            </w:pPr>
            <w:r>
              <w:rPr>
                <w:rFonts w:hint="eastAsia" w:ascii="宋体"/>
              </w:rPr>
              <w:t>未复查项目1个的</w:t>
            </w:r>
          </w:p>
        </w:tc>
        <w:tc>
          <w:tcPr>
            <w:tcW w:w="6450" w:type="dxa"/>
            <w:tcBorders>
              <w:right w:val="single" w:color="auto" w:sz="4" w:space="0"/>
            </w:tcBorders>
            <w:vAlign w:val="center"/>
          </w:tcPr>
          <w:p w14:paraId="47E39C28">
            <w:pPr>
              <w:spacing w:line="240" w:lineRule="exact"/>
              <w:jc w:val="center"/>
              <w:rPr>
                <w:rFonts w:ascii="宋体"/>
              </w:rPr>
            </w:pPr>
            <w:r>
              <w:rPr>
                <w:rFonts w:hint="eastAsia" w:ascii="宋体"/>
              </w:rPr>
              <w:t>4000-8000元</w:t>
            </w:r>
          </w:p>
        </w:tc>
        <w:tc>
          <w:tcPr>
            <w:tcW w:w="3696" w:type="dxa"/>
            <w:tcBorders>
              <w:left w:val="single" w:color="auto" w:sz="4" w:space="0"/>
              <w:right w:val="single" w:color="auto" w:sz="4" w:space="0"/>
            </w:tcBorders>
            <w:vAlign w:val="center"/>
          </w:tcPr>
          <w:p w14:paraId="7D6F9AE8">
            <w:pPr>
              <w:spacing w:line="240" w:lineRule="exact"/>
              <w:jc w:val="center"/>
              <w:rPr>
                <w:rFonts w:ascii="宋体"/>
              </w:rPr>
            </w:pPr>
            <w:r>
              <w:rPr>
                <w:rFonts w:hint="eastAsia" w:ascii="宋体"/>
              </w:rPr>
              <w:t>500-1000元</w:t>
            </w:r>
          </w:p>
        </w:tc>
      </w:tr>
      <w:tr w14:paraId="0894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5" w:type="dxa"/>
            <w:vMerge w:val="continue"/>
            <w:vAlign w:val="center"/>
          </w:tcPr>
          <w:p w14:paraId="02F288F9">
            <w:pPr>
              <w:spacing w:line="240" w:lineRule="exact"/>
              <w:jc w:val="center"/>
              <w:rPr>
                <w:rFonts w:ascii="宋体"/>
              </w:rPr>
            </w:pPr>
          </w:p>
        </w:tc>
        <w:tc>
          <w:tcPr>
            <w:tcW w:w="1925" w:type="dxa"/>
            <w:vMerge w:val="continue"/>
            <w:vAlign w:val="center"/>
          </w:tcPr>
          <w:p w14:paraId="24EEE30B">
            <w:pPr>
              <w:spacing w:line="240" w:lineRule="exact"/>
              <w:jc w:val="center"/>
              <w:rPr>
                <w:rFonts w:ascii="宋体"/>
              </w:rPr>
            </w:pPr>
          </w:p>
        </w:tc>
        <w:tc>
          <w:tcPr>
            <w:tcW w:w="2422" w:type="dxa"/>
            <w:vMerge w:val="continue"/>
            <w:vAlign w:val="center"/>
          </w:tcPr>
          <w:p w14:paraId="3A8755CD">
            <w:pPr>
              <w:spacing w:line="240" w:lineRule="exact"/>
              <w:jc w:val="center"/>
              <w:rPr>
                <w:rFonts w:ascii="宋体"/>
              </w:rPr>
            </w:pPr>
          </w:p>
        </w:tc>
        <w:tc>
          <w:tcPr>
            <w:tcW w:w="1324" w:type="dxa"/>
            <w:vMerge w:val="continue"/>
            <w:tcBorders>
              <w:bottom w:val="single" w:color="auto" w:sz="4" w:space="0"/>
            </w:tcBorders>
            <w:vAlign w:val="center"/>
          </w:tcPr>
          <w:p w14:paraId="70A89972">
            <w:pPr>
              <w:spacing w:line="240" w:lineRule="exact"/>
              <w:jc w:val="center"/>
              <w:rPr>
                <w:rFonts w:ascii="宋体"/>
              </w:rPr>
            </w:pPr>
          </w:p>
        </w:tc>
        <w:tc>
          <w:tcPr>
            <w:tcW w:w="2621" w:type="dxa"/>
            <w:tcBorders>
              <w:top w:val="single" w:color="auto" w:sz="4" w:space="0"/>
              <w:bottom w:val="single" w:color="auto" w:sz="4" w:space="0"/>
            </w:tcBorders>
            <w:vAlign w:val="center"/>
          </w:tcPr>
          <w:p w14:paraId="72183A0B">
            <w:pPr>
              <w:widowControl/>
              <w:spacing w:line="240" w:lineRule="exact"/>
              <w:jc w:val="left"/>
              <w:rPr>
                <w:rFonts w:ascii="宋体"/>
              </w:rPr>
            </w:pPr>
            <w:r>
              <w:rPr>
                <w:rFonts w:hint="eastAsia" w:ascii="宋体"/>
                <w:kern w:val="0"/>
              </w:rPr>
              <w:t>具有其他较重情节的</w:t>
            </w:r>
          </w:p>
        </w:tc>
        <w:tc>
          <w:tcPr>
            <w:tcW w:w="6450" w:type="dxa"/>
            <w:tcBorders>
              <w:top w:val="single" w:color="auto" w:sz="4" w:space="0"/>
              <w:bottom w:val="single" w:color="auto" w:sz="4" w:space="0"/>
              <w:right w:val="single" w:color="auto" w:sz="4" w:space="0"/>
            </w:tcBorders>
            <w:vAlign w:val="center"/>
          </w:tcPr>
          <w:p w14:paraId="4A779BF5">
            <w:pPr>
              <w:spacing w:line="240" w:lineRule="exact"/>
              <w:jc w:val="center"/>
              <w:rPr>
                <w:rFonts w:ascii="宋体"/>
              </w:rPr>
            </w:pPr>
            <w:r>
              <w:rPr>
                <w:rFonts w:hint="eastAsia" w:ascii="宋体"/>
              </w:rPr>
              <w:t>8000元-1万元</w:t>
            </w:r>
          </w:p>
        </w:tc>
        <w:tc>
          <w:tcPr>
            <w:tcW w:w="3696" w:type="dxa"/>
            <w:tcBorders>
              <w:top w:val="single" w:color="auto" w:sz="4" w:space="0"/>
              <w:left w:val="single" w:color="auto" w:sz="4" w:space="0"/>
              <w:bottom w:val="single" w:color="auto" w:sz="4" w:space="0"/>
              <w:right w:val="single" w:color="auto" w:sz="4" w:space="0"/>
            </w:tcBorders>
            <w:vAlign w:val="center"/>
          </w:tcPr>
          <w:p w14:paraId="57104FFC">
            <w:pPr>
              <w:spacing w:line="240" w:lineRule="exact"/>
              <w:jc w:val="center"/>
              <w:rPr>
                <w:rFonts w:ascii="宋体"/>
              </w:rPr>
            </w:pPr>
            <w:r>
              <w:rPr>
                <w:rFonts w:hint="eastAsia" w:ascii="宋体"/>
              </w:rPr>
              <w:t>800-1000元</w:t>
            </w:r>
          </w:p>
        </w:tc>
      </w:tr>
      <w:tr w14:paraId="5470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495" w:type="dxa"/>
            <w:vMerge w:val="continue"/>
            <w:vAlign w:val="center"/>
          </w:tcPr>
          <w:p w14:paraId="7AC91E71">
            <w:pPr>
              <w:spacing w:line="240" w:lineRule="exact"/>
              <w:jc w:val="center"/>
              <w:rPr>
                <w:rFonts w:ascii="宋体"/>
              </w:rPr>
            </w:pPr>
          </w:p>
        </w:tc>
        <w:tc>
          <w:tcPr>
            <w:tcW w:w="1925" w:type="dxa"/>
            <w:vMerge w:val="continue"/>
            <w:vAlign w:val="center"/>
          </w:tcPr>
          <w:p w14:paraId="65A84348">
            <w:pPr>
              <w:spacing w:line="240" w:lineRule="exact"/>
              <w:jc w:val="center"/>
              <w:rPr>
                <w:rFonts w:ascii="宋体"/>
              </w:rPr>
            </w:pPr>
          </w:p>
        </w:tc>
        <w:tc>
          <w:tcPr>
            <w:tcW w:w="2422" w:type="dxa"/>
            <w:vMerge w:val="continue"/>
            <w:vAlign w:val="center"/>
          </w:tcPr>
          <w:p w14:paraId="1C416E04">
            <w:pPr>
              <w:spacing w:line="240" w:lineRule="exact"/>
              <w:jc w:val="center"/>
              <w:rPr>
                <w:rFonts w:ascii="宋体"/>
              </w:rPr>
            </w:pPr>
          </w:p>
        </w:tc>
        <w:tc>
          <w:tcPr>
            <w:tcW w:w="1324" w:type="dxa"/>
            <w:vMerge w:val="restart"/>
            <w:tcBorders>
              <w:top w:val="single" w:color="auto" w:sz="4" w:space="0"/>
              <w:right w:val="single" w:color="auto" w:sz="4" w:space="0"/>
            </w:tcBorders>
            <w:vAlign w:val="center"/>
          </w:tcPr>
          <w:p w14:paraId="11E93AE3">
            <w:pPr>
              <w:spacing w:line="240" w:lineRule="exact"/>
              <w:jc w:val="center"/>
              <w:rPr>
                <w:rFonts w:ascii="宋体"/>
              </w:rPr>
            </w:pPr>
            <w:r>
              <w:rPr>
                <w:rFonts w:hint="eastAsia" w:ascii="宋体"/>
              </w:rPr>
              <w:t>情节严重</w:t>
            </w:r>
          </w:p>
        </w:tc>
        <w:tc>
          <w:tcPr>
            <w:tcW w:w="2621" w:type="dxa"/>
            <w:tcBorders>
              <w:top w:val="single" w:color="auto" w:sz="4" w:space="0"/>
              <w:left w:val="single" w:color="auto" w:sz="4" w:space="0"/>
              <w:bottom w:val="single" w:color="auto" w:sz="4" w:space="0"/>
            </w:tcBorders>
            <w:vAlign w:val="center"/>
          </w:tcPr>
          <w:p w14:paraId="71F01A82">
            <w:pPr>
              <w:widowControl/>
              <w:spacing w:line="240" w:lineRule="exact"/>
              <w:jc w:val="left"/>
              <w:rPr>
                <w:rFonts w:ascii="宋体"/>
              </w:rPr>
            </w:pPr>
            <w:r>
              <w:rPr>
                <w:rFonts w:hint="eastAsia" w:ascii="宋体"/>
              </w:rPr>
              <w:t>1.未复查项目2个以上的；</w:t>
            </w:r>
          </w:p>
          <w:p w14:paraId="68E2B3E0">
            <w:pPr>
              <w:widowControl/>
              <w:spacing w:line="240" w:lineRule="exact"/>
              <w:jc w:val="left"/>
              <w:rPr>
                <w:rFonts w:ascii="宋体"/>
              </w:rPr>
            </w:pPr>
            <w:r>
              <w:rPr>
                <w:rFonts w:hint="eastAsia" w:ascii="宋体"/>
              </w:rPr>
              <w:t>2.因未申请复查的缺陷导致小事故或险情的。</w:t>
            </w:r>
          </w:p>
        </w:tc>
        <w:tc>
          <w:tcPr>
            <w:tcW w:w="6450" w:type="dxa"/>
            <w:tcBorders>
              <w:top w:val="single" w:color="auto" w:sz="4" w:space="0"/>
              <w:bottom w:val="single" w:color="auto" w:sz="4" w:space="0"/>
              <w:right w:val="single" w:color="auto" w:sz="4" w:space="0"/>
            </w:tcBorders>
            <w:vAlign w:val="center"/>
          </w:tcPr>
          <w:p w14:paraId="4639C32D">
            <w:pPr>
              <w:spacing w:line="240" w:lineRule="exact"/>
              <w:jc w:val="center"/>
              <w:rPr>
                <w:rFonts w:ascii="宋体"/>
              </w:rPr>
            </w:pPr>
            <w:r>
              <w:rPr>
                <w:rFonts w:hint="eastAsia" w:ascii="宋体"/>
              </w:rPr>
              <w:t>1-2万元</w:t>
            </w:r>
          </w:p>
        </w:tc>
        <w:tc>
          <w:tcPr>
            <w:tcW w:w="3696" w:type="dxa"/>
            <w:tcBorders>
              <w:top w:val="single" w:color="auto" w:sz="4" w:space="0"/>
              <w:left w:val="single" w:color="auto" w:sz="4" w:space="0"/>
              <w:bottom w:val="single" w:color="auto" w:sz="4" w:space="0"/>
              <w:right w:val="single" w:color="auto" w:sz="4" w:space="0"/>
            </w:tcBorders>
            <w:vAlign w:val="center"/>
          </w:tcPr>
          <w:p w14:paraId="286C2D0C">
            <w:pPr>
              <w:spacing w:line="240" w:lineRule="exact"/>
              <w:jc w:val="center"/>
              <w:rPr>
                <w:rFonts w:ascii="宋体"/>
              </w:rPr>
            </w:pPr>
            <w:r>
              <w:rPr>
                <w:rFonts w:hint="eastAsia" w:ascii="宋体"/>
              </w:rPr>
              <w:t>1000-2000元</w:t>
            </w:r>
          </w:p>
        </w:tc>
      </w:tr>
      <w:tr w14:paraId="3BB5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trPr>
        <w:tc>
          <w:tcPr>
            <w:tcW w:w="1495" w:type="dxa"/>
            <w:vMerge w:val="continue"/>
            <w:vAlign w:val="center"/>
          </w:tcPr>
          <w:p w14:paraId="6468EDE1">
            <w:pPr>
              <w:spacing w:line="240" w:lineRule="exact"/>
              <w:jc w:val="center"/>
              <w:rPr>
                <w:rFonts w:ascii="宋体"/>
              </w:rPr>
            </w:pPr>
          </w:p>
        </w:tc>
        <w:tc>
          <w:tcPr>
            <w:tcW w:w="1925" w:type="dxa"/>
            <w:vMerge w:val="continue"/>
            <w:vAlign w:val="center"/>
          </w:tcPr>
          <w:p w14:paraId="15B67B5E">
            <w:pPr>
              <w:spacing w:line="240" w:lineRule="exact"/>
              <w:jc w:val="center"/>
              <w:rPr>
                <w:rFonts w:ascii="宋体"/>
              </w:rPr>
            </w:pPr>
          </w:p>
        </w:tc>
        <w:tc>
          <w:tcPr>
            <w:tcW w:w="2422" w:type="dxa"/>
            <w:vMerge w:val="continue"/>
            <w:vAlign w:val="center"/>
          </w:tcPr>
          <w:p w14:paraId="2179D099">
            <w:pPr>
              <w:spacing w:line="240" w:lineRule="exact"/>
              <w:jc w:val="center"/>
              <w:rPr>
                <w:rFonts w:ascii="宋体"/>
              </w:rPr>
            </w:pPr>
          </w:p>
        </w:tc>
        <w:tc>
          <w:tcPr>
            <w:tcW w:w="1324" w:type="dxa"/>
            <w:vMerge w:val="continue"/>
            <w:tcBorders>
              <w:right w:val="single" w:color="auto" w:sz="4" w:space="0"/>
            </w:tcBorders>
            <w:vAlign w:val="center"/>
          </w:tcPr>
          <w:p w14:paraId="16392EFF">
            <w:pPr>
              <w:spacing w:line="240" w:lineRule="exact"/>
              <w:jc w:val="center"/>
              <w:rPr>
                <w:rFonts w:ascii="宋体"/>
              </w:rPr>
            </w:pPr>
          </w:p>
        </w:tc>
        <w:tc>
          <w:tcPr>
            <w:tcW w:w="2621" w:type="dxa"/>
            <w:tcBorders>
              <w:top w:val="single" w:color="auto" w:sz="4" w:space="0"/>
              <w:left w:val="single" w:color="auto" w:sz="4" w:space="0"/>
              <w:bottom w:val="single" w:color="auto" w:sz="4" w:space="0"/>
            </w:tcBorders>
            <w:vAlign w:val="center"/>
          </w:tcPr>
          <w:p w14:paraId="39CF4CB8">
            <w:pPr>
              <w:widowControl/>
              <w:spacing w:line="240" w:lineRule="exact"/>
              <w:jc w:val="left"/>
              <w:rPr>
                <w:rFonts w:ascii="宋体"/>
              </w:rPr>
            </w:pPr>
            <w:r>
              <w:rPr>
                <w:rFonts w:hint="eastAsia" w:ascii="宋体"/>
              </w:rPr>
              <w:t>1.未复查项目3个以上的；</w:t>
            </w:r>
          </w:p>
          <w:p w14:paraId="0B6813B2">
            <w:pPr>
              <w:widowControl/>
              <w:spacing w:line="240" w:lineRule="exact"/>
              <w:jc w:val="left"/>
              <w:rPr>
                <w:rFonts w:ascii="宋体"/>
              </w:rPr>
            </w:pPr>
            <w:r>
              <w:rPr>
                <w:rFonts w:hint="eastAsia" w:ascii="宋体"/>
              </w:rPr>
              <w:t>2.因未申请复查的缺陷导致一般等级以上事故的；</w:t>
            </w:r>
          </w:p>
        </w:tc>
        <w:tc>
          <w:tcPr>
            <w:tcW w:w="6450" w:type="dxa"/>
            <w:tcBorders>
              <w:top w:val="single" w:color="auto" w:sz="4" w:space="0"/>
              <w:bottom w:val="single" w:color="auto" w:sz="4" w:space="0"/>
              <w:right w:val="single" w:color="auto" w:sz="4" w:space="0"/>
            </w:tcBorders>
            <w:vAlign w:val="center"/>
          </w:tcPr>
          <w:p w14:paraId="29CFFF9B">
            <w:pPr>
              <w:spacing w:line="240" w:lineRule="exact"/>
              <w:jc w:val="center"/>
              <w:rPr>
                <w:rFonts w:ascii="宋体"/>
              </w:rPr>
            </w:pPr>
            <w:r>
              <w:rPr>
                <w:rFonts w:hint="eastAsia" w:ascii="宋体"/>
              </w:rPr>
              <w:t>2-3万元</w:t>
            </w:r>
          </w:p>
        </w:tc>
        <w:tc>
          <w:tcPr>
            <w:tcW w:w="3696" w:type="dxa"/>
            <w:tcBorders>
              <w:top w:val="single" w:color="auto" w:sz="4" w:space="0"/>
              <w:left w:val="single" w:color="auto" w:sz="4" w:space="0"/>
              <w:bottom w:val="single" w:color="auto" w:sz="4" w:space="0"/>
              <w:right w:val="single" w:color="auto" w:sz="4" w:space="0"/>
            </w:tcBorders>
            <w:vAlign w:val="center"/>
          </w:tcPr>
          <w:p w14:paraId="2CD210A2">
            <w:pPr>
              <w:spacing w:line="240" w:lineRule="exact"/>
              <w:jc w:val="center"/>
              <w:rPr>
                <w:rFonts w:ascii="宋体"/>
              </w:rPr>
            </w:pPr>
            <w:r>
              <w:rPr>
                <w:rFonts w:hint="eastAsia" w:ascii="宋体"/>
              </w:rPr>
              <w:t xml:space="preserve">2000-3000元 </w:t>
            </w:r>
          </w:p>
        </w:tc>
      </w:tr>
      <w:tr w14:paraId="33ED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trPr>
        <w:tc>
          <w:tcPr>
            <w:tcW w:w="19933" w:type="dxa"/>
            <w:gridSpan w:val="7"/>
            <w:tcBorders>
              <w:right w:val="single" w:color="auto" w:sz="4" w:space="0"/>
            </w:tcBorders>
            <w:vAlign w:val="center"/>
          </w:tcPr>
          <w:p w14:paraId="729385D1">
            <w:pPr>
              <w:spacing w:line="240" w:lineRule="exact"/>
              <w:jc w:val="left"/>
              <w:rPr>
                <w:rFonts w:ascii="宋体"/>
              </w:rPr>
            </w:pPr>
            <w:r>
              <w:rPr>
                <w:rFonts w:hint="eastAsia" w:ascii="宋体"/>
              </w:rPr>
              <w:t>注：</w:t>
            </w:r>
          </w:p>
          <w:p w14:paraId="6BFCDA65">
            <w:pPr>
              <w:spacing w:line="240" w:lineRule="exact"/>
              <w:jc w:val="left"/>
              <w:rPr>
                <w:rFonts w:ascii="宋体"/>
              </w:rPr>
            </w:pPr>
            <w:r>
              <w:rPr>
                <w:rFonts w:hint="eastAsia" w:ascii="宋体"/>
              </w:rPr>
              <w:t>1、当事人存在应当申请复查的缺陷未纠正的，依据</w:t>
            </w:r>
            <w:r>
              <w:rPr>
                <w:rFonts w:hint="eastAsia" w:ascii="宋体"/>
                <w:kern w:val="0"/>
              </w:rPr>
              <w:t>《中华人民共和国船舶安全监督规则》第五十二条第（二）项“未按照《船舶现场监督报告》《船旗国监督检查报告》《港口国监督检查报告》的处理意见纠正缺陷或者采取措施的”情节严重的标准处罚。</w:t>
            </w:r>
          </w:p>
        </w:tc>
      </w:tr>
    </w:tbl>
    <w:p w14:paraId="22E91FC4">
      <w:pPr>
        <w:jc w:val="left"/>
        <w:rPr>
          <w:rFonts w:ascii="宋体"/>
        </w:rPr>
      </w:pPr>
      <w:r>
        <w:rPr>
          <w:rFonts w:ascii="宋体"/>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gridCol w:w="1482"/>
        <w:gridCol w:w="2632"/>
        <w:gridCol w:w="895"/>
        <w:gridCol w:w="5204"/>
        <w:gridCol w:w="8216"/>
      </w:tblGrid>
      <w:tr w14:paraId="26AC4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558" w:type="dxa"/>
            <w:vMerge w:val="restart"/>
            <w:vAlign w:val="center"/>
          </w:tcPr>
          <w:p w14:paraId="3C61A602">
            <w:pPr>
              <w:spacing w:line="240" w:lineRule="exact"/>
              <w:jc w:val="center"/>
              <w:rPr>
                <w:rFonts w:ascii="宋体"/>
                <w:b/>
                <w:kern w:val="0"/>
              </w:rPr>
            </w:pPr>
            <w:r>
              <w:rPr>
                <w:rFonts w:hint="eastAsia" w:ascii="宋体"/>
                <w:b/>
                <w:kern w:val="0"/>
              </w:rPr>
              <w:t>案由62</w:t>
            </w:r>
          </w:p>
        </w:tc>
        <w:tc>
          <w:tcPr>
            <w:tcW w:w="4114" w:type="dxa"/>
            <w:gridSpan w:val="2"/>
            <w:vAlign w:val="center"/>
          </w:tcPr>
          <w:p w14:paraId="60FB898A">
            <w:pPr>
              <w:spacing w:line="240" w:lineRule="exact"/>
              <w:jc w:val="center"/>
              <w:rPr>
                <w:rFonts w:ascii="宋体"/>
                <w:b/>
                <w:kern w:val="0"/>
              </w:rPr>
            </w:pPr>
            <w:r>
              <w:rPr>
                <w:rFonts w:hint="eastAsia" w:ascii="宋体"/>
                <w:b/>
                <w:kern w:val="0"/>
              </w:rPr>
              <w:t>法律依据</w:t>
            </w:r>
          </w:p>
        </w:tc>
        <w:tc>
          <w:tcPr>
            <w:tcW w:w="895" w:type="dxa"/>
            <w:vMerge w:val="restart"/>
            <w:vAlign w:val="center"/>
          </w:tcPr>
          <w:p w14:paraId="5666AFC5">
            <w:pPr>
              <w:spacing w:line="240" w:lineRule="exact"/>
              <w:jc w:val="center"/>
              <w:rPr>
                <w:rFonts w:ascii="宋体"/>
                <w:b/>
                <w:kern w:val="0"/>
              </w:rPr>
            </w:pPr>
            <w:r>
              <w:rPr>
                <w:rFonts w:hint="eastAsia" w:ascii="宋体"/>
                <w:b/>
                <w:kern w:val="0"/>
              </w:rPr>
              <w:t>违法情节</w:t>
            </w:r>
          </w:p>
        </w:tc>
        <w:tc>
          <w:tcPr>
            <w:tcW w:w="5204" w:type="dxa"/>
            <w:vMerge w:val="restart"/>
            <w:vAlign w:val="center"/>
          </w:tcPr>
          <w:p w14:paraId="2AE33E9B">
            <w:pPr>
              <w:spacing w:line="240" w:lineRule="exact"/>
              <w:jc w:val="center"/>
              <w:rPr>
                <w:rFonts w:ascii="宋体"/>
                <w:b/>
                <w:kern w:val="0"/>
              </w:rPr>
            </w:pPr>
            <w:r>
              <w:rPr>
                <w:rFonts w:hint="eastAsia" w:ascii="宋体"/>
                <w:b/>
                <w:kern w:val="0"/>
              </w:rPr>
              <w:t>主要考虑因素（事实、性质、情节、危害程度和实际后果等）</w:t>
            </w:r>
          </w:p>
        </w:tc>
        <w:tc>
          <w:tcPr>
            <w:tcW w:w="8216" w:type="dxa"/>
            <w:tcBorders>
              <w:right w:val="single" w:color="auto" w:sz="4" w:space="0"/>
            </w:tcBorders>
            <w:vAlign w:val="center"/>
          </w:tcPr>
          <w:p w14:paraId="47BCF863">
            <w:pPr>
              <w:widowControl/>
              <w:spacing w:line="240" w:lineRule="exact"/>
              <w:jc w:val="left"/>
              <w:rPr>
                <w:rFonts w:ascii="宋体"/>
                <w:b/>
              </w:rPr>
            </w:pPr>
            <w:r>
              <w:rPr>
                <w:rFonts w:hint="eastAsia" w:ascii="宋体"/>
                <w:b/>
                <w:kern w:val="0"/>
              </w:rPr>
              <w:t>【法定幅度和种类】</w:t>
            </w:r>
            <w:r>
              <w:rPr>
                <w:rFonts w:hint="eastAsia" w:ascii="宋体"/>
                <w:kern w:val="0"/>
              </w:rPr>
              <w:t>对船舶所有人或者船舶经营人处1000元以上1万元以下罚款。</w:t>
            </w:r>
          </w:p>
        </w:tc>
      </w:tr>
      <w:tr w14:paraId="5813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trPr>
        <w:tc>
          <w:tcPr>
            <w:tcW w:w="1558" w:type="dxa"/>
            <w:vMerge w:val="continue"/>
            <w:vAlign w:val="center"/>
          </w:tcPr>
          <w:p w14:paraId="5968D39D">
            <w:pPr>
              <w:spacing w:line="240" w:lineRule="exact"/>
              <w:jc w:val="center"/>
              <w:rPr>
                <w:rFonts w:ascii="宋体"/>
                <w:b/>
                <w:kern w:val="0"/>
              </w:rPr>
            </w:pPr>
          </w:p>
        </w:tc>
        <w:tc>
          <w:tcPr>
            <w:tcW w:w="1482" w:type="dxa"/>
            <w:tcBorders>
              <w:bottom w:val="single" w:color="000000" w:sz="4" w:space="0"/>
            </w:tcBorders>
            <w:vAlign w:val="center"/>
          </w:tcPr>
          <w:p w14:paraId="476BC784">
            <w:pPr>
              <w:spacing w:line="240" w:lineRule="exact"/>
              <w:jc w:val="center"/>
              <w:rPr>
                <w:rFonts w:ascii="宋体"/>
                <w:b/>
                <w:kern w:val="0"/>
              </w:rPr>
            </w:pPr>
            <w:r>
              <w:rPr>
                <w:rFonts w:hint="eastAsia" w:ascii="宋体"/>
                <w:b/>
                <w:kern w:val="0"/>
              </w:rPr>
              <w:t>违反条款</w:t>
            </w:r>
          </w:p>
        </w:tc>
        <w:tc>
          <w:tcPr>
            <w:tcW w:w="2632" w:type="dxa"/>
            <w:tcBorders>
              <w:bottom w:val="single" w:color="000000" w:sz="4" w:space="0"/>
            </w:tcBorders>
            <w:vAlign w:val="center"/>
          </w:tcPr>
          <w:p w14:paraId="17CD277F">
            <w:pPr>
              <w:spacing w:line="240" w:lineRule="exact"/>
              <w:jc w:val="center"/>
              <w:rPr>
                <w:rFonts w:ascii="宋体"/>
                <w:b/>
                <w:kern w:val="0"/>
              </w:rPr>
            </w:pPr>
            <w:r>
              <w:rPr>
                <w:rFonts w:hint="eastAsia" w:ascii="宋体"/>
                <w:b/>
                <w:kern w:val="0"/>
              </w:rPr>
              <w:t>处罚依据</w:t>
            </w:r>
          </w:p>
        </w:tc>
        <w:tc>
          <w:tcPr>
            <w:tcW w:w="895" w:type="dxa"/>
            <w:vMerge w:val="continue"/>
            <w:tcBorders>
              <w:bottom w:val="single" w:color="000000" w:sz="4" w:space="0"/>
            </w:tcBorders>
            <w:vAlign w:val="center"/>
          </w:tcPr>
          <w:p w14:paraId="1B2424E5">
            <w:pPr>
              <w:spacing w:line="240" w:lineRule="exact"/>
              <w:jc w:val="center"/>
              <w:rPr>
                <w:rFonts w:ascii="宋体"/>
                <w:b/>
                <w:kern w:val="0"/>
              </w:rPr>
            </w:pPr>
          </w:p>
        </w:tc>
        <w:tc>
          <w:tcPr>
            <w:tcW w:w="5204" w:type="dxa"/>
            <w:vMerge w:val="continue"/>
            <w:tcBorders>
              <w:bottom w:val="single" w:color="000000" w:sz="4" w:space="0"/>
            </w:tcBorders>
            <w:vAlign w:val="center"/>
          </w:tcPr>
          <w:p w14:paraId="5622ED17">
            <w:pPr>
              <w:spacing w:line="240" w:lineRule="exact"/>
              <w:jc w:val="center"/>
              <w:rPr>
                <w:rFonts w:ascii="宋体"/>
                <w:b/>
                <w:kern w:val="0"/>
              </w:rPr>
            </w:pPr>
          </w:p>
        </w:tc>
        <w:tc>
          <w:tcPr>
            <w:tcW w:w="8216" w:type="dxa"/>
            <w:tcBorders>
              <w:top w:val="single" w:color="auto" w:sz="4" w:space="0"/>
              <w:right w:val="single" w:color="auto" w:sz="4" w:space="0"/>
            </w:tcBorders>
            <w:vAlign w:val="center"/>
          </w:tcPr>
          <w:p w14:paraId="3D334F32">
            <w:pPr>
              <w:spacing w:line="240" w:lineRule="exact"/>
              <w:jc w:val="center"/>
              <w:rPr>
                <w:rFonts w:ascii="宋体"/>
                <w:b/>
                <w:kern w:val="0"/>
              </w:rPr>
            </w:pPr>
            <w:r>
              <w:rPr>
                <w:rFonts w:hint="eastAsia" w:ascii="宋体"/>
                <w:b/>
                <w:kern w:val="0"/>
              </w:rPr>
              <w:t>【对象】船舶所有人或者船舶经营</w:t>
            </w:r>
          </w:p>
        </w:tc>
      </w:tr>
      <w:tr w14:paraId="705F3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558" w:type="dxa"/>
            <w:vMerge w:val="restart"/>
            <w:vAlign w:val="center"/>
          </w:tcPr>
          <w:p w14:paraId="60FEABAE">
            <w:pPr>
              <w:widowControl/>
              <w:spacing w:line="240" w:lineRule="exact"/>
              <w:jc w:val="left"/>
              <w:rPr>
                <w:rFonts w:ascii="宋体"/>
                <w:kern w:val="0"/>
              </w:rPr>
            </w:pPr>
            <w:r>
              <w:rPr>
                <w:rFonts w:hint="eastAsia" w:ascii="宋体"/>
                <w:kern w:val="0"/>
              </w:rPr>
              <w:t>船舶未按照规定开展自查或者未随船保存船舶自查记录的</w:t>
            </w:r>
          </w:p>
        </w:tc>
        <w:tc>
          <w:tcPr>
            <w:tcW w:w="1482" w:type="dxa"/>
            <w:vMerge w:val="restart"/>
            <w:vAlign w:val="center"/>
          </w:tcPr>
          <w:p w14:paraId="556C3B51">
            <w:pPr>
              <w:autoSpaceDE w:val="0"/>
              <w:autoSpaceDN w:val="0"/>
              <w:adjustRightInd w:val="0"/>
              <w:spacing w:line="240" w:lineRule="exact"/>
              <w:jc w:val="left"/>
              <w:rPr>
                <w:rFonts w:ascii="宋体"/>
                <w:kern w:val="0"/>
              </w:rPr>
            </w:pPr>
            <w:r>
              <w:rPr>
                <w:rFonts w:hint="eastAsia" w:ascii="宋体"/>
                <w:kern w:val="0"/>
              </w:rPr>
              <w:t>1.《中华人民共和国船舶安全监督规则》第四十二条相关条款。</w:t>
            </w:r>
          </w:p>
        </w:tc>
        <w:tc>
          <w:tcPr>
            <w:tcW w:w="2632" w:type="dxa"/>
            <w:vMerge w:val="restart"/>
            <w:vAlign w:val="center"/>
          </w:tcPr>
          <w:p w14:paraId="679E24E5">
            <w:pPr>
              <w:spacing w:line="240" w:lineRule="exact"/>
              <w:jc w:val="left"/>
              <w:rPr>
                <w:rFonts w:ascii="宋体"/>
                <w:kern w:val="0"/>
              </w:rPr>
            </w:pPr>
            <w:r>
              <w:rPr>
                <w:rFonts w:hint="eastAsia" w:ascii="宋体"/>
                <w:kern w:val="0"/>
              </w:rPr>
              <w:t>1.《中华人民共和国船舶安全监督规则》第五十三条；</w:t>
            </w:r>
          </w:p>
          <w:p w14:paraId="31EAC012">
            <w:pPr>
              <w:spacing w:line="240" w:lineRule="exact"/>
              <w:jc w:val="left"/>
              <w:rPr>
                <w:rFonts w:ascii="宋体"/>
                <w:kern w:val="0"/>
              </w:rPr>
            </w:pPr>
            <w:r>
              <w:rPr>
                <w:rFonts w:hint="eastAsia" w:ascii="宋体"/>
                <w:kern w:val="0"/>
              </w:rPr>
              <w:t>2. 《中华人民共和国海上海事行政处罚规定》第七条。</w:t>
            </w:r>
          </w:p>
        </w:tc>
        <w:tc>
          <w:tcPr>
            <w:tcW w:w="895" w:type="dxa"/>
            <w:vAlign w:val="center"/>
          </w:tcPr>
          <w:p w14:paraId="2EAC3A72">
            <w:pPr>
              <w:spacing w:line="240" w:lineRule="exact"/>
              <w:jc w:val="center"/>
              <w:rPr>
                <w:rFonts w:ascii="宋体"/>
                <w:kern w:val="0"/>
              </w:rPr>
            </w:pPr>
            <w:r>
              <w:rPr>
                <w:rFonts w:hint="eastAsia" w:ascii="宋体"/>
                <w:kern w:val="0"/>
              </w:rPr>
              <w:t>从轻</w:t>
            </w:r>
          </w:p>
        </w:tc>
        <w:tc>
          <w:tcPr>
            <w:tcW w:w="5204" w:type="dxa"/>
            <w:vAlign w:val="center"/>
          </w:tcPr>
          <w:p w14:paraId="0802D771">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8216" w:type="dxa"/>
            <w:tcBorders>
              <w:right w:val="single" w:color="auto" w:sz="4" w:space="0"/>
            </w:tcBorders>
            <w:vAlign w:val="center"/>
          </w:tcPr>
          <w:p w14:paraId="2696267D">
            <w:pPr>
              <w:spacing w:line="240" w:lineRule="exact"/>
              <w:jc w:val="center"/>
              <w:rPr>
                <w:rFonts w:ascii="宋体"/>
                <w:kern w:val="0"/>
              </w:rPr>
            </w:pPr>
            <w:r>
              <w:rPr>
                <w:rFonts w:hint="eastAsia" w:ascii="宋体"/>
                <w:kern w:val="0"/>
              </w:rPr>
              <w:t>1000-2000元</w:t>
            </w:r>
          </w:p>
        </w:tc>
      </w:tr>
      <w:tr w14:paraId="2DF79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58" w:type="dxa"/>
            <w:vMerge w:val="continue"/>
            <w:vAlign w:val="center"/>
          </w:tcPr>
          <w:p w14:paraId="51799C36">
            <w:pPr>
              <w:spacing w:line="240" w:lineRule="exact"/>
              <w:jc w:val="center"/>
              <w:rPr>
                <w:rFonts w:ascii="宋体"/>
                <w:kern w:val="0"/>
              </w:rPr>
            </w:pPr>
          </w:p>
        </w:tc>
        <w:tc>
          <w:tcPr>
            <w:tcW w:w="1482" w:type="dxa"/>
            <w:vMerge w:val="continue"/>
            <w:vAlign w:val="center"/>
          </w:tcPr>
          <w:p w14:paraId="7302C388">
            <w:pPr>
              <w:widowControl/>
              <w:spacing w:line="240" w:lineRule="exact"/>
              <w:jc w:val="center"/>
              <w:rPr>
                <w:rFonts w:ascii="宋体"/>
                <w:kern w:val="0"/>
              </w:rPr>
            </w:pPr>
          </w:p>
        </w:tc>
        <w:tc>
          <w:tcPr>
            <w:tcW w:w="2632" w:type="dxa"/>
            <w:vMerge w:val="continue"/>
            <w:vAlign w:val="center"/>
          </w:tcPr>
          <w:p w14:paraId="69282822">
            <w:pPr>
              <w:spacing w:line="240" w:lineRule="exact"/>
              <w:jc w:val="center"/>
              <w:rPr>
                <w:rFonts w:ascii="宋体"/>
                <w:kern w:val="0"/>
              </w:rPr>
            </w:pPr>
          </w:p>
        </w:tc>
        <w:tc>
          <w:tcPr>
            <w:tcW w:w="895" w:type="dxa"/>
            <w:vMerge w:val="restart"/>
            <w:vAlign w:val="center"/>
          </w:tcPr>
          <w:p w14:paraId="59234476">
            <w:pPr>
              <w:spacing w:line="240" w:lineRule="exact"/>
              <w:jc w:val="center"/>
              <w:rPr>
                <w:rFonts w:ascii="宋体"/>
                <w:kern w:val="0"/>
              </w:rPr>
            </w:pPr>
            <w:r>
              <w:rPr>
                <w:rFonts w:hint="eastAsia" w:ascii="宋体"/>
                <w:kern w:val="0"/>
              </w:rPr>
              <w:t>一般</w:t>
            </w:r>
          </w:p>
        </w:tc>
        <w:tc>
          <w:tcPr>
            <w:tcW w:w="5204" w:type="dxa"/>
            <w:vAlign w:val="center"/>
          </w:tcPr>
          <w:p w14:paraId="2396C706">
            <w:pPr>
              <w:spacing w:line="240" w:lineRule="exact"/>
              <w:jc w:val="left"/>
              <w:rPr>
                <w:rFonts w:ascii="宋体"/>
                <w:kern w:val="0"/>
              </w:rPr>
            </w:pPr>
            <w:r>
              <w:rPr>
                <w:rFonts w:hint="eastAsia" w:ascii="宋体"/>
                <w:kern w:val="0"/>
              </w:rPr>
              <w:t>未随船保存船舶自查记录</w:t>
            </w:r>
          </w:p>
        </w:tc>
        <w:tc>
          <w:tcPr>
            <w:tcW w:w="8216" w:type="dxa"/>
            <w:tcBorders>
              <w:right w:val="single" w:color="auto" w:sz="4" w:space="0"/>
            </w:tcBorders>
            <w:vAlign w:val="center"/>
          </w:tcPr>
          <w:p w14:paraId="62AA07EB">
            <w:pPr>
              <w:spacing w:line="240" w:lineRule="exact"/>
              <w:jc w:val="center"/>
              <w:rPr>
                <w:rFonts w:ascii="宋体"/>
                <w:kern w:val="0"/>
              </w:rPr>
            </w:pPr>
            <w:r>
              <w:rPr>
                <w:rFonts w:hint="eastAsia" w:ascii="宋体"/>
                <w:kern w:val="0"/>
              </w:rPr>
              <w:t>2000-3000元</w:t>
            </w:r>
          </w:p>
        </w:tc>
      </w:tr>
      <w:tr w14:paraId="09A6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1558" w:type="dxa"/>
            <w:vMerge w:val="continue"/>
            <w:vAlign w:val="center"/>
          </w:tcPr>
          <w:p w14:paraId="509F4FBA">
            <w:pPr>
              <w:spacing w:line="240" w:lineRule="exact"/>
              <w:jc w:val="center"/>
              <w:rPr>
                <w:rFonts w:ascii="宋体"/>
                <w:kern w:val="0"/>
              </w:rPr>
            </w:pPr>
          </w:p>
        </w:tc>
        <w:tc>
          <w:tcPr>
            <w:tcW w:w="1482" w:type="dxa"/>
            <w:vMerge w:val="continue"/>
            <w:vAlign w:val="center"/>
          </w:tcPr>
          <w:p w14:paraId="4AD8BDF9">
            <w:pPr>
              <w:spacing w:line="240" w:lineRule="exact"/>
              <w:jc w:val="center"/>
              <w:rPr>
                <w:rFonts w:ascii="宋体"/>
                <w:kern w:val="0"/>
              </w:rPr>
            </w:pPr>
          </w:p>
        </w:tc>
        <w:tc>
          <w:tcPr>
            <w:tcW w:w="2632" w:type="dxa"/>
            <w:vMerge w:val="continue"/>
            <w:vAlign w:val="center"/>
          </w:tcPr>
          <w:p w14:paraId="7A7C70E3">
            <w:pPr>
              <w:spacing w:line="240" w:lineRule="exact"/>
              <w:jc w:val="center"/>
              <w:rPr>
                <w:rFonts w:ascii="宋体"/>
                <w:kern w:val="0"/>
              </w:rPr>
            </w:pPr>
          </w:p>
        </w:tc>
        <w:tc>
          <w:tcPr>
            <w:tcW w:w="895" w:type="dxa"/>
            <w:vMerge w:val="continue"/>
            <w:vAlign w:val="center"/>
          </w:tcPr>
          <w:p w14:paraId="20704DF6">
            <w:pPr>
              <w:spacing w:line="240" w:lineRule="exact"/>
              <w:jc w:val="center"/>
              <w:rPr>
                <w:rFonts w:ascii="宋体"/>
                <w:kern w:val="0"/>
              </w:rPr>
            </w:pPr>
          </w:p>
        </w:tc>
        <w:tc>
          <w:tcPr>
            <w:tcW w:w="5204" w:type="dxa"/>
            <w:tcBorders>
              <w:top w:val="single" w:color="auto" w:sz="4" w:space="0"/>
              <w:bottom w:val="single" w:color="auto" w:sz="4" w:space="0"/>
            </w:tcBorders>
            <w:vAlign w:val="center"/>
          </w:tcPr>
          <w:p w14:paraId="773A9B5B">
            <w:pPr>
              <w:spacing w:line="240" w:lineRule="exact"/>
              <w:jc w:val="left"/>
              <w:rPr>
                <w:rFonts w:ascii="宋体"/>
                <w:kern w:val="0"/>
              </w:rPr>
            </w:pPr>
            <w:r>
              <w:rPr>
                <w:rFonts w:hint="eastAsia" w:ascii="宋体"/>
                <w:kern w:val="0"/>
              </w:rPr>
              <w:t>未开展自查且未导致事故或险情的</w:t>
            </w:r>
          </w:p>
        </w:tc>
        <w:tc>
          <w:tcPr>
            <w:tcW w:w="8216" w:type="dxa"/>
            <w:tcBorders>
              <w:top w:val="single" w:color="auto" w:sz="4" w:space="0"/>
              <w:bottom w:val="single" w:color="auto" w:sz="4" w:space="0"/>
              <w:right w:val="single" w:color="auto" w:sz="4" w:space="0"/>
            </w:tcBorders>
            <w:vAlign w:val="center"/>
          </w:tcPr>
          <w:p w14:paraId="451F95E6">
            <w:pPr>
              <w:spacing w:line="240" w:lineRule="exact"/>
              <w:jc w:val="center"/>
              <w:rPr>
                <w:rFonts w:ascii="宋体"/>
                <w:kern w:val="0"/>
              </w:rPr>
            </w:pPr>
            <w:r>
              <w:rPr>
                <w:rFonts w:hint="eastAsia" w:ascii="宋体"/>
                <w:kern w:val="0"/>
              </w:rPr>
              <w:t>3000-4000元</w:t>
            </w:r>
          </w:p>
        </w:tc>
      </w:tr>
      <w:tr w14:paraId="5C5A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1558" w:type="dxa"/>
            <w:vMerge w:val="continue"/>
            <w:vAlign w:val="center"/>
          </w:tcPr>
          <w:p w14:paraId="6C6BC583">
            <w:pPr>
              <w:spacing w:line="240" w:lineRule="exact"/>
              <w:jc w:val="center"/>
              <w:rPr>
                <w:rFonts w:ascii="宋体"/>
                <w:kern w:val="0"/>
              </w:rPr>
            </w:pPr>
          </w:p>
        </w:tc>
        <w:tc>
          <w:tcPr>
            <w:tcW w:w="1482" w:type="dxa"/>
            <w:vMerge w:val="continue"/>
            <w:vAlign w:val="center"/>
          </w:tcPr>
          <w:p w14:paraId="351BDD3E">
            <w:pPr>
              <w:spacing w:line="240" w:lineRule="exact"/>
              <w:jc w:val="center"/>
              <w:rPr>
                <w:rFonts w:ascii="宋体"/>
                <w:kern w:val="0"/>
              </w:rPr>
            </w:pPr>
          </w:p>
        </w:tc>
        <w:tc>
          <w:tcPr>
            <w:tcW w:w="2632" w:type="dxa"/>
            <w:vMerge w:val="continue"/>
            <w:vAlign w:val="center"/>
          </w:tcPr>
          <w:p w14:paraId="32B5DF19">
            <w:pPr>
              <w:spacing w:line="240" w:lineRule="exact"/>
              <w:jc w:val="center"/>
              <w:rPr>
                <w:rFonts w:ascii="宋体"/>
                <w:kern w:val="0"/>
              </w:rPr>
            </w:pPr>
          </w:p>
        </w:tc>
        <w:tc>
          <w:tcPr>
            <w:tcW w:w="895" w:type="dxa"/>
            <w:vMerge w:val="continue"/>
            <w:vAlign w:val="center"/>
          </w:tcPr>
          <w:p w14:paraId="75551F82">
            <w:pPr>
              <w:spacing w:line="240" w:lineRule="exact"/>
              <w:jc w:val="center"/>
              <w:rPr>
                <w:rFonts w:ascii="宋体"/>
                <w:kern w:val="0"/>
              </w:rPr>
            </w:pPr>
          </w:p>
        </w:tc>
        <w:tc>
          <w:tcPr>
            <w:tcW w:w="5204" w:type="dxa"/>
            <w:tcBorders>
              <w:top w:val="single" w:color="auto" w:sz="4" w:space="0"/>
              <w:bottom w:val="single" w:color="auto" w:sz="4" w:space="0"/>
            </w:tcBorders>
            <w:vAlign w:val="center"/>
          </w:tcPr>
          <w:p w14:paraId="45D00418">
            <w:pPr>
              <w:spacing w:line="240" w:lineRule="exact"/>
              <w:jc w:val="left"/>
              <w:rPr>
                <w:rFonts w:ascii="宋体"/>
                <w:kern w:val="0"/>
              </w:rPr>
            </w:pPr>
            <w:r>
              <w:rPr>
                <w:rFonts w:hint="eastAsia" w:ascii="宋体"/>
                <w:kern w:val="0"/>
              </w:rPr>
              <w:t>未开展自查导致险情的</w:t>
            </w:r>
          </w:p>
        </w:tc>
        <w:tc>
          <w:tcPr>
            <w:tcW w:w="8216" w:type="dxa"/>
            <w:tcBorders>
              <w:top w:val="single" w:color="auto" w:sz="4" w:space="0"/>
              <w:right w:val="single" w:color="auto" w:sz="4" w:space="0"/>
            </w:tcBorders>
            <w:vAlign w:val="center"/>
          </w:tcPr>
          <w:p w14:paraId="56102A84">
            <w:pPr>
              <w:spacing w:line="240" w:lineRule="exact"/>
              <w:jc w:val="center"/>
              <w:rPr>
                <w:rFonts w:ascii="宋体"/>
                <w:kern w:val="0"/>
              </w:rPr>
            </w:pPr>
            <w:r>
              <w:rPr>
                <w:rFonts w:hint="eastAsia" w:ascii="宋体"/>
                <w:kern w:val="0"/>
              </w:rPr>
              <w:t>4000-5000元</w:t>
            </w:r>
          </w:p>
        </w:tc>
      </w:tr>
      <w:tr w14:paraId="4178C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558" w:type="dxa"/>
            <w:vMerge w:val="continue"/>
            <w:vAlign w:val="center"/>
          </w:tcPr>
          <w:p w14:paraId="45BC7EB3">
            <w:pPr>
              <w:spacing w:line="240" w:lineRule="exact"/>
              <w:jc w:val="center"/>
              <w:rPr>
                <w:rFonts w:ascii="宋体"/>
                <w:kern w:val="0"/>
              </w:rPr>
            </w:pPr>
          </w:p>
        </w:tc>
        <w:tc>
          <w:tcPr>
            <w:tcW w:w="1482" w:type="dxa"/>
            <w:vMerge w:val="continue"/>
            <w:vAlign w:val="center"/>
          </w:tcPr>
          <w:p w14:paraId="3F22666E">
            <w:pPr>
              <w:spacing w:line="240" w:lineRule="exact"/>
              <w:jc w:val="center"/>
              <w:rPr>
                <w:rFonts w:ascii="宋体"/>
                <w:kern w:val="0"/>
              </w:rPr>
            </w:pPr>
          </w:p>
        </w:tc>
        <w:tc>
          <w:tcPr>
            <w:tcW w:w="2632" w:type="dxa"/>
            <w:vMerge w:val="continue"/>
            <w:vAlign w:val="center"/>
          </w:tcPr>
          <w:p w14:paraId="275D939C">
            <w:pPr>
              <w:spacing w:line="240" w:lineRule="exact"/>
              <w:jc w:val="center"/>
              <w:rPr>
                <w:rFonts w:ascii="宋体"/>
                <w:kern w:val="0"/>
              </w:rPr>
            </w:pPr>
          </w:p>
        </w:tc>
        <w:tc>
          <w:tcPr>
            <w:tcW w:w="895" w:type="dxa"/>
            <w:vMerge w:val="continue"/>
            <w:vAlign w:val="center"/>
          </w:tcPr>
          <w:p w14:paraId="73D835A3">
            <w:pPr>
              <w:spacing w:line="240" w:lineRule="exact"/>
              <w:jc w:val="center"/>
              <w:rPr>
                <w:rFonts w:ascii="宋体"/>
                <w:kern w:val="0"/>
              </w:rPr>
            </w:pPr>
          </w:p>
        </w:tc>
        <w:tc>
          <w:tcPr>
            <w:tcW w:w="5204" w:type="dxa"/>
            <w:tcBorders>
              <w:top w:val="single" w:color="auto" w:sz="4" w:space="0"/>
              <w:bottom w:val="single" w:color="auto" w:sz="4" w:space="0"/>
            </w:tcBorders>
            <w:vAlign w:val="center"/>
          </w:tcPr>
          <w:p w14:paraId="64F902E7">
            <w:pPr>
              <w:spacing w:line="240" w:lineRule="exact"/>
              <w:jc w:val="left"/>
              <w:rPr>
                <w:rFonts w:ascii="宋体"/>
                <w:kern w:val="0"/>
              </w:rPr>
            </w:pPr>
            <w:r>
              <w:rPr>
                <w:rFonts w:hint="eastAsia" w:ascii="宋体"/>
                <w:kern w:val="0"/>
              </w:rPr>
              <w:t>具有其他较重情节的</w:t>
            </w:r>
          </w:p>
        </w:tc>
        <w:tc>
          <w:tcPr>
            <w:tcW w:w="8216" w:type="dxa"/>
            <w:tcBorders>
              <w:right w:val="single" w:color="auto" w:sz="4" w:space="0"/>
            </w:tcBorders>
            <w:vAlign w:val="center"/>
          </w:tcPr>
          <w:p w14:paraId="0286C95C">
            <w:pPr>
              <w:spacing w:line="240" w:lineRule="exact"/>
              <w:jc w:val="center"/>
              <w:rPr>
                <w:rFonts w:ascii="宋体"/>
                <w:kern w:val="0"/>
              </w:rPr>
            </w:pPr>
            <w:r>
              <w:rPr>
                <w:rFonts w:hint="eastAsia" w:ascii="宋体"/>
                <w:kern w:val="0"/>
              </w:rPr>
              <w:t>5000-1万元</w:t>
            </w:r>
          </w:p>
        </w:tc>
      </w:tr>
    </w:tbl>
    <w:p w14:paraId="54571482">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490"/>
        <w:gridCol w:w="1791"/>
        <w:gridCol w:w="920"/>
        <w:gridCol w:w="5103"/>
        <w:gridCol w:w="2769"/>
        <w:gridCol w:w="49"/>
        <w:gridCol w:w="2835"/>
        <w:gridCol w:w="2704"/>
      </w:tblGrid>
      <w:tr w14:paraId="6A14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594" w:type="dxa"/>
            <w:vMerge w:val="restart"/>
            <w:tcBorders>
              <w:top w:val="single" w:color="auto" w:sz="4" w:space="0"/>
              <w:left w:val="single" w:color="auto" w:sz="4" w:space="0"/>
              <w:bottom w:val="single" w:color="auto" w:sz="4" w:space="0"/>
              <w:right w:val="single" w:color="auto" w:sz="4" w:space="0"/>
            </w:tcBorders>
            <w:vAlign w:val="center"/>
          </w:tcPr>
          <w:p w14:paraId="44D13012">
            <w:pPr>
              <w:spacing w:line="240" w:lineRule="exact"/>
              <w:jc w:val="center"/>
              <w:rPr>
                <w:rFonts w:ascii="宋体"/>
                <w:b/>
              </w:rPr>
            </w:pPr>
            <w:r>
              <w:rPr>
                <w:rFonts w:hint="eastAsia" w:ascii="宋体"/>
                <w:b/>
              </w:rPr>
              <w:t>案由63</w:t>
            </w:r>
          </w:p>
        </w:tc>
        <w:tc>
          <w:tcPr>
            <w:tcW w:w="3281" w:type="dxa"/>
            <w:gridSpan w:val="2"/>
            <w:tcBorders>
              <w:top w:val="single" w:color="auto" w:sz="4" w:space="0"/>
              <w:left w:val="single" w:color="auto" w:sz="4" w:space="0"/>
              <w:bottom w:val="single" w:color="auto" w:sz="4" w:space="0"/>
              <w:right w:val="single" w:color="auto" w:sz="4" w:space="0"/>
            </w:tcBorders>
            <w:vAlign w:val="center"/>
          </w:tcPr>
          <w:p w14:paraId="3DD82427">
            <w:pPr>
              <w:spacing w:line="240" w:lineRule="exact"/>
              <w:jc w:val="center"/>
              <w:rPr>
                <w:rFonts w:ascii="宋体"/>
                <w:b/>
              </w:rPr>
            </w:pPr>
            <w:r>
              <w:rPr>
                <w:rFonts w:hint="eastAsia" w:ascii="宋体"/>
                <w:b/>
              </w:rPr>
              <w:t>法律依据</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14:paraId="2E26F1DA">
            <w:pPr>
              <w:spacing w:line="240" w:lineRule="exact"/>
              <w:jc w:val="center"/>
              <w:rPr>
                <w:rFonts w:ascii="宋体"/>
                <w:b/>
              </w:rPr>
            </w:pPr>
            <w:r>
              <w:rPr>
                <w:rFonts w:hint="eastAsia" w:ascii="宋体"/>
                <w:b/>
              </w:rPr>
              <w:t>违法情节</w:t>
            </w:r>
          </w:p>
        </w:tc>
        <w:tc>
          <w:tcPr>
            <w:tcW w:w="5103" w:type="dxa"/>
            <w:vMerge w:val="restart"/>
            <w:tcBorders>
              <w:top w:val="single" w:color="auto" w:sz="4" w:space="0"/>
              <w:left w:val="single" w:color="auto" w:sz="4" w:space="0"/>
              <w:bottom w:val="single" w:color="auto" w:sz="4" w:space="0"/>
              <w:right w:val="single" w:color="auto" w:sz="4" w:space="0"/>
            </w:tcBorders>
            <w:vAlign w:val="center"/>
          </w:tcPr>
          <w:p w14:paraId="1C095563">
            <w:pPr>
              <w:spacing w:line="240" w:lineRule="exact"/>
              <w:jc w:val="center"/>
              <w:rPr>
                <w:rFonts w:ascii="宋体"/>
                <w:b/>
              </w:rPr>
            </w:pPr>
            <w:r>
              <w:rPr>
                <w:rFonts w:hint="eastAsia" w:ascii="宋体"/>
                <w:b/>
              </w:rPr>
              <w:t>主要考虑因素（事实、性质、情节、危害程度和实际后果等）</w:t>
            </w:r>
          </w:p>
        </w:tc>
        <w:tc>
          <w:tcPr>
            <w:tcW w:w="2818" w:type="dxa"/>
            <w:gridSpan w:val="2"/>
            <w:vMerge w:val="restart"/>
            <w:tcBorders>
              <w:top w:val="single" w:color="auto" w:sz="4" w:space="0"/>
              <w:left w:val="single" w:color="auto" w:sz="4" w:space="0"/>
              <w:bottom w:val="single" w:color="auto" w:sz="4" w:space="0"/>
              <w:right w:val="single" w:color="auto" w:sz="4" w:space="0"/>
            </w:tcBorders>
            <w:vAlign w:val="center"/>
          </w:tcPr>
          <w:p w14:paraId="570A396E">
            <w:pPr>
              <w:spacing w:line="240" w:lineRule="exact"/>
              <w:jc w:val="left"/>
              <w:rPr>
                <w:rFonts w:ascii="宋体"/>
              </w:rPr>
            </w:pPr>
            <w:r>
              <w:rPr>
                <w:rFonts w:hint="eastAsia" w:ascii="宋体"/>
                <w:b/>
              </w:rPr>
              <w:t>【法定幅度和种类】</w:t>
            </w:r>
            <w:r>
              <w:rPr>
                <w:rFonts w:hint="eastAsia" w:ascii="宋体"/>
              </w:rPr>
              <w:t>处200元以上1000元以下罚款；</w:t>
            </w:r>
            <w:r>
              <w:rPr>
                <w:rFonts w:hint="eastAsia" w:ascii="宋体"/>
                <w:shd w:val="clear" w:color="auto" w:fill="FFFFFF"/>
              </w:rPr>
              <w:t>情节严重的，并可以吊销其船舶国籍证书或者临时船舶国籍证书</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705F8932">
            <w:pPr>
              <w:spacing w:line="240" w:lineRule="exact"/>
              <w:jc w:val="left"/>
              <w:rPr>
                <w:rFonts w:ascii="宋体"/>
              </w:rPr>
            </w:pPr>
            <w:r>
              <w:rPr>
                <w:rFonts w:hint="eastAsia" w:ascii="宋体"/>
                <w:b/>
              </w:rPr>
              <w:t>【法定幅度和种类】</w:t>
            </w:r>
            <w:r>
              <w:rPr>
                <w:rFonts w:hint="eastAsia" w:ascii="宋体"/>
              </w:rPr>
              <w:t>处1000元以上5000元以下罚款</w:t>
            </w:r>
            <w:r>
              <w:rPr>
                <w:rFonts w:hint="eastAsia" w:ascii="宋体"/>
                <w:shd w:val="clear" w:color="auto" w:fill="FFFFFF"/>
              </w:rPr>
              <w:t>；情节严重的，并可以吊销其船舶国籍证书或者临时船舶国籍证书</w:t>
            </w:r>
          </w:p>
        </w:tc>
        <w:tc>
          <w:tcPr>
            <w:tcW w:w="2704" w:type="dxa"/>
            <w:vMerge w:val="restart"/>
            <w:tcBorders>
              <w:top w:val="single" w:color="auto" w:sz="4" w:space="0"/>
              <w:left w:val="single" w:color="auto" w:sz="4" w:space="0"/>
              <w:bottom w:val="single" w:color="auto" w:sz="4" w:space="0"/>
              <w:right w:val="single" w:color="auto" w:sz="4" w:space="0"/>
            </w:tcBorders>
            <w:vAlign w:val="center"/>
          </w:tcPr>
          <w:p w14:paraId="4D014326">
            <w:pPr>
              <w:spacing w:line="240" w:lineRule="exact"/>
              <w:jc w:val="left"/>
              <w:rPr>
                <w:rFonts w:ascii="宋体"/>
              </w:rPr>
            </w:pPr>
            <w:r>
              <w:rPr>
                <w:rFonts w:hint="eastAsia" w:ascii="宋体"/>
                <w:b/>
              </w:rPr>
              <w:t>【法定幅度和种类】</w:t>
            </w:r>
            <w:r>
              <w:rPr>
                <w:rFonts w:hint="eastAsia" w:ascii="宋体"/>
              </w:rPr>
              <w:t>处5000元以上20000元以下罚款</w:t>
            </w:r>
            <w:r>
              <w:rPr>
                <w:rFonts w:hint="eastAsia" w:ascii="宋体"/>
                <w:shd w:val="clear" w:color="auto" w:fill="FFFFFF"/>
              </w:rPr>
              <w:t>；情节严重的，并可以吊销其船舶国籍证书或者临时船舶国籍证书</w:t>
            </w:r>
          </w:p>
        </w:tc>
      </w:tr>
      <w:tr w14:paraId="3B75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705ABEEE">
            <w:pPr>
              <w:widowControl/>
              <w:spacing w:line="240" w:lineRule="exact"/>
              <w:jc w:val="left"/>
              <w:rPr>
                <w:rFonts w:ascii="宋体"/>
              </w:rPr>
            </w:pP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38D599FE">
            <w:pPr>
              <w:spacing w:line="240" w:lineRule="exact"/>
              <w:jc w:val="center"/>
              <w:rPr>
                <w:rFonts w:ascii="宋体"/>
                <w:b/>
              </w:rPr>
            </w:pPr>
            <w:r>
              <w:rPr>
                <w:rFonts w:hint="eastAsia" w:ascii="宋体"/>
                <w:b/>
              </w:rPr>
              <w:t>违反条款</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0AE8F6CA">
            <w:pPr>
              <w:spacing w:line="240" w:lineRule="exact"/>
              <w:jc w:val="center"/>
              <w:rPr>
                <w:rFonts w:ascii="宋体"/>
                <w:b/>
              </w:rPr>
            </w:pPr>
            <w:r>
              <w:rPr>
                <w:rFonts w:hint="eastAsia" w:ascii="宋体"/>
                <w:b/>
              </w:rPr>
              <w:t>处罚依据</w:t>
            </w: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12917DC9">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14:paraId="61B6C57B">
            <w:pPr>
              <w:widowControl/>
              <w:spacing w:line="240" w:lineRule="exact"/>
              <w:jc w:val="left"/>
              <w:rPr>
                <w:rFonts w:ascii="宋体"/>
              </w:rPr>
            </w:pPr>
          </w:p>
        </w:tc>
        <w:tc>
          <w:tcPr>
            <w:tcW w:w="2818" w:type="dxa"/>
            <w:gridSpan w:val="2"/>
            <w:vMerge w:val="continue"/>
            <w:tcBorders>
              <w:left w:val="single" w:color="auto" w:sz="4" w:space="0"/>
              <w:bottom w:val="single" w:color="auto" w:sz="4" w:space="0"/>
              <w:right w:val="single" w:color="auto" w:sz="4" w:space="0"/>
            </w:tcBorders>
            <w:vAlign w:val="center"/>
          </w:tcPr>
          <w:p w14:paraId="621924F6">
            <w:pPr>
              <w:widowControl/>
              <w:spacing w:line="240" w:lineRule="exact"/>
              <w:jc w:val="left"/>
              <w:rPr>
                <w:rFonts w:ascii="宋体"/>
              </w:rPr>
            </w:pPr>
          </w:p>
        </w:tc>
        <w:tc>
          <w:tcPr>
            <w:tcW w:w="2835" w:type="dxa"/>
            <w:vMerge w:val="continue"/>
            <w:tcBorders>
              <w:left w:val="single" w:color="auto" w:sz="4" w:space="0"/>
              <w:bottom w:val="single" w:color="auto" w:sz="4" w:space="0"/>
              <w:right w:val="single" w:color="auto" w:sz="4" w:space="0"/>
            </w:tcBorders>
            <w:vAlign w:val="center"/>
          </w:tcPr>
          <w:p w14:paraId="1F9ACEFC">
            <w:pPr>
              <w:widowControl/>
              <w:spacing w:line="240" w:lineRule="exact"/>
              <w:jc w:val="left"/>
              <w:rPr>
                <w:rFonts w:ascii="宋体"/>
              </w:rPr>
            </w:pPr>
          </w:p>
        </w:tc>
        <w:tc>
          <w:tcPr>
            <w:tcW w:w="2704" w:type="dxa"/>
            <w:vMerge w:val="continue"/>
            <w:tcBorders>
              <w:left w:val="single" w:color="auto" w:sz="4" w:space="0"/>
              <w:bottom w:val="single" w:color="auto" w:sz="4" w:space="0"/>
              <w:right w:val="single" w:color="auto" w:sz="4" w:space="0"/>
            </w:tcBorders>
            <w:vAlign w:val="center"/>
          </w:tcPr>
          <w:p w14:paraId="4BBC7AEF">
            <w:pPr>
              <w:widowControl/>
              <w:spacing w:line="240" w:lineRule="exact"/>
              <w:jc w:val="left"/>
              <w:rPr>
                <w:rFonts w:ascii="宋体"/>
              </w:rPr>
            </w:pPr>
          </w:p>
        </w:tc>
      </w:tr>
      <w:tr w14:paraId="218D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0A4CE9D4">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608CFE08">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09417AAB">
            <w:pPr>
              <w:widowControl/>
              <w:spacing w:line="240" w:lineRule="exact"/>
              <w:jc w:val="left"/>
              <w:rPr>
                <w:rFonts w:ascii="宋体"/>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1875D638">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14:paraId="5E403CF1">
            <w:pPr>
              <w:widowControl/>
              <w:spacing w:line="240" w:lineRule="exact"/>
              <w:jc w:val="left"/>
              <w:rPr>
                <w:rFonts w:ascii="宋体"/>
              </w:rPr>
            </w:pPr>
          </w:p>
        </w:tc>
        <w:tc>
          <w:tcPr>
            <w:tcW w:w="8357" w:type="dxa"/>
            <w:gridSpan w:val="4"/>
            <w:tcBorders>
              <w:top w:val="single" w:color="auto" w:sz="4" w:space="0"/>
              <w:left w:val="single" w:color="auto" w:sz="4" w:space="0"/>
              <w:bottom w:val="single" w:color="auto" w:sz="4" w:space="0"/>
              <w:right w:val="single" w:color="auto" w:sz="4" w:space="0"/>
            </w:tcBorders>
            <w:vAlign w:val="center"/>
          </w:tcPr>
          <w:p w14:paraId="154E06A8">
            <w:pPr>
              <w:spacing w:line="240" w:lineRule="exact"/>
              <w:jc w:val="center"/>
              <w:rPr>
                <w:rFonts w:ascii="宋体"/>
                <w:b/>
              </w:rPr>
            </w:pPr>
            <w:r>
              <w:rPr>
                <w:rFonts w:hint="eastAsia" w:ascii="宋体"/>
                <w:b/>
              </w:rPr>
              <w:t>【对象】经营人或所有人</w:t>
            </w:r>
          </w:p>
        </w:tc>
      </w:tr>
      <w:tr w14:paraId="634A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6BF70CB5">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117C9B5B">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6F6E29DC">
            <w:pPr>
              <w:widowControl/>
              <w:spacing w:line="240" w:lineRule="exact"/>
              <w:jc w:val="left"/>
              <w:rPr>
                <w:rFonts w:ascii="宋体"/>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41DF47FB">
            <w:pPr>
              <w:widowControl/>
              <w:spacing w:line="240" w:lineRule="exact"/>
              <w:jc w:val="left"/>
              <w:rPr>
                <w:rFonts w:ascii="宋体"/>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14:paraId="15C2FC7D">
            <w:pPr>
              <w:widowControl/>
              <w:spacing w:line="240" w:lineRule="exact"/>
              <w:jc w:val="left"/>
              <w:rPr>
                <w:rFonts w:ascii="宋体"/>
              </w:rPr>
            </w:pPr>
          </w:p>
        </w:tc>
        <w:tc>
          <w:tcPr>
            <w:tcW w:w="2769" w:type="dxa"/>
            <w:tcBorders>
              <w:top w:val="single" w:color="auto" w:sz="4" w:space="0"/>
              <w:left w:val="single" w:color="auto" w:sz="4" w:space="0"/>
              <w:bottom w:val="single" w:color="auto" w:sz="4" w:space="0"/>
              <w:right w:val="single" w:color="auto" w:sz="4" w:space="0"/>
            </w:tcBorders>
            <w:vAlign w:val="center"/>
          </w:tcPr>
          <w:p w14:paraId="01D54413">
            <w:pPr>
              <w:spacing w:line="240" w:lineRule="exact"/>
              <w:jc w:val="center"/>
              <w:rPr>
                <w:rFonts w:ascii="宋体"/>
              </w:rPr>
            </w:pPr>
            <w:r>
              <w:rPr>
                <w:rFonts w:hint="eastAsia" w:ascii="宋体"/>
                <w:kern w:val="0"/>
              </w:rPr>
              <w:t>500GT及以下</w:t>
            </w:r>
          </w:p>
        </w:tc>
        <w:tc>
          <w:tcPr>
            <w:tcW w:w="2884" w:type="dxa"/>
            <w:gridSpan w:val="2"/>
            <w:tcBorders>
              <w:top w:val="single" w:color="auto" w:sz="4" w:space="0"/>
              <w:left w:val="single" w:color="auto" w:sz="4" w:space="0"/>
              <w:bottom w:val="single" w:color="auto" w:sz="4" w:space="0"/>
              <w:right w:val="single" w:color="auto" w:sz="4" w:space="0"/>
            </w:tcBorders>
            <w:vAlign w:val="center"/>
          </w:tcPr>
          <w:p w14:paraId="614A892D">
            <w:pPr>
              <w:spacing w:line="240" w:lineRule="exact"/>
              <w:jc w:val="center"/>
              <w:rPr>
                <w:rFonts w:ascii="宋体"/>
              </w:rPr>
            </w:pPr>
            <w:r>
              <w:rPr>
                <w:rFonts w:hint="eastAsia" w:ascii="宋体"/>
                <w:kern w:val="0"/>
              </w:rPr>
              <w:t>501GT及以上10000GT及以下</w:t>
            </w:r>
          </w:p>
        </w:tc>
        <w:tc>
          <w:tcPr>
            <w:tcW w:w="2704" w:type="dxa"/>
            <w:tcBorders>
              <w:top w:val="single" w:color="auto" w:sz="4" w:space="0"/>
              <w:left w:val="single" w:color="auto" w:sz="4" w:space="0"/>
              <w:bottom w:val="single" w:color="auto" w:sz="4" w:space="0"/>
              <w:right w:val="single" w:color="auto" w:sz="4" w:space="0"/>
            </w:tcBorders>
            <w:vAlign w:val="center"/>
          </w:tcPr>
          <w:p w14:paraId="04A33256">
            <w:pPr>
              <w:spacing w:line="240" w:lineRule="exact"/>
              <w:jc w:val="center"/>
              <w:rPr>
                <w:rFonts w:ascii="宋体"/>
              </w:rPr>
            </w:pPr>
            <w:r>
              <w:rPr>
                <w:rFonts w:hint="eastAsia" w:ascii="宋体"/>
                <w:kern w:val="0"/>
              </w:rPr>
              <w:t>10001GT及以上</w:t>
            </w:r>
          </w:p>
        </w:tc>
      </w:tr>
      <w:tr w14:paraId="2579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4" w:type="dxa"/>
            <w:vMerge w:val="restart"/>
            <w:tcBorders>
              <w:top w:val="single" w:color="auto" w:sz="4" w:space="0"/>
              <w:left w:val="single" w:color="auto" w:sz="4" w:space="0"/>
              <w:bottom w:val="single" w:color="auto" w:sz="4" w:space="0"/>
              <w:right w:val="single" w:color="auto" w:sz="4" w:space="0"/>
            </w:tcBorders>
            <w:vAlign w:val="center"/>
          </w:tcPr>
          <w:p w14:paraId="5F5E5763">
            <w:pPr>
              <w:spacing w:line="240" w:lineRule="exact"/>
              <w:jc w:val="left"/>
              <w:rPr>
                <w:rFonts w:ascii="宋体"/>
              </w:rPr>
            </w:pPr>
            <w:r>
              <w:rPr>
                <w:rFonts w:hint="eastAsia" w:ascii="宋体"/>
              </w:rPr>
              <w:t>使用他人业经登记的船舶烟囱标志、公司旗的</w:t>
            </w:r>
          </w:p>
        </w:tc>
        <w:tc>
          <w:tcPr>
            <w:tcW w:w="1490" w:type="dxa"/>
            <w:vMerge w:val="restart"/>
            <w:tcBorders>
              <w:top w:val="single" w:color="auto" w:sz="4" w:space="0"/>
              <w:left w:val="single" w:color="auto" w:sz="4" w:space="0"/>
              <w:bottom w:val="single" w:color="auto" w:sz="4" w:space="0"/>
              <w:right w:val="single" w:color="auto" w:sz="4" w:space="0"/>
            </w:tcBorders>
            <w:vAlign w:val="center"/>
          </w:tcPr>
          <w:p w14:paraId="2A2985C8">
            <w:pPr>
              <w:spacing w:line="240" w:lineRule="exact"/>
              <w:jc w:val="left"/>
              <w:rPr>
                <w:rFonts w:ascii="宋体"/>
              </w:rPr>
            </w:pPr>
            <w:r>
              <w:rPr>
                <w:rFonts w:hint="eastAsia" w:ascii="宋体"/>
              </w:rPr>
              <w:t>1.《船舶登记条例》第三十四条第二款。</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14:paraId="28DD0B80">
            <w:pPr>
              <w:spacing w:line="240" w:lineRule="exact"/>
              <w:jc w:val="left"/>
              <w:rPr>
                <w:rFonts w:ascii="宋体"/>
              </w:rPr>
            </w:pPr>
            <w:r>
              <w:rPr>
                <w:rFonts w:hint="eastAsia" w:ascii="宋体"/>
              </w:rPr>
              <w:t>1.《船舶登记条例》第五十条相应款项、第五十三条；</w:t>
            </w:r>
          </w:p>
          <w:p w14:paraId="2072A490">
            <w:pPr>
              <w:spacing w:line="240" w:lineRule="exact"/>
              <w:jc w:val="left"/>
              <w:rPr>
                <w:rFonts w:ascii="宋体"/>
                <w:kern w:val="0"/>
              </w:rPr>
            </w:pPr>
            <w:r>
              <w:rPr>
                <w:rFonts w:hint="eastAsia" w:ascii="宋体"/>
                <w:kern w:val="0"/>
              </w:rPr>
              <w:t>2.《中华人民共和国海上海事行政处罚规定》第七条。</w:t>
            </w:r>
          </w:p>
        </w:tc>
        <w:tc>
          <w:tcPr>
            <w:tcW w:w="920" w:type="dxa"/>
            <w:tcBorders>
              <w:top w:val="single" w:color="auto" w:sz="4" w:space="0"/>
              <w:left w:val="single" w:color="auto" w:sz="4" w:space="0"/>
              <w:bottom w:val="single" w:color="auto" w:sz="4" w:space="0"/>
              <w:right w:val="single" w:color="auto" w:sz="4" w:space="0"/>
            </w:tcBorders>
            <w:vAlign w:val="center"/>
          </w:tcPr>
          <w:p w14:paraId="7F057EB4">
            <w:pPr>
              <w:spacing w:line="240" w:lineRule="exact"/>
              <w:jc w:val="center"/>
              <w:rPr>
                <w:rFonts w:ascii="宋体"/>
              </w:rPr>
            </w:pPr>
            <w:r>
              <w:rPr>
                <w:rFonts w:hint="eastAsia" w:ascii="宋体"/>
              </w:rPr>
              <w:t>从轻</w:t>
            </w:r>
          </w:p>
        </w:tc>
        <w:tc>
          <w:tcPr>
            <w:tcW w:w="5103" w:type="dxa"/>
            <w:tcBorders>
              <w:top w:val="single" w:color="auto" w:sz="4" w:space="0"/>
              <w:left w:val="single" w:color="auto" w:sz="4" w:space="0"/>
              <w:bottom w:val="single" w:color="auto" w:sz="4" w:space="0"/>
              <w:right w:val="single" w:color="auto" w:sz="4" w:space="0"/>
            </w:tcBorders>
            <w:vAlign w:val="center"/>
          </w:tcPr>
          <w:p w14:paraId="36EF299C">
            <w:pPr>
              <w:spacing w:line="240" w:lineRule="exact"/>
              <w:jc w:val="left"/>
              <w:rPr>
                <w:rFonts w:ascii="宋体"/>
              </w:rPr>
            </w:pPr>
            <w:r>
              <w:rPr>
                <w:rFonts w:hint="eastAsia" w:ascii="宋体"/>
              </w:rPr>
              <w:t>具有法定从轻处罚情节的</w:t>
            </w:r>
          </w:p>
        </w:tc>
        <w:tc>
          <w:tcPr>
            <w:tcW w:w="2769" w:type="dxa"/>
            <w:tcBorders>
              <w:top w:val="single" w:color="auto" w:sz="4" w:space="0"/>
              <w:left w:val="single" w:color="auto" w:sz="4" w:space="0"/>
              <w:bottom w:val="single" w:color="auto" w:sz="4" w:space="0"/>
              <w:right w:val="single" w:color="auto" w:sz="4" w:space="0"/>
            </w:tcBorders>
            <w:vAlign w:val="center"/>
          </w:tcPr>
          <w:p w14:paraId="59D473DA">
            <w:pPr>
              <w:spacing w:line="240" w:lineRule="exact"/>
              <w:jc w:val="center"/>
              <w:rPr>
                <w:rFonts w:ascii="宋体"/>
              </w:rPr>
            </w:pPr>
            <w:r>
              <w:rPr>
                <w:rFonts w:hint="eastAsia" w:ascii="宋体"/>
              </w:rPr>
              <w:t>200-400元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14:paraId="631746C9">
            <w:pPr>
              <w:spacing w:line="240" w:lineRule="exact"/>
              <w:jc w:val="center"/>
              <w:rPr>
                <w:rFonts w:ascii="宋体"/>
              </w:rPr>
            </w:pPr>
            <w:r>
              <w:rPr>
                <w:rFonts w:hint="eastAsia" w:ascii="宋体"/>
              </w:rPr>
              <w:t>1000-2000元</w:t>
            </w:r>
          </w:p>
        </w:tc>
        <w:tc>
          <w:tcPr>
            <w:tcW w:w="2704" w:type="dxa"/>
            <w:tcBorders>
              <w:top w:val="single" w:color="auto" w:sz="4" w:space="0"/>
              <w:left w:val="single" w:color="auto" w:sz="4" w:space="0"/>
              <w:bottom w:val="single" w:color="auto" w:sz="4" w:space="0"/>
              <w:right w:val="single" w:color="auto" w:sz="4" w:space="0"/>
            </w:tcBorders>
            <w:vAlign w:val="center"/>
          </w:tcPr>
          <w:p w14:paraId="5C40C523">
            <w:pPr>
              <w:spacing w:line="240" w:lineRule="exact"/>
              <w:jc w:val="center"/>
              <w:rPr>
                <w:rFonts w:ascii="宋体"/>
              </w:rPr>
            </w:pPr>
            <w:r>
              <w:rPr>
                <w:rFonts w:hint="eastAsia" w:ascii="宋体"/>
              </w:rPr>
              <w:t>5000元-1万</w:t>
            </w:r>
          </w:p>
        </w:tc>
      </w:tr>
      <w:tr w14:paraId="0F79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79726440">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4AA982F7">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3D6FE170">
            <w:pPr>
              <w:widowControl/>
              <w:spacing w:line="240" w:lineRule="exact"/>
              <w:jc w:val="left"/>
              <w:rPr>
                <w:rFonts w:ascii="宋体"/>
              </w:rPr>
            </w:pPr>
          </w:p>
        </w:tc>
        <w:tc>
          <w:tcPr>
            <w:tcW w:w="920" w:type="dxa"/>
            <w:vMerge w:val="restart"/>
            <w:tcBorders>
              <w:top w:val="single" w:color="auto" w:sz="4" w:space="0"/>
              <w:left w:val="single" w:color="auto" w:sz="4" w:space="0"/>
              <w:right w:val="single" w:color="auto" w:sz="4" w:space="0"/>
            </w:tcBorders>
            <w:vAlign w:val="center"/>
          </w:tcPr>
          <w:p w14:paraId="16170336">
            <w:pPr>
              <w:spacing w:line="240" w:lineRule="exact"/>
              <w:jc w:val="center"/>
              <w:rPr>
                <w:rFonts w:ascii="宋体"/>
              </w:rPr>
            </w:pPr>
            <w:r>
              <w:rPr>
                <w:rFonts w:hint="eastAsia" w:ascii="宋体"/>
              </w:rPr>
              <w:t>一般</w:t>
            </w:r>
          </w:p>
        </w:tc>
        <w:tc>
          <w:tcPr>
            <w:tcW w:w="5103" w:type="dxa"/>
            <w:tcBorders>
              <w:top w:val="single" w:color="auto" w:sz="4" w:space="0"/>
              <w:left w:val="single" w:color="auto" w:sz="4" w:space="0"/>
              <w:bottom w:val="single" w:color="auto" w:sz="4" w:space="0"/>
              <w:right w:val="single" w:color="auto" w:sz="4" w:space="0"/>
            </w:tcBorders>
            <w:vAlign w:val="center"/>
          </w:tcPr>
          <w:p w14:paraId="3F431EFA">
            <w:pPr>
              <w:spacing w:line="240" w:lineRule="exact"/>
              <w:jc w:val="left"/>
              <w:rPr>
                <w:rFonts w:ascii="宋体"/>
              </w:rPr>
            </w:pPr>
            <w:r>
              <w:rPr>
                <w:rFonts w:hint="eastAsia" w:ascii="宋体"/>
              </w:rPr>
              <w:t>使用他人业经登记的船舶烟囱标志、公司旗，并运营时间在3个月以内的</w:t>
            </w:r>
          </w:p>
        </w:tc>
        <w:tc>
          <w:tcPr>
            <w:tcW w:w="2769" w:type="dxa"/>
            <w:tcBorders>
              <w:top w:val="single" w:color="auto" w:sz="4" w:space="0"/>
              <w:left w:val="single" w:color="auto" w:sz="4" w:space="0"/>
              <w:bottom w:val="single" w:color="auto" w:sz="4" w:space="0"/>
              <w:right w:val="single" w:color="auto" w:sz="4" w:space="0"/>
            </w:tcBorders>
            <w:vAlign w:val="center"/>
          </w:tcPr>
          <w:p w14:paraId="1A1AA939">
            <w:pPr>
              <w:spacing w:line="240" w:lineRule="exact"/>
              <w:jc w:val="center"/>
              <w:rPr>
                <w:rFonts w:ascii="宋体"/>
              </w:rPr>
            </w:pPr>
            <w:r>
              <w:rPr>
                <w:rFonts w:hint="eastAsia" w:ascii="宋体"/>
              </w:rPr>
              <w:t>400-600元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14:paraId="667D7817">
            <w:pPr>
              <w:spacing w:line="240" w:lineRule="exact"/>
              <w:jc w:val="center"/>
              <w:rPr>
                <w:rFonts w:ascii="宋体"/>
              </w:rPr>
            </w:pPr>
            <w:r>
              <w:rPr>
                <w:rFonts w:hint="eastAsia" w:ascii="宋体"/>
              </w:rPr>
              <w:t>2000-3000元</w:t>
            </w:r>
          </w:p>
        </w:tc>
        <w:tc>
          <w:tcPr>
            <w:tcW w:w="2704" w:type="dxa"/>
            <w:tcBorders>
              <w:top w:val="single" w:color="auto" w:sz="4" w:space="0"/>
              <w:left w:val="single" w:color="auto" w:sz="4" w:space="0"/>
              <w:bottom w:val="single" w:color="auto" w:sz="4" w:space="0"/>
              <w:right w:val="single" w:color="auto" w:sz="4" w:space="0"/>
            </w:tcBorders>
            <w:vAlign w:val="center"/>
          </w:tcPr>
          <w:p w14:paraId="1D2D136A">
            <w:pPr>
              <w:spacing w:line="240" w:lineRule="exact"/>
              <w:jc w:val="center"/>
              <w:rPr>
                <w:rFonts w:ascii="宋体"/>
              </w:rPr>
            </w:pPr>
            <w:r>
              <w:rPr>
                <w:rFonts w:hint="eastAsia" w:ascii="宋体"/>
              </w:rPr>
              <w:t>1-1.5万元</w:t>
            </w:r>
          </w:p>
        </w:tc>
      </w:tr>
      <w:tr w14:paraId="7343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5EE5AF46">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5114782F">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07ADBFA2">
            <w:pPr>
              <w:widowControl/>
              <w:spacing w:line="240" w:lineRule="exact"/>
              <w:jc w:val="left"/>
              <w:rPr>
                <w:rFonts w:ascii="宋体"/>
              </w:rPr>
            </w:pPr>
          </w:p>
        </w:tc>
        <w:tc>
          <w:tcPr>
            <w:tcW w:w="920" w:type="dxa"/>
            <w:vMerge w:val="continue"/>
            <w:tcBorders>
              <w:left w:val="single" w:color="auto" w:sz="4" w:space="0"/>
              <w:right w:val="single" w:color="auto" w:sz="4" w:space="0"/>
            </w:tcBorders>
            <w:vAlign w:val="center"/>
          </w:tcPr>
          <w:p w14:paraId="5AC0F46B">
            <w:pPr>
              <w:spacing w:line="240" w:lineRule="exact"/>
              <w:jc w:val="center"/>
              <w:rPr>
                <w:rFonts w:ascii="宋体"/>
              </w:rPr>
            </w:pPr>
          </w:p>
        </w:tc>
        <w:tc>
          <w:tcPr>
            <w:tcW w:w="5103" w:type="dxa"/>
            <w:tcBorders>
              <w:top w:val="single" w:color="auto" w:sz="4" w:space="0"/>
              <w:left w:val="single" w:color="auto" w:sz="4" w:space="0"/>
              <w:bottom w:val="single" w:color="auto" w:sz="4" w:space="0"/>
              <w:right w:val="single" w:color="auto" w:sz="4" w:space="0"/>
            </w:tcBorders>
            <w:vAlign w:val="center"/>
          </w:tcPr>
          <w:p w14:paraId="7B9A3A35">
            <w:pPr>
              <w:spacing w:line="240" w:lineRule="exact"/>
              <w:jc w:val="left"/>
              <w:rPr>
                <w:rFonts w:ascii="宋体"/>
              </w:rPr>
            </w:pPr>
            <w:r>
              <w:rPr>
                <w:rFonts w:hint="eastAsia" w:ascii="宋体"/>
              </w:rPr>
              <w:t>1.使用他人业经登记的船舶烟囱标志、公司旗，并运营时间超过3个月不足6个月的，或者发生一般以下等级事故的；</w:t>
            </w:r>
          </w:p>
          <w:p w14:paraId="723A8B09">
            <w:pPr>
              <w:spacing w:line="240" w:lineRule="exact"/>
              <w:jc w:val="left"/>
              <w:rPr>
                <w:rFonts w:ascii="宋体"/>
              </w:rPr>
            </w:pPr>
            <w:r>
              <w:rPr>
                <w:rFonts w:hint="eastAsia" w:ascii="宋体"/>
                <w:kern w:val="0"/>
              </w:rPr>
              <w:t>2.具有其他较重情节的。</w:t>
            </w:r>
          </w:p>
        </w:tc>
        <w:tc>
          <w:tcPr>
            <w:tcW w:w="2769" w:type="dxa"/>
            <w:tcBorders>
              <w:top w:val="single" w:color="auto" w:sz="4" w:space="0"/>
              <w:left w:val="single" w:color="auto" w:sz="4" w:space="0"/>
              <w:bottom w:val="single" w:color="auto" w:sz="4" w:space="0"/>
              <w:right w:val="single" w:color="auto" w:sz="4" w:space="0"/>
            </w:tcBorders>
            <w:vAlign w:val="center"/>
          </w:tcPr>
          <w:p w14:paraId="64B7A446">
            <w:pPr>
              <w:spacing w:line="240" w:lineRule="exact"/>
              <w:jc w:val="center"/>
              <w:rPr>
                <w:rFonts w:ascii="宋体"/>
              </w:rPr>
            </w:pPr>
            <w:r>
              <w:rPr>
                <w:rFonts w:hint="eastAsia" w:ascii="宋体"/>
              </w:rPr>
              <w:t>600-1000元</w:t>
            </w:r>
          </w:p>
        </w:tc>
        <w:tc>
          <w:tcPr>
            <w:tcW w:w="2884" w:type="dxa"/>
            <w:gridSpan w:val="2"/>
            <w:tcBorders>
              <w:top w:val="single" w:color="auto" w:sz="4" w:space="0"/>
              <w:left w:val="single" w:color="auto" w:sz="4" w:space="0"/>
              <w:bottom w:val="single" w:color="auto" w:sz="4" w:space="0"/>
              <w:right w:val="single" w:color="auto" w:sz="4" w:space="0"/>
            </w:tcBorders>
            <w:vAlign w:val="center"/>
          </w:tcPr>
          <w:p w14:paraId="460D7E81">
            <w:pPr>
              <w:spacing w:line="240" w:lineRule="exact"/>
              <w:jc w:val="center"/>
              <w:rPr>
                <w:rFonts w:ascii="宋体"/>
              </w:rPr>
            </w:pPr>
            <w:r>
              <w:rPr>
                <w:rFonts w:hint="eastAsia" w:ascii="宋体"/>
              </w:rPr>
              <w:t>3000-5000元</w:t>
            </w:r>
          </w:p>
        </w:tc>
        <w:tc>
          <w:tcPr>
            <w:tcW w:w="2704" w:type="dxa"/>
            <w:tcBorders>
              <w:top w:val="single" w:color="auto" w:sz="4" w:space="0"/>
              <w:left w:val="single" w:color="auto" w:sz="4" w:space="0"/>
              <w:bottom w:val="single" w:color="auto" w:sz="4" w:space="0"/>
              <w:right w:val="single" w:color="auto" w:sz="4" w:space="0"/>
            </w:tcBorders>
            <w:vAlign w:val="center"/>
          </w:tcPr>
          <w:p w14:paraId="726F8C75">
            <w:pPr>
              <w:spacing w:line="240" w:lineRule="exact"/>
              <w:jc w:val="center"/>
              <w:rPr>
                <w:rFonts w:ascii="宋体"/>
              </w:rPr>
            </w:pPr>
            <w:r>
              <w:rPr>
                <w:rFonts w:hint="eastAsia" w:ascii="宋体"/>
              </w:rPr>
              <w:t>1.5-2万元</w:t>
            </w:r>
          </w:p>
        </w:tc>
      </w:tr>
      <w:tr w14:paraId="5A8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594" w:type="dxa"/>
            <w:vMerge w:val="continue"/>
            <w:tcBorders>
              <w:top w:val="single" w:color="auto" w:sz="4" w:space="0"/>
              <w:left w:val="single" w:color="auto" w:sz="4" w:space="0"/>
              <w:bottom w:val="single" w:color="auto" w:sz="4" w:space="0"/>
              <w:right w:val="single" w:color="auto" w:sz="4" w:space="0"/>
            </w:tcBorders>
            <w:vAlign w:val="center"/>
          </w:tcPr>
          <w:p w14:paraId="66044444">
            <w:pPr>
              <w:widowControl/>
              <w:spacing w:line="240" w:lineRule="exact"/>
              <w:jc w:val="left"/>
              <w:rPr>
                <w:rFonts w:ascii="宋体"/>
              </w:rPr>
            </w:pPr>
          </w:p>
        </w:tc>
        <w:tc>
          <w:tcPr>
            <w:tcW w:w="1490" w:type="dxa"/>
            <w:vMerge w:val="continue"/>
            <w:tcBorders>
              <w:top w:val="single" w:color="auto" w:sz="4" w:space="0"/>
              <w:left w:val="single" w:color="auto" w:sz="4" w:space="0"/>
              <w:bottom w:val="single" w:color="auto" w:sz="4" w:space="0"/>
              <w:right w:val="single" w:color="auto" w:sz="4" w:space="0"/>
            </w:tcBorders>
            <w:vAlign w:val="center"/>
          </w:tcPr>
          <w:p w14:paraId="504B379A">
            <w:pPr>
              <w:widowControl/>
              <w:spacing w:line="240" w:lineRule="exact"/>
              <w:jc w:val="left"/>
              <w:rPr>
                <w:rFonts w:ascii="宋体"/>
              </w:rPr>
            </w:pPr>
          </w:p>
        </w:tc>
        <w:tc>
          <w:tcPr>
            <w:tcW w:w="1791" w:type="dxa"/>
            <w:vMerge w:val="continue"/>
            <w:tcBorders>
              <w:top w:val="single" w:color="auto" w:sz="4" w:space="0"/>
              <w:left w:val="single" w:color="auto" w:sz="4" w:space="0"/>
              <w:bottom w:val="single" w:color="auto" w:sz="4" w:space="0"/>
              <w:right w:val="single" w:color="auto" w:sz="4" w:space="0"/>
            </w:tcBorders>
            <w:vAlign w:val="center"/>
          </w:tcPr>
          <w:p w14:paraId="4E335BD9">
            <w:pPr>
              <w:widowControl/>
              <w:spacing w:line="240" w:lineRule="exact"/>
              <w:jc w:val="left"/>
              <w:rPr>
                <w:rFonts w:ascii="宋体"/>
              </w:rPr>
            </w:pPr>
          </w:p>
        </w:tc>
        <w:tc>
          <w:tcPr>
            <w:tcW w:w="920" w:type="dxa"/>
            <w:tcBorders>
              <w:left w:val="single" w:color="auto" w:sz="4" w:space="0"/>
              <w:right w:val="single" w:color="auto" w:sz="4" w:space="0"/>
            </w:tcBorders>
            <w:vAlign w:val="center"/>
          </w:tcPr>
          <w:p w14:paraId="4DF15D78">
            <w:pPr>
              <w:spacing w:line="240" w:lineRule="exact"/>
              <w:jc w:val="center"/>
              <w:rPr>
                <w:rFonts w:ascii="宋体"/>
              </w:rPr>
            </w:pPr>
            <w:r>
              <w:rPr>
                <w:rFonts w:hint="eastAsia" w:ascii="宋体"/>
              </w:rPr>
              <w:t>情节严重</w:t>
            </w:r>
          </w:p>
        </w:tc>
        <w:tc>
          <w:tcPr>
            <w:tcW w:w="5103" w:type="dxa"/>
            <w:tcBorders>
              <w:top w:val="single" w:color="auto" w:sz="4" w:space="0"/>
              <w:left w:val="single" w:color="auto" w:sz="4" w:space="0"/>
              <w:bottom w:val="single" w:color="auto" w:sz="4" w:space="0"/>
              <w:right w:val="single" w:color="auto" w:sz="4" w:space="0"/>
            </w:tcBorders>
            <w:vAlign w:val="center"/>
          </w:tcPr>
          <w:p w14:paraId="5C7A698F">
            <w:pPr>
              <w:spacing w:line="240" w:lineRule="exact"/>
              <w:jc w:val="left"/>
              <w:rPr>
                <w:rFonts w:ascii="宋体"/>
              </w:rPr>
            </w:pPr>
            <w:r>
              <w:rPr>
                <w:rFonts w:hint="eastAsia" w:ascii="宋体"/>
              </w:rPr>
              <w:t>1.使用他人业经登记的船舶烟囱标志、公司旗，并以此运营达6个月及以上的；</w:t>
            </w:r>
          </w:p>
          <w:p w14:paraId="427967E7">
            <w:pPr>
              <w:spacing w:line="240" w:lineRule="exact"/>
              <w:jc w:val="left"/>
              <w:rPr>
                <w:rFonts w:ascii="宋体"/>
              </w:rPr>
            </w:pPr>
            <w:r>
              <w:rPr>
                <w:rFonts w:hint="eastAsia" w:ascii="宋体"/>
              </w:rPr>
              <w:t>2.发生较大以上等级事故的；</w:t>
            </w:r>
          </w:p>
          <w:p w14:paraId="5F53E666">
            <w:pPr>
              <w:spacing w:line="240" w:lineRule="exact"/>
              <w:jc w:val="left"/>
              <w:rPr>
                <w:rFonts w:ascii="宋体"/>
              </w:rPr>
            </w:pPr>
            <w:r>
              <w:rPr>
                <w:rFonts w:hint="eastAsia" w:ascii="宋体"/>
              </w:rPr>
              <w:t>3.具有其他严重情节的。</w:t>
            </w:r>
          </w:p>
        </w:tc>
        <w:tc>
          <w:tcPr>
            <w:tcW w:w="2769" w:type="dxa"/>
            <w:tcBorders>
              <w:top w:val="single" w:color="auto" w:sz="4" w:space="0"/>
              <w:left w:val="single" w:color="auto" w:sz="4" w:space="0"/>
              <w:right w:val="single" w:color="auto" w:sz="4" w:space="0"/>
            </w:tcBorders>
            <w:vAlign w:val="center"/>
          </w:tcPr>
          <w:p w14:paraId="6C8C67EC">
            <w:pPr>
              <w:spacing w:line="240" w:lineRule="exact"/>
              <w:jc w:val="left"/>
              <w:rPr>
                <w:rFonts w:ascii="宋体"/>
              </w:rPr>
            </w:pPr>
            <w:r>
              <w:rPr>
                <w:rFonts w:hint="eastAsia" w:ascii="宋体"/>
              </w:rPr>
              <w:t>800-1000元，并</w:t>
            </w:r>
            <w:r>
              <w:rPr>
                <w:rFonts w:hint="eastAsia" w:ascii="宋体"/>
                <w:shd w:val="clear" w:color="auto" w:fill="FFFFFF"/>
              </w:rPr>
              <w:t>吊销其船舶国籍证书或者临时船舶国籍证书</w:t>
            </w:r>
          </w:p>
        </w:tc>
        <w:tc>
          <w:tcPr>
            <w:tcW w:w="2884" w:type="dxa"/>
            <w:gridSpan w:val="2"/>
            <w:tcBorders>
              <w:top w:val="single" w:color="auto" w:sz="4" w:space="0"/>
              <w:left w:val="single" w:color="auto" w:sz="4" w:space="0"/>
              <w:right w:val="single" w:color="auto" w:sz="4" w:space="0"/>
            </w:tcBorders>
            <w:vAlign w:val="center"/>
          </w:tcPr>
          <w:p w14:paraId="47DF52A8">
            <w:pPr>
              <w:spacing w:line="240" w:lineRule="exact"/>
              <w:jc w:val="left"/>
              <w:rPr>
                <w:rFonts w:ascii="宋体"/>
              </w:rPr>
            </w:pPr>
            <w:r>
              <w:rPr>
                <w:rFonts w:hint="eastAsia" w:ascii="宋体"/>
              </w:rPr>
              <w:t>4000-5000元，并</w:t>
            </w:r>
            <w:r>
              <w:rPr>
                <w:rFonts w:hint="eastAsia" w:ascii="宋体"/>
                <w:shd w:val="clear" w:color="auto" w:fill="FFFFFF"/>
              </w:rPr>
              <w:t>吊销其船舶国籍证书或者临时船舶国籍证书</w:t>
            </w:r>
          </w:p>
        </w:tc>
        <w:tc>
          <w:tcPr>
            <w:tcW w:w="2704" w:type="dxa"/>
            <w:tcBorders>
              <w:top w:val="single" w:color="auto" w:sz="4" w:space="0"/>
              <w:left w:val="single" w:color="auto" w:sz="4" w:space="0"/>
              <w:right w:val="single" w:color="auto" w:sz="4" w:space="0"/>
            </w:tcBorders>
            <w:vAlign w:val="center"/>
          </w:tcPr>
          <w:p w14:paraId="25060D38">
            <w:pPr>
              <w:spacing w:line="240" w:lineRule="exact"/>
              <w:jc w:val="left"/>
              <w:rPr>
                <w:rFonts w:ascii="宋体"/>
              </w:rPr>
            </w:pPr>
            <w:r>
              <w:rPr>
                <w:rFonts w:hint="eastAsia" w:ascii="宋体"/>
              </w:rPr>
              <w:t>2万元，并</w:t>
            </w:r>
            <w:r>
              <w:rPr>
                <w:rFonts w:hint="eastAsia" w:ascii="宋体"/>
                <w:shd w:val="clear" w:color="auto" w:fill="FFFFFF"/>
              </w:rPr>
              <w:t>吊销其船舶国籍证书或者临时船舶国籍证书</w:t>
            </w:r>
          </w:p>
        </w:tc>
      </w:tr>
    </w:tbl>
    <w:p w14:paraId="27FEBAEE">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2331"/>
        <w:gridCol w:w="2410"/>
        <w:gridCol w:w="2126"/>
        <w:gridCol w:w="3543"/>
        <w:gridCol w:w="7150"/>
      </w:tblGrid>
      <w:tr w14:paraId="129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590" w:type="dxa"/>
            <w:vMerge w:val="restart"/>
            <w:vAlign w:val="center"/>
          </w:tcPr>
          <w:p w14:paraId="72592B3B">
            <w:pPr>
              <w:spacing w:line="240" w:lineRule="exact"/>
              <w:jc w:val="center"/>
              <w:rPr>
                <w:rFonts w:ascii="宋体"/>
                <w:b/>
              </w:rPr>
            </w:pPr>
            <w:r>
              <w:rPr>
                <w:rFonts w:hint="eastAsia" w:ascii="宋体"/>
                <w:b/>
              </w:rPr>
              <w:t>案由64</w:t>
            </w:r>
          </w:p>
        </w:tc>
        <w:tc>
          <w:tcPr>
            <w:tcW w:w="4741" w:type="dxa"/>
            <w:gridSpan w:val="2"/>
            <w:vAlign w:val="center"/>
          </w:tcPr>
          <w:p w14:paraId="667BE7A9">
            <w:pPr>
              <w:spacing w:line="240" w:lineRule="exact"/>
              <w:jc w:val="center"/>
              <w:rPr>
                <w:rFonts w:ascii="宋体"/>
                <w:b/>
              </w:rPr>
            </w:pPr>
            <w:r>
              <w:rPr>
                <w:rFonts w:hint="eastAsia" w:ascii="宋体"/>
                <w:b/>
              </w:rPr>
              <w:t>法律依据</w:t>
            </w:r>
          </w:p>
        </w:tc>
        <w:tc>
          <w:tcPr>
            <w:tcW w:w="2126" w:type="dxa"/>
            <w:vMerge w:val="restart"/>
            <w:vAlign w:val="center"/>
          </w:tcPr>
          <w:p w14:paraId="035FD55E">
            <w:pPr>
              <w:spacing w:line="240" w:lineRule="exact"/>
              <w:jc w:val="center"/>
              <w:rPr>
                <w:rFonts w:ascii="宋体"/>
                <w:b/>
              </w:rPr>
            </w:pPr>
            <w:r>
              <w:rPr>
                <w:rFonts w:hint="eastAsia" w:ascii="宋体"/>
                <w:b/>
              </w:rPr>
              <w:t>违法情节</w:t>
            </w:r>
          </w:p>
        </w:tc>
        <w:tc>
          <w:tcPr>
            <w:tcW w:w="3543" w:type="dxa"/>
            <w:vMerge w:val="restart"/>
            <w:vAlign w:val="center"/>
          </w:tcPr>
          <w:p w14:paraId="125F1B99">
            <w:pPr>
              <w:spacing w:line="240" w:lineRule="exact"/>
              <w:jc w:val="center"/>
              <w:rPr>
                <w:rFonts w:ascii="宋体"/>
                <w:b/>
              </w:rPr>
            </w:pPr>
            <w:r>
              <w:rPr>
                <w:rFonts w:hint="eastAsia" w:ascii="宋体"/>
                <w:b/>
              </w:rPr>
              <w:t>主要考虑因素（事实、性质、情节、危害程度和实际后果等）</w:t>
            </w:r>
          </w:p>
        </w:tc>
        <w:tc>
          <w:tcPr>
            <w:tcW w:w="7150" w:type="dxa"/>
            <w:vMerge w:val="restart"/>
            <w:vAlign w:val="center"/>
          </w:tcPr>
          <w:p w14:paraId="61727F6E">
            <w:pPr>
              <w:spacing w:line="240" w:lineRule="exact"/>
              <w:jc w:val="left"/>
              <w:rPr>
                <w:rFonts w:ascii="宋体"/>
                <w:b/>
              </w:rPr>
            </w:pPr>
            <w:r>
              <w:rPr>
                <w:rFonts w:hint="eastAsia" w:ascii="宋体"/>
                <w:b/>
              </w:rPr>
              <w:t>【法定幅度和种类】</w:t>
            </w:r>
            <w:r>
              <w:rPr>
                <w:rFonts w:hint="eastAsia" w:ascii="宋体"/>
              </w:rPr>
              <w:t>由海事管理机构责令改正，处5000元以上2万元以下的罚款</w:t>
            </w:r>
          </w:p>
        </w:tc>
      </w:tr>
      <w:tr w14:paraId="26A7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590" w:type="dxa"/>
            <w:vMerge w:val="continue"/>
            <w:vAlign w:val="center"/>
          </w:tcPr>
          <w:p w14:paraId="2A3F75A2">
            <w:pPr>
              <w:spacing w:line="240" w:lineRule="exact"/>
              <w:jc w:val="center"/>
              <w:rPr>
                <w:rFonts w:ascii="宋体"/>
                <w:b/>
              </w:rPr>
            </w:pPr>
          </w:p>
        </w:tc>
        <w:tc>
          <w:tcPr>
            <w:tcW w:w="2331" w:type="dxa"/>
            <w:vMerge w:val="restart"/>
            <w:vAlign w:val="center"/>
          </w:tcPr>
          <w:p w14:paraId="37619F80">
            <w:pPr>
              <w:spacing w:line="240" w:lineRule="exact"/>
              <w:jc w:val="center"/>
              <w:rPr>
                <w:rFonts w:ascii="宋体"/>
                <w:b/>
              </w:rPr>
            </w:pPr>
            <w:r>
              <w:rPr>
                <w:rFonts w:hint="eastAsia" w:ascii="宋体"/>
                <w:b/>
              </w:rPr>
              <w:t>违反条款</w:t>
            </w:r>
          </w:p>
        </w:tc>
        <w:tc>
          <w:tcPr>
            <w:tcW w:w="2410" w:type="dxa"/>
            <w:vMerge w:val="restart"/>
            <w:vAlign w:val="center"/>
          </w:tcPr>
          <w:p w14:paraId="58867723">
            <w:pPr>
              <w:spacing w:line="240" w:lineRule="exact"/>
              <w:jc w:val="center"/>
              <w:rPr>
                <w:rFonts w:ascii="宋体"/>
                <w:b/>
              </w:rPr>
            </w:pPr>
            <w:r>
              <w:rPr>
                <w:rFonts w:hint="eastAsia" w:ascii="宋体"/>
                <w:b/>
              </w:rPr>
              <w:t>处罚依据</w:t>
            </w:r>
          </w:p>
        </w:tc>
        <w:tc>
          <w:tcPr>
            <w:tcW w:w="2126" w:type="dxa"/>
            <w:vMerge w:val="continue"/>
            <w:vAlign w:val="center"/>
          </w:tcPr>
          <w:p w14:paraId="72E23498">
            <w:pPr>
              <w:spacing w:line="240" w:lineRule="exact"/>
              <w:jc w:val="center"/>
              <w:rPr>
                <w:rFonts w:ascii="宋体"/>
                <w:b/>
              </w:rPr>
            </w:pPr>
          </w:p>
        </w:tc>
        <w:tc>
          <w:tcPr>
            <w:tcW w:w="3543" w:type="dxa"/>
            <w:vMerge w:val="continue"/>
            <w:vAlign w:val="center"/>
          </w:tcPr>
          <w:p w14:paraId="38ED4267">
            <w:pPr>
              <w:spacing w:line="240" w:lineRule="exact"/>
              <w:jc w:val="center"/>
              <w:rPr>
                <w:rFonts w:ascii="宋体"/>
                <w:b/>
              </w:rPr>
            </w:pPr>
          </w:p>
        </w:tc>
        <w:tc>
          <w:tcPr>
            <w:tcW w:w="7150" w:type="dxa"/>
            <w:vMerge w:val="continue"/>
            <w:vAlign w:val="center"/>
          </w:tcPr>
          <w:p w14:paraId="6C955FE6">
            <w:pPr>
              <w:spacing w:line="240" w:lineRule="exact"/>
              <w:jc w:val="left"/>
              <w:rPr>
                <w:rFonts w:ascii="宋体"/>
                <w:b/>
              </w:rPr>
            </w:pPr>
          </w:p>
        </w:tc>
      </w:tr>
      <w:tr w14:paraId="3918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590" w:type="dxa"/>
            <w:vMerge w:val="continue"/>
            <w:vAlign w:val="center"/>
          </w:tcPr>
          <w:p w14:paraId="53E638F4">
            <w:pPr>
              <w:spacing w:line="240" w:lineRule="exact"/>
              <w:jc w:val="center"/>
              <w:rPr>
                <w:rFonts w:ascii="宋体"/>
                <w:b/>
              </w:rPr>
            </w:pPr>
          </w:p>
        </w:tc>
        <w:tc>
          <w:tcPr>
            <w:tcW w:w="2331" w:type="dxa"/>
            <w:vMerge w:val="continue"/>
            <w:vAlign w:val="center"/>
          </w:tcPr>
          <w:p w14:paraId="51C6E689">
            <w:pPr>
              <w:spacing w:line="240" w:lineRule="exact"/>
              <w:jc w:val="center"/>
              <w:rPr>
                <w:rFonts w:ascii="宋体"/>
                <w:b/>
              </w:rPr>
            </w:pPr>
          </w:p>
        </w:tc>
        <w:tc>
          <w:tcPr>
            <w:tcW w:w="2410" w:type="dxa"/>
            <w:vMerge w:val="continue"/>
            <w:vAlign w:val="center"/>
          </w:tcPr>
          <w:p w14:paraId="6D5D101C">
            <w:pPr>
              <w:spacing w:line="240" w:lineRule="exact"/>
              <w:jc w:val="center"/>
              <w:rPr>
                <w:rFonts w:ascii="宋体"/>
                <w:b/>
              </w:rPr>
            </w:pPr>
          </w:p>
        </w:tc>
        <w:tc>
          <w:tcPr>
            <w:tcW w:w="2126" w:type="dxa"/>
            <w:vMerge w:val="continue"/>
            <w:vAlign w:val="center"/>
          </w:tcPr>
          <w:p w14:paraId="522AECA5">
            <w:pPr>
              <w:spacing w:line="240" w:lineRule="exact"/>
              <w:jc w:val="center"/>
              <w:rPr>
                <w:rFonts w:ascii="宋体"/>
                <w:b/>
              </w:rPr>
            </w:pPr>
          </w:p>
        </w:tc>
        <w:tc>
          <w:tcPr>
            <w:tcW w:w="3543" w:type="dxa"/>
            <w:vMerge w:val="continue"/>
            <w:vAlign w:val="center"/>
          </w:tcPr>
          <w:p w14:paraId="7BF189EA">
            <w:pPr>
              <w:spacing w:line="240" w:lineRule="exact"/>
              <w:jc w:val="center"/>
              <w:rPr>
                <w:rFonts w:ascii="宋体"/>
                <w:b/>
              </w:rPr>
            </w:pPr>
          </w:p>
        </w:tc>
        <w:tc>
          <w:tcPr>
            <w:tcW w:w="7150" w:type="dxa"/>
            <w:vAlign w:val="center"/>
          </w:tcPr>
          <w:p w14:paraId="617D96F9">
            <w:pPr>
              <w:spacing w:line="240" w:lineRule="exact"/>
              <w:jc w:val="center"/>
              <w:rPr>
                <w:rFonts w:ascii="宋体"/>
                <w:b/>
              </w:rPr>
            </w:pPr>
            <w:r>
              <w:rPr>
                <w:rFonts w:hint="eastAsia" w:ascii="宋体"/>
                <w:b/>
              </w:rPr>
              <w:t>【对象】经营人或所有人</w:t>
            </w:r>
          </w:p>
        </w:tc>
      </w:tr>
      <w:tr w14:paraId="39F2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90" w:type="dxa"/>
            <w:vMerge w:val="restart"/>
            <w:vAlign w:val="center"/>
          </w:tcPr>
          <w:p w14:paraId="1B9B4509">
            <w:pPr>
              <w:spacing w:line="240" w:lineRule="exact"/>
              <w:jc w:val="left"/>
              <w:rPr>
                <w:rFonts w:ascii="宋体"/>
              </w:rPr>
            </w:pPr>
            <w:r>
              <w:rPr>
                <w:rFonts w:hint="eastAsia" w:ascii="宋体"/>
              </w:rPr>
              <w:t>载运B组以外固体散装货物船舶进出港口前未按规定向海事管理机构报告的</w:t>
            </w:r>
          </w:p>
        </w:tc>
        <w:tc>
          <w:tcPr>
            <w:tcW w:w="2331" w:type="dxa"/>
            <w:vMerge w:val="restart"/>
            <w:vAlign w:val="center"/>
          </w:tcPr>
          <w:p w14:paraId="1046DC76">
            <w:pPr>
              <w:spacing w:line="240" w:lineRule="exact"/>
              <w:jc w:val="left"/>
              <w:rPr>
                <w:rFonts w:ascii="宋体"/>
              </w:rPr>
            </w:pPr>
            <w:r>
              <w:rPr>
                <w:rFonts w:hint="eastAsia" w:ascii="宋体"/>
              </w:rPr>
              <w:t>1.《海运固体散装货物安全监督管理规定》第十二条。</w:t>
            </w:r>
          </w:p>
        </w:tc>
        <w:tc>
          <w:tcPr>
            <w:tcW w:w="2410" w:type="dxa"/>
            <w:vMerge w:val="restart"/>
            <w:vAlign w:val="center"/>
          </w:tcPr>
          <w:p w14:paraId="557DE28D">
            <w:pPr>
              <w:spacing w:line="240" w:lineRule="exact"/>
              <w:jc w:val="left"/>
              <w:rPr>
                <w:rFonts w:ascii="宋体"/>
              </w:rPr>
            </w:pPr>
            <w:r>
              <w:rPr>
                <w:rFonts w:hint="eastAsia" w:ascii="宋体"/>
              </w:rPr>
              <w:t>1.《海运固体散装货物安全监督管理规定》第三十六条第（一）项</w:t>
            </w:r>
          </w:p>
          <w:p w14:paraId="0E47D427">
            <w:pPr>
              <w:spacing w:line="240" w:lineRule="exact"/>
              <w:jc w:val="left"/>
              <w:rPr>
                <w:rFonts w:ascii="宋体"/>
                <w:kern w:val="0"/>
              </w:rPr>
            </w:pPr>
            <w:r>
              <w:rPr>
                <w:rFonts w:hint="eastAsia" w:ascii="宋体"/>
                <w:kern w:val="0"/>
              </w:rPr>
              <w:t>2. 《中华人民共和国海上海事行政处罚规定》第七条</w:t>
            </w:r>
          </w:p>
        </w:tc>
        <w:tc>
          <w:tcPr>
            <w:tcW w:w="2126" w:type="dxa"/>
            <w:vAlign w:val="center"/>
          </w:tcPr>
          <w:p w14:paraId="4402205D">
            <w:pPr>
              <w:spacing w:line="240" w:lineRule="exact"/>
              <w:jc w:val="center"/>
              <w:rPr>
                <w:rFonts w:ascii="宋体"/>
              </w:rPr>
            </w:pPr>
            <w:r>
              <w:rPr>
                <w:rFonts w:hint="eastAsia" w:ascii="宋体"/>
              </w:rPr>
              <w:t>从轻</w:t>
            </w:r>
          </w:p>
        </w:tc>
        <w:tc>
          <w:tcPr>
            <w:tcW w:w="3543" w:type="dxa"/>
            <w:vAlign w:val="center"/>
          </w:tcPr>
          <w:p w14:paraId="1A4048DF">
            <w:pPr>
              <w:spacing w:line="240" w:lineRule="exact"/>
              <w:jc w:val="left"/>
              <w:rPr>
                <w:rFonts w:ascii="宋体"/>
              </w:rPr>
            </w:pPr>
            <w:r>
              <w:rPr>
                <w:rFonts w:hint="eastAsia" w:ascii="宋体"/>
              </w:rPr>
              <w:t>具有法定从轻处罚情节的</w:t>
            </w:r>
          </w:p>
        </w:tc>
        <w:tc>
          <w:tcPr>
            <w:tcW w:w="7150" w:type="dxa"/>
            <w:vAlign w:val="center"/>
          </w:tcPr>
          <w:p w14:paraId="708DDA6B">
            <w:pPr>
              <w:spacing w:line="240" w:lineRule="exact"/>
              <w:jc w:val="center"/>
              <w:rPr>
                <w:rFonts w:ascii="宋体"/>
              </w:rPr>
            </w:pPr>
            <w:r>
              <w:rPr>
                <w:rFonts w:hint="eastAsia" w:ascii="宋体"/>
              </w:rPr>
              <w:t>5000-9000元</w:t>
            </w:r>
          </w:p>
        </w:tc>
      </w:tr>
      <w:tr w14:paraId="7A6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90" w:type="dxa"/>
            <w:vMerge w:val="continue"/>
            <w:vAlign w:val="center"/>
          </w:tcPr>
          <w:p w14:paraId="6466889D">
            <w:pPr>
              <w:spacing w:line="240" w:lineRule="exact"/>
              <w:jc w:val="center"/>
              <w:rPr>
                <w:rFonts w:ascii="宋体"/>
              </w:rPr>
            </w:pPr>
          </w:p>
        </w:tc>
        <w:tc>
          <w:tcPr>
            <w:tcW w:w="2331" w:type="dxa"/>
            <w:vMerge w:val="continue"/>
            <w:vAlign w:val="center"/>
          </w:tcPr>
          <w:p w14:paraId="02483DFA">
            <w:pPr>
              <w:spacing w:line="240" w:lineRule="exact"/>
              <w:jc w:val="center"/>
              <w:rPr>
                <w:rFonts w:ascii="宋体"/>
              </w:rPr>
            </w:pPr>
          </w:p>
        </w:tc>
        <w:tc>
          <w:tcPr>
            <w:tcW w:w="2410" w:type="dxa"/>
            <w:vMerge w:val="continue"/>
            <w:vAlign w:val="center"/>
          </w:tcPr>
          <w:p w14:paraId="327A746E">
            <w:pPr>
              <w:spacing w:line="240" w:lineRule="exact"/>
              <w:jc w:val="center"/>
              <w:rPr>
                <w:rFonts w:ascii="宋体"/>
              </w:rPr>
            </w:pPr>
          </w:p>
        </w:tc>
        <w:tc>
          <w:tcPr>
            <w:tcW w:w="2126" w:type="dxa"/>
            <w:vMerge w:val="restart"/>
            <w:vAlign w:val="center"/>
          </w:tcPr>
          <w:p w14:paraId="63F6C8F3">
            <w:pPr>
              <w:spacing w:line="240" w:lineRule="exact"/>
              <w:jc w:val="center"/>
              <w:rPr>
                <w:rFonts w:ascii="宋体"/>
              </w:rPr>
            </w:pPr>
            <w:r>
              <w:rPr>
                <w:rFonts w:hint="eastAsia" w:ascii="宋体"/>
              </w:rPr>
              <w:t>一般</w:t>
            </w:r>
          </w:p>
        </w:tc>
        <w:tc>
          <w:tcPr>
            <w:tcW w:w="3543" w:type="dxa"/>
            <w:vAlign w:val="center"/>
          </w:tcPr>
          <w:p w14:paraId="42741B0E">
            <w:pPr>
              <w:spacing w:line="240" w:lineRule="exact"/>
              <w:jc w:val="left"/>
              <w:rPr>
                <w:rFonts w:ascii="宋体"/>
              </w:rPr>
            </w:pPr>
            <w:r>
              <w:rPr>
                <w:rFonts w:hint="eastAsia" w:ascii="宋体"/>
              </w:rPr>
              <w:t>未按规定报告船舶和货物信息的等情况的在2次以内的</w:t>
            </w:r>
          </w:p>
        </w:tc>
        <w:tc>
          <w:tcPr>
            <w:tcW w:w="7150" w:type="dxa"/>
            <w:vAlign w:val="center"/>
          </w:tcPr>
          <w:p w14:paraId="4F30AA85">
            <w:pPr>
              <w:spacing w:line="240" w:lineRule="exact"/>
              <w:jc w:val="center"/>
              <w:rPr>
                <w:rFonts w:ascii="宋体"/>
              </w:rPr>
            </w:pPr>
            <w:r>
              <w:rPr>
                <w:rFonts w:hint="eastAsia" w:ascii="宋体"/>
              </w:rPr>
              <w:t>9000元-1.3万元</w:t>
            </w:r>
          </w:p>
        </w:tc>
      </w:tr>
      <w:tr w14:paraId="264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590" w:type="dxa"/>
            <w:vMerge w:val="continue"/>
            <w:vAlign w:val="center"/>
          </w:tcPr>
          <w:p w14:paraId="339D4E14">
            <w:pPr>
              <w:spacing w:line="240" w:lineRule="exact"/>
              <w:jc w:val="center"/>
              <w:rPr>
                <w:rFonts w:ascii="宋体"/>
              </w:rPr>
            </w:pPr>
          </w:p>
        </w:tc>
        <w:tc>
          <w:tcPr>
            <w:tcW w:w="2331" w:type="dxa"/>
            <w:vMerge w:val="continue"/>
            <w:vAlign w:val="center"/>
          </w:tcPr>
          <w:p w14:paraId="354FF633">
            <w:pPr>
              <w:spacing w:line="240" w:lineRule="exact"/>
              <w:jc w:val="center"/>
              <w:rPr>
                <w:rFonts w:ascii="宋体"/>
              </w:rPr>
            </w:pPr>
          </w:p>
        </w:tc>
        <w:tc>
          <w:tcPr>
            <w:tcW w:w="2410" w:type="dxa"/>
            <w:vMerge w:val="continue"/>
            <w:vAlign w:val="center"/>
          </w:tcPr>
          <w:p w14:paraId="0EB9B59D">
            <w:pPr>
              <w:spacing w:line="240" w:lineRule="exact"/>
              <w:jc w:val="center"/>
              <w:rPr>
                <w:rFonts w:ascii="宋体"/>
              </w:rPr>
            </w:pPr>
          </w:p>
        </w:tc>
        <w:tc>
          <w:tcPr>
            <w:tcW w:w="2126" w:type="dxa"/>
            <w:vMerge w:val="continue"/>
            <w:vAlign w:val="center"/>
          </w:tcPr>
          <w:p w14:paraId="7775FA34">
            <w:pPr>
              <w:spacing w:line="240" w:lineRule="exact"/>
              <w:jc w:val="center"/>
              <w:rPr>
                <w:rFonts w:ascii="宋体"/>
              </w:rPr>
            </w:pPr>
          </w:p>
        </w:tc>
        <w:tc>
          <w:tcPr>
            <w:tcW w:w="3543" w:type="dxa"/>
            <w:vAlign w:val="center"/>
          </w:tcPr>
          <w:p w14:paraId="2B9BA615">
            <w:pPr>
              <w:spacing w:line="240" w:lineRule="exact"/>
              <w:jc w:val="left"/>
              <w:rPr>
                <w:rFonts w:ascii="宋体"/>
              </w:rPr>
            </w:pPr>
            <w:r>
              <w:rPr>
                <w:rFonts w:hint="eastAsia" w:ascii="宋体"/>
              </w:rPr>
              <w:t>未按规定报告船舶和货物信息的等情况超过2次的，或者</w:t>
            </w:r>
            <w:r>
              <w:rPr>
                <w:rFonts w:ascii="宋体"/>
              </w:rPr>
              <w:t>涉案货物超过</w:t>
            </w:r>
            <w:r>
              <w:rPr>
                <w:rFonts w:hint="eastAsia" w:ascii="宋体"/>
              </w:rPr>
              <w:t>1万吨</w:t>
            </w:r>
            <w:r>
              <w:rPr>
                <w:rFonts w:ascii="宋体"/>
              </w:rPr>
              <w:t>的</w:t>
            </w:r>
          </w:p>
        </w:tc>
        <w:tc>
          <w:tcPr>
            <w:tcW w:w="7150" w:type="dxa"/>
            <w:vAlign w:val="center"/>
          </w:tcPr>
          <w:p w14:paraId="5D91D102">
            <w:pPr>
              <w:spacing w:line="240" w:lineRule="exact"/>
              <w:jc w:val="center"/>
              <w:rPr>
                <w:rFonts w:ascii="宋体"/>
              </w:rPr>
            </w:pPr>
            <w:r>
              <w:rPr>
                <w:rFonts w:ascii="宋体"/>
              </w:rPr>
              <w:t>1</w:t>
            </w:r>
            <w:r>
              <w:rPr>
                <w:rFonts w:hint="eastAsia" w:ascii="宋体"/>
              </w:rPr>
              <w:t>.3</w:t>
            </w:r>
            <w:r>
              <w:rPr>
                <w:rFonts w:ascii="宋体"/>
              </w:rPr>
              <w:t>-1.</w:t>
            </w:r>
            <w:r>
              <w:rPr>
                <w:rFonts w:hint="eastAsia" w:ascii="宋体"/>
              </w:rPr>
              <w:t>7万元</w:t>
            </w:r>
          </w:p>
        </w:tc>
      </w:tr>
      <w:tr w14:paraId="280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3590" w:type="dxa"/>
            <w:vMerge w:val="continue"/>
            <w:vAlign w:val="center"/>
          </w:tcPr>
          <w:p w14:paraId="4AE2D0F5">
            <w:pPr>
              <w:spacing w:line="240" w:lineRule="exact"/>
              <w:jc w:val="center"/>
              <w:rPr>
                <w:rFonts w:ascii="宋体"/>
              </w:rPr>
            </w:pPr>
          </w:p>
        </w:tc>
        <w:tc>
          <w:tcPr>
            <w:tcW w:w="2331" w:type="dxa"/>
            <w:vMerge w:val="continue"/>
            <w:vAlign w:val="center"/>
          </w:tcPr>
          <w:p w14:paraId="6AC09975">
            <w:pPr>
              <w:spacing w:line="240" w:lineRule="exact"/>
              <w:jc w:val="center"/>
              <w:rPr>
                <w:rFonts w:ascii="宋体"/>
              </w:rPr>
            </w:pPr>
          </w:p>
        </w:tc>
        <w:tc>
          <w:tcPr>
            <w:tcW w:w="2410" w:type="dxa"/>
            <w:vMerge w:val="continue"/>
            <w:vAlign w:val="center"/>
          </w:tcPr>
          <w:p w14:paraId="1C3B6A71">
            <w:pPr>
              <w:spacing w:line="240" w:lineRule="exact"/>
              <w:jc w:val="center"/>
              <w:rPr>
                <w:rFonts w:ascii="宋体"/>
              </w:rPr>
            </w:pPr>
          </w:p>
        </w:tc>
        <w:tc>
          <w:tcPr>
            <w:tcW w:w="2126" w:type="dxa"/>
            <w:vMerge w:val="continue"/>
            <w:vAlign w:val="center"/>
          </w:tcPr>
          <w:p w14:paraId="00854482">
            <w:pPr>
              <w:spacing w:line="240" w:lineRule="exact"/>
              <w:jc w:val="center"/>
              <w:rPr>
                <w:rFonts w:ascii="宋体"/>
              </w:rPr>
            </w:pPr>
          </w:p>
        </w:tc>
        <w:tc>
          <w:tcPr>
            <w:tcW w:w="3543" w:type="dxa"/>
            <w:vAlign w:val="center"/>
          </w:tcPr>
          <w:p w14:paraId="1F09C250">
            <w:pPr>
              <w:spacing w:line="240" w:lineRule="exact"/>
              <w:jc w:val="left"/>
              <w:rPr>
                <w:rFonts w:ascii="宋体"/>
              </w:rPr>
            </w:pPr>
            <w:r>
              <w:rPr>
                <w:rFonts w:hint="eastAsia" w:ascii="宋体"/>
                <w:kern w:val="0"/>
              </w:rPr>
              <w:t>具有其他较重情节的</w:t>
            </w:r>
          </w:p>
        </w:tc>
        <w:tc>
          <w:tcPr>
            <w:tcW w:w="7150" w:type="dxa"/>
            <w:vAlign w:val="center"/>
          </w:tcPr>
          <w:p w14:paraId="6475C0B0">
            <w:pPr>
              <w:spacing w:line="240" w:lineRule="exact"/>
              <w:jc w:val="center"/>
              <w:rPr>
                <w:rFonts w:ascii="宋体"/>
              </w:rPr>
            </w:pPr>
            <w:r>
              <w:rPr>
                <w:rFonts w:ascii="宋体"/>
              </w:rPr>
              <w:t>1.</w:t>
            </w:r>
            <w:r>
              <w:rPr>
                <w:rFonts w:hint="eastAsia" w:ascii="宋体"/>
              </w:rPr>
              <w:t>5</w:t>
            </w:r>
            <w:r>
              <w:rPr>
                <w:rFonts w:ascii="宋体"/>
              </w:rPr>
              <w:t>-</w:t>
            </w:r>
            <w:r>
              <w:rPr>
                <w:rFonts w:hint="eastAsia" w:ascii="宋体"/>
              </w:rPr>
              <w:t>2万元</w:t>
            </w:r>
          </w:p>
        </w:tc>
      </w:tr>
    </w:tbl>
    <w:p w14:paraId="5CE5B4DC">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139"/>
        <w:gridCol w:w="3128"/>
        <w:gridCol w:w="1693"/>
        <w:gridCol w:w="4551"/>
        <w:gridCol w:w="5874"/>
      </w:tblGrid>
      <w:tr w14:paraId="0305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765" w:type="dxa"/>
            <w:vMerge w:val="restart"/>
            <w:tcBorders>
              <w:bottom w:val="single" w:color="auto" w:sz="4" w:space="0"/>
            </w:tcBorders>
            <w:vAlign w:val="center"/>
          </w:tcPr>
          <w:p w14:paraId="377A21E4">
            <w:pPr>
              <w:spacing w:line="240" w:lineRule="exact"/>
              <w:jc w:val="center"/>
              <w:rPr>
                <w:rFonts w:ascii="宋体"/>
                <w:b/>
              </w:rPr>
            </w:pPr>
            <w:r>
              <w:rPr>
                <w:rFonts w:hint="eastAsia" w:ascii="宋体"/>
                <w:b/>
              </w:rPr>
              <w:t>案由65</w:t>
            </w:r>
          </w:p>
        </w:tc>
        <w:tc>
          <w:tcPr>
            <w:tcW w:w="6267" w:type="dxa"/>
            <w:gridSpan w:val="2"/>
            <w:tcBorders>
              <w:bottom w:val="single" w:color="auto" w:sz="4" w:space="0"/>
            </w:tcBorders>
            <w:vAlign w:val="center"/>
          </w:tcPr>
          <w:p w14:paraId="1D75D09B">
            <w:pPr>
              <w:spacing w:line="240" w:lineRule="exact"/>
              <w:jc w:val="center"/>
              <w:rPr>
                <w:rFonts w:ascii="宋体"/>
                <w:b/>
              </w:rPr>
            </w:pPr>
            <w:r>
              <w:rPr>
                <w:rFonts w:hint="eastAsia" w:ascii="宋体"/>
                <w:b/>
              </w:rPr>
              <w:t>法律依据</w:t>
            </w:r>
          </w:p>
        </w:tc>
        <w:tc>
          <w:tcPr>
            <w:tcW w:w="1693" w:type="dxa"/>
            <w:vMerge w:val="restart"/>
            <w:tcBorders>
              <w:bottom w:val="single" w:color="auto" w:sz="4" w:space="0"/>
            </w:tcBorders>
            <w:vAlign w:val="center"/>
          </w:tcPr>
          <w:p w14:paraId="2DAA67A0">
            <w:pPr>
              <w:spacing w:line="240" w:lineRule="exact"/>
              <w:jc w:val="center"/>
              <w:rPr>
                <w:rFonts w:ascii="宋体"/>
                <w:b/>
              </w:rPr>
            </w:pPr>
            <w:r>
              <w:rPr>
                <w:rFonts w:hint="eastAsia" w:ascii="宋体"/>
                <w:b/>
              </w:rPr>
              <w:t>违法情节</w:t>
            </w:r>
          </w:p>
        </w:tc>
        <w:tc>
          <w:tcPr>
            <w:tcW w:w="4551" w:type="dxa"/>
            <w:vMerge w:val="restart"/>
            <w:tcBorders>
              <w:bottom w:val="single" w:color="auto" w:sz="4" w:space="0"/>
            </w:tcBorders>
            <w:vAlign w:val="center"/>
          </w:tcPr>
          <w:p w14:paraId="1BD7D741">
            <w:pPr>
              <w:spacing w:line="240" w:lineRule="exact"/>
              <w:jc w:val="center"/>
              <w:rPr>
                <w:rFonts w:ascii="宋体"/>
                <w:b/>
              </w:rPr>
            </w:pPr>
            <w:r>
              <w:rPr>
                <w:rFonts w:hint="eastAsia" w:ascii="宋体"/>
                <w:b/>
              </w:rPr>
              <w:t>主要考虑因素（事实、性质、情节、危害程度和实际后果等）</w:t>
            </w:r>
          </w:p>
        </w:tc>
        <w:tc>
          <w:tcPr>
            <w:tcW w:w="5874" w:type="dxa"/>
            <w:vMerge w:val="restart"/>
            <w:tcBorders>
              <w:bottom w:val="single" w:color="auto" w:sz="4" w:space="0"/>
            </w:tcBorders>
            <w:vAlign w:val="center"/>
          </w:tcPr>
          <w:p w14:paraId="0AD356AF">
            <w:pPr>
              <w:spacing w:line="240" w:lineRule="exact"/>
              <w:jc w:val="center"/>
              <w:rPr>
                <w:rFonts w:ascii="宋体"/>
                <w:b/>
              </w:rPr>
            </w:pPr>
            <w:r>
              <w:rPr>
                <w:rFonts w:hint="eastAsia" w:ascii="宋体"/>
                <w:b/>
              </w:rPr>
              <w:t>【法定幅度和种类】</w:t>
            </w:r>
            <w:r>
              <w:rPr>
                <w:rFonts w:hint="eastAsia" w:ascii="宋体"/>
              </w:rPr>
              <w:t>责令改正，处1万元以上3万元以下的罚款</w:t>
            </w:r>
          </w:p>
        </w:tc>
      </w:tr>
      <w:tr w14:paraId="6B04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765" w:type="dxa"/>
            <w:vMerge w:val="continue"/>
            <w:tcBorders>
              <w:right w:val="single" w:color="auto" w:sz="4" w:space="0"/>
            </w:tcBorders>
            <w:vAlign w:val="center"/>
          </w:tcPr>
          <w:p w14:paraId="7F467730">
            <w:pPr>
              <w:spacing w:line="240" w:lineRule="exact"/>
              <w:jc w:val="center"/>
              <w:rPr>
                <w:rFonts w:ascii="宋体"/>
                <w:b/>
              </w:rPr>
            </w:pPr>
          </w:p>
        </w:tc>
        <w:tc>
          <w:tcPr>
            <w:tcW w:w="3139" w:type="dxa"/>
            <w:vMerge w:val="restart"/>
            <w:tcBorders>
              <w:top w:val="single" w:color="auto" w:sz="4" w:space="0"/>
              <w:left w:val="single" w:color="auto" w:sz="4" w:space="0"/>
              <w:bottom w:val="single" w:color="auto" w:sz="4" w:space="0"/>
              <w:right w:val="single" w:color="auto" w:sz="4" w:space="0"/>
            </w:tcBorders>
            <w:vAlign w:val="center"/>
          </w:tcPr>
          <w:p w14:paraId="09A99F62">
            <w:pPr>
              <w:spacing w:line="240" w:lineRule="exact"/>
              <w:jc w:val="center"/>
              <w:rPr>
                <w:rFonts w:ascii="宋体"/>
                <w:b/>
              </w:rPr>
            </w:pPr>
            <w:r>
              <w:rPr>
                <w:rFonts w:hint="eastAsia" w:ascii="宋体"/>
                <w:b/>
              </w:rPr>
              <w:t>违反条款</w:t>
            </w:r>
          </w:p>
        </w:tc>
        <w:tc>
          <w:tcPr>
            <w:tcW w:w="3128" w:type="dxa"/>
            <w:vMerge w:val="restart"/>
            <w:tcBorders>
              <w:top w:val="single" w:color="auto" w:sz="4" w:space="0"/>
              <w:left w:val="single" w:color="auto" w:sz="4" w:space="0"/>
              <w:bottom w:val="single" w:color="auto" w:sz="4" w:space="0"/>
              <w:right w:val="single" w:color="auto" w:sz="4" w:space="0"/>
            </w:tcBorders>
            <w:vAlign w:val="center"/>
          </w:tcPr>
          <w:p w14:paraId="147ECED8">
            <w:pPr>
              <w:spacing w:line="240" w:lineRule="exact"/>
              <w:jc w:val="center"/>
              <w:rPr>
                <w:rFonts w:ascii="宋体"/>
                <w:b/>
              </w:rPr>
            </w:pPr>
            <w:r>
              <w:rPr>
                <w:rFonts w:hint="eastAsia" w:ascii="宋体"/>
                <w:b/>
              </w:rPr>
              <w:t>处罚依据</w:t>
            </w:r>
          </w:p>
        </w:tc>
        <w:tc>
          <w:tcPr>
            <w:tcW w:w="1693" w:type="dxa"/>
            <w:vMerge w:val="continue"/>
            <w:tcBorders>
              <w:left w:val="single" w:color="auto" w:sz="4" w:space="0"/>
            </w:tcBorders>
            <w:vAlign w:val="center"/>
          </w:tcPr>
          <w:p w14:paraId="4AEAADE4">
            <w:pPr>
              <w:spacing w:line="240" w:lineRule="exact"/>
              <w:jc w:val="center"/>
              <w:rPr>
                <w:rFonts w:ascii="宋体"/>
                <w:b/>
              </w:rPr>
            </w:pPr>
          </w:p>
        </w:tc>
        <w:tc>
          <w:tcPr>
            <w:tcW w:w="4551" w:type="dxa"/>
            <w:vMerge w:val="continue"/>
            <w:vAlign w:val="center"/>
          </w:tcPr>
          <w:p w14:paraId="48759C0B">
            <w:pPr>
              <w:spacing w:line="240" w:lineRule="exact"/>
              <w:jc w:val="center"/>
              <w:rPr>
                <w:rFonts w:ascii="宋体"/>
                <w:b/>
              </w:rPr>
            </w:pPr>
          </w:p>
        </w:tc>
        <w:tc>
          <w:tcPr>
            <w:tcW w:w="5874" w:type="dxa"/>
            <w:vMerge w:val="continue"/>
            <w:vAlign w:val="center"/>
          </w:tcPr>
          <w:p w14:paraId="4FF48DC1">
            <w:pPr>
              <w:spacing w:line="240" w:lineRule="exact"/>
              <w:jc w:val="center"/>
              <w:rPr>
                <w:rFonts w:ascii="宋体"/>
                <w:b/>
              </w:rPr>
            </w:pPr>
          </w:p>
        </w:tc>
      </w:tr>
      <w:tr w14:paraId="4626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65" w:type="dxa"/>
            <w:vMerge w:val="continue"/>
            <w:tcBorders>
              <w:right w:val="single" w:color="auto" w:sz="4" w:space="0"/>
            </w:tcBorders>
            <w:vAlign w:val="center"/>
          </w:tcPr>
          <w:p w14:paraId="41EB46C8">
            <w:pPr>
              <w:spacing w:line="240" w:lineRule="exact"/>
              <w:jc w:val="center"/>
              <w:rPr>
                <w:rFonts w:ascii="宋体"/>
                <w:b/>
              </w:rPr>
            </w:pPr>
          </w:p>
        </w:tc>
        <w:tc>
          <w:tcPr>
            <w:tcW w:w="3139" w:type="dxa"/>
            <w:vMerge w:val="continue"/>
            <w:tcBorders>
              <w:top w:val="single" w:color="auto" w:sz="4" w:space="0"/>
              <w:left w:val="single" w:color="auto" w:sz="4" w:space="0"/>
              <w:bottom w:val="single" w:color="auto" w:sz="4" w:space="0"/>
              <w:right w:val="single" w:color="auto" w:sz="4" w:space="0"/>
            </w:tcBorders>
            <w:vAlign w:val="center"/>
          </w:tcPr>
          <w:p w14:paraId="1CE0C7E3">
            <w:pPr>
              <w:spacing w:line="240" w:lineRule="exact"/>
              <w:jc w:val="center"/>
              <w:rPr>
                <w:rFonts w:ascii="宋体"/>
                <w:b/>
              </w:rPr>
            </w:pPr>
          </w:p>
        </w:tc>
        <w:tc>
          <w:tcPr>
            <w:tcW w:w="3128" w:type="dxa"/>
            <w:vMerge w:val="continue"/>
            <w:tcBorders>
              <w:top w:val="single" w:color="auto" w:sz="4" w:space="0"/>
              <w:left w:val="single" w:color="auto" w:sz="4" w:space="0"/>
              <w:bottom w:val="single" w:color="auto" w:sz="4" w:space="0"/>
              <w:right w:val="single" w:color="auto" w:sz="4" w:space="0"/>
            </w:tcBorders>
            <w:vAlign w:val="center"/>
          </w:tcPr>
          <w:p w14:paraId="1C279578">
            <w:pPr>
              <w:spacing w:line="240" w:lineRule="exact"/>
              <w:jc w:val="center"/>
              <w:rPr>
                <w:rFonts w:ascii="宋体"/>
                <w:b/>
              </w:rPr>
            </w:pPr>
          </w:p>
        </w:tc>
        <w:tc>
          <w:tcPr>
            <w:tcW w:w="1693" w:type="dxa"/>
            <w:vMerge w:val="continue"/>
            <w:tcBorders>
              <w:left w:val="single" w:color="auto" w:sz="4" w:space="0"/>
            </w:tcBorders>
            <w:vAlign w:val="center"/>
          </w:tcPr>
          <w:p w14:paraId="139DC430">
            <w:pPr>
              <w:spacing w:line="240" w:lineRule="exact"/>
              <w:jc w:val="center"/>
              <w:rPr>
                <w:rFonts w:ascii="宋体"/>
                <w:b/>
              </w:rPr>
            </w:pPr>
          </w:p>
        </w:tc>
        <w:tc>
          <w:tcPr>
            <w:tcW w:w="4551" w:type="dxa"/>
            <w:vMerge w:val="continue"/>
            <w:vAlign w:val="center"/>
          </w:tcPr>
          <w:p w14:paraId="2275F2AF">
            <w:pPr>
              <w:spacing w:line="240" w:lineRule="exact"/>
              <w:jc w:val="center"/>
              <w:rPr>
                <w:rFonts w:ascii="宋体"/>
                <w:b/>
              </w:rPr>
            </w:pPr>
          </w:p>
        </w:tc>
        <w:tc>
          <w:tcPr>
            <w:tcW w:w="5874" w:type="dxa"/>
            <w:vAlign w:val="center"/>
          </w:tcPr>
          <w:p w14:paraId="194FCB7F">
            <w:pPr>
              <w:spacing w:line="240" w:lineRule="exact"/>
              <w:jc w:val="center"/>
              <w:rPr>
                <w:rFonts w:ascii="宋体"/>
                <w:b/>
              </w:rPr>
            </w:pPr>
            <w:r>
              <w:rPr>
                <w:rFonts w:hint="eastAsia" w:ascii="宋体"/>
                <w:b/>
              </w:rPr>
              <w:t>【对象】经营人或所有人</w:t>
            </w:r>
          </w:p>
        </w:tc>
      </w:tr>
      <w:tr w14:paraId="55D3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65" w:type="dxa"/>
            <w:vMerge w:val="restart"/>
            <w:tcBorders>
              <w:right w:val="single" w:color="auto" w:sz="4" w:space="0"/>
            </w:tcBorders>
            <w:vAlign w:val="center"/>
          </w:tcPr>
          <w:p w14:paraId="220D6158">
            <w:pPr>
              <w:spacing w:line="240" w:lineRule="exact"/>
              <w:jc w:val="left"/>
              <w:rPr>
                <w:rFonts w:ascii="宋体"/>
              </w:rPr>
            </w:pPr>
            <w:r>
              <w:rPr>
                <w:rFonts w:hint="eastAsia" w:ascii="宋体"/>
              </w:rPr>
              <w:t>载运固体散装货物船舶未建立并落实船岸安全检查表制度，或者未按照船岸安全检查表的要求进行检查和填写的</w:t>
            </w:r>
          </w:p>
        </w:tc>
        <w:tc>
          <w:tcPr>
            <w:tcW w:w="3139" w:type="dxa"/>
            <w:vMerge w:val="restart"/>
            <w:tcBorders>
              <w:top w:val="single" w:color="auto" w:sz="4" w:space="0"/>
              <w:left w:val="single" w:color="auto" w:sz="4" w:space="0"/>
              <w:bottom w:val="single" w:color="auto" w:sz="4" w:space="0"/>
              <w:right w:val="single" w:color="auto" w:sz="4" w:space="0"/>
            </w:tcBorders>
            <w:vAlign w:val="center"/>
          </w:tcPr>
          <w:p w14:paraId="505CFE68">
            <w:pPr>
              <w:spacing w:line="240" w:lineRule="exact"/>
              <w:jc w:val="left"/>
              <w:rPr>
                <w:rFonts w:ascii="宋体"/>
              </w:rPr>
            </w:pPr>
            <w:r>
              <w:rPr>
                <w:rFonts w:hint="eastAsia" w:ascii="宋体"/>
                <w:kern w:val="0"/>
              </w:rPr>
              <w:t>1.《海运固体散装货物安全监督管理规定》第十七条第一款</w:t>
            </w:r>
          </w:p>
        </w:tc>
        <w:tc>
          <w:tcPr>
            <w:tcW w:w="3128" w:type="dxa"/>
            <w:vMerge w:val="restart"/>
            <w:tcBorders>
              <w:top w:val="single" w:color="auto" w:sz="4" w:space="0"/>
              <w:left w:val="single" w:color="auto" w:sz="4" w:space="0"/>
              <w:bottom w:val="single" w:color="auto" w:sz="4" w:space="0"/>
              <w:right w:val="single" w:color="auto" w:sz="4" w:space="0"/>
            </w:tcBorders>
            <w:vAlign w:val="center"/>
          </w:tcPr>
          <w:p w14:paraId="522E0B0F">
            <w:pPr>
              <w:spacing w:line="240" w:lineRule="exact"/>
              <w:jc w:val="left"/>
              <w:rPr>
                <w:rFonts w:ascii="宋体"/>
              </w:rPr>
            </w:pPr>
            <w:r>
              <w:rPr>
                <w:rFonts w:hint="eastAsia" w:ascii="宋体"/>
              </w:rPr>
              <w:t>1. 《海运固体散装货物安全监督管理规定》第三十五条第（四）项；</w:t>
            </w:r>
          </w:p>
          <w:p w14:paraId="27C95103">
            <w:pPr>
              <w:spacing w:line="240" w:lineRule="exact"/>
              <w:jc w:val="left"/>
              <w:rPr>
                <w:rFonts w:ascii="宋体"/>
                <w:kern w:val="0"/>
              </w:rPr>
            </w:pPr>
            <w:r>
              <w:rPr>
                <w:rFonts w:hint="eastAsia" w:ascii="宋体"/>
                <w:kern w:val="0"/>
              </w:rPr>
              <w:t>2. 《中华人民共和国海上海事行政处罚规定》第七条。</w:t>
            </w:r>
          </w:p>
        </w:tc>
        <w:tc>
          <w:tcPr>
            <w:tcW w:w="1693" w:type="dxa"/>
            <w:tcBorders>
              <w:left w:val="single" w:color="auto" w:sz="4" w:space="0"/>
            </w:tcBorders>
            <w:vAlign w:val="center"/>
          </w:tcPr>
          <w:p w14:paraId="79C7D947">
            <w:pPr>
              <w:spacing w:line="240" w:lineRule="exact"/>
              <w:jc w:val="center"/>
              <w:rPr>
                <w:rFonts w:ascii="宋体"/>
              </w:rPr>
            </w:pPr>
            <w:r>
              <w:rPr>
                <w:rFonts w:hint="eastAsia" w:ascii="宋体"/>
              </w:rPr>
              <w:t>从轻</w:t>
            </w:r>
          </w:p>
        </w:tc>
        <w:tc>
          <w:tcPr>
            <w:tcW w:w="4551" w:type="dxa"/>
            <w:vAlign w:val="center"/>
          </w:tcPr>
          <w:p w14:paraId="58B6CE96">
            <w:pPr>
              <w:spacing w:line="240" w:lineRule="exact"/>
              <w:jc w:val="left"/>
              <w:rPr>
                <w:rFonts w:ascii="宋体"/>
              </w:rPr>
            </w:pPr>
            <w:r>
              <w:rPr>
                <w:rFonts w:hint="eastAsia" w:ascii="宋体"/>
              </w:rPr>
              <w:t>具有法定从轻处罚情节的</w:t>
            </w:r>
          </w:p>
        </w:tc>
        <w:tc>
          <w:tcPr>
            <w:tcW w:w="5874" w:type="dxa"/>
            <w:vAlign w:val="center"/>
          </w:tcPr>
          <w:p w14:paraId="130775F0">
            <w:pPr>
              <w:spacing w:line="240" w:lineRule="exact"/>
              <w:jc w:val="center"/>
              <w:rPr>
                <w:rFonts w:ascii="宋体"/>
              </w:rPr>
            </w:pPr>
            <w:r>
              <w:rPr>
                <w:rFonts w:hint="eastAsia" w:ascii="宋体"/>
              </w:rPr>
              <w:t>1-1.2万</w:t>
            </w:r>
          </w:p>
        </w:tc>
      </w:tr>
      <w:tr w14:paraId="79E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765" w:type="dxa"/>
            <w:vMerge w:val="continue"/>
            <w:tcBorders>
              <w:right w:val="single" w:color="auto" w:sz="4" w:space="0"/>
            </w:tcBorders>
            <w:vAlign w:val="center"/>
          </w:tcPr>
          <w:p w14:paraId="18CABE95">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14:paraId="3C94FAA7">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14:paraId="4A18C070">
            <w:pPr>
              <w:spacing w:line="240" w:lineRule="exact"/>
              <w:jc w:val="center"/>
              <w:rPr>
                <w:rFonts w:ascii="宋体"/>
              </w:rPr>
            </w:pPr>
          </w:p>
        </w:tc>
        <w:tc>
          <w:tcPr>
            <w:tcW w:w="1693" w:type="dxa"/>
            <w:vMerge w:val="restart"/>
            <w:tcBorders>
              <w:left w:val="single" w:color="auto" w:sz="4" w:space="0"/>
            </w:tcBorders>
            <w:vAlign w:val="center"/>
          </w:tcPr>
          <w:p w14:paraId="2CA8DD26">
            <w:pPr>
              <w:jc w:val="center"/>
            </w:pPr>
            <w:r>
              <w:rPr>
                <w:rFonts w:hint="eastAsia" w:ascii="宋体"/>
              </w:rPr>
              <w:t>一般</w:t>
            </w:r>
          </w:p>
          <w:p w14:paraId="14C28160">
            <w:pPr>
              <w:spacing w:line="240" w:lineRule="exact"/>
              <w:jc w:val="center"/>
              <w:rPr>
                <w:rFonts w:ascii="宋体"/>
              </w:rPr>
            </w:pPr>
          </w:p>
        </w:tc>
        <w:tc>
          <w:tcPr>
            <w:tcW w:w="4551" w:type="dxa"/>
            <w:vAlign w:val="center"/>
          </w:tcPr>
          <w:p w14:paraId="1D6A6B23">
            <w:pPr>
              <w:spacing w:line="240" w:lineRule="exact"/>
              <w:jc w:val="left"/>
              <w:rPr>
                <w:rFonts w:ascii="宋体"/>
              </w:rPr>
            </w:pPr>
            <w:r>
              <w:rPr>
                <w:rFonts w:hint="eastAsia" w:ascii="宋体"/>
              </w:rPr>
              <w:t>船舶未按照船岸安全检查表的要求进行检查和填写，且未发生事故或险情的</w:t>
            </w:r>
          </w:p>
        </w:tc>
        <w:tc>
          <w:tcPr>
            <w:tcW w:w="5874" w:type="dxa"/>
            <w:vAlign w:val="center"/>
          </w:tcPr>
          <w:p w14:paraId="1D7697D8">
            <w:pPr>
              <w:spacing w:line="240" w:lineRule="exact"/>
              <w:jc w:val="center"/>
              <w:rPr>
                <w:rFonts w:ascii="宋体"/>
              </w:rPr>
            </w:pPr>
            <w:r>
              <w:rPr>
                <w:rFonts w:hint="eastAsia" w:ascii="宋体"/>
              </w:rPr>
              <w:t>1.2-1.5</w:t>
            </w:r>
          </w:p>
        </w:tc>
      </w:tr>
      <w:tr w14:paraId="0B8B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765" w:type="dxa"/>
            <w:vMerge w:val="continue"/>
            <w:tcBorders>
              <w:right w:val="single" w:color="auto" w:sz="4" w:space="0"/>
            </w:tcBorders>
            <w:vAlign w:val="center"/>
          </w:tcPr>
          <w:p w14:paraId="2BD4722A">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14:paraId="594E9167">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14:paraId="110F5ADB">
            <w:pPr>
              <w:spacing w:line="240" w:lineRule="exact"/>
              <w:jc w:val="center"/>
              <w:rPr>
                <w:rFonts w:ascii="宋体"/>
              </w:rPr>
            </w:pPr>
          </w:p>
        </w:tc>
        <w:tc>
          <w:tcPr>
            <w:tcW w:w="1693" w:type="dxa"/>
            <w:vMerge w:val="continue"/>
            <w:tcBorders>
              <w:left w:val="single" w:color="auto" w:sz="4" w:space="0"/>
            </w:tcBorders>
            <w:vAlign w:val="center"/>
          </w:tcPr>
          <w:p w14:paraId="7DD5F256">
            <w:pPr>
              <w:spacing w:line="240" w:lineRule="exact"/>
              <w:jc w:val="center"/>
              <w:rPr>
                <w:rFonts w:ascii="宋体"/>
              </w:rPr>
            </w:pPr>
          </w:p>
        </w:tc>
        <w:tc>
          <w:tcPr>
            <w:tcW w:w="4551" w:type="dxa"/>
            <w:vAlign w:val="center"/>
          </w:tcPr>
          <w:p w14:paraId="394D7916">
            <w:pPr>
              <w:spacing w:line="240" w:lineRule="exact"/>
              <w:jc w:val="left"/>
              <w:rPr>
                <w:rFonts w:ascii="宋体"/>
              </w:rPr>
            </w:pPr>
            <w:r>
              <w:rPr>
                <w:rFonts w:hint="eastAsia" w:ascii="宋体"/>
              </w:rPr>
              <w:t>船舶未建立并落实船岸安全检查表制度，但未发生事故或险情的</w:t>
            </w:r>
          </w:p>
        </w:tc>
        <w:tc>
          <w:tcPr>
            <w:tcW w:w="5874" w:type="dxa"/>
            <w:vAlign w:val="center"/>
          </w:tcPr>
          <w:p w14:paraId="1D7BBB2C">
            <w:pPr>
              <w:spacing w:line="240" w:lineRule="exact"/>
              <w:jc w:val="center"/>
              <w:rPr>
                <w:rFonts w:ascii="宋体"/>
              </w:rPr>
            </w:pPr>
            <w:r>
              <w:rPr>
                <w:rFonts w:hint="eastAsia" w:ascii="宋体"/>
              </w:rPr>
              <w:t>1.5-2</w:t>
            </w:r>
          </w:p>
        </w:tc>
      </w:tr>
      <w:tr w14:paraId="2A3C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765" w:type="dxa"/>
            <w:vMerge w:val="continue"/>
            <w:tcBorders>
              <w:right w:val="single" w:color="auto" w:sz="4" w:space="0"/>
            </w:tcBorders>
            <w:vAlign w:val="center"/>
          </w:tcPr>
          <w:p w14:paraId="29EB5C72">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14:paraId="4A82BDFD">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14:paraId="6A1DB8A4">
            <w:pPr>
              <w:spacing w:line="240" w:lineRule="exact"/>
              <w:jc w:val="center"/>
              <w:rPr>
                <w:rFonts w:ascii="宋体"/>
              </w:rPr>
            </w:pPr>
          </w:p>
        </w:tc>
        <w:tc>
          <w:tcPr>
            <w:tcW w:w="1693" w:type="dxa"/>
            <w:vMerge w:val="continue"/>
            <w:tcBorders>
              <w:left w:val="single" w:color="auto" w:sz="4" w:space="0"/>
            </w:tcBorders>
            <w:vAlign w:val="center"/>
          </w:tcPr>
          <w:p w14:paraId="320ED96D">
            <w:pPr>
              <w:spacing w:line="240" w:lineRule="exact"/>
              <w:jc w:val="center"/>
              <w:rPr>
                <w:rFonts w:ascii="宋体"/>
              </w:rPr>
            </w:pPr>
          </w:p>
        </w:tc>
        <w:tc>
          <w:tcPr>
            <w:tcW w:w="4551" w:type="dxa"/>
            <w:vAlign w:val="center"/>
          </w:tcPr>
          <w:p w14:paraId="4064FE4D">
            <w:pPr>
              <w:numPr>
                <w:ilvl w:val="0"/>
                <w:numId w:val="13"/>
              </w:numPr>
              <w:spacing w:line="240" w:lineRule="exact"/>
              <w:jc w:val="left"/>
              <w:rPr>
                <w:rFonts w:ascii="宋体"/>
              </w:rPr>
            </w:pPr>
            <w:r>
              <w:rPr>
                <w:rFonts w:hint="eastAsia" w:ascii="宋体"/>
              </w:rPr>
              <w:t>发生小事故或险情的；</w:t>
            </w:r>
          </w:p>
          <w:p w14:paraId="2FB0C04E">
            <w:pPr>
              <w:numPr>
                <w:ilvl w:val="0"/>
                <w:numId w:val="13"/>
              </w:numPr>
              <w:spacing w:line="240" w:lineRule="exact"/>
              <w:jc w:val="left"/>
              <w:rPr>
                <w:rFonts w:ascii="宋体"/>
              </w:rPr>
            </w:pPr>
            <w:r>
              <w:rPr>
                <w:rFonts w:hint="eastAsia" w:ascii="宋体"/>
                <w:kern w:val="0"/>
              </w:rPr>
              <w:t>具有其他较重情节的。</w:t>
            </w:r>
          </w:p>
        </w:tc>
        <w:tc>
          <w:tcPr>
            <w:tcW w:w="5874" w:type="dxa"/>
            <w:vAlign w:val="center"/>
          </w:tcPr>
          <w:p w14:paraId="61252A94">
            <w:pPr>
              <w:spacing w:line="240" w:lineRule="exact"/>
              <w:jc w:val="center"/>
              <w:rPr>
                <w:rFonts w:ascii="宋体"/>
              </w:rPr>
            </w:pPr>
            <w:r>
              <w:rPr>
                <w:rFonts w:hint="eastAsia" w:ascii="宋体"/>
              </w:rPr>
              <w:t>2-3</w:t>
            </w:r>
          </w:p>
        </w:tc>
      </w:tr>
      <w:tr w14:paraId="493C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2765" w:type="dxa"/>
            <w:vMerge w:val="continue"/>
            <w:tcBorders>
              <w:right w:val="single" w:color="auto" w:sz="4" w:space="0"/>
            </w:tcBorders>
            <w:vAlign w:val="center"/>
          </w:tcPr>
          <w:p w14:paraId="699CDCFE">
            <w:pPr>
              <w:spacing w:line="240" w:lineRule="exact"/>
              <w:jc w:val="center"/>
              <w:rPr>
                <w:rFonts w:ascii="宋体"/>
              </w:rPr>
            </w:pPr>
          </w:p>
        </w:tc>
        <w:tc>
          <w:tcPr>
            <w:tcW w:w="3139" w:type="dxa"/>
            <w:vMerge w:val="continue"/>
            <w:tcBorders>
              <w:top w:val="single" w:color="auto" w:sz="4" w:space="0"/>
              <w:left w:val="single" w:color="auto" w:sz="4" w:space="0"/>
              <w:bottom w:val="single" w:color="auto" w:sz="4" w:space="0"/>
              <w:right w:val="single" w:color="auto" w:sz="2" w:space="0"/>
            </w:tcBorders>
            <w:vAlign w:val="center"/>
          </w:tcPr>
          <w:p w14:paraId="76CC6FED">
            <w:pPr>
              <w:spacing w:line="240" w:lineRule="exact"/>
              <w:jc w:val="center"/>
              <w:rPr>
                <w:rFonts w:ascii="宋体"/>
              </w:rPr>
            </w:pPr>
          </w:p>
        </w:tc>
        <w:tc>
          <w:tcPr>
            <w:tcW w:w="3128" w:type="dxa"/>
            <w:vMerge w:val="continue"/>
            <w:tcBorders>
              <w:top w:val="single" w:color="auto" w:sz="4" w:space="0"/>
              <w:left w:val="single" w:color="auto" w:sz="2" w:space="0"/>
              <w:bottom w:val="single" w:color="auto" w:sz="4" w:space="0"/>
              <w:right w:val="single" w:color="auto" w:sz="4" w:space="0"/>
            </w:tcBorders>
            <w:vAlign w:val="center"/>
          </w:tcPr>
          <w:p w14:paraId="323E332A">
            <w:pPr>
              <w:spacing w:line="240" w:lineRule="exact"/>
              <w:jc w:val="center"/>
              <w:rPr>
                <w:rFonts w:ascii="宋体"/>
              </w:rPr>
            </w:pPr>
          </w:p>
        </w:tc>
        <w:tc>
          <w:tcPr>
            <w:tcW w:w="1693" w:type="dxa"/>
            <w:vMerge w:val="continue"/>
            <w:tcBorders>
              <w:left w:val="single" w:color="auto" w:sz="4" w:space="0"/>
            </w:tcBorders>
            <w:vAlign w:val="center"/>
          </w:tcPr>
          <w:p w14:paraId="072E7CB1">
            <w:pPr>
              <w:spacing w:line="240" w:lineRule="exact"/>
              <w:jc w:val="center"/>
              <w:rPr>
                <w:rFonts w:ascii="宋体"/>
              </w:rPr>
            </w:pPr>
          </w:p>
        </w:tc>
        <w:tc>
          <w:tcPr>
            <w:tcW w:w="4551" w:type="dxa"/>
            <w:vAlign w:val="center"/>
          </w:tcPr>
          <w:p w14:paraId="75D03B34">
            <w:pPr>
              <w:spacing w:line="240" w:lineRule="exact"/>
              <w:jc w:val="left"/>
              <w:rPr>
                <w:rFonts w:ascii="宋体"/>
              </w:rPr>
            </w:pPr>
            <w:r>
              <w:rPr>
                <w:rFonts w:hint="eastAsia" w:ascii="宋体"/>
              </w:rPr>
              <w:t>发生一般等级以上事故的</w:t>
            </w:r>
          </w:p>
          <w:p w14:paraId="735272F6"/>
          <w:p w14:paraId="5EFEAF47">
            <w:pPr>
              <w:spacing w:line="240" w:lineRule="exact"/>
              <w:jc w:val="left"/>
              <w:rPr>
                <w:rFonts w:ascii="宋体"/>
              </w:rPr>
            </w:pPr>
          </w:p>
        </w:tc>
        <w:tc>
          <w:tcPr>
            <w:tcW w:w="5874" w:type="dxa"/>
            <w:vAlign w:val="center"/>
          </w:tcPr>
          <w:p w14:paraId="249965CC">
            <w:pPr>
              <w:spacing w:line="240" w:lineRule="exact"/>
              <w:jc w:val="center"/>
              <w:rPr>
                <w:rFonts w:ascii="宋体"/>
              </w:rPr>
            </w:pPr>
            <w:r>
              <w:rPr>
                <w:rFonts w:hint="eastAsia" w:ascii="宋体"/>
              </w:rPr>
              <w:t>2.5-3万元</w:t>
            </w:r>
          </w:p>
        </w:tc>
      </w:tr>
    </w:tbl>
    <w:p w14:paraId="3FF1113E">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2403"/>
        <w:gridCol w:w="2148"/>
        <w:gridCol w:w="1130"/>
        <w:gridCol w:w="4894"/>
        <w:gridCol w:w="2795"/>
        <w:gridCol w:w="2556"/>
        <w:gridCol w:w="3408"/>
      </w:tblGrid>
      <w:tr w14:paraId="6A6F5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943" w:type="dxa"/>
            <w:vMerge w:val="restart"/>
            <w:vAlign w:val="center"/>
          </w:tcPr>
          <w:p w14:paraId="604824E9">
            <w:pPr>
              <w:spacing w:line="240" w:lineRule="exact"/>
              <w:jc w:val="center"/>
              <w:rPr>
                <w:rFonts w:ascii="宋体"/>
                <w:b/>
                <w:kern w:val="0"/>
              </w:rPr>
            </w:pPr>
            <w:r>
              <w:rPr>
                <w:rFonts w:hint="eastAsia" w:ascii="宋体"/>
                <w:b/>
                <w:kern w:val="0"/>
              </w:rPr>
              <w:t>案由</w:t>
            </w:r>
            <w:r>
              <w:rPr>
                <w:rFonts w:hint="eastAsia" w:ascii="宋体"/>
                <w:b/>
                <w:bCs/>
                <w:kern w:val="0"/>
              </w:rPr>
              <w:t>66</w:t>
            </w:r>
          </w:p>
        </w:tc>
        <w:tc>
          <w:tcPr>
            <w:tcW w:w="4551" w:type="dxa"/>
            <w:gridSpan w:val="2"/>
            <w:vAlign w:val="center"/>
          </w:tcPr>
          <w:p w14:paraId="1ACADCDA">
            <w:pPr>
              <w:spacing w:line="240" w:lineRule="exact"/>
              <w:jc w:val="center"/>
              <w:rPr>
                <w:rFonts w:ascii="宋体"/>
                <w:b/>
                <w:kern w:val="0"/>
              </w:rPr>
            </w:pPr>
            <w:r>
              <w:rPr>
                <w:rFonts w:hint="eastAsia" w:ascii="宋体"/>
                <w:b/>
                <w:kern w:val="0"/>
              </w:rPr>
              <w:t>法律依据</w:t>
            </w:r>
          </w:p>
        </w:tc>
        <w:tc>
          <w:tcPr>
            <w:tcW w:w="1130" w:type="dxa"/>
            <w:vMerge w:val="restart"/>
            <w:vAlign w:val="center"/>
          </w:tcPr>
          <w:p w14:paraId="65B66AFC">
            <w:pPr>
              <w:spacing w:line="240" w:lineRule="exact"/>
              <w:jc w:val="center"/>
              <w:rPr>
                <w:rFonts w:ascii="宋体"/>
                <w:b/>
                <w:kern w:val="0"/>
              </w:rPr>
            </w:pPr>
            <w:r>
              <w:rPr>
                <w:rFonts w:hint="eastAsia" w:ascii="宋体"/>
                <w:b/>
                <w:kern w:val="0"/>
              </w:rPr>
              <w:t>违法情节</w:t>
            </w:r>
          </w:p>
        </w:tc>
        <w:tc>
          <w:tcPr>
            <w:tcW w:w="4894" w:type="dxa"/>
            <w:vMerge w:val="restart"/>
            <w:vAlign w:val="center"/>
          </w:tcPr>
          <w:p w14:paraId="41A3F49A">
            <w:pPr>
              <w:spacing w:line="240" w:lineRule="exact"/>
              <w:jc w:val="center"/>
              <w:rPr>
                <w:rFonts w:ascii="宋体"/>
                <w:b/>
                <w:kern w:val="0"/>
              </w:rPr>
            </w:pPr>
            <w:r>
              <w:rPr>
                <w:rFonts w:hint="eastAsia" w:ascii="宋体"/>
                <w:b/>
                <w:kern w:val="0"/>
              </w:rPr>
              <w:t>主要考虑因素（事实、性质、情节、危害程度和实际后果等）</w:t>
            </w:r>
          </w:p>
        </w:tc>
        <w:tc>
          <w:tcPr>
            <w:tcW w:w="8759" w:type="dxa"/>
            <w:gridSpan w:val="3"/>
            <w:tcBorders>
              <w:right w:val="single" w:color="auto" w:sz="4" w:space="0"/>
            </w:tcBorders>
            <w:vAlign w:val="center"/>
          </w:tcPr>
          <w:p w14:paraId="60F18EDD">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14:paraId="5247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43" w:type="dxa"/>
            <w:vMerge w:val="continue"/>
            <w:vAlign w:val="center"/>
          </w:tcPr>
          <w:p w14:paraId="500D9125">
            <w:pPr>
              <w:spacing w:line="240" w:lineRule="exact"/>
              <w:jc w:val="center"/>
              <w:rPr>
                <w:rFonts w:ascii="宋体"/>
                <w:b/>
                <w:kern w:val="0"/>
              </w:rPr>
            </w:pPr>
          </w:p>
        </w:tc>
        <w:tc>
          <w:tcPr>
            <w:tcW w:w="2403" w:type="dxa"/>
            <w:vAlign w:val="center"/>
          </w:tcPr>
          <w:p w14:paraId="3102CA3F">
            <w:pPr>
              <w:spacing w:line="240" w:lineRule="exact"/>
              <w:jc w:val="center"/>
              <w:rPr>
                <w:rFonts w:ascii="宋体"/>
                <w:b/>
                <w:kern w:val="0"/>
              </w:rPr>
            </w:pPr>
            <w:r>
              <w:rPr>
                <w:rFonts w:hint="eastAsia" w:ascii="宋体"/>
                <w:b/>
                <w:kern w:val="0"/>
              </w:rPr>
              <w:t>违反条款</w:t>
            </w:r>
          </w:p>
        </w:tc>
        <w:tc>
          <w:tcPr>
            <w:tcW w:w="2148" w:type="dxa"/>
            <w:vAlign w:val="center"/>
          </w:tcPr>
          <w:p w14:paraId="2976AE94">
            <w:pPr>
              <w:spacing w:line="240" w:lineRule="exact"/>
              <w:jc w:val="center"/>
              <w:rPr>
                <w:rFonts w:ascii="宋体"/>
                <w:b/>
                <w:kern w:val="0"/>
              </w:rPr>
            </w:pPr>
            <w:r>
              <w:rPr>
                <w:rFonts w:hint="eastAsia" w:ascii="宋体"/>
                <w:b/>
                <w:kern w:val="0"/>
              </w:rPr>
              <w:t>处罚依据</w:t>
            </w:r>
          </w:p>
        </w:tc>
        <w:tc>
          <w:tcPr>
            <w:tcW w:w="1130" w:type="dxa"/>
            <w:vMerge w:val="continue"/>
            <w:vAlign w:val="center"/>
          </w:tcPr>
          <w:p w14:paraId="6A349A80">
            <w:pPr>
              <w:spacing w:line="240" w:lineRule="exact"/>
              <w:jc w:val="center"/>
              <w:rPr>
                <w:rFonts w:ascii="宋体"/>
                <w:b/>
                <w:kern w:val="0"/>
              </w:rPr>
            </w:pPr>
          </w:p>
        </w:tc>
        <w:tc>
          <w:tcPr>
            <w:tcW w:w="4894" w:type="dxa"/>
            <w:vMerge w:val="continue"/>
            <w:tcBorders>
              <w:bottom w:val="single" w:color="auto" w:sz="4" w:space="0"/>
            </w:tcBorders>
            <w:vAlign w:val="center"/>
          </w:tcPr>
          <w:p w14:paraId="36E56432">
            <w:pPr>
              <w:spacing w:line="240" w:lineRule="exact"/>
              <w:jc w:val="center"/>
              <w:rPr>
                <w:rFonts w:ascii="宋体"/>
                <w:b/>
                <w:kern w:val="0"/>
              </w:rPr>
            </w:pPr>
          </w:p>
        </w:tc>
        <w:tc>
          <w:tcPr>
            <w:tcW w:w="2795" w:type="dxa"/>
            <w:tcBorders>
              <w:top w:val="single" w:color="auto" w:sz="4" w:space="0"/>
              <w:bottom w:val="single" w:color="auto" w:sz="4" w:space="0"/>
              <w:right w:val="single" w:color="auto" w:sz="4" w:space="0"/>
            </w:tcBorders>
            <w:vAlign w:val="center"/>
          </w:tcPr>
          <w:p w14:paraId="0ABC727A">
            <w:pPr>
              <w:spacing w:line="240" w:lineRule="exact"/>
              <w:jc w:val="center"/>
              <w:rPr>
                <w:rFonts w:ascii="宋体"/>
                <w:b/>
                <w:kern w:val="0"/>
              </w:rPr>
            </w:pPr>
            <w:r>
              <w:rPr>
                <w:rFonts w:hint="eastAsia" w:ascii="宋体"/>
                <w:b/>
                <w:kern w:val="0"/>
              </w:rPr>
              <w:t>【对象】船舶的所有人、经营人或者管理人</w:t>
            </w:r>
          </w:p>
        </w:tc>
        <w:tc>
          <w:tcPr>
            <w:tcW w:w="2556" w:type="dxa"/>
            <w:tcBorders>
              <w:top w:val="single" w:color="auto" w:sz="4" w:space="0"/>
              <w:left w:val="single" w:color="auto" w:sz="4" w:space="0"/>
              <w:bottom w:val="single" w:color="auto" w:sz="4" w:space="0"/>
              <w:right w:val="single" w:color="auto" w:sz="4" w:space="0"/>
            </w:tcBorders>
            <w:vAlign w:val="center"/>
          </w:tcPr>
          <w:p w14:paraId="23A939BD">
            <w:pPr>
              <w:spacing w:line="240" w:lineRule="exact"/>
              <w:jc w:val="center"/>
              <w:rPr>
                <w:rFonts w:ascii="宋体"/>
                <w:b/>
                <w:kern w:val="0"/>
              </w:rPr>
            </w:pPr>
            <w:r>
              <w:rPr>
                <w:rFonts w:hint="eastAsia" w:ascii="宋体"/>
                <w:b/>
                <w:kern w:val="0"/>
              </w:rPr>
              <w:t>【对象】船长</w:t>
            </w:r>
          </w:p>
        </w:tc>
        <w:tc>
          <w:tcPr>
            <w:tcW w:w="3408" w:type="dxa"/>
            <w:tcBorders>
              <w:top w:val="single" w:color="auto" w:sz="4" w:space="0"/>
              <w:left w:val="single" w:color="auto" w:sz="4" w:space="0"/>
              <w:bottom w:val="single" w:color="auto" w:sz="4" w:space="0"/>
              <w:right w:val="single" w:color="auto" w:sz="4" w:space="0"/>
            </w:tcBorders>
            <w:vAlign w:val="center"/>
          </w:tcPr>
          <w:p w14:paraId="1E915935">
            <w:pPr>
              <w:spacing w:line="240" w:lineRule="exact"/>
              <w:jc w:val="center"/>
              <w:rPr>
                <w:rFonts w:ascii="宋体"/>
                <w:b/>
                <w:kern w:val="0"/>
              </w:rPr>
            </w:pPr>
            <w:r>
              <w:rPr>
                <w:rFonts w:hint="eastAsia" w:ascii="宋体"/>
                <w:b/>
                <w:kern w:val="0"/>
              </w:rPr>
              <w:t>【对象】责任船员或者其他责任人员</w:t>
            </w:r>
          </w:p>
        </w:tc>
      </w:tr>
      <w:tr w14:paraId="2175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43" w:type="dxa"/>
            <w:vMerge w:val="restart"/>
            <w:vAlign w:val="center"/>
          </w:tcPr>
          <w:p w14:paraId="3339CFD8">
            <w:pPr>
              <w:widowControl/>
              <w:spacing w:line="240" w:lineRule="exact"/>
              <w:jc w:val="left"/>
              <w:rPr>
                <w:rFonts w:ascii="宋体"/>
                <w:kern w:val="0"/>
              </w:rPr>
            </w:pPr>
            <w:r>
              <w:rPr>
                <w:rFonts w:hint="eastAsia" w:ascii="宋体"/>
                <w:kern w:val="0"/>
              </w:rPr>
              <w:t>载运危险货物的船舶未经许可进出港口</w:t>
            </w:r>
          </w:p>
        </w:tc>
        <w:tc>
          <w:tcPr>
            <w:tcW w:w="2403" w:type="dxa"/>
            <w:vMerge w:val="restart"/>
            <w:vAlign w:val="center"/>
          </w:tcPr>
          <w:p w14:paraId="24AD882F">
            <w:pPr>
              <w:widowControl/>
              <w:spacing w:line="240" w:lineRule="exact"/>
              <w:jc w:val="left"/>
              <w:rPr>
                <w:rFonts w:ascii="宋体"/>
                <w:kern w:val="0"/>
              </w:rPr>
            </w:pPr>
            <w:r>
              <w:rPr>
                <w:rFonts w:hint="eastAsia" w:ascii="宋体"/>
                <w:kern w:val="0"/>
              </w:rPr>
              <w:t>1.《中华人民共和国海上交通安全法》第六十四条。</w:t>
            </w:r>
          </w:p>
        </w:tc>
        <w:tc>
          <w:tcPr>
            <w:tcW w:w="2148" w:type="dxa"/>
            <w:vMerge w:val="restart"/>
            <w:vAlign w:val="center"/>
          </w:tcPr>
          <w:p w14:paraId="1978D6B4">
            <w:pPr>
              <w:widowControl/>
              <w:spacing w:line="240" w:lineRule="exact"/>
              <w:jc w:val="left"/>
              <w:rPr>
                <w:rFonts w:ascii="宋体"/>
                <w:kern w:val="0"/>
              </w:rPr>
            </w:pPr>
            <w:r>
              <w:rPr>
                <w:rFonts w:hint="eastAsia" w:ascii="宋体"/>
                <w:kern w:val="0"/>
              </w:rPr>
              <w:t>1.《中华人民共和国海上交通安全法》第一百零八条第（一）项、</w:t>
            </w:r>
            <w:r>
              <w:rPr>
                <w:rFonts w:hint="eastAsia" w:ascii="宋体"/>
              </w:rPr>
              <w:t>《中华人民共和国海上海事行政处罚规定》第三十条第（一）项。</w:t>
            </w:r>
            <w:r>
              <w:rPr>
                <w:rFonts w:hint="eastAsia" w:ascii="宋体"/>
                <w:kern w:val="0"/>
              </w:rPr>
              <w:t xml:space="preserve"> </w:t>
            </w:r>
          </w:p>
          <w:p w14:paraId="5B055E70">
            <w:pPr>
              <w:widowControl/>
              <w:spacing w:line="240" w:lineRule="exact"/>
              <w:jc w:val="left"/>
              <w:rPr>
                <w:rFonts w:ascii="宋体"/>
                <w:kern w:val="0"/>
              </w:rPr>
            </w:pPr>
            <w:r>
              <w:rPr>
                <w:rFonts w:hint="eastAsia" w:ascii="宋体"/>
                <w:kern w:val="0"/>
              </w:rPr>
              <w:t>2. 《中华人民共和国海上海事行政处罚规定》第七条。</w:t>
            </w:r>
          </w:p>
        </w:tc>
        <w:tc>
          <w:tcPr>
            <w:tcW w:w="1130" w:type="dxa"/>
            <w:vAlign w:val="center"/>
          </w:tcPr>
          <w:p w14:paraId="41AFCE39">
            <w:pPr>
              <w:widowControl/>
              <w:spacing w:line="240" w:lineRule="exact"/>
              <w:jc w:val="center"/>
              <w:rPr>
                <w:rFonts w:ascii="宋体"/>
                <w:kern w:val="0"/>
              </w:rPr>
            </w:pPr>
            <w:r>
              <w:rPr>
                <w:rFonts w:hint="eastAsia" w:ascii="宋体"/>
                <w:kern w:val="0"/>
              </w:rPr>
              <w:t>从轻</w:t>
            </w:r>
          </w:p>
        </w:tc>
        <w:tc>
          <w:tcPr>
            <w:tcW w:w="4894" w:type="dxa"/>
            <w:tcBorders>
              <w:bottom w:val="single" w:color="auto" w:sz="4" w:space="0"/>
              <w:right w:val="single" w:color="auto" w:sz="4" w:space="0"/>
            </w:tcBorders>
            <w:vAlign w:val="center"/>
          </w:tcPr>
          <w:p w14:paraId="7E6E089B">
            <w:pPr>
              <w:widowControl/>
              <w:spacing w:line="240" w:lineRule="exact"/>
              <w:jc w:val="left"/>
              <w:rPr>
                <w:rFonts w:ascii="宋体"/>
                <w:kern w:val="0"/>
              </w:rPr>
            </w:pPr>
            <w:r>
              <w:rPr>
                <w:rFonts w:hint="eastAsia" w:ascii="宋体"/>
                <w:kern w:val="0"/>
              </w:rPr>
              <w:t>具有法定从轻处罚情节的</w:t>
            </w:r>
          </w:p>
        </w:tc>
        <w:tc>
          <w:tcPr>
            <w:tcW w:w="2795" w:type="dxa"/>
            <w:tcBorders>
              <w:left w:val="single" w:color="auto" w:sz="4" w:space="0"/>
              <w:bottom w:val="single" w:color="auto" w:sz="4" w:space="0"/>
              <w:right w:val="single" w:color="auto" w:sz="4" w:space="0"/>
            </w:tcBorders>
            <w:vAlign w:val="center"/>
          </w:tcPr>
          <w:p w14:paraId="4BE5B371">
            <w:pPr>
              <w:widowControl/>
              <w:spacing w:line="240" w:lineRule="exact"/>
              <w:jc w:val="center"/>
              <w:rPr>
                <w:rFonts w:ascii="宋体"/>
                <w:kern w:val="0"/>
              </w:rPr>
            </w:pPr>
            <w:r>
              <w:rPr>
                <w:rFonts w:hint="eastAsia" w:ascii="宋体"/>
                <w:kern w:val="0"/>
              </w:rPr>
              <w:t>5-6万元</w:t>
            </w:r>
          </w:p>
        </w:tc>
        <w:tc>
          <w:tcPr>
            <w:tcW w:w="2556" w:type="dxa"/>
            <w:tcBorders>
              <w:left w:val="single" w:color="auto" w:sz="4" w:space="0"/>
              <w:bottom w:val="single" w:color="auto" w:sz="4" w:space="0"/>
              <w:right w:val="single" w:color="auto" w:sz="4" w:space="0"/>
            </w:tcBorders>
            <w:vAlign w:val="center"/>
          </w:tcPr>
          <w:p w14:paraId="29FCD2DD">
            <w:pPr>
              <w:widowControl/>
              <w:spacing w:line="240" w:lineRule="exact"/>
              <w:jc w:val="center"/>
              <w:rPr>
                <w:rFonts w:ascii="宋体"/>
                <w:kern w:val="0"/>
              </w:rPr>
            </w:pPr>
            <w:r>
              <w:rPr>
                <w:rFonts w:hint="eastAsia" w:ascii="宋体"/>
                <w:kern w:val="0"/>
              </w:rPr>
              <w:t>5000元-8000元</w:t>
            </w:r>
          </w:p>
        </w:tc>
        <w:tc>
          <w:tcPr>
            <w:tcW w:w="3408" w:type="dxa"/>
            <w:tcBorders>
              <w:left w:val="single" w:color="auto" w:sz="4" w:space="0"/>
              <w:bottom w:val="single" w:color="auto" w:sz="4" w:space="0"/>
              <w:right w:val="single" w:color="auto" w:sz="4" w:space="0"/>
            </w:tcBorders>
            <w:vAlign w:val="center"/>
          </w:tcPr>
          <w:p w14:paraId="141C0527">
            <w:pPr>
              <w:widowControl/>
              <w:spacing w:line="240" w:lineRule="exact"/>
              <w:jc w:val="center"/>
              <w:rPr>
                <w:rFonts w:ascii="宋体"/>
                <w:kern w:val="0"/>
              </w:rPr>
            </w:pPr>
            <w:r>
              <w:rPr>
                <w:rFonts w:hint="eastAsia" w:ascii="宋体"/>
                <w:kern w:val="0"/>
              </w:rPr>
              <w:t>5000元-7000元</w:t>
            </w:r>
          </w:p>
        </w:tc>
      </w:tr>
      <w:tr w14:paraId="454CD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943" w:type="dxa"/>
            <w:vMerge w:val="continue"/>
            <w:vAlign w:val="center"/>
          </w:tcPr>
          <w:p w14:paraId="7E14CAB3">
            <w:pPr>
              <w:widowControl/>
              <w:spacing w:line="240" w:lineRule="exact"/>
              <w:jc w:val="left"/>
              <w:rPr>
                <w:rFonts w:ascii="宋体"/>
                <w:kern w:val="0"/>
              </w:rPr>
            </w:pPr>
          </w:p>
        </w:tc>
        <w:tc>
          <w:tcPr>
            <w:tcW w:w="2403" w:type="dxa"/>
            <w:vMerge w:val="continue"/>
            <w:vAlign w:val="center"/>
          </w:tcPr>
          <w:p w14:paraId="1CCC9B8C">
            <w:pPr>
              <w:widowControl/>
              <w:spacing w:line="240" w:lineRule="exact"/>
              <w:jc w:val="left"/>
              <w:rPr>
                <w:rFonts w:ascii="宋体"/>
                <w:kern w:val="0"/>
              </w:rPr>
            </w:pPr>
          </w:p>
        </w:tc>
        <w:tc>
          <w:tcPr>
            <w:tcW w:w="2148" w:type="dxa"/>
            <w:vMerge w:val="continue"/>
            <w:vAlign w:val="center"/>
          </w:tcPr>
          <w:p w14:paraId="2737AFBF">
            <w:pPr>
              <w:widowControl/>
              <w:spacing w:line="240" w:lineRule="exact"/>
              <w:jc w:val="left"/>
              <w:rPr>
                <w:rFonts w:ascii="宋体"/>
                <w:kern w:val="0"/>
              </w:rPr>
            </w:pPr>
          </w:p>
        </w:tc>
        <w:tc>
          <w:tcPr>
            <w:tcW w:w="1130" w:type="dxa"/>
            <w:vMerge w:val="restart"/>
            <w:vAlign w:val="center"/>
          </w:tcPr>
          <w:p w14:paraId="16179391">
            <w:pPr>
              <w:widowControl/>
              <w:spacing w:line="240" w:lineRule="exact"/>
              <w:jc w:val="left"/>
              <w:rPr>
                <w:rFonts w:ascii="宋体"/>
                <w:kern w:val="0"/>
              </w:rPr>
            </w:pPr>
            <w:r>
              <w:rPr>
                <w:rFonts w:hint="eastAsia" w:ascii="宋体"/>
                <w:kern w:val="0"/>
              </w:rPr>
              <w:t>一般</w:t>
            </w:r>
          </w:p>
        </w:tc>
        <w:tc>
          <w:tcPr>
            <w:tcW w:w="4894" w:type="dxa"/>
            <w:tcBorders>
              <w:bottom w:val="single" w:color="auto" w:sz="4" w:space="0"/>
              <w:right w:val="single" w:color="auto" w:sz="4" w:space="0"/>
            </w:tcBorders>
            <w:vAlign w:val="center"/>
          </w:tcPr>
          <w:p w14:paraId="1885B23E">
            <w:pPr>
              <w:widowControl/>
              <w:spacing w:line="240" w:lineRule="exact"/>
              <w:jc w:val="left"/>
              <w:rPr>
                <w:rFonts w:ascii="宋体"/>
                <w:kern w:val="0"/>
              </w:rPr>
            </w:pPr>
            <w:r>
              <w:rPr>
                <w:rFonts w:hint="eastAsia" w:ascii="宋体"/>
                <w:kern w:val="0"/>
              </w:rPr>
              <w:t>1.涉及品种1个；</w:t>
            </w:r>
          </w:p>
          <w:p w14:paraId="01281F13">
            <w:pPr>
              <w:widowControl/>
              <w:spacing w:line="240" w:lineRule="exact"/>
              <w:jc w:val="left"/>
              <w:rPr>
                <w:rFonts w:ascii="宋体"/>
                <w:kern w:val="0"/>
              </w:rPr>
            </w:pPr>
            <w:r>
              <w:rPr>
                <w:rFonts w:hint="eastAsia" w:ascii="宋体"/>
                <w:kern w:val="0"/>
              </w:rPr>
              <w:t>2.涉及集装箱数1～5TEU的，或涉及散装货物不足500吨的。</w:t>
            </w:r>
          </w:p>
        </w:tc>
        <w:tc>
          <w:tcPr>
            <w:tcW w:w="2795" w:type="dxa"/>
            <w:tcBorders>
              <w:left w:val="single" w:color="auto" w:sz="4" w:space="0"/>
              <w:bottom w:val="single" w:color="auto" w:sz="4" w:space="0"/>
              <w:right w:val="single" w:color="auto" w:sz="4" w:space="0"/>
            </w:tcBorders>
            <w:vAlign w:val="center"/>
          </w:tcPr>
          <w:p w14:paraId="7F3C21D3">
            <w:pPr>
              <w:widowControl/>
              <w:spacing w:line="240" w:lineRule="exact"/>
              <w:jc w:val="center"/>
              <w:rPr>
                <w:rFonts w:ascii="宋体"/>
                <w:kern w:val="0"/>
              </w:rPr>
            </w:pPr>
            <w:r>
              <w:rPr>
                <w:rFonts w:hint="eastAsia" w:ascii="宋体"/>
                <w:kern w:val="0"/>
              </w:rPr>
              <w:t>6-8万元</w:t>
            </w:r>
          </w:p>
        </w:tc>
        <w:tc>
          <w:tcPr>
            <w:tcW w:w="2556" w:type="dxa"/>
            <w:tcBorders>
              <w:left w:val="single" w:color="auto" w:sz="4" w:space="0"/>
              <w:bottom w:val="single" w:color="auto" w:sz="4" w:space="0"/>
              <w:right w:val="single" w:color="auto" w:sz="4" w:space="0"/>
            </w:tcBorders>
            <w:vAlign w:val="center"/>
          </w:tcPr>
          <w:p w14:paraId="7A4008A8">
            <w:pPr>
              <w:widowControl/>
              <w:spacing w:line="240" w:lineRule="exact"/>
              <w:jc w:val="center"/>
              <w:rPr>
                <w:rFonts w:ascii="宋体"/>
                <w:kern w:val="0"/>
              </w:rPr>
            </w:pPr>
            <w:r>
              <w:rPr>
                <w:rFonts w:hint="eastAsia" w:ascii="宋体"/>
                <w:kern w:val="0"/>
              </w:rPr>
              <w:t>8000元-1.5万元</w:t>
            </w:r>
          </w:p>
        </w:tc>
        <w:tc>
          <w:tcPr>
            <w:tcW w:w="3408" w:type="dxa"/>
            <w:tcBorders>
              <w:left w:val="single" w:color="auto" w:sz="4" w:space="0"/>
              <w:bottom w:val="single" w:color="auto" w:sz="4" w:space="0"/>
              <w:right w:val="single" w:color="auto" w:sz="4" w:space="0"/>
            </w:tcBorders>
            <w:vAlign w:val="center"/>
          </w:tcPr>
          <w:p w14:paraId="19386668">
            <w:pPr>
              <w:widowControl/>
              <w:spacing w:line="240" w:lineRule="exact"/>
              <w:jc w:val="center"/>
              <w:rPr>
                <w:rFonts w:ascii="宋体"/>
                <w:kern w:val="0"/>
              </w:rPr>
            </w:pPr>
            <w:r>
              <w:rPr>
                <w:rFonts w:hint="eastAsia" w:ascii="宋体"/>
                <w:kern w:val="0"/>
              </w:rPr>
              <w:t>7000元-1万元</w:t>
            </w:r>
          </w:p>
        </w:tc>
      </w:tr>
      <w:tr w14:paraId="02D3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43" w:type="dxa"/>
            <w:vMerge w:val="continue"/>
            <w:vAlign w:val="center"/>
          </w:tcPr>
          <w:p w14:paraId="6EFB1823">
            <w:pPr>
              <w:widowControl/>
              <w:spacing w:line="240" w:lineRule="exact"/>
              <w:jc w:val="left"/>
              <w:rPr>
                <w:rFonts w:ascii="宋体"/>
                <w:kern w:val="0"/>
              </w:rPr>
            </w:pPr>
          </w:p>
        </w:tc>
        <w:tc>
          <w:tcPr>
            <w:tcW w:w="2403" w:type="dxa"/>
            <w:vMerge w:val="continue"/>
            <w:vAlign w:val="center"/>
          </w:tcPr>
          <w:p w14:paraId="0F8C52BD">
            <w:pPr>
              <w:widowControl/>
              <w:spacing w:line="240" w:lineRule="exact"/>
              <w:jc w:val="left"/>
              <w:rPr>
                <w:rFonts w:ascii="宋体"/>
                <w:kern w:val="0"/>
              </w:rPr>
            </w:pPr>
          </w:p>
        </w:tc>
        <w:tc>
          <w:tcPr>
            <w:tcW w:w="2148" w:type="dxa"/>
            <w:vMerge w:val="continue"/>
            <w:vAlign w:val="center"/>
          </w:tcPr>
          <w:p w14:paraId="454744FA">
            <w:pPr>
              <w:widowControl/>
              <w:spacing w:line="240" w:lineRule="exact"/>
              <w:jc w:val="left"/>
              <w:rPr>
                <w:rFonts w:ascii="宋体"/>
                <w:kern w:val="0"/>
              </w:rPr>
            </w:pPr>
          </w:p>
        </w:tc>
        <w:tc>
          <w:tcPr>
            <w:tcW w:w="1130" w:type="dxa"/>
            <w:vMerge w:val="continue"/>
            <w:vAlign w:val="center"/>
          </w:tcPr>
          <w:p w14:paraId="514B5C3E">
            <w:pPr>
              <w:widowControl/>
              <w:spacing w:line="240" w:lineRule="exact"/>
              <w:jc w:val="left"/>
              <w:rPr>
                <w:rFonts w:ascii="宋体"/>
                <w:kern w:val="0"/>
              </w:rPr>
            </w:pPr>
          </w:p>
        </w:tc>
        <w:tc>
          <w:tcPr>
            <w:tcW w:w="4894" w:type="dxa"/>
            <w:tcBorders>
              <w:bottom w:val="single" w:color="auto" w:sz="4" w:space="0"/>
              <w:right w:val="single" w:color="auto" w:sz="4" w:space="0"/>
            </w:tcBorders>
            <w:vAlign w:val="center"/>
          </w:tcPr>
          <w:p w14:paraId="0B06D2C9">
            <w:pPr>
              <w:widowControl/>
              <w:spacing w:line="240" w:lineRule="exact"/>
              <w:jc w:val="left"/>
              <w:rPr>
                <w:rFonts w:ascii="宋体"/>
                <w:kern w:val="0"/>
              </w:rPr>
            </w:pPr>
            <w:r>
              <w:rPr>
                <w:rFonts w:hint="eastAsia" w:ascii="宋体"/>
                <w:kern w:val="0"/>
              </w:rPr>
              <w:t>1.涉及品种2个以上；</w:t>
            </w:r>
          </w:p>
          <w:p w14:paraId="2CB66B29">
            <w:pPr>
              <w:widowControl/>
              <w:spacing w:line="240" w:lineRule="exact"/>
              <w:jc w:val="left"/>
              <w:rPr>
                <w:rFonts w:ascii="宋体"/>
                <w:kern w:val="0"/>
              </w:rPr>
            </w:pPr>
            <w:r>
              <w:rPr>
                <w:rFonts w:hint="eastAsia" w:ascii="宋体"/>
                <w:kern w:val="0"/>
              </w:rPr>
              <w:t>2.涉及集装箱数6～10TEU的，或涉及散装货物500～1000吨。</w:t>
            </w:r>
          </w:p>
        </w:tc>
        <w:tc>
          <w:tcPr>
            <w:tcW w:w="2795" w:type="dxa"/>
            <w:tcBorders>
              <w:left w:val="single" w:color="auto" w:sz="4" w:space="0"/>
              <w:bottom w:val="single" w:color="auto" w:sz="4" w:space="0"/>
              <w:right w:val="single" w:color="auto" w:sz="4" w:space="0"/>
            </w:tcBorders>
            <w:vAlign w:val="center"/>
          </w:tcPr>
          <w:p w14:paraId="231452F5">
            <w:pPr>
              <w:widowControl/>
              <w:spacing w:line="240" w:lineRule="exact"/>
              <w:jc w:val="center"/>
              <w:rPr>
                <w:rFonts w:ascii="宋体"/>
                <w:kern w:val="0"/>
              </w:rPr>
            </w:pPr>
            <w:r>
              <w:rPr>
                <w:rFonts w:hint="eastAsia" w:ascii="宋体"/>
                <w:kern w:val="0"/>
              </w:rPr>
              <w:t>8-10万元</w:t>
            </w:r>
          </w:p>
        </w:tc>
        <w:tc>
          <w:tcPr>
            <w:tcW w:w="2556" w:type="dxa"/>
            <w:tcBorders>
              <w:left w:val="single" w:color="auto" w:sz="4" w:space="0"/>
              <w:bottom w:val="single" w:color="auto" w:sz="4" w:space="0"/>
              <w:right w:val="single" w:color="auto" w:sz="4" w:space="0"/>
            </w:tcBorders>
            <w:vAlign w:val="center"/>
          </w:tcPr>
          <w:p w14:paraId="2712FBEE">
            <w:pPr>
              <w:widowControl/>
              <w:spacing w:line="240" w:lineRule="exact"/>
              <w:jc w:val="center"/>
              <w:rPr>
                <w:rFonts w:ascii="宋体"/>
                <w:kern w:val="0"/>
              </w:rPr>
            </w:pPr>
            <w:r>
              <w:rPr>
                <w:rFonts w:hint="eastAsia" w:ascii="宋体"/>
                <w:kern w:val="0"/>
              </w:rPr>
              <w:t>1.5-2万元</w:t>
            </w:r>
          </w:p>
        </w:tc>
        <w:tc>
          <w:tcPr>
            <w:tcW w:w="3408" w:type="dxa"/>
            <w:tcBorders>
              <w:left w:val="single" w:color="auto" w:sz="4" w:space="0"/>
              <w:bottom w:val="single" w:color="auto" w:sz="4" w:space="0"/>
              <w:right w:val="single" w:color="auto" w:sz="4" w:space="0"/>
            </w:tcBorders>
            <w:vAlign w:val="center"/>
          </w:tcPr>
          <w:p w14:paraId="5F977471">
            <w:pPr>
              <w:widowControl/>
              <w:spacing w:line="240" w:lineRule="exact"/>
              <w:jc w:val="center"/>
              <w:rPr>
                <w:rFonts w:ascii="宋体"/>
                <w:kern w:val="0"/>
              </w:rPr>
            </w:pPr>
            <w:r>
              <w:rPr>
                <w:rFonts w:hint="eastAsia" w:ascii="宋体"/>
                <w:kern w:val="0"/>
              </w:rPr>
              <w:t>1-1.5万元</w:t>
            </w:r>
          </w:p>
        </w:tc>
      </w:tr>
      <w:tr w14:paraId="028D5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14:paraId="74861BC0">
            <w:pPr>
              <w:widowControl/>
              <w:spacing w:line="240" w:lineRule="exact"/>
              <w:jc w:val="left"/>
              <w:rPr>
                <w:rFonts w:ascii="宋体"/>
                <w:kern w:val="0"/>
              </w:rPr>
            </w:pPr>
          </w:p>
        </w:tc>
        <w:tc>
          <w:tcPr>
            <w:tcW w:w="2403" w:type="dxa"/>
            <w:vMerge w:val="continue"/>
            <w:vAlign w:val="center"/>
          </w:tcPr>
          <w:p w14:paraId="086C4FC9">
            <w:pPr>
              <w:widowControl/>
              <w:spacing w:line="240" w:lineRule="exact"/>
              <w:jc w:val="left"/>
              <w:rPr>
                <w:rFonts w:ascii="宋体"/>
                <w:kern w:val="0"/>
              </w:rPr>
            </w:pPr>
          </w:p>
        </w:tc>
        <w:tc>
          <w:tcPr>
            <w:tcW w:w="2148" w:type="dxa"/>
            <w:vMerge w:val="continue"/>
            <w:vAlign w:val="center"/>
          </w:tcPr>
          <w:p w14:paraId="67157772">
            <w:pPr>
              <w:widowControl/>
              <w:spacing w:line="240" w:lineRule="exact"/>
              <w:jc w:val="left"/>
              <w:rPr>
                <w:rFonts w:ascii="宋体"/>
                <w:kern w:val="0"/>
              </w:rPr>
            </w:pPr>
          </w:p>
        </w:tc>
        <w:tc>
          <w:tcPr>
            <w:tcW w:w="1130" w:type="dxa"/>
            <w:vMerge w:val="continue"/>
            <w:vAlign w:val="center"/>
          </w:tcPr>
          <w:p w14:paraId="7972490F">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14:paraId="617B2CAF">
            <w:pPr>
              <w:widowControl/>
              <w:spacing w:line="240" w:lineRule="exact"/>
              <w:jc w:val="left"/>
              <w:rPr>
                <w:rFonts w:ascii="宋体"/>
                <w:kern w:val="0"/>
              </w:rPr>
            </w:pPr>
            <w:r>
              <w:rPr>
                <w:rFonts w:hint="eastAsia" w:ascii="宋体"/>
                <w:kern w:val="0"/>
              </w:rPr>
              <w:t>涉及集装箱数11TEU以上的，或涉及散装货物超过1000吨。</w:t>
            </w:r>
          </w:p>
        </w:tc>
        <w:tc>
          <w:tcPr>
            <w:tcW w:w="2795" w:type="dxa"/>
            <w:tcBorders>
              <w:top w:val="single" w:color="auto" w:sz="4" w:space="0"/>
              <w:left w:val="single" w:color="auto" w:sz="4" w:space="0"/>
              <w:bottom w:val="single" w:color="auto" w:sz="4" w:space="0"/>
              <w:right w:val="single" w:color="auto" w:sz="4" w:space="0"/>
            </w:tcBorders>
            <w:vAlign w:val="center"/>
          </w:tcPr>
          <w:p w14:paraId="06321D2B">
            <w:pPr>
              <w:widowControl/>
              <w:spacing w:line="240" w:lineRule="exact"/>
              <w:jc w:val="center"/>
              <w:rPr>
                <w:rFonts w:ascii="宋体"/>
                <w:kern w:val="0"/>
              </w:rPr>
            </w:pPr>
            <w:r>
              <w:rPr>
                <w:rFonts w:hint="eastAsia" w:ascii="宋体"/>
                <w:kern w:val="0"/>
              </w:rPr>
              <w:t>10-15万元</w:t>
            </w:r>
          </w:p>
        </w:tc>
        <w:tc>
          <w:tcPr>
            <w:tcW w:w="2556" w:type="dxa"/>
            <w:tcBorders>
              <w:top w:val="single" w:color="auto" w:sz="4" w:space="0"/>
              <w:left w:val="single" w:color="auto" w:sz="4" w:space="0"/>
              <w:bottom w:val="single" w:color="auto" w:sz="4" w:space="0"/>
              <w:right w:val="single" w:color="auto" w:sz="4" w:space="0"/>
            </w:tcBorders>
            <w:vAlign w:val="center"/>
          </w:tcPr>
          <w:p w14:paraId="191E2F88">
            <w:pPr>
              <w:widowControl/>
              <w:spacing w:line="240" w:lineRule="exact"/>
              <w:jc w:val="center"/>
              <w:rPr>
                <w:rFonts w:ascii="宋体"/>
                <w:kern w:val="0"/>
              </w:rPr>
            </w:pPr>
            <w:r>
              <w:rPr>
                <w:rFonts w:hint="eastAsia" w:ascii="宋体"/>
                <w:kern w:val="0"/>
              </w:rPr>
              <w:t>2-2.5万元</w:t>
            </w:r>
          </w:p>
        </w:tc>
        <w:tc>
          <w:tcPr>
            <w:tcW w:w="3408" w:type="dxa"/>
            <w:tcBorders>
              <w:top w:val="single" w:color="auto" w:sz="4" w:space="0"/>
              <w:left w:val="single" w:color="auto" w:sz="4" w:space="0"/>
              <w:bottom w:val="single" w:color="auto" w:sz="4" w:space="0"/>
              <w:right w:val="single" w:color="auto" w:sz="4" w:space="0"/>
            </w:tcBorders>
            <w:vAlign w:val="center"/>
          </w:tcPr>
          <w:p w14:paraId="6471C527">
            <w:pPr>
              <w:widowControl/>
              <w:spacing w:line="240" w:lineRule="exact"/>
              <w:jc w:val="center"/>
              <w:rPr>
                <w:rFonts w:ascii="宋体"/>
                <w:kern w:val="0"/>
              </w:rPr>
            </w:pPr>
            <w:r>
              <w:rPr>
                <w:rFonts w:hint="eastAsia" w:ascii="宋体"/>
                <w:kern w:val="0"/>
              </w:rPr>
              <w:t>1.5-2万元</w:t>
            </w:r>
          </w:p>
        </w:tc>
      </w:tr>
      <w:tr w14:paraId="4CB3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14:paraId="31FC674E">
            <w:pPr>
              <w:widowControl/>
              <w:spacing w:line="240" w:lineRule="exact"/>
              <w:jc w:val="left"/>
              <w:rPr>
                <w:rFonts w:ascii="宋体"/>
                <w:kern w:val="0"/>
              </w:rPr>
            </w:pPr>
          </w:p>
        </w:tc>
        <w:tc>
          <w:tcPr>
            <w:tcW w:w="2403" w:type="dxa"/>
            <w:vMerge w:val="continue"/>
            <w:vAlign w:val="center"/>
          </w:tcPr>
          <w:p w14:paraId="1F814677">
            <w:pPr>
              <w:widowControl/>
              <w:spacing w:line="240" w:lineRule="exact"/>
              <w:jc w:val="left"/>
              <w:rPr>
                <w:rFonts w:ascii="宋体"/>
                <w:kern w:val="0"/>
              </w:rPr>
            </w:pPr>
          </w:p>
        </w:tc>
        <w:tc>
          <w:tcPr>
            <w:tcW w:w="2148" w:type="dxa"/>
            <w:vMerge w:val="continue"/>
            <w:vAlign w:val="center"/>
          </w:tcPr>
          <w:p w14:paraId="13A02B1B">
            <w:pPr>
              <w:widowControl/>
              <w:spacing w:line="240" w:lineRule="exact"/>
              <w:jc w:val="left"/>
              <w:rPr>
                <w:rFonts w:ascii="宋体"/>
                <w:kern w:val="0"/>
              </w:rPr>
            </w:pPr>
          </w:p>
        </w:tc>
        <w:tc>
          <w:tcPr>
            <w:tcW w:w="1130" w:type="dxa"/>
            <w:vMerge w:val="continue"/>
            <w:vAlign w:val="center"/>
          </w:tcPr>
          <w:p w14:paraId="0DBC3017">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14:paraId="09CCFE31">
            <w:pPr>
              <w:widowControl/>
              <w:spacing w:line="240" w:lineRule="exact"/>
              <w:jc w:val="left"/>
              <w:rPr>
                <w:rFonts w:ascii="宋体"/>
                <w:kern w:val="0"/>
              </w:rPr>
            </w:pPr>
            <w:r>
              <w:rPr>
                <w:rFonts w:hint="eastAsia" w:ascii="宋体"/>
                <w:kern w:val="0"/>
              </w:rPr>
              <w:t>具有其他较重情节的</w:t>
            </w:r>
          </w:p>
        </w:tc>
        <w:tc>
          <w:tcPr>
            <w:tcW w:w="2795" w:type="dxa"/>
            <w:tcBorders>
              <w:top w:val="single" w:color="auto" w:sz="4" w:space="0"/>
              <w:left w:val="single" w:color="auto" w:sz="4" w:space="0"/>
              <w:bottom w:val="single" w:color="auto" w:sz="4" w:space="0"/>
              <w:right w:val="single" w:color="auto" w:sz="4" w:space="0"/>
            </w:tcBorders>
            <w:vAlign w:val="center"/>
          </w:tcPr>
          <w:p w14:paraId="57775F4A">
            <w:pPr>
              <w:widowControl/>
              <w:spacing w:line="240" w:lineRule="exact"/>
              <w:jc w:val="center"/>
              <w:rPr>
                <w:rFonts w:ascii="宋体"/>
                <w:kern w:val="0"/>
              </w:rPr>
            </w:pPr>
            <w:r>
              <w:rPr>
                <w:rFonts w:hint="eastAsia" w:ascii="宋体"/>
                <w:kern w:val="0"/>
              </w:rPr>
              <w:t xml:space="preserve">15-30万元 </w:t>
            </w:r>
          </w:p>
        </w:tc>
        <w:tc>
          <w:tcPr>
            <w:tcW w:w="2556" w:type="dxa"/>
            <w:tcBorders>
              <w:top w:val="single" w:color="auto" w:sz="4" w:space="0"/>
              <w:left w:val="single" w:color="auto" w:sz="4" w:space="0"/>
              <w:bottom w:val="single" w:color="auto" w:sz="4" w:space="0"/>
              <w:right w:val="single" w:color="auto" w:sz="4" w:space="0"/>
            </w:tcBorders>
            <w:vAlign w:val="center"/>
          </w:tcPr>
          <w:p w14:paraId="3B620D90">
            <w:pPr>
              <w:widowControl/>
              <w:spacing w:line="240" w:lineRule="exact"/>
              <w:jc w:val="center"/>
              <w:rPr>
                <w:rFonts w:ascii="宋体"/>
                <w:kern w:val="0"/>
              </w:rPr>
            </w:pPr>
            <w:r>
              <w:rPr>
                <w:rFonts w:hint="eastAsia" w:ascii="宋体"/>
                <w:kern w:val="0"/>
              </w:rPr>
              <w:t>2.5-5万元</w:t>
            </w:r>
          </w:p>
        </w:tc>
        <w:tc>
          <w:tcPr>
            <w:tcW w:w="3408" w:type="dxa"/>
            <w:tcBorders>
              <w:top w:val="single" w:color="auto" w:sz="4" w:space="0"/>
              <w:left w:val="single" w:color="auto" w:sz="4" w:space="0"/>
              <w:bottom w:val="single" w:color="auto" w:sz="4" w:space="0"/>
              <w:right w:val="single" w:color="auto" w:sz="4" w:space="0"/>
            </w:tcBorders>
            <w:vAlign w:val="center"/>
          </w:tcPr>
          <w:p w14:paraId="46B72CE5">
            <w:pPr>
              <w:widowControl/>
              <w:spacing w:line="240" w:lineRule="exact"/>
              <w:jc w:val="center"/>
              <w:rPr>
                <w:rFonts w:ascii="宋体"/>
                <w:kern w:val="0"/>
              </w:rPr>
            </w:pPr>
            <w:r>
              <w:rPr>
                <w:rFonts w:hint="eastAsia" w:ascii="宋体"/>
                <w:kern w:val="0"/>
              </w:rPr>
              <w:t>2-5万元</w:t>
            </w:r>
          </w:p>
        </w:tc>
      </w:tr>
      <w:tr w14:paraId="2581D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943" w:type="dxa"/>
            <w:vMerge w:val="continue"/>
            <w:vAlign w:val="center"/>
          </w:tcPr>
          <w:p w14:paraId="134E4A6D">
            <w:pPr>
              <w:widowControl/>
              <w:spacing w:line="240" w:lineRule="exact"/>
              <w:jc w:val="left"/>
              <w:rPr>
                <w:rFonts w:ascii="宋体"/>
                <w:kern w:val="0"/>
              </w:rPr>
            </w:pPr>
          </w:p>
        </w:tc>
        <w:tc>
          <w:tcPr>
            <w:tcW w:w="2403" w:type="dxa"/>
            <w:vMerge w:val="continue"/>
            <w:vAlign w:val="center"/>
          </w:tcPr>
          <w:p w14:paraId="09FE93C0">
            <w:pPr>
              <w:widowControl/>
              <w:spacing w:line="240" w:lineRule="exact"/>
              <w:jc w:val="left"/>
              <w:rPr>
                <w:rFonts w:ascii="宋体"/>
                <w:kern w:val="0"/>
              </w:rPr>
            </w:pPr>
          </w:p>
        </w:tc>
        <w:tc>
          <w:tcPr>
            <w:tcW w:w="2148" w:type="dxa"/>
            <w:vMerge w:val="continue"/>
            <w:vAlign w:val="center"/>
          </w:tcPr>
          <w:p w14:paraId="2F0F881B">
            <w:pPr>
              <w:widowControl/>
              <w:spacing w:line="240" w:lineRule="exact"/>
              <w:jc w:val="left"/>
              <w:rPr>
                <w:rFonts w:ascii="宋体"/>
                <w:kern w:val="0"/>
              </w:rPr>
            </w:pPr>
          </w:p>
        </w:tc>
        <w:tc>
          <w:tcPr>
            <w:tcW w:w="1130" w:type="dxa"/>
            <w:vMerge w:val="restart"/>
            <w:tcBorders>
              <w:top w:val="single" w:color="auto" w:sz="4" w:space="0"/>
            </w:tcBorders>
            <w:vAlign w:val="center"/>
          </w:tcPr>
          <w:p w14:paraId="08B7DE8F">
            <w:pPr>
              <w:widowControl/>
              <w:spacing w:line="240" w:lineRule="exact"/>
              <w:jc w:val="center"/>
              <w:rPr>
                <w:rFonts w:ascii="宋体"/>
                <w:kern w:val="0"/>
              </w:rPr>
            </w:pPr>
            <w:r>
              <w:rPr>
                <w:rFonts w:hint="eastAsia" w:ascii="宋体"/>
                <w:kern w:val="0"/>
              </w:rPr>
              <w:t>情节严重</w:t>
            </w:r>
          </w:p>
        </w:tc>
        <w:tc>
          <w:tcPr>
            <w:tcW w:w="4894" w:type="dxa"/>
            <w:tcBorders>
              <w:top w:val="single" w:color="auto" w:sz="4" w:space="0"/>
              <w:bottom w:val="single" w:color="auto" w:sz="4" w:space="0"/>
              <w:right w:val="single" w:color="auto" w:sz="4" w:space="0"/>
            </w:tcBorders>
            <w:vAlign w:val="center"/>
          </w:tcPr>
          <w:p w14:paraId="2BB7CCDE">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14:paraId="5D29978B">
            <w:pPr>
              <w:widowControl/>
              <w:spacing w:line="240" w:lineRule="exact"/>
              <w:jc w:val="left"/>
              <w:rPr>
                <w:rFonts w:ascii="宋体"/>
                <w:kern w:val="0"/>
              </w:rPr>
            </w:pPr>
            <w:r>
              <w:rPr>
                <w:rFonts w:hint="eastAsia" w:ascii="宋体"/>
                <w:kern w:val="0"/>
              </w:rPr>
              <w:t>2.发生一般等级事故的。</w:t>
            </w:r>
          </w:p>
        </w:tc>
        <w:tc>
          <w:tcPr>
            <w:tcW w:w="2795" w:type="dxa"/>
            <w:tcBorders>
              <w:top w:val="single" w:color="auto" w:sz="4" w:space="0"/>
              <w:left w:val="single" w:color="auto" w:sz="4" w:space="0"/>
              <w:bottom w:val="single" w:color="auto" w:sz="4" w:space="0"/>
              <w:right w:val="single" w:color="auto" w:sz="4" w:space="0"/>
            </w:tcBorders>
            <w:vAlign w:val="center"/>
          </w:tcPr>
          <w:p w14:paraId="1ED126EC">
            <w:pPr>
              <w:widowControl/>
              <w:spacing w:line="240" w:lineRule="exact"/>
              <w:jc w:val="center"/>
              <w:rPr>
                <w:rFonts w:ascii="宋体"/>
                <w:kern w:val="0"/>
              </w:rPr>
            </w:pPr>
            <w:r>
              <w:rPr>
                <w:rFonts w:hint="eastAsia" w:ascii="宋体"/>
                <w:kern w:val="0"/>
              </w:rPr>
              <w:t>30-50万元</w:t>
            </w:r>
          </w:p>
        </w:tc>
        <w:tc>
          <w:tcPr>
            <w:tcW w:w="2556" w:type="dxa"/>
            <w:tcBorders>
              <w:top w:val="single" w:color="auto" w:sz="4" w:space="0"/>
              <w:left w:val="single" w:color="auto" w:sz="4" w:space="0"/>
              <w:bottom w:val="single" w:color="auto" w:sz="4" w:space="0"/>
              <w:right w:val="single" w:color="auto" w:sz="4" w:space="0"/>
            </w:tcBorders>
            <w:vAlign w:val="center"/>
          </w:tcPr>
          <w:p w14:paraId="79424B5E">
            <w:pPr>
              <w:widowControl/>
              <w:spacing w:line="240" w:lineRule="exact"/>
              <w:jc w:val="center"/>
              <w:rPr>
                <w:rFonts w:ascii="宋体"/>
                <w:kern w:val="0"/>
              </w:rPr>
            </w:pPr>
            <w:r>
              <w:rPr>
                <w:rFonts w:hint="eastAsia" w:ascii="宋体"/>
                <w:kern w:val="0"/>
              </w:rPr>
              <w:t>暂扣适任证书6个月至9月</w:t>
            </w:r>
          </w:p>
        </w:tc>
        <w:tc>
          <w:tcPr>
            <w:tcW w:w="3408" w:type="dxa"/>
            <w:tcBorders>
              <w:top w:val="single" w:color="auto" w:sz="4" w:space="0"/>
              <w:left w:val="single" w:color="auto" w:sz="4" w:space="0"/>
              <w:bottom w:val="single" w:color="auto" w:sz="4" w:space="0"/>
              <w:right w:val="single" w:color="auto" w:sz="4" w:space="0"/>
            </w:tcBorders>
            <w:vAlign w:val="center"/>
          </w:tcPr>
          <w:p w14:paraId="2824CF8F">
            <w:pPr>
              <w:widowControl/>
              <w:spacing w:line="240" w:lineRule="exact"/>
              <w:jc w:val="center"/>
              <w:rPr>
                <w:rFonts w:ascii="宋体"/>
                <w:kern w:val="0"/>
              </w:rPr>
            </w:pPr>
            <w:r>
              <w:rPr>
                <w:rFonts w:hint="eastAsia" w:ascii="宋体"/>
                <w:kern w:val="0"/>
              </w:rPr>
              <w:t>暂扣适任证书6个月至9个月</w:t>
            </w:r>
          </w:p>
        </w:tc>
      </w:tr>
      <w:tr w14:paraId="23F7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943" w:type="dxa"/>
            <w:vMerge w:val="continue"/>
            <w:vAlign w:val="center"/>
          </w:tcPr>
          <w:p w14:paraId="592FFF1E">
            <w:pPr>
              <w:widowControl/>
              <w:spacing w:line="240" w:lineRule="exact"/>
              <w:jc w:val="left"/>
              <w:rPr>
                <w:rFonts w:ascii="宋体"/>
                <w:kern w:val="0"/>
              </w:rPr>
            </w:pPr>
          </w:p>
        </w:tc>
        <w:tc>
          <w:tcPr>
            <w:tcW w:w="2403" w:type="dxa"/>
            <w:vMerge w:val="continue"/>
            <w:vAlign w:val="center"/>
          </w:tcPr>
          <w:p w14:paraId="4E0ABBCF">
            <w:pPr>
              <w:widowControl/>
              <w:spacing w:line="240" w:lineRule="exact"/>
              <w:jc w:val="left"/>
              <w:rPr>
                <w:rFonts w:ascii="宋体"/>
                <w:kern w:val="0"/>
              </w:rPr>
            </w:pPr>
          </w:p>
        </w:tc>
        <w:tc>
          <w:tcPr>
            <w:tcW w:w="2148" w:type="dxa"/>
            <w:vMerge w:val="continue"/>
            <w:vAlign w:val="center"/>
          </w:tcPr>
          <w:p w14:paraId="734316E8">
            <w:pPr>
              <w:widowControl/>
              <w:spacing w:line="240" w:lineRule="exact"/>
              <w:jc w:val="left"/>
              <w:rPr>
                <w:rFonts w:ascii="宋体"/>
                <w:kern w:val="0"/>
              </w:rPr>
            </w:pPr>
          </w:p>
        </w:tc>
        <w:tc>
          <w:tcPr>
            <w:tcW w:w="1130" w:type="dxa"/>
            <w:vMerge w:val="continue"/>
            <w:tcBorders>
              <w:bottom w:val="single" w:color="auto" w:sz="4" w:space="0"/>
            </w:tcBorders>
            <w:vAlign w:val="center"/>
          </w:tcPr>
          <w:p w14:paraId="676A27FD">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14:paraId="7647EE7A">
            <w:pPr>
              <w:widowControl/>
              <w:spacing w:line="240" w:lineRule="exact"/>
              <w:jc w:val="left"/>
              <w:rPr>
                <w:rFonts w:ascii="宋体"/>
                <w:kern w:val="0"/>
              </w:rPr>
            </w:pPr>
            <w:r>
              <w:rPr>
                <w:rFonts w:hint="eastAsia" w:ascii="宋体"/>
                <w:kern w:val="0"/>
              </w:rPr>
              <w:t>1.发生船舶火灾、爆炸、人身伤亡、污染等事故；</w:t>
            </w:r>
          </w:p>
          <w:p w14:paraId="017F2A37">
            <w:pPr>
              <w:widowControl/>
              <w:spacing w:line="240" w:lineRule="exact"/>
              <w:jc w:val="left"/>
              <w:rPr>
                <w:rFonts w:ascii="宋体"/>
                <w:kern w:val="0"/>
              </w:rPr>
            </w:pPr>
            <w:r>
              <w:rPr>
                <w:rFonts w:hint="eastAsia" w:ascii="宋体"/>
                <w:kern w:val="0"/>
              </w:rPr>
              <w:t>2.发生较大等级以上事故的；</w:t>
            </w:r>
          </w:p>
          <w:p w14:paraId="7928BDD9">
            <w:pPr>
              <w:widowControl/>
              <w:spacing w:line="240" w:lineRule="exact"/>
              <w:jc w:val="left"/>
              <w:rPr>
                <w:rFonts w:ascii="宋体"/>
                <w:kern w:val="0"/>
              </w:rPr>
            </w:pPr>
            <w:r>
              <w:rPr>
                <w:rFonts w:hint="eastAsia" w:ascii="宋体"/>
                <w:kern w:val="0"/>
              </w:rPr>
              <w:t>3.具有其他严重情节的。</w:t>
            </w:r>
          </w:p>
        </w:tc>
        <w:tc>
          <w:tcPr>
            <w:tcW w:w="2795" w:type="dxa"/>
            <w:tcBorders>
              <w:top w:val="single" w:color="auto" w:sz="4" w:space="0"/>
              <w:left w:val="single" w:color="auto" w:sz="4" w:space="0"/>
              <w:bottom w:val="single" w:color="auto" w:sz="4" w:space="0"/>
              <w:right w:val="single" w:color="auto" w:sz="4" w:space="0"/>
            </w:tcBorders>
            <w:vAlign w:val="center"/>
          </w:tcPr>
          <w:p w14:paraId="47A9E77B">
            <w:pPr>
              <w:widowControl/>
              <w:spacing w:line="240" w:lineRule="exact"/>
              <w:jc w:val="center"/>
              <w:rPr>
                <w:rFonts w:ascii="宋体"/>
                <w:kern w:val="0"/>
              </w:rPr>
            </w:pPr>
            <w:r>
              <w:rPr>
                <w:rFonts w:hint="eastAsia" w:ascii="宋体"/>
                <w:kern w:val="0"/>
              </w:rPr>
              <w:t>40-50万元</w:t>
            </w:r>
          </w:p>
        </w:tc>
        <w:tc>
          <w:tcPr>
            <w:tcW w:w="2556" w:type="dxa"/>
            <w:tcBorders>
              <w:top w:val="single" w:color="auto" w:sz="4" w:space="0"/>
              <w:left w:val="single" w:color="auto" w:sz="4" w:space="0"/>
              <w:bottom w:val="single" w:color="auto" w:sz="4" w:space="0"/>
              <w:right w:val="single" w:color="auto" w:sz="4" w:space="0"/>
            </w:tcBorders>
            <w:vAlign w:val="center"/>
          </w:tcPr>
          <w:p w14:paraId="44BE232A">
            <w:pPr>
              <w:widowControl/>
              <w:spacing w:line="240" w:lineRule="exact"/>
              <w:jc w:val="center"/>
              <w:rPr>
                <w:rFonts w:ascii="宋体"/>
                <w:kern w:val="0"/>
              </w:rPr>
            </w:pPr>
            <w:r>
              <w:rPr>
                <w:rFonts w:hint="eastAsia" w:ascii="宋体"/>
                <w:kern w:val="0"/>
              </w:rPr>
              <w:t>暂扣适任证书9个月至12月，直至吊销适任证书</w:t>
            </w:r>
          </w:p>
        </w:tc>
        <w:tc>
          <w:tcPr>
            <w:tcW w:w="3408" w:type="dxa"/>
            <w:tcBorders>
              <w:top w:val="single" w:color="auto" w:sz="4" w:space="0"/>
              <w:left w:val="single" w:color="auto" w:sz="4" w:space="0"/>
              <w:bottom w:val="single" w:color="auto" w:sz="4" w:space="0"/>
              <w:right w:val="single" w:color="auto" w:sz="4" w:space="0"/>
            </w:tcBorders>
            <w:vAlign w:val="center"/>
          </w:tcPr>
          <w:p w14:paraId="74A02A53">
            <w:pPr>
              <w:widowControl/>
              <w:spacing w:line="240" w:lineRule="exact"/>
              <w:jc w:val="center"/>
              <w:rPr>
                <w:rFonts w:ascii="宋体"/>
                <w:kern w:val="0"/>
              </w:rPr>
            </w:pPr>
            <w:r>
              <w:rPr>
                <w:rFonts w:hint="eastAsia" w:ascii="宋体"/>
                <w:kern w:val="0"/>
              </w:rPr>
              <w:t>暂扣适任证书9个月至12月，直至吊销适任证书</w:t>
            </w:r>
          </w:p>
        </w:tc>
      </w:tr>
    </w:tbl>
    <w:p w14:paraId="403BAA7D">
      <w:pPr>
        <w:widowControl/>
        <w:jc w:val="lef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2403"/>
        <w:gridCol w:w="2148"/>
        <w:gridCol w:w="1130"/>
        <w:gridCol w:w="4894"/>
        <w:gridCol w:w="2795"/>
        <w:gridCol w:w="2556"/>
        <w:gridCol w:w="3408"/>
      </w:tblGrid>
      <w:tr w14:paraId="06438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943" w:type="dxa"/>
            <w:vMerge w:val="restart"/>
            <w:vAlign w:val="center"/>
          </w:tcPr>
          <w:p w14:paraId="3B66447B">
            <w:pPr>
              <w:spacing w:line="240" w:lineRule="exact"/>
              <w:jc w:val="center"/>
              <w:rPr>
                <w:rFonts w:ascii="宋体"/>
                <w:b/>
                <w:kern w:val="0"/>
              </w:rPr>
            </w:pPr>
            <w:r>
              <w:rPr>
                <w:rFonts w:hint="eastAsia" w:ascii="宋体"/>
                <w:b/>
                <w:kern w:val="0"/>
              </w:rPr>
              <w:t>案由67</w:t>
            </w:r>
          </w:p>
        </w:tc>
        <w:tc>
          <w:tcPr>
            <w:tcW w:w="4551" w:type="dxa"/>
            <w:gridSpan w:val="2"/>
            <w:vAlign w:val="center"/>
          </w:tcPr>
          <w:p w14:paraId="3F5573FD">
            <w:pPr>
              <w:spacing w:line="240" w:lineRule="exact"/>
              <w:jc w:val="center"/>
              <w:rPr>
                <w:rFonts w:ascii="宋体"/>
                <w:b/>
                <w:kern w:val="0"/>
              </w:rPr>
            </w:pPr>
            <w:r>
              <w:rPr>
                <w:rFonts w:hint="eastAsia" w:ascii="宋体"/>
                <w:b/>
                <w:kern w:val="0"/>
              </w:rPr>
              <w:t>法律依据</w:t>
            </w:r>
          </w:p>
        </w:tc>
        <w:tc>
          <w:tcPr>
            <w:tcW w:w="1130" w:type="dxa"/>
            <w:vMerge w:val="restart"/>
            <w:vAlign w:val="center"/>
          </w:tcPr>
          <w:p w14:paraId="032F0E5C">
            <w:pPr>
              <w:spacing w:line="240" w:lineRule="exact"/>
              <w:jc w:val="center"/>
              <w:rPr>
                <w:rFonts w:ascii="宋体"/>
                <w:b/>
                <w:kern w:val="0"/>
              </w:rPr>
            </w:pPr>
            <w:r>
              <w:rPr>
                <w:rFonts w:hint="eastAsia" w:ascii="宋体"/>
                <w:b/>
                <w:kern w:val="0"/>
              </w:rPr>
              <w:t>违法情节</w:t>
            </w:r>
          </w:p>
        </w:tc>
        <w:tc>
          <w:tcPr>
            <w:tcW w:w="4894" w:type="dxa"/>
            <w:vMerge w:val="restart"/>
            <w:vAlign w:val="center"/>
          </w:tcPr>
          <w:p w14:paraId="0560EE2D">
            <w:pPr>
              <w:spacing w:line="240" w:lineRule="exact"/>
              <w:jc w:val="center"/>
              <w:rPr>
                <w:rFonts w:ascii="宋体"/>
                <w:b/>
                <w:kern w:val="0"/>
              </w:rPr>
            </w:pPr>
            <w:r>
              <w:rPr>
                <w:rFonts w:hint="eastAsia" w:ascii="宋体"/>
                <w:b/>
                <w:kern w:val="0"/>
              </w:rPr>
              <w:t>主要考虑因素（事实、性质、情节、危害程度和实际后果等）</w:t>
            </w:r>
          </w:p>
        </w:tc>
        <w:tc>
          <w:tcPr>
            <w:tcW w:w="8759" w:type="dxa"/>
            <w:gridSpan w:val="3"/>
            <w:tcBorders>
              <w:right w:val="single" w:color="auto" w:sz="4" w:space="0"/>
            </w:tcBorders>
            <w:vAlign w:val="center"/>
          </w:tcPr>
          <w:p w14:paraId="601C38C2">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14:paraId="06D3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43" w:type="dxa"/>
            <w:vMerge w:val="continue"/>
            <w:vAlign w:val="center"/>
          </w:tcPr>
          <w:p w14:paraId="0BF5A98B">
            <w:pPr>
              <w:spacing w:line="240" w:lineRule="exact"/>
              <w:jc w:val="center"/>
              <w:rPr>
                <w:rFonts w:ascii="宋体"/>
                <w:b/>
                <w:kern w:val="0"/>
              </w:rPr>
            </w:pPr>
          </w:p>
        </w:tc>
        <w:tc>
          <w:tcPr>
            <w:tcW w:w="2403" w:type="dxa"/>
            <w:vAlign w:val="center"/>
          </w:tcPr>
          <w:p w14:paraId="73A293E7">
            <w:pPr>
              <w:spacing w:line="240" w:lineRule="exact"/>
              <w:jc w:val="center"/>
              <w:rPr>
                <w:rFonts w:ascii="宋体"/>
                <w:b/>
                <w:kern w:val="0"/>
              </w:rPr>
            </w:pPr>
            <w:r>
              <w:rPr>
                <w:rFonts w:hint="eastAsia" w:ascii="宋体"/>
                <w:b/>
                <w:kern w:val="0"/>
              </w:rPr>
              <w:t>违反条款</w:t>
            </w:r>
          </w:p>
        </w:tc>
        <w:tc>
          <w:tcPr>
            <w:tcW w:w="2148" w:type="dxa"/>
            <w:vAlign w:val="center"/>
          </w:tcPr>
          <w:p w14:paraId="1C0D0AEF">
            <w:pPr>
              <w:spacing w:line="240" w:lineRule="exact"/>
              <w:jc w:val="center"/>
              <w:rPr>
                <w:rFonts w:ascii="宋体"/>
                <w:b/>
                <w:kern w:val="0"/>
              </w:rPr>
            </w:pPr>
            <w:r>
              <w:rPr>
                <w:rFonts w:hint="eastAsia" w:ascii="宋体"/>
                <w:b/>
                <w:kern w:val="0"/>
              </w:rPr>
              <w:t>处罚依据</w:t>
            </w:r>
          </w:p>
        </w:tc>
        <w:tc>
          <w:tcPr>
            <w:tcW w:w="1130" w:type="dxa"/>
            <w:vMerge w:val="continue"/>
            <w:vAlign w:val="center"/>
          </w:tcPr>
          <w:p w14:paraId="085A1827">
            <w:pPr>
              <w:spacing w:line="240" w:lineRule="exact"/>
              <w:jc w:val="center"/>
              <w:rPr>
                <w:rFonts w:ascii="宋体"/>
                <w:b/>
                <w:kern w:val="0"/>
              </w:rPr>
            </w:pPr>
          </w:p>
        </w:tc>
        <w:tc>
          <w:tcPr>
            <w:tcW w:w="4894" w:type="dxa"/>
            <w:vMerge w:val="continue"/>
            <w:tcBorders>
              <w:bottom w:val="single" w:color="auto" w:sz="4" w:space="0"/>
            </w:tcBorders>
            <w:vAlign w:val="center"/>
          </w:tcPr>
          <w:p w14:paraId="1358F333">
            <w:pPr>
              <w:spacing w:line="240" w:lineRule="exact"/>
              <w:jc w:val="center"/>
              <w:rPr>
                <w:rFonts w:ascii="宋体"/>
                <w:b/>
                <w:kern w:val="0"/>
              </w:rPr>
            </w:pPr>
          </w:p>
        </w:tc>
        <w:tc>
          <w:tcPr>
            <w:tcW w:w="2795" w:type="dxa"/>
            <w:tcBorders>
              <w:top w:val="single" w:color="auto" w:sz="4" w:space="0"/>
              <w:bottom w:val="single" w:color="auto" w:sz="4" w:space="0"/>
              <w:right w:val="single" w:color="auto" w:sz="4" w:space="0"/>
            </w:tcBorders>
            <w:vAlign w:val="center"/>
          </w:tcPr>
          <w:p w14:paraId="496CA769">
            <w:pPr>
              <w:spacing w:line="240" w:lineRule="exact"/>
              <w:jc w:val="center"/>
              <w:rPr>
                <w:rFonts w:ascii="宋体"/>
                <w:b/>
                <w:kern w:val="0"/>
              </w:rPr>
            </w:pPr>
            <w:r>
              <w:rPr>
                <w:rFonts w:hint="eastAsia" w:ascii="宋体"/>
                <w:b/>
                <w:kern w:val="0"/>
              </w:rPr>
              <w:t>【对象】船舶的所有人、经营人或者管理人</w:t>
            </w:r>
          </w:p>
        </w:tc>
        <w:tc>
          <w:tcPr>
            <w:tcW w:w="2556" w:type="dxa"/>
            <w:tcBorders>
              <w:top w:val="single" w:color="auto" w:sz="4" w:space="0"/>
              <w:left w:val="single" w:color="auto" w:sz="4" w:space="0"/>
              <w:bottom w:val="single" w:color="auto" w:sz="4" w:space="0"/>
              <w:right w:val="single" w:color="auto" w:sz="4" w:space="0"/>
            </w:tcBorders>
            <w:vAlign w:val="center"/>
          </w:tcPr>
          <w:p w14:paraId="60D7B797">
            <w:pPr>
              <w:spacing w:line="240" w:lineRule="exact"/>
              <w:jc w:val="center"/>
              <w:rPr>
                <w:rFonts w:ascii="宋体"/>
                <w:b/>
                <w:kern w:val="0"/>
              </w:rPr>
            </w:pPr>
            <w:r>
              <w:rPr>
                <w:rFonts w:hint="eastAsia" w:ascii="宋体"/>
                <w:b/>
                <w:kern w:val="0"/>
              </w:rPr>
              <w:t>【对象】船长</w:t>
            </w:r>
          </w:p>
        </w:tc>
        <w:tc>
          <w:tcPr>
            <w:tcW w:w="3408" w:type="dxa"/>
            <w:tcBorders>
              <w:top w:val="single" w:color="auto" w:sz="4" w:space="0"/>
              <w:left w:val="single" w:color="auto" w:sz="4" w:space="0"/>
              <w:bottom w:val="single" w:color="auto" w:sz="4" w:space="0"/>
              <w:right w:val="single" w:color="auto" w:sz="4" w:space="0"/>
            </w:tcBorders>
            <w:vAlign w:val="center"/>
          </w:tcPr>
          <w:p w14:paraId="55A9D7DB">
            <w:pPr>
              <w:spacing w:line="240" w:lineRule="exact"/>
              <w:jc w:val="center"/>
              <w:rPr>
                <w:rFonts w:ascii="宋体"/>
                <w:b/>
                <w:kern w:val="0"/>
              </w:rPr>
            </w:pPr>
            <w:r>
              <w:rPr>
                <w:rFonts w:hint="eastAsia" w:ascii="宋体"/>
                <w:b/>
                <w:kern w:val="0"/>
              </w:rPr>
              <w:t>【对象】责任船员或者其他责任人员</w:t>
            </w:r>
          </w:p>
        </w:tc>
      </w:tr>
      <w:tr w14:paraId="170F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43" w:type="dxa"/>
            <w:vMerge w:val="restart"/>
            <w:vAlign w:val="center"/>
          </w:tcPr>
          <w:p w14:paraId="69AEC27E">
            <w:pPr>
              <w:widowControl/>
              <w:spacing w:line="240" w:lineRule="exact"/>
              <w:jc w:val="left"/>
              <w:rPr>
                <w:rFonts w:ascii="宋体"/>
                <w:kern w:val="0"/>
              </w:rPr>
            </w:pPr>
            <w:r>
              <w:rPr>
                <w:rFonts w:hint="eastAsia" w:ascii="宋体"/>
                <w:kern w:val="0"/>
              </w:rPr>
              <w:t>船舶未经许可从事散装液体危险货物过驳作业</w:t>
            </w:r>
          </w:p>
        </w:tc>
        <w:tc>
          <w:tcPr>
            <w:tcW w:w="2403" w:type="dxa"/>
            <w:vMerge w:val="restart"/>
            <w:vAlign w:val="center"/>
          </w:tcPr>
          <w:p w14:paraId="76FDFB3D">
            <w:pPr>
              <w:widowControl/>
              <w:spacing w:line="240" w:lineRule="exact"/>
              <w:jc w:val="left"/>
              <w:rPr>
                <w:rFonts w:ascii="宋体"/>
                <w:kern w:val="0"/>
              </w:rPr>
            </w:pPr>
            <w:r>
              <w:rPr>
                <w:rFonts w:hint="eastAsia" w:ascii="宋体"/>
                <w:kern w:val="0"/>
              </w:rPr>
              <w:t>1.《中华人民共和国海上交通安全法》第六十五条。</w:t>
            </w:r>
          </w:p>
        </w:tc>
        <w:tc>
          <w:tcPr>
            <w:tcW w:w="2148" w:type="dxa"/>
            <w:vMerge w:val="restart"/>
            <w:vAlign w:val="center"/>
          </w:tcPr>
          <w:p w14:paraId="4709BE8F">
            <w:pPr>
              <w:widowControl/>
              <w:spacing w:line="240" w:lineRule="exact"/>
              <w:jc w:val="left"/>
              <w:rPr>
                <w:rFonts w:ascii="宋体"/>
                <w:kern w:val="0"/>
              </w:rPr>
            </w:pPr>
            <w:r>
              <w:rPr>
                <w:rFonts w:hint="eastAsia" w:ascii="宋体"/>
                <w:kern w:val="0"/>
              </w:rPr>
              <w:t>1.《中华人民共和国海上交通安全法》第一百零八条第（一）项、</w:t>
            </w:r>
            <w:r>
              <w:rPr>
                <w:rFonts w:hint="eastAsia" w:ascii="宋体"/>
              </w:rPr>
              <w:t>《中华人民共和国海上海事行政处罚规定》第三十条第（一）项。</w:t>
            </w:r>
            <w:r>
              <w:rPr>
                <w:rFonts w:hint="eastAsia" w:ascii="宋体"/>
                <w:kern w:val="0"/>
              </w:rPr>
              <w:t xml:space="preserve"> </w:t>
            </w:r>
          </w:p>
          <w:p w14:paraId="72B16F7D">
            <w:pPr>
              <w:widowControl/>
              <w:spacing w:line="240" w:lineRule="exact"/>
              <w:jc w:val="left"/>
              <w:rPr>
                <w:rFonts w:ascii="宋体"/>
                <w:kern w:val="0"/>
              </w:rPr>
            </w:pPr>
            <w:r>
              <w:rPr>
                <w:rFonts w:hint="eastAsia" w:ascii="宋体"/>
                <w:kern w:val="0"/>
              </w:rPr>
              <w:t>2. 《中华人民共和国海上海事行政处罚规定》第七条。</w:t>
            </w:r>
          </w:p>
        </w:tc>
        <w:tc>
          <w:tcPr>
            <w:tcW w:w="1130" w:type="dxa"/>
            <w:vAlign w:val="center"/>
          </w:tcPr>
          <w:p w14:paraId="57EDA1D8">
            <w:pPr>
              <w:widowControl/>
              <w:spacing w:line="240" w:lineRule="exact"/>
              <w:jc w:val="center"/>
              <w:rPr>
                <w:rFonts w:ascii="宋体"/>
                <w:kern w:val="0"/>
              </w:rPr>
            </w:pPr>
            <w:r>
              <w:rPr>
                <w:rFonts w:hint="eastAsia" w:ascii="宋体"/>
                <w:kern w:val="0"/>
              </w:rPr>
              <w:t>从轻</w:t>
            </w:r>
          </w:p>
        </w:tc>
        <w:tc>
          <w:tcPr>
            <w:tcW w:w="4894" w:type="dxa"/>
            <w:tcBorders>
              <w:bottom w:val="single" w:color="auto" w:sz="4" w:space="0"/>
              <w:right w:val="single" w:color="auto" w:sz="4" w:space="0"/>
            </w:tcBorders>
            <w:vAlign w:val="center"/>
          </w:tcPr>
          <w:p w14:paraId="6F35D1AA">
            <w:pPr>
              <w:widowControl/>
              <w:spacing w:line="240" w:lineRule="exact"/>
              <w:jc w:val="left"/>
              <w:rPr>
                <w:rFonts w:ascii="宋体"/>
                <w:kern w:val="0"/>
              </w:rPr>
            </w:pPr>
            <w:r>
              <w:rPr>
                <w:rFonts w:hint="eastAsia" w:ascii="宋体"/>
                <w:kern w:val="0"/>
              </w:rPr>
              <w:t>具有法定从轻处罚情节的</w:t>
            </w:r>
          </w:p>
        </w:tc>
        <w:tc>
          <w:tcPr>
            <w:tcW w:w="2795" w:type="dxa"/>
            <w:tcBorders>
              <w:left w:val="single" w:color="auto" w:sz="4" w:space="0"/>
              <w:bottom w:val="single" w:color="auto" w:sz="4" w:space="0"/>
              <w:right w:val="single" w:color="auto" w:sz="4" w:space="0"/>
            </w:tcBorders>
            <w:vAlign w:val="center"/>
          </w:tcPr>
          <w:p w14:paraId="41A5A1AC">
            <w:pPr>
              <w:widowControl/>
              <w:spacing w:line="240" w:lineRule="exact"/>
              <w:jc w:val="center"/>
              <w:rPr>
                <w:rFonts w:ascii="宋体"/>
                <w:kern w:val="0"/>
              </w:rPr>
            </w:pPr>
            <w:r>
              <w:rPr>
                <w:rFonts w:hint="eastAsia" w:ascii="宋体"/>
                <w:kern w:val="0"/>
              </w:rPr>
              <w:t>5-6万元</w:t>
            </w:r>
          </w:p>
        </w:tc>
        <w:tc>
          <w:tcPr>
            <w:tcW w:w="2556" w:type="dxa"/>
            <w:tcBorders>
              <w:left w:val="single" w:color="auto" w:sz="4" w:space="0"/>
              <w:bottom w:val="single" w:color="auto" w:sz="4" w:space="0"/>
              <w:right w:val="single" w:color="auto" w:sz="4" w:space="0"/>
            </w:tcBorders>
            <w:vAlign w:val="center"/>
          </w:tcPr>
          <w:p w14:paraId="4F8BC130">
            <w:pPr>
              <w:widowControl/>
              <w:spacing w:line="240" w:lineRule="exact"/>
              <w:jc w:val="center"/>
              <w:rPr>
                <w:rFonts w:ascii="宋体"/>
                <w:kern w:val="0"/>
              </w:rPr>
            </w:pPr>
            <w:r>
              <w:rPr>
                <w:rFonts w:hint="eastAsia" w:ascii="宋体"/>
                <w:kern w:val="0"/>
              </w:rPr>
              <w:t>5000元-8000元</w:t>
            </w:r>
          </w:p>
        </w:tc>
        <w:tc>
          <w:tcPr>
            <w:tcW w:w="3408" w:type="dxa"/>
            <w:tcBorders>
              <w:left w:val="single" w:color="auto" w:sz="4" w:space="0"/>
              <w:bottom w:val="single" w:color="auto" w:sz="4" w:space="0"/>
              <w:right w:val="single" w:color="auto" w:sz="4" w:space="0"/>
            </w:tcBorders>
            <w:vAlign w:val="center"/>
          </w:tcPr>
          <w:p w14:paraId="01730AB4">
            <w:pPr>
              <w:widowControl/>
              <w:spacing w:line="240" w:lineRule="exact"/>
              <w:jc w:val="center"/>
              <w:rPr>
                <w:rFonts w:ascii="宋体"/>
                <w:kern w:val="0"/>
              </w:rPr>
            </w:pPr>
            <w:r>
              <w:rPr>
                <w:rFonts w:hint="eastAsia" w:ascii="宋体"/>
                <w:kern w:val="0"/>
              </w:rPr>
              <w:t>5000元-7000元</w:t>
            </w:r>
          </w:p>
        </w:tc>
      </w:tr>
      <w:tr w14:paraId="253D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943" w:type="dxa"/>
            <w:vMerge w:val="continue"/>
            <w:vAlign w:val="center"/>
          </w:tcPr>
          <w:p w14:paraId="5EFACE36">
            <w:pPr>
              <w:widowControl/>
              <w:spacing w:line="240" w:lineRule="exact"/>
              <w:jc w:val="left"/>
              <w:rPr>
                <w:rFonts w:ascii="宋体"/>
                <w:kern w:val="0"/>
              </w:rPr>
            </w:pPr>
          </w:p>
        </w:tc>
        <w:tc>
          <w:tcPr>
            <w:tcW w:w="2403" w:type="dxa"/>
            <w:vMerge w:val="continue"/>
            <w:vAlign w:val="center"/>
          </w:tcPr>
          <w:p w14:paraId="00538AC6">
            <w:pPr>
              <w:widowControl/>
              <w:spacing w:line="240" w:lineRule="exact"/>
              <w:jc w:val="left"/>
              <w:rPr>
                <w:rFonts w:ascii="宋体"/>
                <w:kern w:val="0"/>
              </w:rPr>
            </w:pPr>
          </w:p>
        </w:tc>
        <w:tc>
          <w:tcPr>
            <w:tcW w:w="2148" w:type="dxa"/>
            <w:vMerge w:val="continue"/>
            <w:vAlign w:val="center"/>
          </w:tcPr>
          <w:p w14:paraId="140517EC">
            <w:pPr>
              <w:widowControl/>
              <w:spacing w:line="240" w:lineRule="exact"/>
              <w:jc w:val="left"/>
              <w:rPr>
                <w:rFonts w:ascii="宋体"/>
                <w:kern w:val="0"/>
              </w:rPr>
            </w:pPr>
          </w:p>
        </w:tc>
        <w:tc>
          <w:tcPr>
            <w:tcW w:w="1130" w:type="dxa"/>
            <w:vMerge w:val="restart"/>
            <w:vAlign w:val="center"/>
          </w:tcPr>
          <w:p w14:paraId="31F52833">
            <w:pPr>
              <w:widowControl/>
              <w:spacing w:line="240" w:lineRule="exact"/>
              <w:jc w:val="center"/>
              <w:rPr>
                <w:rFonts w:ascii="宋体"/>
                <w:kern w:val="0"/>
              </w:rPr>
            </w:pPr>
            <w:r>
              <w:rPr>
                <w:rFonts w:hint="eastAsia" w:ascii="宋体"/>
                <w:kern w:val="0"/>
              </w:rPr>
              <w:t>一般</w:t>
            </w:r>
          </w:p>
        </w:tc>
        <w:tc>
          <w:tcPr>
            <w:tcW w:w="4894" w:type="dxa"/>
            <w:tcBorders>
              <w:bottom w:val="single" w:color="auto" w:sz="4" w:space="0"/>
              <w:right w:val="single" w:color="auto" w:sz="4" w:space="0"/>
            </w:tcBorders>
            <w:vAlign w:val="center"/>
          </w:tcPr>
          <w:p w14:paraId="791EE173">
            <w:pPr>
              <w:widowControl/>
              <w:spacing w:line="240" w:lineRule="exact"/>
              <w:jc w:val="left"/>
              <w:rPr>
                <w:rFonts w:ascii="宋体"/>
                <w:kern w:val="0"/>
              </w:rPr>
            </w:pPr>
            <w:r>
              <w:rPr>
                <w:rFonts w:hint="eastAsia" w:ascii="宋体"/>
                <w:kern w:val="0"/>
              </w:rPr>
              <w:t>过驳的散装货物不足1000吨的</w:t>
            </w:r>
          </w:p>
        </w:tc>
        <w:tc>
          <w:tcPr>
            <w:tcW w:w="2795" w:type="dxa"/>
            <w:tcBorders>
              <w:left w:val="single" w:color="auto" w:sz="4" w:space="0"/>
              <w:bottom w:val="single" w:color="auto" w:sz="4" w:space="0"/>
              <w:right w:val="single" w:color="auto" w:sz="4" w:space="0"/>
            </w:tcBorders>
            <w:vAlign w:val="center"/>
          </w:tcPr>
          <w:p w14:paraId="3A16CA48">
            <w:pPr>
              <w:widowControl/>
              <w:spacing w:line="240" w:lineRule="exact"/>
              <w:jc w:val="center"/>
              <w:rPr>
                <w:rFonts w:ascii="宋体"/>
                <w:kern w:val="0"/>
              </w:rPr>
            </w:pPr>
            <w:r>
              <w:rPr>
                <w:rFonts w:hint="eastAsia" w:ascii="宋体"/>
                <w:kern w:val="0"/>
              </w:rPr>
              <w:t>6-8万元</w:t>
            </w:r>
          </w:p>
        </w:tc>
        <w:tc>
          <w:tcPr>
            <w:tcW w:w="2556" w:type="dxa"/>
            <w:tcBorders>
              <w:left w:val="single" w:color="auto" w:sz="4" w:space="0"/>
              <w:bottom w:val="single" w:color="auto" w:sz="4" w:space="0"/>
              <w:right w:val="single" w:color="auto" w:sz="4" w:space="0"/>
            </w:tcBorders>
            <w:vAlign w:val="center"/>
          </w:tcPr>
          <w:p w14:paraId="4A2678F8">
            <w:pPr>
              <w:widowControl/>
              <w:spacing w:line="240" w:lineRule="exact"/>
              <w:jc w:val="center"/>
              <w:rPr>
                <w:rFonts w:ascii="宋体"/>
                <w:kern w:val="0"/>
              </w:rPr>
            </w:pPr>
            <w:r>
              <w:rPr>
                <w:rFonts w:hint="eastAsia" w:ascii="宋体"/>
                <w:kern w:val="0"/>
              </w:rPr>
              <w:t>8000元-1.5万元</w:t>
            </w:r>
          </w:p>
        </w:tc>
        <w:tc>
          <w:tcPr>
            <w:tcW w:w="3408" w:type="dxa"/>
            <w:tcBorders>
              <w:left w:val="single" w:color="auto" w:sz="4" w:space="0"/>
              <w:bottom w:val="single" w:color="auto" w:sz="4" w:space="0"/>
              <w:right w:val="single" w:color="auto" w:sz="4" w:space="0"/>
            </w:tcBorders>
            <w:vAlign w:val="center"/>
          </w:tcPr>
          <w:p w14:paraId="7A4FE880">
            <w:pPr>
              <w:widowControl/>
              <w:spacing w:line="240" w:lineRule="exact"/>
              <w:jc w:val="center"/>
              <w:rPr>
                <w:rFonts w:ascii="宋体"/>
                <w:kern w:val="0"/>
              </w:rPr>
            </w:pPr>
            <w:r>
              <w:rPr>
                <w:rFonts w:hint="eastAsia" w:ascii="宋体"/>
                <w:kern w:val="0"/>
              </w:rPr>
              <w:t>7000元-1万元</w:t>
            </w:r>
          </w:p>
        </w:tc>
      </w:tr>
      <w:tr w14:paraId="24335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43" w:type="dxa"/>
            <w:vMerge w:val="continue"/>
            <w:vAlign w:val="center"/>
          </w:tcPr>
          <w:p w14:paraId="32140C4A">
            <w:pPr>
              <w:widowControl/>
              <w:spacing w:line="240" w:lineRule="exact"/>
              <w:jc w:val="left"/>
              <w:rPr>
                <w:rFonts w:ascii="宋体"/>
                <w:kern w:val="0"/>
              </w:rPr>
            </w:pPr>
          </w:p>
        </w:tc>
        <w:tc>
          <w:tcPr>
            <w:tcW w:w="2403" w:type="dxa"/>
            <w:vMerge w:val="continue"/>
            <w:vAlign w:val="center"/>
          </w:tcPr>
          <w:p w14:paraId="3FBF8BF8">
            <w:pPr>
              <w:widowControl/>
              <w:spacing w:line="240" w:lineRule="exact"/>
              <w:jc w:val="left"/>
              <w:rPr>
                <w:rFonts w:ascii="宋体"/>
                <w:kern w:val="0"/>
              </w:rPr>
            </w:pPr>
          </w:p>
        </w:tc>
        <w:tc>
          <w:tcPr>
            <w:tcW w:w="2148" w:type="dxa"/>
            <w:vMerge w:val="continue"/>
            <w:vAlign w:val="center"/>
          </w:tcPr>
          <w:p w14:paraId="654E0073">
            <w:pPr>
              <w:widowControl/>
              <w:spacing w:line="240" w:lineRule="exact"/>
              <w:jc w:val="left"/>
              <w:rPr>
                <w:rFonts w:ascii="宋体"/>
                <w:kern w:val="0"/>
              </w:rPr>
            </w:pPr>
          </w:p>
        </w:tc>
        <w:tc>
          <w:tcPr>
            <w:tcW w:w="1130" w:type="dxa"/>
            <w:vMerge w:val="continue"/>
            <w:vAlign w:val="center"/>
          </w:tcPr>
          <w:p w14:paraId="29EF62A0">
            <w:pPr>
              <w:spacing w:line="240" w:lineRule="exact"/>
              <w:jc w:val="center"/>
              <w:rPr>
                <w:rFonts w:ascii="宋体"/>
                <w:kern w:val="0"/>
              </w:rPr>
            </w:pPr>
          </w:p>
        </w:tc>
        <w:tc>
          <w:tcPr>
            <w:tcW w:w="4894" w:type="dxa"/>
            <w:tcBorders>
              <w:bottom w:val="single" w:color="auto" w:sz="4" w:space="0"/>
              <w:right w:val="single" w:color="auto" w:sz="4" w:space="0"/>
            </w:tcBorders>
            <w:vAlign w:val="center"/>
          </w:tcPr>
          <w:p w14:paraId="1769806E">
            <w:pPr>
              <w:widowControl/>
              <w:spacing w:line="240" w:lineRule="exact"/>
              <w:jc w:val="left"/>
              <w:rPr>
                <w:rFonts w:ascii="宋体"/>
                <w:kern w:val="0"/>
              </w:rPr>
            </w:pPr>
            <w:r>
              <w:rPr>
                <w:rFonts w:hint="eastAsia" w:ascii="宋体"/>
                <w:kern w:val="0"/>
              </w:rPr>
              <w:t>过驳的散装货物1000～10000吨</w:t>
            </w:r>
          </w:p>
        </w:tc>
        <w:tc>
          <w:tcPr>
            <w:tcW w:w="2795" w:type="dxa"/>
            <w:tcBorders>
              <w:left w:val="single" w:color="auto" w:sz="4" w:space="0"/>
              <w:bottom w:val="single" w:color="auto" w:sz="4" w:space="0"/>
              <w:right w:val="single" w:color="auto" w:sz="4" w:space="0"/>
            </w:tcBorders>
            <w:vAlign w:val="center"/>
          </w:tcPr>
          <w:p w14:paraId="15E5F04F">
            <w:pPr>
              <w:widowControl/>
              <w:spacing w:line="240" w:lineRule="exact"/>
              <w:jc w:val="center"/>
              <w:rPr>
                <w:rFonts w:ascii="宋体"/>
                <w:kern w:val="0"/>
              </w:rPr>
            </w:pPr>
            <w:r>
              <w:rPr>
                <w:rFonts w:hint="eastAsia" w:ascii="宋体"/>
                <w:kern w:val="0"/>
              </w:rPr>
              <w:t>8-10万元</w:t>
            </w:r>
          </w:p>
        </w:tc>
        <w:tc>
          <w:tcPr>
            <w:tcW w:w="2556" w:type="dxa"/>
            <w:tcBorders>
              <w:left w:val="single" w:color="auto" w:sz="4" w:space="0"/>
              <w:bottom w:val="single" w:color="auto" w:sz="4" w:space="0"/>
              <w:right w:val="single" w:color="auto" w:sz="4" w:space="0"/>
            </w:tcBorders>
            <w:vAlign w:val="center"/>
          </w:tcPr>
          <w:p w14:paraId="0B994A29">
            <w:pPr>
              <w:widowControl/>
              <w:spacing w:line="240" w:lineRule="exact"/>
              <w:jc w:val="center"/>
              <w:rPr>
                <w:rFonts w:ascii="宋体"/>
                <w:kern w:val="0"/>
              </w:rPr>
            </w:pPr>
            <w:r>
              <w:rPr>
                <w:rFonts w:hint="eastAsia" w:ascii="宋体"/>
                <w:kern w:val="0"/>
              </w:rPr>
              <w:t>1.5-2万元</w:t>
            </w:r>
          </w:p>
        </w:tc>
        <w:tc>
          <w:tcPr>
            <w:tcW w:w="3408" w:type="dxa"/>
            <w:tcBorders>
              <w:left w:val="single" w:color="auto" w:sz="4" w:space="0"/>
              <w:bottom w:val="single" w:color="auto" w:sz="4" w:space="0"/>
              <w:right w:val="single" w:color="auto" w:sz="4" w:space="0"/>
            </w:tcBorders>
            <w:vAlign w:val="center"/>
          </w:tcPr>
          <w:p w14:paraId="400DACAA">
            <w:pPr>
              <w:widowControl/>
              <w:spacing w:line="240" w:lineRule="exact"/>
              <w:jc w:val="center"/>
              <w:rPr>
                <w:rFonts w:ascii="宋体"/>
                <w:kern w:val="0"/>
              </w:rPr>
            </w:pPr>
            <w:r>
              <w:rPr>
                <w:rFonts w:hint="eastAsia" w:ascii="宋体"/>
                <w:kern w:val="0"/>
              </w:rPr>
              <w:t>1-1.5万元</w:t>
            </w:r>
          </w:p>
        </w:tc>
      </w:tr>
      <w:tr w14:paraId="0837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14:paraId="381D7D54">
            <w:pPr>
              <w:widowControl/>
              <w:spacing w:line="240" w:lineRule="exact"/>
              <w:jc w:val="left"/>
              <w:rPr>
                <w:rFonts w:ascii="宋体"/>
                <w:kern w:val="0"/>
              </w:rPr>
            </w:pPr>
          </w:p>
        </w:tc>
        <w:tc>
          <w:tcPr>
            <w:tcW w:w="2403" w:type="dxa"/>
            <w:vMerge w:val="continue"/>
            <w:vAlign w:val="center"/>
          </w:tcPr>
          <w:p w14:paraId="57BB8B76">
            <w:pPr>
              <w:widowControl/>
              <w:spacing w:line="240" w:lineRule="exact"/>
              <w:jc w:val="left"/>
              <w:rPr>
                <w:rFonts w:ascii="宋体"/>
                <w:kern w:val="0"/>
              </w:rPr>
            </w:pPr>
          </w:p>
        </w:tc>
        <w:tc>
          <w:tcPr>
            <w:tcW w:w="2148" w:type="dxa"/>
            <w:vMerge w:val="continue"/>
            <w:vAlign w:val="center"/>
          </w:tcPr>
          <w:p w14:paraId="041A9C51">
            <w:pPr>
              <w:widowControl/>
              <w:spacing w:line="240" w:lineRule="exact"/>
              <w:jc w:val="left"/>
              <w:rPr>
                <w:rFonts w:ascii="宋体"/>
                <w:kern w:val="0"/>
              </w:rPr>
            </w:pPr>
          </w:p>
        </w:tc>
        <w:tc>
          <w:tcPr>
            <w:tcW w:w="1130" w:type="dxa"/>
            <w:vMerge w:val="continue"/>
            <w:vAlign w:val="center"/>
          </w:tcPr>
          <w:p w14:paraId="4269D00E">
            <w:pPr>
              <w:widowControl/>
              <w:spacing w:line="240" w:lineRule="exact"/>
              <w:jc w:val="center"/>
              <w:rPr>
                <w:rFonts w:ascii="宋体"/>
                <w:kern w:val="0"/>
              </w:rPr>
            </w:pPr>
          </w:p>
        </w:tc>
        <w:tc>
          <w:tcPr>
            <w:tcW w:w="4894" w:type="dxa"/>
            <w:tcBorders>
              <w:top w:val="single" w:color="auto" w:sz="4" w:space="0"/>
              <w:bottom w:val="single" w:color="auto" w:sz="4" w:space="0"/>
              <w:right w:val="single" w:color="auto" w:sz="4" w:space="0"/>
            </w:tcBorders>
            <w:vAlign w:val="center"/>
          </w:tcPr>
          <w:p w14:paraId="1EA93143">
            <w:pPr>
              <w:widowControl/>
              <w:spacing w:line="240" w:lineRule="exact"/>
              <w:jc w:val="left"/>
              <w:rPr>
                <w:rFonts w:ascii="宋体"/>
                <w:kern w:val="0"/>
              </w:rPr>
            </w:pPr>
            <w:r>
              <w:rPr>
                <w:rFonts w:hint="eastAsia" w:ascii="宋体"/>
                <w:kern w:val="0"/>
              </w:rPr>
              <w:t>过驳的散装货物超过10000吨的</w:t>
            </w:r>
          </w:p>
        </w:tc>
        <w:tc>
          <w:tcPr>
            <w:tcW w:w="2795" w:type="dxa"/>
            <w:tcBorders>
              <w:top w:val="single" w:color="auto" w:sz="4" w:space="0"/>
              <w:left w:val="single" w:color="auto" w:sz="4" w:space="0"/>
              <w:bottom w:val="single" w:color="auto" w:sz="4" w:space="0"/>
              <w:right w:val="single" w:color="auto" w:sz="4" w:space="0"/>
            </w:tcBorders>
            <w:vAlign w:val="center"/>
          </w:tcPr>
          <w:p w14:paraId="1E636760">
            <w:pPr>
              <w:widowControl/>
              <w:spacing w:line="240" w:lineRule="exact"/>
              <w:jc w:val="center"/>
              <w:rPr>
                <w:rFonts w:ascii="宋体"/>
                <w:kern w:val="0"/>
              </w:rPr>
            </w:pPr>
            <w:r>
              <w:rPr>
                <w:rFonts w:hint="eastAsia" w:ascii="宋体"/>
                <w:kern w:val="0"/>
              </w:rPr>
              <w:t>10-15万元</w:t>
            </w:r>
          </w:p>
        </w:tc>
        <w:tc>
          <w:tcPr>
            <w:tcW w:w="2556" w:type="dxa"/>
            <w:tcBorders>
              <w:top w:val="single" w:color="auto" w:sz="4" w:space="0"/>
              <w:left w:val="single" w:color="auto" w:sz="4" w:space="0"/>
              <w:bottom w:val="single" w:color="auto" w:sz="4" w:space="0"/>
              <w:right w:val="single" w:color="auto" w:sz="4" w:space="0"/>
            </w:tcBorders>
            <w:vAlign w:val="center"/>
          </w:tcPr>
          <w:p w14:paraId="621D76B5">
            <w:pPr>
              <w:widowControl/>
              <w:spacing w:line="240" w:lineRule="exact"/>
              <w:jc w:val="center"/>
              <w:rPr>
                <w:rFonts w:ascii="宋体"/>
                <w:kern w:val="0"/>
              </w:rPr>
            </w:pPr>
            <w:r>
              <w:rPr>
                <w:rFonts w:hint="eastAsia" w:ascii="宋体"/>
                <w:kern w:val="0"/>
              </w:rPr>
              <w:t>2-2.5万元</w:t>
            </w:r>
          </w:p>
        </w:tc>
        <w:tc>
          <w:tcPr>
            <w:tcW w:w="3408" w:type="dxa"/>
            <w:tcBorders>
              <w:top w:val="single" w:color="auto" w:sz="4" w:space="0"/>
              <w:left w:val="single" w:color="auto" w:sz="4" w:space="0"/>
              <w:bottom w:val="single" w:color="auto" w:sz="4" w:space="0"/>
              <w:right w:val="single" w:color="auto" w:sz="4" w:space="0"/>
            </w:tcBorders>
            <w:vAlign w:val="center"/>
          </w:tcPr>
          <w:p w14:paraId="49FD1631">
            <w:pPr>
              <w:widowControl/>
              <w:spacing w:line="240" w:lineRule="exact"/>
              <w:jc w:val="center"/>
              <w:rPr>
                <w:rFonts w:ascii="宋体"/>
                <w:kern w:val="0"/>
              </w:rPr>
            </w:pPr>
            <w:r>
              <w:rPr>
                <w:rFonts w:hint="eastAsia" w:ascii="宋体"/>
                <w:kern w:val="0"/>
              </w:rPr>
              <w:t>1.5-2万元</w:t>
            </w:r>
          </w:p>
        </w:tc>
      </w:tr>
      <w:tr w14:paraId="4A9A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43" w:type="dxa"/>
            <w:vMerge w:val="continue"/>
            <w:vAlign w:val="center"/>
          </w:tcPr>
          <w:p w14:paraId="1185FE41">
            <w:pPr>
              <w:widowControl/>
              <w:spacing w:line="240" w:lineRule="exact"/>
              <w:jc w:val="left"/>
              <w:rPr>
                <w:rFonts w:ascii="宋体"/>
                <w:kern w:val="0"/>
              </w:rPr>
            </w:pPr>
          </w:p>
        </w:tc>
        <w:tc>
          <w:tcPr>
            <w:tcW w:w="2403" w:type="dxa"/>
            <w:vMerge w:val="continue"/>
            <w:vAlign w:val="center"/>
          </w:tcPr>
          <w:p w14:paraId="3D9F79D6">
            <w:pPr>
              <w:widowControl/>
              <w:spacing w:line="240" w:lineRule="exact"/>
              <w:jc w:val="left"/>
              <w:rPr>
                <w:rFonts w:ascii="宋体"/>
                <w:kern w:val="0"/>
              </w:rPr>
            </w:pPr>
          </w:p>
        </w:tc>
        <w:tc>
          <w:tcPr>
            <w:tcW w:w="2148" w:type="dxa"/>
            <w:vMerge w:val="continue"/>
            <w:vAlign w:val="center"/>
          </w:tcPr>
          <w:p w14:paraId="0DB2708C">
            <w:pPr>
              <w:widowControl/>
              <w:spacing w:line="240" w:lineRule="exact"/>
              <w:jc w:val="left"/>
              <w:rPr>
                <w:rFonts w:ascii="宋体"/>
                <w:kern w:val="0"/>
              </w:rPr>
            </w:pPr>
          </w:p>
        </w:tc>
        <w:tc>
          <w:tcPr>
            <w:tcW w:w="1130" w:type="dxa"/>
            <w:vMerge w:val="continue"/>
            <w:vAlign w:val="center"/>
          </w:tcPr>
          <w:p w14:paraId="69535070">
            <w:pPr>
              <w:widowControl/>
              <w:spacing w:line="240" w:lineRule="exact"/>
              <w:jc w:val="center"/>
              <w:rPr>
                <w:rFonts w:ascii="宋体"/>
                <w:kern w:val="0"/>
              </w:rPr>
            </w:pPr>
          </w:p>
        </w:tc>
        <w:tc>
          <w:tcPr>
            <w:tcW w:w="4894" w:type="dxa"/>
            <w:tcBorders>
              <w:top w:val="single" w:color="auto" w:sz="4" w:space="0"/>
              <w:bottom w:val="single" w:color="auto" w:sz="4" w:space="0"/>
              <w:right w:val="single" w:color="auto" w:sz="4" w:space="0"/>
            </w:tcBorders>
            <w:vAlign w:val="center"/>
          </w:tcPr>
          <w:p w14:paraId="0DA58F37">
            <w:pPr>
              <w:widowControl/>
              <w:spacing w:line="240" w:lineRule="exact"/>
              <w:jc w:val="left"/>
              <w:rPr>
                <w:rFonts w:ascii="宋体"/>
                <w:kern w:val="0"/>
              </w:rPr>
            </w:pPr>
            <w:r>
              <w:rPr>
                <w:rFonts w:hint="eastAsia" w:ascii="宋体"/>
                <w:kern w:val="0"/>
              </w:rPr>
              <w:t>具有其他较重情节的</w:t>
            </w:r>
          </w:p>
        </w:tc>
        <w:tc>
          <w:tcPr>
            <w:tcW w:w="2795" w:type="dxa"/>
            <w:tcBorders>
              <w:top w:val="single" w:color="auto" w:sz="4" w:space="0"/>
              <w:left w:val="single" w:color="auto" w:sz="4" w:space="0"/>
              <w:bottom w:val="single" w:color="auto" w:sz="4" w:space="0"/>
              <w:right w:val="single" w:color="auto" w:sz="4" w:space="0"/>
            </w:tcBorders>
            <w:vAlign w:val="center"/>
          </w:tcPr>
          <w:p w14:paraId="4B07D169">
            <w:pPr>
              <w:widowControl/>
              <w:spacing w:line="240" w:lineRule="exact"/>
              <w:jc w:val="center"/>
              <w:rPr>
                <w:rFonts w:ascii="宋体"/>
                <w:kern w:val="0"/>
              </w:rPr>
            </w:pPr>
            <w:r>
              <w:rPr>
                <w:rFonts w:hint="eastAsia" w:ascii="宋体"/>
                <w:kern w:val="0"/>
              </w:rPr>
              <w:t xml:space="preserve">15-30万元 </w:t>
            </w:r>
          </w:p>
        </w:tc>
        <w:tc>
          <w:tcPr>
            <w:tcW w:w="2556" w:type="dxa"/>
            <w:tcBorders>
              <w:top w:val="single" w:color="auto" w:sz="4" w:space="0"/>
              <w:left w:val="single" w:color="auto" w:sz="4" w:space="0"/>
              <w:bottom w:val="single" w:color="auto" w:sz="4" w:space="0"/>
              <w:right w:val="single" w:color="auto" w:sz="4" w:space="0"/>
            </w:tcBorders>
            <w:vAlign w:val="center"/>
          </w:tcPr>
          <w:p w14:paraId="61553464">
            <w:pPr>
              <w:widowControl/>
              <w:spacing w:line="240" w:lineRule="exact"/>
              <w:jc w:val="center"/>
              <w:rPr>
                <w:rFonts w:ascii="宋体"/>
                <w:kern w:val="0"/>
              </w:rPr>
            </w:pPr>
            <w:r>
              <w:rPr>
                <w:rFonts w:hint="eastAsia" w:ascii="宋体"/>
                <w:kern w:val="0"/>
              </w:rPr>
              <w:t>2.5-5万元</w:t>
            </w:r>
          </w:p>
        </w:tc>
        <w:tc>
          <w:tcPr>
            <w:tcW w:w="3408" w:type="dxa"/>
            <w:tcBorders>
              <w:top w:val="single" w:color="auto" w:sz="4" w:space="0"/>
              <w:left w:val="single" w:color="auto" w:sz="4" w:space="0"/>
              <w:bottom w:val="single" w:color="auto" w:sz="4" w:space="0"/>
              <w:right w:val="single" w:color="auto" w:sz="4" w:space="0"/>
            </w:tcBorders>
            <w:vAlign w:val="center"/>
          </w:tcPr>
          <w:p w14:paraId="4AADE636">
            <w:pPr>
              <w:widowControl/>
              <w:spacing w:line="240" w:lineRule="exact"/>
              <w:jc w:val="center"/>
              <w:rPr>
                <w:rFonts w:ascii="宋体"/>
                <w:kern w:val="0"/>
              </w:rPr>
            </w:pPr>
            <w:r>
              <w:rPr>
                <w:rFonts w:hint="eastAsia" w:ascii="宋体"/>
                <w:kern w:val="0"/>
              </w:rPr>
              <w:t>2-5万元</w:t>
            </w:r>
          </w:p>
        </w:tc>
      </w:tr>
      <w:tr w14:paraId="7437B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4" w:hRule="atLeast"/>
        </w:trPr>
        <w:tc>
          <w:tcPr>
            <w:tcW w:w="943" w:type="dxa"/>
            <w:vMerge w:val="continue"/>
            <w:vAlign w:val="center"/>
          </w:tcPr>
          <w:p w14:paraId="63BDB319">
            <w:pPr>
              <w:widowControl/>
              <w:spacing w:line="240" w:lineRule="exact"/>
              <w:jc w:val="left"/>
              <w:rPr>
                <w:rFonts w:ascii="宋体"/>
                <w:kern w:val="0"/>
              </w:rPr>
            </w:pPr>
          </w:p>
        </w:tc>
        <w:tc>
          <w:tcPr>
            <w:tcW w:w="2403" w:type="dxa"/>
            <w:vMerge w:val="continue"/>
            <w:vAlign w:val="center"/>
          </w:tcPr>
          <w:p w14:paraId="7E0A1DCA">
            <w:pPr>
              <w:widowControl/>
              <w:spacing w:line="240" w:lineRule="exact"/>
              <w:jc w:val="left"/>
              <w:rPr>
                <w:rFonts w:ascii="宋体"/>
                <w:kern w:val="0"/>
              </w:rPr>
            </w:pPr>
          </w:p>
        </w:tc>
        <w:tc>
          <w:tcPr>
            <w:tcW w:w="2148" w:type="dxa"/>
            <w:vMerge w:val="continue"/>
            <w:vAlign w:val="center"/>
          </w:tcPr>
          <w:p w14:paraId="254CF268">
            <w:pPr>
              <w:widowControl/>
              <w:spacing w:line="240" w:lineRule="exact"/>
              <w:jc w:val="left"/>
              <w:rPr>
                <w:rFonts w:ascii="宋体"/>
                <w:kern w:val="0"/>
              </w:rPr>
            </w:pPr>
          </w:p>
        </w:tc>
        <w:tc>
          <w:tcPr>
            <w:tcW w:w="1130" w:type="dxa"/>
            <w:vMerge w:val="restart"/>
            <w:tcBorders>
              <w:top w:val="single" w:color="auto" w:sz="4" w:space="0"/>
            </w:tcBorders>
            <w:vAlign w:val="center"/>
          </w:tcPr>
          <w:p w14:paraId="01D302A7">
            <w:pPr>
              <w:widowControl/>
              <w:spacing w:line="240" w:lineRule="exact"/>
              <w:jc w:val="center"/>
              <w:rPr>
                <w:rFonts w:ascii="宋体"/>
                <w:kern w:val="0"/>
              </w:rPr>
            </w:pPr>
            <w:r>
              <w:rPr>
                <w:rFonts w:hint="eastAsia" w:ascii="宋体"/>
                <w:kern w:val="0"/>
              </w:rPr>
              <w:t>情节严重</w:t>
            </w:r>
          </w:p>
        </w:tc>
        <w:tc>
          <w:tcPr>
            <w:tcW w:w="4894" w:type="dxa"/>
            <w:tcBorders>
              <w:top w:val="single" w:color="auto" w:sz="4" w:space="0"/>
              <w:bottom w:val="single" w:color="auto" w:sz="4" w:space="0"/>
              <w:right w:val="single" w:color="auto" w:sz="4" w:space="0"/>
            </w:tcBorders>
            <w:vAlign w:val="center"/>
          </w:tcPr>
          <w:p w14:paraId="12531C8C">
            <w:pPr>
              <w:widowControl/>
              <w:spacing w:line="240" w:lineRule="exact"/>
              <w:jc w:val="left"/>
              <w:rPr>
                <w:rFonts w:ascii="宋体"/>
                <w:kern w:val="0"/>
              </w:rPr>
            </w:pPr>
            <w:r>
              <w:rPr>
                <w:rFonts w:hint="eastAsia" w:ascii="宋体"/>
                <w:kern w:val="0"/>
              </w:rPr>
              <w:t>1.涉及品种属于持久性油类、闪点低于60℃的散装液体、剧毒品；</w:t>
            </w:r>
          </w:p>
          <w:p w14:paraId="38304E3F">
            <w:pPr>
              <w:widowControl/>
              <w:spacing w:line="240" w:lineRule="exact"/>
              <w:jc w:val="left"/>
              <w:rPr>
                <w:rFonts w:ascii="宋体"/>
                <w:kern w:val="0"/>
              </w:rPr>
            </w:pPr>
            <w:r>
              <w:rPr>
                <w:rFonts w:hint="eastAsia" w:ascii="宋体"/>
                <w:kern w:val="0"/>
              </w:rPr>
              <w:t>2.发生一般等级事故的。</w:t>
            </w:r>
          </w:p>
        </w:tc>
        <w:tc>
          <w:tcPr>
            <w:tcW w:w="2795" w:type="dxa"/>
            <w:tcBorders>
              <w:top w:val="single" w:color="auto" w:sz="4" w:space="0"/>
              <w:left w:val="single" w:color="auto" w:sz="4" w:space="0"/>
              <w:bottom w:val="single" w:color="auto" w:sz="4" w:space="0"/>
              <w:right w:val="single" w:color="auto" w:sz="4" w:space="0"/>
            </w:tcBorders>
            <w:vAlign w:val="center"/>
          </w:tcPr>
          <w:p w14:paraId="3FBD5F72">
            <w:pPr>
              <w:widowControl/>
              <w:spacing w:line="240" w:lineRule="exact"/>
              <w:jc w:val="center"/>
              <w:rPr>
                <w:rFonts w:ascii="宋体"/>
                <w:kern w:val="0"/>
              </w:rPr>
            </w:pPr>
            <w:r>
              <w:rPr>
                <w:rFonts w:hint="eastAsia" w:ascii="宋体"/>
                <w:kern w:val="0"/>
              </w:rPr>
              <w:t>30-50万元</w:t>
            </w:r>
          </w:p>
        </w:tc>
        <w:tc>
          <w:tcPr>
            <w:tcW w:w="2556" w:type="dxa"/>
            <w:tcBorders>
              <w:top w:val="single" w:color="auto" w:sz="4" w:space="0"/>
              <w:left w:val="single" w:color="auto" w:sz="4" w:space="0"/>
              <w:bottom w:val="single" w:color="auto" w:sz="4" w:space="0"/>
              <w:right w:val="single" w:color="auto" w:sz="4" w:space="0"/>
            </w:tcBorders>
            <w:vAlign w:val="center"/>
          </w:tcPr>
          <w:p w14:paraId="134B1485">
            <w:pPr>
              <w:widowControl/>
              <w:spacing w:line="240" w:lineRule="exact"/>
              <w:jc w:val="center"/>
              <w:rPr>
                <w:rFonts w:ascii="宋体"/>
                <w:kern w:val="0"/>
              </w:rPr>
            </w:pPr>
            <w:r>
              <w:rPr>
                <w:rFonts w:hint="eastAsia" w:ascii="宋体"/>
                <w:kern w:val="0"/>
              </w:rPr>
              <w:t>暂扣适任证书6个月至9月</w:t>
            </w:r>
          </w:p>
        </w:tc>
        <w:tc>
          <w:tcPr>
            <w:tcW w:w="3408" w:type="dxa"/>
            <w:tcBorders>
              <w:top w:val="single" w:color="auto" w:sz="4" w:space="0"/>
              <w:left w:val="single" w:color="auto" w:sz="4" w:space="0"/>
              <w:bottom w:val="single" w:color="auto" w:sz="4" w:space="0"/>
              <w:right w:val="single" w:color="auto" w:sz="4" w:space="0"/>
            </w:tcBorders>
            <w:vAlign w:val="center"/>
          </w:tcPr>
          <w:p w14:paraId="3847AD7F">
            <w:pPr>
              <w:widowControl/>
              <w:spacing w:line="240" w:lineRule="exact"/>
              <w:jc w:val="center"/>
              <w:rPr>
                <w:rFonts w:ascii="宋体"/>
                <w:kern w:val="0"/>
              </w:rPr>
            </w:pPr>
            <w:r>
              <w:rPr>
                <w:rFonts w:hint="eastAsia" w:ascii="宋体"/>
                <w:kern w:val="0"/>
              </w:rPr>
              <w:t>暂扣适任证书6个月至9个月</w:t>
            </w:r>
          </w:p>
        </w:tc>
      </w:tr>
      <w:tr w14:paraId="3EE52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943" w:type="dxa"/>
            <w:vMerge w:val="continue"/>
            <w:vAlign w:val="center"/>
          </w:tcPr>
          <w:p w14:paraId="2819CB21">
            <w:pPr>
              <w:widowControl/>
              <w:spacing w:line="240" w:lineRule="exact"/>
              <w:jc w:val="left"/>
              <w:rPr>
                <w:rFonts w:ascii="宋体"/>
                <w:kern w:val="0"/>
              </w:rPr>
            </w:pPr>
          </w:p>
        </w:tc>
        <w:tc>
          <w:tcPr>
            <w:tcW w:w="2403" w:type="dxa"/>
            <w:vMerge w:val="continue"/>
            <w:vAlign w:val="center"/>
          </w:tcPr>
          <w:p w14:paraId="236A3BCA">
            <w:pPr>
              <w:widowControl/>
              <w:spacing w:line="240" w:lineRule="exact"/>
              <w:jc w:val="left"/>
              <w:rPr>
                <w:rFonts w:ascii="宋体"/>
                <w:kern w:val="0"/>
              </w:rPr>
            </w:pPr>
          </w:p>
        </w:tc>
        <w:tc>
          <w:tcPr>
            <w:tcW w:w="2148" w:type="dxa"/>
            <w:vMerge w:val="continue"/>
            <w:vAlign w:val="center"/>
          </w:tcPr>
          <w:p w14:paraId="69B828BE">
            <w:pPr>
              <w:widowControl/>
              <w:spacing w:line="240" w:lineRule="exact"/>
              <w:jc w:val="left"/>
              <w:rPr>
                <w:rFonts w:ascii="宋体"/>
                <w:kern w:val="0"/>
              </w:rPr>
            </w:pPr>
          </w:p>
        </w:tc>
        <w:tc>
          <w:tcPr>
            <w:tcW w:w="1130" w:type="dxa"/>
            <w:vMerge w:val="continue"/>
            <w:tcBorders>
              <w:bottom w:val="single" w:color="auto" w:sz="4" w:space="0"/>
            </w:tcBorders>
            <w:vAlign w:val="center"/>
          </w:tcPr>
          <w:p w14:paraId="16485DB0">
            <w:pPr>
              <w:widowControl/>
              <w:spacing w:line="240" w:lineRule="exact"/>
              <w:jc w:val="left"/>
              <w:rPr>
                <w:rFonts w:ascii="宋体"/>
                <w:kern w:val="0"/>
              </w:rPr>
            </w:pPr>
          </w:p>
        </w:tc>
        <w:tc>
          <w:tcPr>
            <w:tcW w:w="4894" w:type="dxa"/>
            <w:tcBorders>
              <w:top w:val="single" w:color="auto" w:sz="4" w:space="0"/>
              <w:bottom w:val="single" w:color="auto" w:sz="4" w:space="0"/>
              <w:right w:val="single" w:color="auto" w:sz="4" w:space="0"/>
            </w:tcBorders>
            <w:vAlign w:val="center"/>
          </w:tcPr>
          <w:p w14:paraId="3D6666AC">
            <w:pPr>
              <w:widowControl/>
              <w:spacing w:line="240" w:lineRule="exact"/>
              <w:jc w:val="left"/>
              <w:rPr>
                <w:rFonts w:ascii="宋体"/>
                <w:kern w:val="0"/>
              </w:rPr>
            </w:pPr>
            <w:r>
              <w:rPr>
                <w:rFonts w:hint="eastAsia" w:ascii="宋体"/>
                <w:kern w:val="0"/>
              </w:rPr>
              <w:t>1.发生船舶火灾、爆炸、人身伤亡、污染等事故；</w:t>
            </w:r>
          </w:p>
          <w:p w14:paraId="7136FFFF">
            <w:pPr>
              <w:widowControl/>
              <w:spacing w:line="240" w:lineRule="exact"/>
              <w:jc w:val="left"/>
              <w:rPr>
                <w:rFonts w:ascii="宋体"/>
                <w:kern w:val="0"/>
              </w:rPr>
            </w:pPr>
            <w:r>
              <w:rPr>
                <w:rFonts w:hint="eastAsia" w:ascii="宋体"/>
                <w:kern w:val="0"/>
              </w:rPr>
              <w:t>2.发生较大等级以上事故的；</w:t>
            </w:r>
          </w:p>
          <w:p w14:paraId="0CC3919E">
            <w:pPr>
              <w:widowControl/>
              <w:spacing w:line="240" w:lineRule="exact"/>
              <w:jc w:val="left"/>
              <w:rPr>
                <w:rFonts w:ascii="宋体"/>
                <w:kern w:val="0"/>
              </w:rPr>
            </w:pPr>
            <w:r>
              <w:rPr>
                <w:rFonts w:hint="eastAsia" w:ascii="宋体"/>
                <w:kern w:val="0"/>
              </w:rPr>
              <w:t>3.具有其他严重情节的。</w:t>
            </w:r>
          </w:p>
        </w:tc>
        <w:tc>
          <w:tcPr>
            <w:tcW w:w="2795" w:type="dxa"/>
            <w:tcBorders>
              <w:top w:val="single" w:color="auto" w:sz="4" w:space="0"/>
              <w:left w:val="single" w:color="auto" w:sz="4" w:space="0"/>
              <w:bottom w:val="single" w:color="auto" w:sz="4" w:space="0"/>
              <w:right w:val="single" w:color="auto" w:sz="4" w:space="0"/>
            </w:tcBorders>
            <w:vAlign w:val="center"/>
          </w:tcPr>
          <w:p w14:paraId="3F5444FF">
            <w:pPr>
              <w:widowControl/>
              <w:spacing w:line="240" w:lineRule="exact"/>
              <w:jc w:val="center"/>
              <w:rPr>
                <w:rFonts w:ascii="宋体"/>
                <w:kern w:val="0"/>
              </w:rPr>
            </w:pPr>
            <w:r>
              <w:rPr>
                <w:rFonts w:hint="eastAsia" w:ascii="宋体"/>
                <w:kern w:val="0"/>
              </w:rPr>
              <w:t>40-50万元</w:t>
            </w:r>
          </w:p>
        </w:tc>
        <w:tc>
          <w:tcPr>
            <w:tcW w:w="2556" w:type="dxa"/>
            <w:tcBorders>
              <w:top w:val="single" w:color="auto" w:sz="4" w:space="0"/>
              <w:left w:val="single" w:color="auto" w:sz="4" w:space="0"/>
              <w:bottom w:val="single" w:color="auto" w:sz="4" w:space="0"/>
              <w:right w:val="single" w:color="auto" w:sz="4" w:space="0"/>
            </w:tcBorders>
            <w:vAlign w:val="center"/>
          </w:tcPr>
          <w:p w14:paraId="4A5340DC">
            <w:pPr>
              <w:widowControl/>
              <w:spacing w:line="240" w:lineRule="exact"/>
              <w:jc w:val="center"/>
              <w:rPr>
                <w:rFonts w:ascii="宋体"/>
                <w:kern w:val="0"/>
              </w:rPr>
            </w:pPr>
            <w:r>
              <w:rPr>
                <w:rFonts w:hint="eastAsia" w:ascii="宋体"/>
                <w:kern w:val="0"/>
              </w:rPr>
              <w:t>暂扣适任证书9个月至12月，直至吊销适任证书</w:t>
            </w:r>
          </w:p>
        </w:tc>
        <w:tc>
          <w:tcPr>
            <w:tcW w:w="3408" w:type="dxa"/>
            <w:tcBorders>
              <w:top w:val="single" w:color="auto" w:sz="4" w:space="0"/>
              <w:left w:val="single" w:color="auto" w:sz="4" w:space="0"/>
              <w:bottom w:val="single" w:color="auto" w:sz="4" w:space="0"/>
              <w:right w:val="single" w:color="auto" w:sz="4" w:space="0"/>
            </w:tcBorders>
            <w:vAlign w:val="center"/>
          </w:tcPr>
          <w:p w14:paraId="28C98FD7">
            <w:pPr>
              <w:widowControl/>
              <w:spacing w:line="240" w:lineRule="exact"/>
              <w:jc w:val="center"/>
              <w:rPr>
                <w:rFonts w:ascii="宋体"/>
                <w:kern w:val="0"/>
              </w:rPr>
            </w:pPr>
            <w:r>
              <w:rPr>
                <w:rFonts w:hint="eastAsia" w:ascii="宋体"/>
                <w:kern w:val="0"/>
              </w:rPr>
              <w:t>暂扣适任证书9个月至12月，直至吊销适任证书</w:t>
            </w:r>
          </w:p>
        </w:tc>
      </w:tr>
    </w:tbl>
    <w:p w14:paraId="7AE0D29E">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4"/>
        <w:gridCol w:w="2272"/>
        <w:gridCol w:w="2148"/>
        <w:gridCol w:w="1175"/>
        <w:gridCol w:w="4849"/>
        <w:gridCol w:w="3361"/>
        <w:gridCol w:w="3071"/>
        <w:gridCol w:w="2233"/>
      </w:tblGrid>
      <w:tr w14:paraId="34B1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074" w:type="dxa"/>
            <w:vMerge w:val="restart"/>
            <w:vAlign w:val="center"/>
          </w:tcPr>
          <w:p w14:paraId="4DB84988">
            <w:pPr>
              <w:spacing w:line="240" w:lineRule="exact"/>
              <w:jc w:val="center"/>
              <w:rPr>
                <w:rFonts w:ascii="宋体"/>
                <w:b/>
                <w:kern w:val="0"/>
              </w:rPr>
            </w:pPr>
          </w:p>
          <w:p w14:paraId="0C3A7A13">
            <w:pPr>
              <w:spacing w:line="240" w:lineRule="exact"/>
              <w:jc w:val="center"/>
              <w:rPr>
                <w:rFonts w:ascii="宋体"/>
                <w:b/>
                <w:kern w:val="0"/>
              </w:rPr>
            </w:pPr>
            <w:r>
              <w:rPr>
                <w:rFonts w:hint="eastAsia" w:ascii="宋体"/>
                <w:b/>
                <w:kern w:val="0"/>
              </w:rPr>
              <w:t>案由</w:t>
            </w:r>
            <w:r>
              <w:rPr>
                <w:rFonts w:hint="eastAsia" w:ascii="宋体"/>
                <w:b/>
                <w:bCs/>
                <w:kern w:val="0"/>
              </w:rPr>
              <w:t>68</w:t>
            </w:r>
          </w:p>
        </w:tc>
        <w:tc>
          <w:tcPr>
            <w:tcW w:w="4420" w:type="dxa"/>
            <w:gridSpan w:val="2"/>
            <w:vAlign w:val="center"/>
          </w:tcPr>
          <w:p w14:paraId="47F1D263">
            <w:pPr>
              <w:spacing w:line="240" w:lineRule="exact"/>
              <w:jc w:val="center"/>
              <w:rPr>
                <w:rFonts w:ascii="宋体"/>
                <w:b/>
                <w:kern w:val="0"/>
              </w:rPr>
            </w:pPr>
            <w:r>
              <w:rPr>
                <w:rFonts w:hint="eastAsia" w:ascii="宋体"/>
                <w:b/>
                <w:kern w:val="0"/>
              </w:rPr>
              <w:t>法律依据</w:t>
            </w:r>
          </w:p>
        </w:tc>
        <w:tc>
          <w:tcPr>
            <w:tcW w:w="1175" w:type="dxa"/>
            <w:vMerge w:val="restart"/>
            <w:vAlign w:val="center"/>
          </w:tcPr>
          <w:p w14:paraId="2BF4DDCF">
            <w:pPr>
              <w:spacing w:line="240" w:lineRule="exact"/>
              <w:jc w:val="center"/>
              <w:rPr>
                <w:rFonts w:ascii="宋体"/>
                <w:b/>
                <w:kern w:val="0"/>
              </w:rPr>
            </w:pPr>
            <w:r>
              <w:rPr>
                <w:rFonts w:hint="eastAsia" w:ascii="宋体"/>
                <w:b/>
                <w:kern w:val="0"/>
              </w:rPr>
              <w:t>违法情节</w:t>
            </w:r>
          </w:p>
        </w:tc>
        <w:tc>
          <w:tcPr>
            <w:tcW w:w="4849" w:type="dxa"/>
            <w:vMerge w:val="restart"/>
            <w:vAlign w:val="center"/>
          </w:tcPr>
          <w:p w14:paraId="4699FAA7">
            <w:pPr>
              <w:spacing w:line="240" w:lineRule="exact"/>
              <w:jc w:val="center"/>
              <w:rPr>
                <w:rFonts w:ascii="宋体"/>
                <w:b/>
                <w:kern w:val="0"/>
              </w:rPr>
            </w:pPr>
            <w:r>
              <w:rPr>
                <w:rFonts w:hint="eastAsia" w:ascii="宋体"/>
                <w:b/>
                <w:kern w:val="0"/>
              </w:rPr>
              <w:t>主要考虑因素（事实、性质、情节、危害程度和实际后果等）</w:t>
            </w:r>
          </w:p>
        </w:tc>
        <w:tc>
          <w:tcPr>
            <w:tcW w:w="8665" w:type="dxa"/>
            <w:gridSpan w:val="3"/>
            <w:tcBorders>
              <w:right w:val="single" w:color="auto" w:sz="4" w:space="0"/>
            </w:tcBorders>
            <w:vAlign w:val="center"/>
          </w:tcPr>
          <w:p w14:paraId="7BF736E9">
            <w:pPr>
              <w:spacing w:line="240" w:lineRule="exact"/>
              <w:jc w:val="left"/>
              <w:rPr>
                <w:rFonts w:ascii="宋体"/>
                <w:b/>
                <w:kern w:val="0"/>
              </w:rPr>
            </w:pPr>
            <w:r>
              <w:rPr>
                <w:rFonts w:hint="eastAsia" w:ascii="宋体"/>
                <w:b/>
                <w:kern w:val="0"/>
              </w:rPr>
              <w:t>【法定幅度和种类】</w:t>
            </w:r>
            <w:r>
              <w:rPr>
                <w:rFonts w:hint="eastAsia" w:ascii="宋体"/>
                <w:bCs/>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14:paraId="582A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74" w:type="dxa"/>
            <w:vMerge w:val="continue"/>
            <w:vAlign w:val="center"/>
          </w:tcPr>
          <w:p w14:paraId="40C91845">
            <w:pPr>
              <w:spacing w:line="240" w:lineRule="exact"/>
              <w:jc w:val="center"/>
              <w:rPr>
                <w:rFonts w:ascii="宋体"/>
                <w:b/>
                <w:kern w:val="0"/>
              </w:rPr>
            </w:pPr>
          </w:p>
        </w:tc>
        <w:tc>
          <w:tcPr>
            <w:tcW w:w="2272" w:type="dxa"/>
            <w:vAlign w:val="center"/>
          </w:tcPr>
          <w:p w14:paraId="0FBC5EED">
            <w:pPr>
              <w:spacing w:line="240" w:lineRule="exact"/>
              <w:jc w:val="center"/>
              <w:rPr>
                <w:rFonts w:ascii="宋体"/>
                <w:b/>
                <w:kern w:val="0"/>
              </w:rPr>
            </w:pPr>
            <w:r>
              <w:rPr>
                <w:rFonts w:hint="eastAsia" w:ascii="宋体"/>
                <w:b/>
                <w:kern w:val="0"/>
              </w:rPr>
              <w:t>违反条款</w:t>
            </w:r>
          </w:p>
        </w:tc>
        <w:tc>
          <w:tcPr>
            <w:tcW w:w="2148" w:type="dxa"/>
            <w:vAlign w:val="center"/>
          </w:tcPr>
          <w:p w14:paraId="3908CB6E">
            <w:pPr>
              <w:spacing w:line="240" w:lineRule="exact"/>
              <w:jc w:val="center"/>
              <w:rPr>
                <w:rFonts w:ascii="宋体"/>
                <w:b/>
                <w:kern w:val="0"/>
              </w:rPr>
            </w:pPr>
            <w:r>
              <w:rPr>
                <w:rFonts w:hint="eastAsia" w:ascii="宋体"/>
                <w:b/>
                <w:kern w:val="0"/>
              </w:rPr>
              <w:t>处罚依据</w:t>
            </w:r>
          </w:p>
        </w:tc>
        <w:tc>
          <w:tcPr>
            <w:tcW w:w="1175" w:type="dxa"/>
            <w:vMerge w:val="continue"/>
            <w:vAlign w:val="center"/>
          </w:tcPr>
          <w:p w14:paraId="6807165C">
            <w:pPr>
              <w:spacing w:line="240" w:lineRule="exact"/>
              <w:jc w:val="center"/>
              <w:rPr>
                <w:rFonts w:ascii="宋体"/>
                <w:b/>
                <w:kern w:val="0"/>
              </w:rPr>
            </w:pPr>
          </w:p>
        </w:tc>
        <w:tc>
          <w:tcPr>
            <w:tcW w:w="4849" w:type="dxa"/>
            <w:vMerge w:val="continue"/>
            <w:tcBorders>
              <w:bottom w:val="single" w:color="auto" w:sz="4" w:space="0"/>
            </w:tcBorders>
            <w:vAlign w:val="center"/>
          </w:tcPr>
          <w:p w14:paraId="2BEF2F1A">
            <w:pPr>
              <w:spacing w:line="240" w:lineRule="exact"/>
              <w:jc w:val="center"/>
              <w:rPr>
                <w:rFonts w:ascii="宋体"/>
                <w:b/>
                <w:kern w:val="0"/>
              </w:rPr>
            </w:pPr>
          </w:p>
        </w:tc>
        <w:tc>
          <w:tcPr>
            <w:tcW w:w="3361" w:type="dxa"/>
            <w:tcBorders>
              <w:top w:val="single" w:color="auto" w:sz="4" w:space="0"/>
              <w:bottom w:val="single" w:color="auto" w:sz="4" w:space="0"/>
              <w:right w:val="single" w:color="auto" w:sz="4" w:space="0"/>
            </w:tcBorders>
            <w:vAlign w:val="center"/>
          </w:tcPr>
          <w:p w14:paraId="08A27C45">
            <w:pPr>
              <w:spacing w:line="240" w:lineRule="exact"/>
              <w:jc w:val="center"/>
              <w:rPr>
                <w:rFonts w:ascii="宋体"/>
                <w:b/>
                <w:kern w:val="0"/>
              </w:rPr>
            </w:pPr>
            <w:r>
              <w:rPr>
                <w:rFonts w:hint="eastAsia" w:ascii="宋体"/>
                <w:b/>
                <w:kern w:val="0"/>
              </w:rPr>
              <w:t>【对象】船舶的所有人、经营人或者管理人</w:t>
            </w:r>
          </w:p>
        </w:tc>
        <w:tc>
          <w:tcPr>
            <w:tcW w:w="3071" w:type="dxa"/>
            <w:tcBorders>
              <w:top w:val="single" w:color="auto" w:sz="4" w:space="0"/>
              <w:left w:val="single" w:color="auto" w:sz="4" w:space="0"/>
              <w:bottom w:val="single" w:color="auto" w:sz="4" w:space="0"/>
              <w:right w:val="single" w:color="auto" w:sz="4" w:space="0"/>
            </w:tcBorders>
            <w:vAlign w:val="center"/>
          </w:tcPr>
          <w:p w14:paraId="5112BE3C">
            <w:pPr>
              <w:spacing w:line="240" w:lineRule="exact"/>
              <w:jc w:val="center"/>
              <w:rPr>
                <w:rFonts w:ascii="宋体"/>
                <w:b/>
                <w:kern w:val="0"/>
              </w:rPr>
            </w:pPr>
            <w:r>
              <w:rPr>
                <w:rFonts w:hint="eastAsia" w:ascii="宋体"/>
                <w:b/>
                <w:kern w:val="0"/>
              </w:rPr>
              <w:t>【对象】船长</w:t>
            </w:r>
          </w:p>
        </w:tc>
        <w:tc>
          <w:tcPr>
            <w:tcW w:w="2233" w:type="dxa"/>
            <w:tcBorders>
              <w:top w:val="single" w:color="auto" w:sz="4" w:space="0"/>
              <w:left w:val="single" w:color="auto" w:sz="4" w:space="0"/>
              <w:bottom w:val="single" w:color="auto" w:sz="4" w:space="0"/>
              <w:right w:val="single" w:color="auto" w:sz="4" w:space="0"/>
            </w:tcBorders>
            <w:vAlign w:val="center"/>
          </w:tcPr>
          <w:p w14:paraId="20AB80F6">
            <w:pPr>
              <w:spacing w:line="240" w:lineRule="exact"/>
              <w:jc w:val="center"/>
              <w:rPr>
                <w:rFonts w:ascii="宋体"/>
                <w:b/>
                <w:kern w:val="0"/>
              </w:rPr>
            </w:pPr>
            <w:r>
              <w:rPr>
                <w:rFonts w:hint="eastAsia" w:ascii="宋体"/>
                <w:b/>
                <w:kern w:val="0"/>
              </w:rPr>
              <w:t>【对象】责任船员或者其他责任人员</w:t>
            </w:r>
          </w:p>
        </w:tc>
      </w:tr>
      <w:tr w14:paraId="6AC83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074" w:type="dxa"/>
            <w:vMerge w:val="restart"/>
            <w:vAlign w:val="center"/>
          </w:tcPr>
          <w:p w14:paraId="4817415F">
            <w:pPr>
              <w:widowControl/>
              <w:spacing w:line="240" w:lineRule="exact"/>
              <w:jc w:val="left"/>
              <w:rPr>
                <w:rFonts w:ascii="宋体"/>
                <w:kern w:val="0"/>
              </w:rPr>
            </w:pPr>
            <w:r>
              <w:rPr>
                <w:rFonts w:hint="eastAsia" w:ascii="宋体"/>
                <w:kern w:val="0"/>
              </w:rPr>
              <w:t xml:space="preserve">载运危险货物的船舶未按规定编制相应的危险货物应急处置预案，配备相应的消防、应急设备和器材 </w:t>
            </w:r>
          </w:p>
        </w:tc>
        <w:tc>
          <w:tcPr>
            <w:tcW w:w="2272" w:type="dxa"/>
            <w:vMerge w:val="restart"/>
            <w:vAlign w:val="center"/>
          </w:tcPr>
          <w:p w14:paraId="7AA81CBA">
            <w:pPr>
              <w:widowControl/>
              <w:spacing w:line="240" w:lineRule="exact"/>
              <w:jc w:val="left"/>
              <w:rPr>
                <w:rFonts w:ascii="宋体"/>
                <w:kern w:val="0"/>
              </w:rPr>
            </w:pPr>
            <w:r>
              <w:rPr>
                <w:rFonts w:hint="eastAsia" w:ascii="宋体"/>
                <w:kern w:val="0"/>
              </w:rPr>
              <w:t>1.《中华人民共和国海上交通安全法》第六十二条。</w:t>
            </w:r>
          </w:p>
        </w:tc>
        <w:tc>
          <w:tcPr>
            <w:tcW w:w="2148" w:type="dxa"/>
            <w:vMerge w:val="restart"/>
            <w:vAlign w:val="center"/>
          </w:tcPr>
          <w:p w14:paraId="355A8E93">
            <w:pPr>
              <w:widowControl/>
              <w:spacing w:line="240" w:lineRule="exact"/>
              <w:jc w:val="left"/>
              <w:rPr>
                <w:rFonts w:ascii="宋体"/>
                <w:kern w:val="0"/>
              </w:rPr>
            </w:pPr>
            <w:r>
              <w:rPr>
                <w:rFonts w:hint="eastAsia" w:ascii="宋体"/>
                <w:kern w:val="0"/>
              </w:rPr>
              <w:t>1.《中华人民共和国海上交通安全法》第一百零八条第（二）项、</w:t>
            </w:r>
            <w:r>
              <w:rPr>
                <w:rFonts w:hint="eastAsia" w:ascii="宋体"/>
              </w:rPr>
              <w:t>《中华人民共和国海上海事行政处罚规定》第三十条第（二）项。</w:t>
            </w:r>
            <w:r>
              <w:rPr>
                <w:rFonts w:hint="eastAsia" w:ascii="宋体"/>
                <w:kern w:val="0"/>
              </w:rPr>
              <w:t xml:space="preserve"> </w:t>
            </w:r>
          </w:p>
          <w:p w14:paraId="47E1D46E">
            <w:pPr>
              <w:widowControl/>
              <w:spacing w:line="240" w:lineRule="exact"/>
              <w:jc w:val="left"/>
              <w:rPr>
                <w:rFonts w:ascii="宋体"/>
                <w:kern w:val="0"/>
              </w:rPr>
            </w:pPr>
            <w:r>
              <w:rPr>
                <w:rFonts w:hint="eastAsia" w:ascii="宋体"/>
                <w:kern w:val="0"/>
              </w:rPr>
              <w:t>2. 《中华人民共和国海上海事行政处罚规定》第七条。</w:t>
            </w:r>
          </w:p>
        </w:tc>
        <w:tc>
          <w:tcPr>
            <w:tcW w:w="1175" w:type="dxa"/>
            <w:vAlign w:val="center"/>
          </w:tcPr>
          <w:p w14:paraId="5107BC07">
            <w:pPr>
              <w:widowControl/>
              <w:spacing w:line="240" w:lineRule="exact"/>
              <w:jc w:val="center"/>
              <w:rPr>
                <w:rFonts w:ascii="宋体"/>
                <w:kern w:val="0"/>
              </w:rPr>
            </w:pPr>
            <w:r>
              <w:rPr>
                <w:rFonts w:hint="eastAsia" w:ascii="宋体"/>
                <w:kern w:val="0"/>
              </w:rPr>
              <w:t>从轻</w:t>
            </w:r>
          </w:p>
        </w:tc>
        <w:tc>
          <w:tcPr>
            <w:tcW w:w="4849" w:type="dxa"/>
            <w:tcBorders>
              <w:bottom w:val="single" w:color="auto" w:sz="4" w:space="0"/>
              <w:right w:val="single" w:color="auto" w:sz="4" w:space="0"/>
            </w:tcBorders>
            <w:vAlign w:val="center"/>
          </w:tcPr>
          <w:p w14:paraId="303ABCA1">
            <w:pPr>
              <w:widowControl/>
              <w:spacing w:line="240" w:lineRule="exact"/>
              <w:jc w:val="left"/>
              <w:rPr>
                <w:rFonts w:ascii="宋体"/>
                <w:kern w:val="0"/>
              </w:rPr>
            </w:pPr>
            <w:r>
              <w:rPr>
                <w:rFonts w:hint="eastAsia" w:ascii="宋体"/>
                <w:kern w:val="0"/>
              </w:rPr>
              <w:t>具有法定从轻处罚情节的</w:t>
            </w:r>
          </w:p>
        </w:tc>
        <w:tc>
          <w:tcPr>
            <w:tcW w:w="3361" w:type="dxa"/>
            <w:tcBorders>
              <w:left w:val="single" w:color="auto" w:sz="4" w:space="0"/>
              <w:bottom w:val="single" w:color="auto" w:sz="4" w:space="0"/>
              <w:right w:val="single" w:color="auto" w:sz="4" w:space="0"/>
            </w:tcBorders>
            <w:vAlign w:val="center"/>
          </w:tcPr>
          <w:p w14:paraId="79C27699">
            <w:pPr>
              <w:widowControl/>
              <w:spacing w:line="240" w:lineRule="exact"/>
              <w:jc w:val="center"/>
              <w:rPr>
                <w:rFonts w:ascii="宋体"/>
                <w:kern w:val="0"/>
              </w:rPr>
            </w:pPr>
            <w:r>
              <w:rPr>
                <w:rFonts w:hint="eastAsia" w:ascii="宋体"/>
                <w:kern w:val="0"/>
              </w:rPr>
              <w:t>5-6万元</w:t>
            </w:r>
          </w:p>
        </w:tc>
        <w:tc>
          <w:tcPr>
            <w:tcW w:w="3071" w:type="dxa"/>
            <w:tcBorders>
              <w:left w:val="single" w:color="auto" w:sz="4" w:space="0"/>
              <w:bottom w:val="single" w:color="auto" w:sz="4" w:space="0"/>
              <w:right w:val="single" w:color="auto" w:sz="4" w:space="0"/>
            </w:tcBorders>
            <w:vAlign w:val="center"/>
          </w:tcPr>
          <w:p w14:paraId="701BA60A">
            <w:pPr>
              <w:widowControl/>
              <w:spacing w:line="240" w:lineRule="exact"/>
              <w:jc w:val="center"/>
              <w:rPr>
                <w:rFonts w:ascii="宋体"/>
                <w:kern w:val="0"/>
              </w:rPr>
            </w:pPr>
            <w:r>
              <w:rPr>
                <w:rFonts w:hint="eastAsia" w:ascii="宋体"/>
                <w:kern w:val="0"/>
              </w:rPr>
              <w:t>5000元-1万元</w:t>
            </w:r>
          </w:p>
        </w:tc>
        <w:tc>
          <w:tcPr>
            <w:tcW w:w="2233" w:type="dxa"/>
            <w:tcBorders>
              <w:left w:val="single" w:color="auto" w:sz="4" w:space="0"/>
              <w:bottom w:val="single" w:color="auto" w:sz="4" w:space="0"/>
              <w:right w:val="single" w:color="auto" w:sz="4" w:space="0"/>
            </w:tcBorders>
            <w:vAlign w:val="center"/>
          </w:tcPr>
          <w:p w14:paraId="13037D00">
            <w:pPr>
              <w:widowControl/>
              <w:spacing w:line="240" w:lineRule="exact"/>
              <w:jc w:val="center"/>
              <w:rPr>
                <w:rFonts w:ascii="宋体"/>
                <w:kern w:val="0"/>
              </w:rPr>
            </w:pPr>
            <w:r>
              <w:rPr>
                <w:rFonts w:hint="eastAsia" w:ascii="宋体"/>
                <w:kern w:val="0"/>
              </w:rPr>
              <w:t>5000元-1万元</w:t>
            </w:r>
          </w:p>
        </w:tc>
      </w:tr>
      <w:tr w14:paraId="5B9A1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074" w:type="dxa"/>
            <w:vMerge w:val="continue"/>
            <w:vAlign w:val="center"/>
          </w:tcPr>
          <w:p w14:paraId="4D61383F">
            <w:pPr>
              <w:widowControl/>
              <w:spacing w:line="240" w:lineRule="exact"/>
              <w:jc w:val="left"/>
              <w:rPr>
                <w:rFonts w:ascii="宋体"/>
                <w:kern w:val="0"/>
              </w:rPr>
            </w:pPr>
          </w:p>
        </w:tc>
        <w:tc>
          <w:tcPr>
            <w:tcW w:w="2272" w:type="dxa"/>
            <w:vMerge w:val="continue"/>
            <w:vAlign w:val="center"/>
          </w:tcPr>
          <w:p w14:paraId="69FC0EFF">
            <w:pPr>
              <w:widowControl/>
              <w:spacing w:line="240" w:lineRule="exact"/>
              <w:jc w:val="left"/>
              <w:rPr>
                <w:rFonts w:ascii="宋体"/>
                <w:kern w:val="0"/>
              </w:rPr>
            </w:pPr>
          </w:p>
        </w:tc>
        <w:tc>
          <w:tcPr>
            <w:tcW w:w="2148" w:type="dxa"/>
            <w:vMerge w:val="continue"/>
            <w:vAlign w:val="center"/>
          </w:tcPr>
          <w:p w14:paraId="7AC95B14">
            <w:pPr>
              <w:widowControl/>
              <w:spacing w:line="240" w:lineRule="exact"/>
              <w:jc w:val="left"/>
              <w:rPr>
                <w:rFonts w:ascii="宋体"/>
                <w:kern w:val="0"/>
              </w:rPr>
            </w:pPr>
          </w:p>
        </w:tc>
        <w:tc>
          <w:tcPr>
            <w:tcW w:w="1175" w:type="dxa"/>
            <w:vMerge w:val="restart"/>
            <w:vAlign w:val="center"/>
          </w:tcPr>
          <w:p w14:paraId="759539EC">
            <w:pPr>
              <w:widowControl/>
              <w:spacing w:line="240" w:lineRule="exact"/>
              <w:jc w:val="center"/>
              <w:rPr>
                <w:rFonts w:ascii="宋体"/>
                <w:kern w:val="0"/>
              </w:rPr>
            </w:pPr>
            <w:r>
              <w:rPr>
                <w:rFonts w:hint="eastAsia" w:ascii="宋体"/>
                <w:kern w:val="0"/>
              </w:rPr>
              <w:t>一般</w:t>
            </w:r>
          </w:p>
        </w:tc>
        <w:tc>
          <w:tcPr>
            <w:tcW w:w="4849" w:type="dxa"/>
            <w:tcBorders>
              <w:bottom w:val="single" w:color="auto" w:sz="4" w:space="0"/>
              <w:right w:val="single" w:color="auto" w:sz="4" w:space="0"/>
            </w:tcBorders>
            <w:vAlign w:val="center"/>
          </w:tcPr>
          <w:p w14:paraId="05F0F2F8">
            <w:pPr>
              <w:widowControl/>
              <w:spacing w:line="240" w:lineRule="exact"/>
              <w:jc w:val="left"/>
              <w:rPr>
                <w:rFonts w:ascii="宋体"/>
                <w:kern w:val="0"/>
              </w:rPr>
            </w:pPr>
            <w:r>
              <w:rPr>
                <w:rFonts w:hint="eastAsia" w:ascii="宋体"/>
                <w:kern w:val="0"/>
              </w:rPr>
              <w:t>未造成危险货物泄漏、人员伤亡、财产损失或其他不良后果的；</w:t>
            </w:r>
          </w:p>
        </w:tc>
        <w:tc>
          <w:tcPr>
            <w:tcW w:w="3361" w:type="dxa"/>
            <w:tcBorders>
              <w:left w:val="single" w:color="auto" w:sz="4" w:space="0"/>
              <w:bottom w:val="single" w:color="auto" w:sz="4" w:space="0"/>
              <w:right w:val="single" w:color="auto" w:sz="4" w:space="0"/>
            </w:tcBorders>
            <w:vAlign w:val="center"/>
          </w:tcPr>
          <w:p w14:paraId="340AA6BF">
            <w:pPr>
              <w:widowControl/>
              <w:spacing w:line="240" w:lineRule="exact"/>
              <w:jc w:val="center"/>
              <w:rPr>
                <w:rFonts w:ascii="宋体"/>
                <w:kern w:val="0"/>
              </w:rPr>
            </w:pPr>
            <w:r>
              <w:rPr>
                <w:rFonts w:hint="eastAsia" w:ascii="宋体"/>
                <w:kern w:val="0"/>
              </w:rPr>
              <w:t>6-15万元</w:t>
            </w:r>
          </w:p>
        </w:tc>
        <w:tc>
          <w:tcPr>
            <w:tcW w:w="3071" w:type="dxa"/>
            <w:tcBorders>
              <w:left w:val="single" w:color="auto" w:sz="4" w:space="0"/>
              <w:bottom w:val="single" w:color="auto" w:sz="4" w:space="0"/>
              <w:right w:val="single" w:color="auto" w:sz="4" w:space="0"/>
            </w:tcBorders>
            <w:vAlign w:val="center"/>
          </w:tcPr>
          <w:p w14:paraId="17C2B6ED">
            <w:pPr>
              <w:widowControl/>
              <w:spacing w:line="240" w:lineRule="exact"/>
              <w:jc w:val="center"/>
              <w:rPr>
                <w:rFonts w:ascii="宋体"/>
                <w:kern w:val="0"/>
              </w:rPr>
            </w:pPr>
            <w:r>
              <w:rPr>
                <w:rFonts w:hint="eastAsia" w:ascii="宋体"/>
                <w:kern w:val="0"/>
              </w:rPr>
              <w:t>1-3万元</w:t>
            </w:r>
          </w:p>
        </w:tc>
        <w:tc>
          <w:tcPr>
            <w:tcW w:w="2233" w:type="dxa"/>
            <w:tcBorders>
              <w:left w:val="single" w:color="auto" w:sz="4" w:space="0"/>
              <w:bottom w:val="single" w:color="auto" w:sz="4" w:space="0"/>
              <w:right w:val="single" w:color="auto" w:sz="4" w:space="0"/>
            </w:tcBorders>
            <w:vAlign w:val="center"/>
          </w:tcPr>
          <w:p w14:paraId="27D07486">
            <w:pPr>
              <w:widowControl/>
              <w:spacing w:line="240" w:lineRule="exact"/>
              <w:jc w:val="center"/>
              <w:rPr>
                <w:rFonts w:ascii="宋体"/>
                <w:kern w:val="0"/>
              </w:rPr>
            </w:pPr>
            <w:r>
              <w:rPr>
                <w:rFonts w:hint="eastAsia" w:ascii="宋体"/>
                <w:kern w:val="0"/>
              </w:rPr>
              <w:t>8000元-2万元</w:t>
            </w:r>
          </w:p>
        </w:tc>
      </w:tr>
      <w:tr w14:paraId="0D29F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1074" w:type="dxa"/>
            <w:vMerge w:val="continue"/>
            <w:vAlign w:val="center"/>
          </w:tcPr>
          <w:p w14:paraId="3BA5F503">
            <w:pPr>
              <w:widowControl/>
              <w:spacing w:line="240" w:lineRule="exact"/>
              <w:jc w:val="left"/>
              <w:rPr>
                <w:rFonts w:ascii="宋体"/>
                <w:kern w:val="0"/>
              </w:rPr>
            </w:pPr>
          </w:p>
        </w:tc>
        <w:tc>
          <w:tcPr>
            <w:tcW w:w="2272" w:type="dxa"/>
            <w:vMerge w:val="continue"/>
            <w:vAlign w:val="center"/>
          </w:tcPr>
          <w:p w14:paraId="67F59039">
            <w:pPr>
              <w:widowControl/>
              <w:spacing w:line="240" w:lineRule="exact"/>
              <w:jc w:val="left"/>
              <w:rPr>
                <w:rFonts w:ascii="宋体"/>
                <w:kern w:val="0"/>
              </w:rPr>
            </w:pPr>
          </w:p>
        </w:tc>
        <w:tc>
          <w:tcPr>
            <w:tcW w:w="2148" w:type="dxa"/>
            <w:vMerge w:val="continue"/>
            <w:vAlign w:val="center"/>
          </w:tcPr>
          <w:p w14:paraId="12A8C85A">
            <w:pPr>
              <w:widowControl/>
              <w:spacing w:line="240" w:lineRule="exact"/>
              <w:jc w:val="left"/>
              <w:rPr>
                <w:rFonts w:ascii="宋体"/>
                <w:kern w:val="0"/>
              </w:rPr>
            </w:pPr>
          </w:p>
        </w:tc>
        <w:tc>
          <w:tcPr>
            <w:tcW w:w="1175" w:type="dxa"/>
            <w:vMerge w:val="continue"/>
            <w:vAlign w:val="center"/>
          </w:tcPr>
          <w:p w14:paraId="7DB74A06">
            <w:pPr>
              <w:widowControl/>
              <w:spacing w:line="240" w:lineRule="exact"/>
              <w:jc w:val="center"/>
              <w:rPr>
                <w:rFonts w:ascii="宋体"/>
                <w:kern w:val="0"/>
              </w:rPr>
            </w:pPr>
          </w:p>
        </w:tc>
        <w:tc>
          <w:tcPr>
            <w:tcW w:w="4849" w:type="dxa"/>
            <w:tcBorders>
              <w:bottom w:val="single" w:color="auto" w:sz="4" w:space="0"/>
              <w:right w:val="single" w:color="auto" w:sz="4" w:space="0"/>
            </w:tcBorders>
            <w:vAlign w:val="center"/>
          </w:tcPr>
          <w:p w14:paraId="63BDFDCF">
            <w:pPr>
              <w:widowControl/>
              <w:spacing w:line="240" w:lineRule="exact"/>
              <w:jc w:val="left"/>
              <w:rPr>
                <w:rFonts w:ascii="宋体"/>
                <w:kern w:val="0"/>
              </w:rPr>
            </w:pPr>
            <w:r>
              <w:rPr>
                <w:rFonts w:hint="eastAsia" w:ascii="宋体"/>
                <w:kern w:val="0"/>
              </w:rPr>
              <w:t>1.未编制相应的应急处置预案的；</w:t>
            </w:r>
          </w:p>
          <w:p w14:paraId="12B49ABE">
            <w:pPr>
              <w:widowControl/>
              <w:spacing w:line="240" w:lineRule="exact"/>
              <w:jc w:val="left"/>
              <w:rPr>
                <w:rFonts w:ascii="宋体"/>
                <w:kern w:val="0"/>
              </w:rPr>
            </w:pPr>
            <w:r>
              <w:rPr>
                <w:rFonts w:hint="eastAsia" w:ascii="宋体"/>
                <w:kern w:val="0"/>
              </w:rPr>
              <w:t>2.具有其他较重情节的</w:t>
            </w:r>
          </w:p>
        </w:tc>
        <w:tc>
          <w:tcPr>
            <w:tcW w:w="3361" w:type="dxa"/>
            <w:tcBorders>
              <w:left w:val="single" w:color="auto" w:sz="4" w:space="0"/>
              <w:bottom w:val="single" w:color="auto" w:sz="4" w:space="0"/>
              <w:right w:val="single" w:color="auto" w:sz="4" w:space="0"/>
            </w:tcBorders>
            <w:vAlign w:val="center"/>
          </w:tcPr>
          <w:p w14:paraId="64461A18">
            <w:pPr>
              <w:widowControl/>
              <w:spacing w:line="240" w:lineRule="exact"/>
              <w:jc w:val="center"/>
              <w:rPr>
                <w:rFonts w:ascii="宋体"/>
                <w:kern w:val="0"/>
              </w:rPr>
            </w:pPr>
            <w:r>
              <w:rPr>
                <w:rFonts w:hint="eastAsia" w:ascii="宋体"/>
                <w:kern w:val="0"/>
              </w:rPr>
              <w:t>10-30万元</w:t>
            </w:r>
          </w:p>
        </w:tc>
        <w:tc>
          <w:tcPr>
            <w:tcW w:w="3071" w:type="dxa"/>
            <w:tcBorders>
              <w:left w:val="single" w:color="auto" w:sz="4" w:space="0"/>
              <w:bottom w:val="single" w:color="auto" w:sz="4" w:space="0"/>
              <w:right w:val="single" w:color="auto" w:sz="4" w:space="0"/>
            </w:tcBorders>
            <w:vAlign w:val="center"/>
          </w:tcPr>
          <w:p w14:paraId="3624FFE3">
            <w:pPr>
              <w:widowControl/>
              <w:spacing w:line="240" w:lineRule="exact"/>
              <w:jc w:val="center"/>
              <w:rPr>
                <w:rFonts w:ascii="宋体"/>
                <w:kern w:val="0"/>
              </w:rPr>
            </w:pPr>
            <w:r>
              <w:rPr>
                <w:rFonts w:hint="eastAsia" w:ascii="宋体"/>
                <w:kern w:val="0"/>
              </w:rPr>
              <w:t>3-5万元</w:t>
            </w:r>
          </w:p>
        </w:tc>
        <w:tc>
          <w:tcPr>
            <w:tcW w:w="2233" w:type="dxa"/>
            <w:tcBorders>
              <w:left w:val="single" w:color="auto" w:sz="4" w:space="0"/>
              <w:bottom w:val="single" w:color="auto" w:sz="4" w:space="0"/>
              <w:right w:val="single" w:color="auto" w:sz="4" w:space="0"/>
            </w:tcBorders>
            <w:vAlign w:val="center"/>
          </w:tcPr>
          <w:p w14:paraId="2F865883">
            <w:pPr>
              <w:widowControl/>
              <w:spacing w:line="240" w:lineRule="exact"/>
              <w:jc w:val="center"/>
              <w:rPr>
                <w:rFonts w:ascii="宋体"/>
                <w:kern w:val="0"/>
              </w:rPr>
            </w:pPr>
            <w:r>
              <w:rPr>
                <w:rFonts w:hint="eastAsia" w:ascii="宋体"/>
                <w:kern w:val="0"/>
              </w:rPr>
              <w:t>2-5万元</w:t>
            </w:r>
          </w:p>
        </w:tc>
      </w:tr>
      <w:tr w14:paraId="205E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1074" w:type="dxa"/>
            <w:vMerge w:val="continue"/>
            <w:vAlign w:val="center"/>
          </w:tcPr>
          <w:p w14:paraId="5FEA4D84">
            <w:pPr>
              <w:widowControl/>
              <w:spacing w:line="240" w:lineRule="exact"/>
              <w:jc w:val="left"/>
              <w:rPr>
                <w:rFonts w:ascii="宋体"/>
                <w:kern w:val="0"/>
              </w:rPr>
            </w:pPr>
          </w:p>
        </w:tc>
        <w:tc>
          <w:tcPr>
            <w:tcW w:w="2272" w:type="dxa"/>
            <w:vMerge w:val="continue"/>
            <w:vAlign w:val="center"/>
          </w:tcPr>
          <w:p w14:paraId="09424D57">
            <w:pPr>
              <w:widowControl/>
              <w:spacing w:line="240" w:lineRule="exact"/>
              <w:jc w:val="left"/>
              <w:rPr>
                <w:rFonts w:ascii="宋体"/>
                <w:kern w:val="0"/>
              </w:rPr>
            </w:pPr>
          </w:p>
        </w:tc>
        <w:tc>
          <w:tcPr>
            <w:tcW w:w="2148" w:type="dxa"/>
            <w:vMerge w:val="continue"/>
            <w:vAlign w:val="center"/>
          </w:tcPr>
          <w:p w14:paraId="5941FF3F">
            <w:pPr>
              <w:widowControl/>
              <w:spacing w:line="240" w:lineRule="exact"/>
              <w:jc w:val="left"/>
              <w:rPr>
                <w:rFonts w:ascii="宋体"/>
                <w:kern w:val="0"/>
              </w:rPr>
            </w:pPr>
          </w:p>
        </w:tc>
        <w:tc>
          <w:tcPr>
            <w:tcW w:w="1175" w:type="dxa"/>
            <w:vMerge w:val="restart"/>
            <w:vAlign w:val="center"/>
          </w:tcPr>
          <w:p w14:paraId="56A761F2">
            <w:pPr>
              <w:widowControl/>
              <w:spacing w:line="240" w:lineRule="exact"/>
              <w:jc w:val="center"/>
              <w:rPr>
                <w:rFonts w:ascii="宋体"/>
                <w:kern w:val="0"/>
              </w:rPr>
            </w:pPr>
            <w:r>
              <w:rPr>
                <w:rFonts w:hint="eastAsia" w:ascii="宋体"/>
                <w:kern w:val="0"/>
              </w:rPr>
              <w:t>情节严重</w:t>
            </w:r>
          </w:p>
        </w:tc>
        <w:tc>
          <w:tcPr>
            <w:tcW w:w="4849" w:type="dxa"/>
            <w:tcBorders>
              <w:bottom w:val="single" w:color="auto" w:sz="4" w:space="0"/>
              <w:right w:val="single" w:color="auto" w:sz="4" w:space="0"/>
            </w:tcBorders>
            <w:vAlign w:val="center"/>
          </w:tcPr>
          <w:p w14:paraId="6823EB7A">
            <w:pPr>
              <w:widowControl/>
              <w:spacing w:line="240" w:lineRule="exact"/>
              <w:jc w:val="left"/>
              <w:rPr>
                <w:rFonts w:ascii="宋体"/>
                <w:kern w:val="0"/>
              </w:rPr>
            </w:pPr>
            <w:r>
              <w:rPr>
                <w:rFonts w:hint="eastAsia" w:ascii="宋体"/>
                <w:kern w:val="0"/>
              </w:rPr>
              <w:t>造成危险货物泄漏、人员受伤、财产损失不足500万元的；</w:t>
            </w:r>
          </w:p>
        </w:tc>
        <w:tc>
          <w:tcPr>
            <w:tcW w:w="3361" w:type="dxa"/>
            <w:tcBorders>
              <w:left w:val="single" w:color="auto" w:sz="4" w:space="0"/>
              <w:bottom w:val="single" w:color="auto" w:sz="4" w:space="0"/>
              <w:right w:val="single" w:color="auto" w:sz="4" w:space="0"/>
            </w:tcBorders>
            <w:vAlign w:val="center"/>
          </w:tcPr>
          <w:p w14:paraId="566C8837">
            <w:pPr>
              <w:widowControl/>
              <w:spacing w:line="240" w:lineRule="exact"/>
              <w:jc w:val="center"/>
              <w:rPr>
                <w:rFonts w:ascii="宋体"/>
                <w:kern w:val="0"/>
              </w:rPr>
            </w:pPr>
            <w:r>
              <w:rPr>
                <w:rFonts w:hint="eastAsia" w:ascii="宋体"/>
                <w:kern w:val="0"/>
              </w:rPr>
              <w:t>30-40万元</w:t>
            </w:r>
          </w:p>
        </w:tc>
        <w:tc>
          <w:tcPr>
            <w:tcW w:w="3071" w:type="dxa"/>
            <w:tcBorders>
              <w:left w:val="single" w:color="auto" w:sz="4" w:space="0"/>
              <w:bottom w:val="single" w:color="auto" w:sz="4" w:space="0"/>
              <w:right w:val="single" w:color="auto" w:sz="4" w:space="0"/>
            </w:tcBorders>
            <w:vAlign w:val="center"/>
          </w:tcPr>
          <w:p w14:paraId="5C091874">
            <w:pPr>
              <w:widowControl/>
              <w:spacing w:line="240" w:lineRule="exact"/>
              <w:jc w:val="center"/>
              <w:rPr>
                <w:rFonts w:ascii="宋体"/>
                <w:kern w:val="0"/>
              </w:rPr>
            </w:pPr>
            <w:r>
              <w:rPr>
                <w:rFonts w:hint="eastAsia" w:ascii="宋体"/>
                <w:kern w:val="0"/>
              </w:rPr>
              <w:t>暂扣适任证书6个月至9个月</w:t>
            </w:r>
          </w:p>
        </w:tc>
        <w:tc>
          <w:tcPr>
            <w:tcW w:w="2233" w:type="dxa"/>
            <w:tcBorders>
              <w:left w:val="single" w:color="auto" w:sz="4" w:space="0"/>
              <w:bottom w:val="single" w:color="auto" w:sz="4" w:space="0"/>
              <w:right w:val="single" w:color="auto" w:sz="4" w:space="0"/>
            </w:tcBorders>
            <w:vAlign w:val="center"/>
          </w:tcPr>
          <w:p w14:paraId="777C557C">
            <w:pPr>
              <w:widowControl/>
              <w:spacing w:line="240" w:lineRule="exact"/>
              <w:jc w:val="center"/>
              <w:rPr>
                <w:rFonts w:ascii="宋体"/>
                <w:kern w:val="0"/>
              </w:rPr>
            </w:pPr>
            <w:r>
              <w:rPr>
                <w:rFonts w:hint="eastAsia" w:ascii="宋体"/>
                <w:kern w:val="0"/>
              </w:rPr>
              <w:t>暂扣适任证书6个月至9个月</w:t>
            </w:r>
          </w:p>
        </w:tc>
      </w:tr>
      <w:tr w14:paraId="42AEC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1074" w:type="dxa"/>
            <w:vMerge w:val="continue"/>
            <w:vAlign w:val="center"/>
          </w:tcPr>
          <w:p w14:paraId="0B3A1BFB">
            <w:pPr>
              <w:widowControl/>
              <w:spacing w:line="240" w:lineRule="exact"/>
              <w:jc w:val="left"/>
              <w:rPr>
                <w:rFonts w:ascii="宋体"/>
                <w:kern w:val="0"/>
              </w:rPr>
            </w:pPr>
          </w:p>
        </w:tc>
        <w:tc>
          <w:tcPr>
            <w:tcW w:w="2272" w:type="dxa"/>
            <w:vMerge w:val="continue"/>
            <w:vAlign w:val="center"/>
          </w:tcPr>
          <w:p w14:paraId="0C4E8908">
            <w:pPr>
              <w:widowControl/>
              <w:spacing w:line="240" w:lineRule="exact"/>
              <w:jc w:val="left"/>
              <w:rPr>
                <w:rFonts w:ascii="宋体"/>
                <w:kern w:val="0"/>
              </w:rPr>
            </w:pPr>
          </w:p>
        </w:tc>
        <w:tc>
          <w:tcPr>
            <w:tcW w:w="2148" w:type="dxa"/>
            <w:vMerge w:val="continue"/>
            <w:vAlign w:val="center"/>
          </w:tcPr>
          <w:p w14:paraId="22C054A7">
            <w:pPr>
              <w:widowControl/>
              <w:spacing w:line="240" w:lineRule="exact"/>
              <w:jc w:val="left"/>
              <w:rPr>
                <w:rFonts w:ascii="宋体"/>
                <w:kern w:val="0"/>
              </w:rPr>
            </w:pPr>
          </w:p>
        </w:tc>
        <w:tc>
          <w:tcPr>
            <w:tcW w:w="1175" w:type="dxa"/>
            <w:vMerge w:val="continue"/>
            <w:vAlign w:val="center"/>
          </w:tcPr>
          <w:p w14:paraId="17FDD0E5">
            <w:pPr>
              <w:widowControl/>
              <w:spacing w:line="240" w:lineRule="exact"/>
              <w:jc w:val="center"/>
              <w:rPr>
                <w:rFonts w:ascii="宋体"/>
                <w:kern w:val="0"/>
              </w:rPr>
            </w:pPr>
          </w:p>
        </w:tc>
        <w:tc>
          <w:tcPr>
            <w:tcW w:w="4849" w:type="dxa"/>
            <w:tcBorders>
              <w:top w:val="single" w:color="auto" w:sz="4" w:space="0"/>
              <w:bottom w:val="single" w:color="auto" w:sz="4" w:space="0"/>
              <w:right w:val="single" w:color="auto" w:sz="4" w:space="0"/>
            </w:tcBorders>
            <w:vAlign w:val="center"/>
          </w:tcPr>
          <w:p w14:paraId="29CB7652">
            <w:pPr>
              <w:widowControl/>
              <w:spacing w:line="240" w:lineRule="exact"/>
              <w:jc w:val="left"/>
              <w:rPr>
                <w:rFonts w:ascii="宋体"/>
                <w:kern w:val="0"/>
              </w:rPr>
            </w:pPr>
            <w:r>
              <w:rPr>
                <w:rFonts w:hint="eastAsia" w:ascii="宋体"/>
                <w:kern w:val="0"/>
              </w:rPr>
              <w:t>造成危险货物泄漏、人员受伤、财产损失在500万以上1000万元以下的；</w:t>
            </w:r>
          </w:p>
        </w:tc>
        <w:tc>
          <w:tcPr>
            <w:tcW w:w="3361" w:type="dxa"/>
            <w:tcBorders>
              <w:left w:val="single" w:color="auto" w:sz="4" w:space="0"/>
              <w:bottom w:val="single" w:color="auto" w:sz="4" w:space="0"/>
              <w:right w:val="single" w:color="auto" w:sz="4" w:space="0"/>
            </w:tcBorders>
            <w:vAlign w:val="center"/>
          </w:tcPr>
          <w:p w14:paraId="63B09352">
            <w:pPr>
              <w:widowControl/>
              <w:spacing w:line="240" w:lineRule="exact"/>
              <w:jc w:val="center"/>
              <w:rPr>
                <w:rFonts w:ascii="宋体"/>
                <w:kern w:val="0"/>
              </w:rPr>
            </w:pPr>
            <w:r>
              <w:rPr>
                <w:rFonts w:hint="eastAsia" w:ascii="宋体"/>
                <w:kern w:val="0"/>
              </w:rPr>
              <w:t>40-50万元</w:t>
            </w:r>
          </w:p>
        </w:tc>
        <w:tc>
          <w:tcPr>
            <w:tcW w:w="3071" w:type="dxa"/>
            <w:tcBorders>
              <w:left w:val="single" w:color="auto" w:sz="4" w:space="0"/>
              <w:bottom w:val="single" w:color="auto" w:sz="4" w:space="0"/>
              <w:right w:val="single" w:color="auto" w:sz="4" w:space="0"/>
            </w:tcBorders>
            <w:vAlign w:val="center"/>
          </w:tcPr>
          <w:p w14:paraId="01F4962E">
            <w:pPr>
              <w:widowControl/>
              <w:spacing w:line="240" w:lineRule="exact"/>
              <w:jc w:val="center"/>
              <w:rPr>
                <w:rFonts w:ascii="宋体"/>
                <w:kern w:val="0"/>
              </w:rPr>
            </w:pPr>
            <w:r>
              <w:rPr>
                <w:rFonts w:hint="eastAsia" w:ascii="宋体"/>
                <w:kern w:val="0"/>
              </w:rPr>
              <w:t>暂扣适任证书9个月至12个月</w:t>
            </w:r>
          </w:p>
        </w:tc>
        <w:tc>
          <w:tcPr>
            <w:tcW w:w="2233" w:type="dxa"/>
            <w:tcBorders>
              <w:left w:val="single" w:color="auto" w:sz="4" w:space="0"/>
              <w:bottom w:val="single" w:color="auto" w:sz="4" w:space="0"/>
              <w:right w:val="single" w:color="auto" w:sz="4" w:space="0"/>
            </w:tcBorders>
            <w:vAlign w:val="center"/>
          </w:tcPr>
          <w:p w14:paraId="3BC87D01">
            <w:pPr>
              <w:widowControl/>
              <w:spacing w:line="240" w:lineRule="exact"/>
              <w:jc w:val="center"/>
              <w:rPr>
                <w:rFonts w:ascii="宋体"/>
                <w:kern w:val="0"/>
              </w:rPr>
            </w:pPr>
            <w:r>
              <w:rPr>
                <w:rFonts w:hint="eastAsia" w:ascii="宋体"/>
                <w:kern w:val="0"/>
              </w:rPr>
              <w:t>暂扣适任证书9个月至12个月，直至吊销适任证书</w:t>
            </w:r>
          </w:p>
        </w:tc>
      </w:tr>
      <w:tr w14:paraId="3BD6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1074" w:type="dxa"/>
            <w:vMerge w:val="continue"/>
            <w:vAlign w:val="center"/>
          </w:tcPr>
          <w:p w14:paraId="7DC3889E">
            <w:pPr>
              <w:widowControl/>
              <w:spacing w:line="240" w:lineRule="exact"/>
              <w:jc w:val="left"/>
              <w:rPr>
                <w:rFonts w:ascii="宋体"/>
                <w:kern w:val="0"/>
              </w:rPr>
            </w:pPr>
          </w:p>
        </w:tc>
        <w:tc>
          <w:tcPr>
            <w:tcW w:w="2272" w:type="dxa"/>
            <w:vMerge w:val="continue"/>
            <w:vAlign w:val="center"/>
          </w:tcPr>
          <w:p w14:paraId="7B651F89">
            <w:pPr>
              <w:widowControl/>
              <w:spacing w:line="240" w:lineRule="exact"/>
              <w:jc w:val="left"/>
              <w:rPr>
                <w:rFonts w:ascii="宋体"/>
                <w:kern w:val="0"/>
              </w:rPr>
            </w:pPr>
          </w:p>
        </w:tc>
        <w:tc>
          <w:tcPr>
            <w:tcW w:w="2148" w:type="dxa"/>
            <w:vMerge w:val="continue"/>
            <w:vAlign w:val="center"/>
          </w:tcPr>
          <w:p w14:paraId="0E0EB2A3">
            <w:pPr>
              <w:widowControl/>
              <w:spacing w:line="240" w:lineRule="exact"/>
              <w:jc w:val="left"/>
              <w:rPr>
                <w:rFonts w:ascii="宋体"/>
                <w:kern w:val="0"/>
              </w:rPr>
            </w:pPr>
          </w:p>
        </w:tc>
        <w:tc>
          <w:tcPr>
            <w:tcW w:w="1175" w:type="dxa"/>
            <w:vMerge w:val="continue"/>
            <w:tcBorders>
              <w:bottom w:val="single" w:color="auto" w:sz="4" w:space="0"/>
            </w:tcBorders>
            <w:vAlign w:val="center"/>
          </w:tcPr>
          <w:p w14:paraId="5816CA15">
            <w:pPr>
              <w:widowControl/>
              <w:spacing w:line="240" w:lineRule="exact"/>
              <w:jc w:val="center"/>
              <w:rPr>
                <w:rFonts w:ascii="宋体"/>
                <w:kern w:val="0"/>
              </w:rPr>
            </w:pPr>
          </w:p>
        </w:tc>
        <w:tc>
          <w:tcPr>
            <w:tcW w:w="4849" w:type="dxa"/>
            <w:tcBorders>
              <w:top w:val="single" w:color="auto" w:sz="4" w:space="0"/>
              <w:bottom w:val="single" w:color="auto" w:sz="4" w:space="0"/>
              <w:right w:val="single" w:color="auto" w:sz="4" w:space="0"/>
            </w:tcBorders>
            <w:vAlign w:val="center"/>
          </w:tcPr>
          <w:p w14:paraId="786CCAA2">
            <w:pPr>
              <w:widowControl/>
              <w:spacing w:line="240" w:lineRule="exact"/>
              <w:jc w:val="left"/>
              <w:rPr>
                <w:rFonts w:ascii="宋体"/>
                <w:kern w:val="0"/>
              </w:rPr>
            </w:pPr>
            <w:r>
              <w:rPr>
                <w:rFonts w:hint="eastAsia" w:ascii="宋体"/>
                <w:kern w:val="0"/>
              </w:rPr>
              <w:t>1.造成人员死亡或财产损失超过1000万元的；</w:t>
            </w:r>
          </w:p>
          <w:p w14:paraId="58C17843">
            <w:pPr>
              <w:widowControl/>
              <w:spacing w:line="240" w:lineRule="exact"/>
              <w:jc w:val="left"/>
              <w:rPr>
                <w:rFonts w:ascii="宋体"/>
                <w:kern w:val="0"/>
              </w:rPr>
            </w:pPr>
            <w:r>
              <w:rPr>
                <w:rFonts w:hint="eastAsia" w:ascii="宋体"/>
                <w:kern w:val="0"/>
              </w:rPr>
              <w:t>2.具有其他严重情节的。</w:t>
            </w:r>
          </w:p>
        </w:tc>
        <w:tc>
          <w:tcPr>
            <w:tcW w:w="3361" w:type="dxa"/>
            <w:tcBorders>
              <w:top w:val="single" w:color="auto" w:sz="4" w:space="0"/>
              <w:left w:val="single" w:color="auto" w:sz="4" w:space="0"/>
              <w:bottom w:val="single" w:color="auto" w:sz="4" w:space="0"/>
              <w:right w:val="single" w:color="auto" w:sz="4" w:space="0"/>
            </w:tcBorders>
            <w:vAlign w:val="center"/>
          </w:tcPr>
          <w:p w14:paraId="73A89334">
            <w:pPr>
              <w:widowControl/>
              <w:spacing w:line="240" w:lineRule="exact"/>
              <w:jc w:val="center"/>
              <w:rPr>
                <w:rFonts w:ascii="宋体"/>
                <w:kern w:val="0"/>
              </w:rPr>
            </w:pPr>
            <w:r>
              <w:rPr>
                <w:rFonts w:hint="eastAsia" w:ascii="宋体"/>
                <w:kern w:val="0"/>
              </w:rPr>
              <w:t>45-50万元</w:t>
            </w:r>
          </w:p>
        </w:tc>
        <w:tc>
          <w:tcPr>
            <w:tcW w:w="3071" w:type="dxa"/>
            <w:tcBorders>
              <w:top w:val="single" w:color="auto" w:sz="4" w:space="0"/>
              <w:left w:val="single" w:color="auto" w:sz="4" w:space="0"/>
              <w:bottom w:val="single" w:color="auto" w:sz="4" w:space="0"/>
              <w:right w:val="single" w:color="auto" w:sz="4" w:space="0"/>
            </w:tcBorders>
            <w:vAlign w:val="center"/>
          </w:tcPr>
          <w:p w14:paraId="3A8DC72A">
            <w:pPr>
              <w:widowControl/>
              <w:spacing w:line="240" w:lineRule="exact"/>
              <w:jc w:val="center"/>
              <w:rPr>
                <w:rFonts w:ascii="宋体"/>
                <w:kern w:val="0"/>
              </w:rPr>
            </w:pPr>
            <w:r>
              <w:rPr>
                <w:rFonts w:hint="eastAsia" w:ascii="宋体"/>
                <w:kern w:val="0"/>
              </w:rPr>
              <w:t>暂扣适任证书12个月或吊销适任证书</w:t>
            </w:r>
          </w:p>
        </w:tc>
        <w:tc>
          <w:tcPr>
            <w:tcW w:w="2233" w:type="dxa"/>
            <w:tcBorders>
              <w:top w:val="single" w:color="auto" w:sz="4" w:space="0"/>
              <w:left w:val="single" w:color="auto" w:sz="4" w:space="0"/>
              <w:bottom w:val="single" w:color="auto" w:sz="4" w:space="0"/>
              <w:right w:val="single" w:color="auto" w:sz="4" w:space="0"/>
            </w:tcBorders>
            <w:vAlign w:val="center"/>
          </w:tcPr>
          <w:p w14:paraId="1C312D87">
            <w:pPr>
              <w:widowControl/>
              <w:spacing w:line="240" w:lineRule="exact"/>
              <w:jc w:val="center"/>
              <w:rPr>
                <w:rFonts w:ascii="宋体"/>
                <w:kern w:val="0"/>
              </w:rPr>
            </w:pPr>
            <w:r>
              <w:rPr>
                <w:rFonts w:hint="eastAsia" w:ascii="宋体"/>
                <w:kern w:val="0"/>
              </w:rPr>
              <w:t>暂扣适任证书10个月至12个月，直至吊销适任证书</w:t>
            </w:r>
          </w:p>
        </w:tc>
      </w:tr>
    </w:tbl>
    <w:p w14:paraId="3327FBCE">
      <w:pPr>
        <w:spacing w:line="240" w:lineRule="exact"/>
        <w:rPr>
          <w:rFonts w:ascii="宋体"/>
          <w:b/>
          <w:bCs/>
          <w:shd w:val="clear" w:color="auto" w:fill="FFFFFF"/>
        </w:rPr>
      </w:pPr>
      <w:r>
        <w:rPr>
          <w:rFonts w:ascii="宋体"/>
          <w:b/>
          <w:bCs/>
          <w:shd w:val="clear" w:color="auto" w:fill="FFFFFF"/>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2148"/>
        <w:gridCol w:w="2124"/>
        <w:gridCol w:w="1080"/>
        <w:gridCol w:w="3284"/>
        <w:gridCol w:w="4921"/>
        <w:gridCol w:w="2650"/>
        <w:gridCol w:w="2349"/>
      </w:tblGrid>
      <w:tr w14:paraId="1114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4" w:hRule="atLeast"/>
        </w:trPr>
        <w:tc>
          <w:tcPr>
            <w:tcW w:w="883" w:type="dxa"/>
            <w:vMerge w:val="restart"/>
            <w:vAlign w:val="center"/>
          </w:tcPr>
          <w:p w14:paraId="6241FA51">
            <w:pPr>
              <w:spacing w:line="240" w:lineRule="exact"/>
              <w:jc w:val="center"/>
              <w:rPr>
                <w:rFonts w:ascii="宋体"/>
                <w:b/>
                <w:kern w:val="0"/>
              </w:rPr>
            </w:pPr>
            <w:r>
              <w:rPr>
                <w:rFonts w:hint="eastAsia" w:ascii="宋体"/>
                <w:b/>
                <w:kern w:val="0"/>
              </w:rPr>
              <w:t>案由</w:t>
            </w:r>
            <w:r>
              <w:rPr>
                <w:rFonts w:hint="eastAsia" w:ascii="宋体"/>
                <w:b/>
                <w:bCs/>
                <w:kern w:val="0"/>
              </w:rPr>
              <w:t>69</w:t>
            </w:r>
          </w:p>
        </w:tc>
        <w:tc>
          <w:tcPr>
            <w:tcW w:w="4272" w:type="dxa"/>
            <w:gridSpan w:val="2"/>
            <w:vAlign w:val="center"/>
          </w:tcPr>
          <w:p w14:paraId="376D6139">
            <w:pPr>
              <w:spacing w:line="240" w:lineRule="exact"/>
              <w:jc w:val="center"/>
              <w:rPr>
                <w:rFonts w:ascii="宋体"/>
                <w:b/>
                <w:kern w:val="0"/>
              </w:rPr>
            </w:pPr>
            <w:r>
              <w:rPr>
                <w:rFonts w:hint="eastAsia" w:ascii="宋体"/>
                <w:b/>
                <w:kern w:val="0"/>
              </w:rPr>
              <w:t>法律依据</w:t>
            </w:r>
          </w:p>
        </w:tc>
        <w:tc>
          <w:tcPr>
            <w:tcW w:w="1080" w:type="dxa"/>
            <w:vMerge w:val="restart"/>
            <w:vAlign w:val="center"/>
          </w:tcPr>
          <w:p w14:paraId="4EE4BAD0">
            <w:pPr>
              <w:spacing w:line="240" w:lineRule="exact"/>
              <w:jc w:val="center"/>
              <w:rPr>
                <w:rFonts w:ascii="宋体"/>
                <w:b/>
                <w:kern w:val="0"/>
              </w:rPr>
            </w:pPr>
            <w:r>
              <w:rPr>
                <w:rFonts w:hint="eastAsia" w:ascii="宋体"/>
                <w:b/>
                <w:kern w:val="0"/>
              </w:rPr>
              <w:t>违法情节</w:t>
            </w:r>
          </w:p>
        </w:tc>
        <w:tc>
          <w:tcPr>
            <w:tcW w:w="3284" w:type="dxa"/>
            <w:vMerge w:val="restart"/>
            <w:vAlign w:val="center"/>
          </w:tcPr>
          <w:p w14:paraId="58513052">
            <w:pPr>
              <w:spacing w:line="240" w:lineRule="exact"/>
              <w:jc w:val="center"/>
              <w:rPr>
                <w:rFonts w:ascii="宋体"/>
                <w:b/>
                <w:kern w:val="0"/>
              </w:rPr>
            </w:pPr>
            <w:r>
              <w:rPr>
                <w:rFonts w:hint="eastAsia" w:ascii="宋体"/>
                <w:b/>
                <w:kern w:val="0"/>
              </w:rPr>
              <w:t>主要考虑因素（事实、性质、情节、危害程度和实际后果等）</w:t>
            </w:r>
          </w:p>
        </w:tc>
        <w:tc>
          <w:tcPr>
            <w:tcW w:w="9920" w:type="dxa"/>
            <w:gridSpan w:val="3"/>
            <w:tcBorders>
              <w:right w:val="single" w:color="auto" w:sz="4" w:space="0"/>
            </w:tcBorders>
            <w:vAlign w:val="center"/>
          </w:tcPr>
          <w:p w14:paraId="41256BBB">
            <w:pPr>
              <w:spacing w:line="240" w:lineRule="exact"/>
              <w:jc w:val="left"/>
              <w:rPr>
                <w:rFonts w:ascii="宋体"/>
                <w:b/>
                <w:kern w:val="0"/>
              </w:rPr>
            </w:pPr>
            <w:r>
              <w:rPr>
                <w:rFonts w:hint="eastAsia" w:ascii="宋体"/>
                <w:b/>
                <w:kern w:val="0"/>
              </w:rPr>
              <w:t>【法定幅度和种类】</w:t>
            </w:r>
            <w:r>
              <w:rPr>
                <w:rFonts w:hint="eastAsia" w:ascii="宋体"/>
                <w:kern w:val="0"/>
              </w:rPr>
              <w:t>海事管理机构应当责令改正，对违法船舶的所有人、经营人或者管理人处五万元以上五十万元以下的罚款，对船长、责任船员或者其他责任人员，处五千元以上五万元以下的罚款；情节严重的，责令停止作业或者航行，暂扣船长、责任船员的船员适任证书六个月至十二个月，直至吊销船员适任证书。</w:t>
            </w:r>
          </w:p>
        </w:tc>
      </w:tr>
      <w:tr w14:paraId="0A6F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883" w:type="dxa"/>
            <w:vMerge w:val="continue"/>
            <w:vAlign w:val="center"/>
          </w:tcPr>
          <w:p w14:paraId="5E0AC311">
            <w:pPr>
              <w:spacing w:line="240" w:lineRule="exact"/>
              <w:jc w:val="center"/>
              <w:rPr>
                <w:rFonts w:ascii="宋体"/>
                <w:b/>
                <w:kern w:val="0"/>
              </w:rPr>
            </w:pPr>
          </w:p>
        </w:tc>
        <w:tc>
          <w:tcPr>
            <w:tcW w:w="2148" w:type="dxa"/>
            <w:vAlign w:val="center"/>
          </w:tcPr>
          <w:p w14:paraId="0124A0D7">
            <w:pPr>
              <w:spacing w:line="240" w:lineRule="exact"/>
              <w:jc w:val="center"/>
              <w:rPr>
                <w:rFonts w:ascii="宋体"/>
                <w:b/>
                <w:kern w:val="0"/>
              </w:rPr>
            </w:pPr>
            <w:r>
              <w:rPr>
                <w:rFonts w:hint="eastAsia" w:ascii="宋体"/>
                <w:b/>
                <w:kern w:val="0"/>
              </w:rPr>
              <w:t>违反条款</w:t>
            </w:r>
          </w:p>
        </w:tc>
        <w:tc>
          <w:tcPr>
            <w:tcW w:w="2124" w:type="dxa"/>
            <w:vAlign w:val="center"/>
          </w:tcPr>
          <w:p w14:paraId="491C9698">
            <w:pPr>
              <w:spacing w:line="240" w:lineRule="exact"/>
              <w:jc w:val="center"/>
              <w:rPr>
                <w:rFonts w:ascii="宋体"/>
                <w:b/>
                <w:kern w:val="0"/>
              </w:rPr>
            </w:pPr>
            <w:r>
              <w:rPr>
                <w:rFonts w:hint="eastAsia" w:ascii="宋体"/>
                <w:b/>
                <w:kern w:val="0"/>
              </w:rPr>
              <w:t>处罚依据</w:t>
            </w:r>
          </w:p>
        </w:tc>
        <w:tc>
          <w:tcPr>
            <w:tcW w:w="1080" w:type="dxa"/>
            <w:vMerge w:val="continue"/>
            <w:vAlign w:val="center"/>
          </w:tcPr>
          <w:p w14:paraId="09BB634A">
            <w:pPr>
              <w:spacing w:line="240" w:lineRule="exact"/>
              <w:jc w:val="center"/>
              <w:rPr>
                <w:rFonts w:ascii="宋体"/>
                <w:b/>
                <w:kern w:val="0"/>
              </w:rPr>
            </w:pPr>
          </w:p>
        </w:tc>
        <w:tc>
          <w:tcPr>
            <w:tcW w:w="3284" w:type="dxa"/>
            <w:vMerge w:val="continue"/>
            <w:vAlign w:val="center"/>
          </w:tcPr>
          <w:p w14:paraId="6A42B1AF">
            <w:pPr>
              <w:spacing w:line="240" w:lineRule="exact"/>
              <w:jc w:val="center"/>
              <w:rPr>
                <w:rFonts w:ascii="宋体"/>
                <w:b/>
                <w:kern w:val="0"/>
              </w:rPr>
            </w:pPr>
          </w:p>
        </w:tc>
        <w:tc>
          <w:tcPr>
            <w:tcW w:w="4921" w:type="dxa"/>
            <w:tcBorders>
              <w:top w:val="single" w:color="auto" w:sz="4" w:space="0"/>
              <w:right w:val="single" w:color="auto" w:sz="4" w:space="0"/>
            </w:tcBorders>
            <w:vAlign w:val="center"/>
          </w:tcPr>
          <w:p w14:paraId="5436E1CA">
            <w:pPr>
              <w:spacing w:line="240" w:lineRule="exact"/>
              <w:jc w:val="center"/>
              <w:rPr>
                <w:rFonts w:ascii="宋体"/>
                <w:b/>
                <w:kern w:val="0"/>
              </w:rPr>
            </w:pPr>
            <w:r>
              <w:rPr>
                <w:rFonts w:hint="eastAsia" w:ascii="宋体"/>
                <w:b/>
                <w:kern w:val="0"/>
              </w:rPr>
              <w:t>【对象】船舶的所有人、经营人或者管理人</w:t>
            </w:r>
          </w:p>
        </w:tc>
        <w:tc>
          <w:tcPr>
            <w:tcW w:w="2650" w:type="dxa"/>
            <w:tcBorders>
              <w:top w:val="single" w:color="auto" w:sz="4" w:space="0"/>
              <w:left w:val="single" w:color="auto" w:sz="4" w:space="0"/>
              <w:right w:val="single" w:color="auto" w:sz="4" w:space="0"/>
            </w:tcBorders>
            <w:vAlign w:val="center"/>
          </w:tcPr>
          <w:p w14:paraId="0962D3D3">
            <w:pPr>
              <w:spacing w:line="240" w:lineRule="exact"/>
              <w:jc w:val="center"/>
              <w:rPr>
                <w:rFonts w:ascii="宋体"/>
                <w:b/>
                <w:kern w:val="0"/>
              </w:rPr>
            </w:pPr>
            <w:r>
              <w:rPr>
                <w:rFonts w:hint="eastAsia" w:ascii="宋体"/>
                <w:b/>
                <w:kern w:val="0"/>
              </w:rPr>
              <w:t>【对象】船长</w:t>
            </w:r>
          </w:p>
        </w:tc>
        <w:tc>
          <w:tcPr>
            <w:tcW w:w="2349" w:type="dxa"/>
            <w:tcBorders>
              <w:top w:val="single" w:color="auto" w:sz="4" w:space="0"/>
              <w:left w:val="single" w:color="auto" w:sz="4" w:space="0"/>
              <w:right w:val="single" w:color="auto" w:sz="4" w:space="0"/>
            </w:tcBorders>
            <w:vAlign w:val="center"/>
          </w:tcPr>
          <w:p w14:paraId="775297D1">
            <w:pPr>
              <w:spacing w:line="240" w:lineRule="exact"/>
              <w:jc w:val="center"/>
              <w:rPr>
                <w:rFonts w:ascii="宋体"/>
                <w:b/>
                <w:kern w:val="0"/>
              </w:rPr>
            </w:pPr>
            <w:r>
              <w:rPr>
                <w:rFonts w:hint="eastAsia" w:ascii="宋体"/>
                <w:b/>
                <w:kern w:val="0"/>
              </w:rPr>
              <w:t>【对象】责任船员或者其他责任人员</w:t>
            </w:r>
          </w:p>
        </w:tc>
      </w:tr>
      <w:tr w14:paraId="5522B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883" w:type="dxa"/>
            <w:vMerge w:val="restart"/>
            <w:vAlign w:val="center"/>
          </w:tcPr>
          <w:p w14:paraId="009FD911">
            <w:pPr>
              <w:widowControl/>
              <w:spacing w:line="240" w:lineRule="exact"/>
              <w:jc w:val="left"/>
              <w:rPr>
                <w:rFonts w:ascii="宋体"/>
                <w:kern w:val="0"/>
              </w:rPr>
            </w:pPr>
            <w:r>
              <w:rPr>
                <w:rFonts w:hint="eastAsia" w:ascii="宋体"/>
                <w:kern w:val="0"/>
              </w:rPr>
              <w:t>船舶违反有关强制性标准和安全作业操作规程的要求从事危险货物装卸、过驳作业</w:t>
            </w:r>
          </w:p>
        </w:tc>
        <w:tc>
          <w:tcPr>
            <w:tcW w:w="2148" w:type="dxa"/>
            <w:vMerge w:val="restart"/>
            <w:vAlign w:val="center"/>
          </w:tcPr>
          <w:p w14:paraId="4B61157D">
            <w:pPr>
              <w:widowControl/>
              <w:spacing w:line="240" w:lineRule="exact"/>
              <w:jc w:val="left"/>
              <w:rPr>
                <w:rFonts w:ascii="宋体"/>
                <w:kern w:val="0"/>
              </w:rPr>
            </w:pPr>
            <w:r>
              <w:rPr>
                <w:rFonts w:hint="eastAsia" w:ascii="宋体"/>
                <w:kern w:val="0"/>
              </w:rPr>
              <w:t>1.《中华人民共和国海上交通安全法》第六十五条；</w:t>
            </w:r>
          </w:p>
          <w:p w14:paraId="0A72C982">
            <w:pPr>
              <w:widowControl/>
              <w:spacing w:line="240" w:lineRule="exact"/>
              <w:jc w:val="left"/>
              <w:rPr>
                <w:rFonts w:ascii="宋体"/>
                <w:kern w:val="0"/>
              </w:rPr>
            </w:pPr>
            <w:r>
              <w:rPr>
                <w:rFonts w:hint="eastAsia" w:ascii="宋体"/>
                <w:kern w:val="0"/>
              </w:rPr>
              <w:t>2.其他法律、行政法规、规章以及强制性标准和安全作业操作规程。</w:t>
            </w:r>
          </w:p>
        </w:tc>
        <w:tc>
          <w:tcPr>
            <w:tcW w:w="2124" w:type="dxa"/>
            <w:vMerge w:val="restart"/>
            <w:vAlign w:val="center"/>
          </w:tcPr>
          <w:p w14:paraId="0CA5EFFF">
            <w:pPr>
              <w:widowControl/>
              <w:spacing w:line="240" w:lineRule="exact"/>
              <w:jc w:val="left"/>
              <w:rPr>
                <w:rFonts w:ascii="宋体"/>
                <w:kern w:val="0"/>
              </w:rPr>
            </w:pPr>
            <w:r>
              <w:rPr>
                <w:rFonts w:hint="eastAsia" w:ascii="宋体"/>
                <w:kern w:val="0"/>
              </w:rPr>
              <w:t>1.《中华人民共和国海上交通安全法》第一百零八条第（三）项、</w:t>
            </w:r>
            <w:r>
              <w:rPr>
                <w:rFonts w:hint="eastAsia" w:ascii="宋体"/>
              </w:rPr>
              <w:t>《中华人民共和国海上海事行政处罚规定》第三十条第（三）项。</w:t>
            </w:r>
            <w:r>
              <w:rPr>
                <w:rFonts w:hint="eastAsia" w:ascii="宋体"/>
                <w:kern w:val="0"/>
              </w:rPr>
              <w:t xml:space="preserve"> </w:t>
            </w:r>
          </w:p>
          <w:p w14:paraId="2E1528F2">
            <w:pPr>
              <w:widowControl/>
              <w:spacing w:line="240" w:lineRule="exact"/>
              <w:jc w:val="left"/>
              <w:rPr>
                <w:rFonts w:ascii="宋体"/>
                <w:kern w:val="0"/>
              </w:rPr>
            </w:pPr>
            <w:r>
              <w:rPr>
                <w:rFonts w:hint="eastAsia" w:ascii="宋体"/>
                <w:kern w:val="0"/>
              </w:rPr>
              <w:t>2. 《中华人民共和国海上海事行政处罚规定》第七条。</w:t>
            </w:r>
          </w:p>
        </w:tc>
        <w:tc>
          <w:tcPr>
            <w:tcW w:w="1080" w:type="dxa"/>
            <w:vAlign w:val="center"/>
          </w:tcPr>
          <w:p w14:paraId="4CDAC964">
            <w:pPr>
              <w:widowControl/>
              <w:spacing w:line="240" w:lineRule="exact"/>
              <w:jc w:val="center"/>
              <w:rPr>
                <w:rFonts w:ascii="宋体"/>
                <w:kern w:val="0"/>
              </w:rPr>
            </w:pPr>
            <w:r>
              <w:rPr>
                <w:rFonts w:hint="eastAsia" w:ascii="宋体"/>
                <w:kern w:val="0"/>
              </w:rPr>
              <w:t>从轻</w:t>
            </w:r>
          </w:p>
        </w:tc>
        <w:tc>
          <w:tcPr>
            <w:tcW w:w="3284" w:type="dxa"/>
            <w:tcBorders>
              <w:bottom w:val="single" w:color="auto" w:sz="4" w:space="0"/>
              <w:right w:val="single" w:color="auto" w:sz="4" w:space="0"/>
            </w:tcBorders>
            <w:vAlign w:val="center"/>
          </w:tcPr>
          <w:p w14:paraId="0F633235">
            <w:pPr>
              <w:widowControl/>
              <w:spacing w:line="240" w:lineRule="exact"/>
              <w:jc w:val="left"/>
              <w:rPr>
                <w:rFonts w:ascii="宋体"/>
                <w:kern w:val="0"/>
              </w:rPr>
            </w:pPr>
            <w:r>
              <w:rPr>
                <w:rFonts w:hint="eastAsia" w:ascii="宋体"/>
                <w:kern w:val="0"/>
              </w:rPr>
              <w:t>具有法定从轻处罚情节的</w:t>
            </w:r>
          </w:p>
        </w:tc>
        <w:tc>
          <w:tcPr>
            <w:tcW w:w="4921" w:type="dxa"/>
            <w:tcBorders>
              <w:left w:val="single" w:color="auto" w:sz="4" w:space="0"/>
              <w:bottom w:val="single" w:color="auto" w:sz="4" w:space="0"/>
              <w:right w:val="single" w:color="auto" w:sz="4" w:space="0"/>
            </w:tcBorders>
            <w:vAlign w:val="center"/>
          </w:tcPr>
          <w:p w14:paraId="3E17985A">
            <w:pPr>
              <w:widowControl/>
              <w:spacing w:line="240" w:lineRule="exact"/>
              <w:jc w:val="center"/>
              <w:rPr>
                <w:rFonts w:ascii="宋体"/>
                <w:kern w:val="0"/>
              </w:rPr>
            </w:pPr>
            <w:r>
              <w:rPr>
                <w:rFonts w:hint="eastAsia" w:ascii="宋体"/>
                <w:kern w:val="0"/>
              </w:rPr>
              <w:t>5-6万元</w:t>
            </w:r>
          </w:p>
        </w:tc>
        <w:tc>
          <w:tcPr>
            <w:tcW w:w="2650" w:type="dxa"/>
            <w:tcBorders>
              <w:left w:val="single" w:color="auto" w:sz="4" w:space="0"/>
              <w:bottom w:val="single" w:color="auto" w:sz="4" w:space="0"/>
              <w:right w:val="single" w:color="auto" w:sz="4" w:space="0"/>
            </w:tcBorders>
            <w:vAlign w:val="center"/>
          </w:tcPr>
          <w:p w14:paraId="43D2E9A6">
            <w:pPr>
              <w:widowControl/>
              <w:spacing w:line="240" w:lineRule="exact"/>
              <w:jc w:val="center"/>
              <w:rPr>
                <w:rFonts w:ascii="宋体"/>
                <w:kern w:val="0"/>
              </w:rPr>
            </w:pPr>
            <w:r>
              <w:rPr>
                <w:rFonts w:hint="eastAsia" w:ascii="宋体"/>
                <w:kern w:val="0"/>
              </w:rPr>
              <w:t>5000元-1万元</w:t>
            </w:r>
          </w:p>
        </w:tc>
        <w:tc>
          <w:tcPr>
            <w:tcW w:w="2349" w:type="dxa"/>
            <w:tcBorders>
              <w:left w:val="single" w:color="auto" w:sz="4" w:space="0"/>
              <w:bottom w:val="single" w:color="auto" w:sz="4" w:space="0"/>
              <w:right w:val="single" w:color="auto" w:sz="4" w:space="0"/>
            </w:tcBorders>
            <w:vAlign w:val="center"/>
          </w:tcPr>
          <w:p w14:paraId="33185092">
            <w:pPr>
              <w:widowControl/>
              <w:spacing w:line="240" w:lineRule="exact"/>
              <w:jc w:val="center"/>
              <w:rPr>
                <w:rFonts w:ascii="宋体"/>
                <w:kern w:val="0"/>
              </w:rPr>
            </w:pPr>
            <w:r>
              <w:rPr>
                <w:rFonts w:hint="eastAsia" w:ascii="宋体"/>
                <w:kern w:val="0"/>
              </w:rPr>
              <w:t>5000元-1万元</w:t>
            </w:r>
          </w:p>
        </w:tc>
      </w:tr>
      <w:tr w14:paraId="45DC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883" w:type="dxa"/>
            <w:vMerge w:val="continue"/>
            <w:vAlign w:val="center"/>
          </w:tcPr>
          <w:p w14:paraId="1B28A510">
            <w:pPr>
              <w:widowControl/>
              <w:spacing w:line="240" w:lineRule="exact"/>
              <w:jc w:val="left"/>
              <w:rPr>
                <w:rFonts w:ascii="宋体"/>
                <w:kern w:val="0"/>
              </w:rPr>
            </w:pPr>
          </w:p>
        </w:tc>
        <w:tc>
          <w:tcPr>
            <w:tcW w:w="2148" w:type="dxa"/>
            <w:vMerge w:val="continue"/>
            <w:vAlign w:val="center"/>
          </w:tcPr>
          <w:p w14:paraId="279679A9">
            <w:pPr>
              <w:widowControl/>
              <w:spacing w:line="240" w:lineRule="exact"/>
              <w:jc w:val="left"/>
              <w:rPr>
                <w:rFonts w:ascii="宋体"/>
                <w:kern w:val="0"/>
              </w:rPr>
            </w:pPr>
          </w:p>
        </w:tc>
        <w:tc>
          <w:tcPr>
            <w:tcW w:w="2124" w:type="dxa"/>
            <w:vMerge w:val="continue"/>
            <w:vAlign w:val="center"/>
          </w:tcPr>
          <w:p w14:paraId="0B63E3B3">
            <w:pPr>
              <w:widowControl/>
              <w:spacing w:line="240" w:lineRule="exact"/>
              <w:jc w:val="left"/>
              <w:rPr>
                <w:rFonts w:ascii="宋体"/>
                <w:kern w:val="0"/>
              </w:rPr>
            </w:pPr>
          </w:p>
        </w:tc>
        <w:tc>
          <w:tcPr>
            <w:tcW w:w="1080" w:type="dxa"/>
            <w:vMerge w:val="restart"/>
            <w:vAlign w:val="center"/>
          </w:tcPr>
          <w:p w14:paraId="35D870A0">
            <w:pPr>
              <w:widowControl/>
              <w:spacing w:line="240" w:lineRule="exact"/>
              <w:jc w:val="center"/>
              <w:rPr>
                <w:rFonts w:ascii="宋体"/>
                <w:kern w:val="0"/>
              </w:rPr>
            </w:pPr>
            <w:r>
              <w:rPr>
                <w:rFonts w:hint="eastAsia" w:ascii="宋体"/>
                <w:kern w:val="0"/>
              </w:rPr>
              <w:t>一般</w:t>
            </w:r>
          </w:p>
        </w:tc>
        <w:tc>
          <w:tcPr>
            <w:tcW w:w="3284" w:type="dxa"/>
            <w:tcBorders>
              <w:bottom w:val="single" w:color="auto" w:sz="4" w:space="0"/>
              <w:right w:val="single" w:color="auto" w:sz="4" w:space="0"/>
            </w:tcBorders>
            <w:vAlign w:val="center"/>
          </w:tcPr>
          <w:p w14:paraId="77CF0928">
            <w:pPr>
              <w:widowControl/>
              <w:spacing w:line="240" w:lineRule="exact"/>
              <w:jc w:val="left"/>
              <w:rPr>
                <w:rFonts w:ascii="宋体"/>
                <w:kern w:val="0"/>
              </w:rPr>
            </w:pPr>
            <w:r>
              <w:rPr>
                <w:rFonts w:hint="eastAsia" w:ascii="宋体"/>
                <w:kern w:val="0"/>
              </w:rPr>
              <w:t>所装卸或过驳的货物不属于高危险性货物（爆炸品、放射性物质、感染性物质）、剧毒品、5类危险品或者4类应温控物质，且未发生事故的；</w:t>
            </w:r>
          </w:p>
        </w:tc>
        <w:tc>
          <w:tcPr>
            <w:tcW w:w="4921" w:type="dxa"/>
            <w:tcBorders>
              <w:left w:val="single" w:color="auto" w:sz="4" w:space="0"/>
              <w:bottom w:val="single" w:color="auto" w:sz="4" w:space="0"/>
              <w:right w:val="single" w:color="auto" w:sz="4" w:space="0"/>
            </w:tcBorders>
            <w:vAlign w:val="center"/>
          </w:tcPr>
          <w:p w14:paraId="0BE3833C">
            <w:pPr>
              <w:widowControl/>
              <w:spacing w:line="240" w:lineRule="exact"/>
              <w:jc w:val="center"/>
              <w:rPr>
                <w:rFonts w:ascii="宋体"/>
                <w:kern w:val="0"/>
              </w:rPr>
            </w:pPr>
            <w:r>
              <w:rPr>
                <w:rFonts w:hint="eastAsia" w:ascii="宋体"/>
                <w:kern w:val="0"/>
              </w:rPr>
              <w:t>6-15万元</w:t>
            </w:r>
          </w:p>
        </w:tc>
        <w:tc>
          <w:tcPr>
            <w:tcW w:w="2650" w:type="dxa"/>
            <w:tcBorders>
              <w:left w:val="single" w:color="auto" w:sz="4" w:space="0"/>
              <w:bottom w:val="single" w:color="auto" w:sz="4" w:space="0"/>
              <w:right w:val="single" w:color="auto" w:sz="4" w:space="0"/>
            </w:tcBorders>
            <w:vAlign w:val="center"/>
          </w:tcPr>
          <w:p w14:paraId="755837CF">
            <w:pPr>
              <w:widowControl/>
              <w:spacing w:line="240" w:lineRule="exact"/>
              <w:jc w:val="center"/>
              <w:rPr>
                <w:rFonts w:ascii="宋体"/>
                <w:kern w:val="0"/>
              </w:rPr>
            </w:pPr>
            <w:r>
              <w:rPr>
                <w:rFonts w:hint="eastAsia" w:ascii="宋体"/>
                <w:kern w:val="0"/>
              </w:rPr>
              <w:t>1-3万元</w:t>
            </w:r>
          </w:p>
        </w:tc>
        <w:tc>
          <w:tcPr>
            <w:tcW w:w="2349" w:type="dxa"/>
            <w:tcBorders>
              <w:left w:val="single" w:color="auto" w:sz="4" w:space="0"/>
              <w:bottom w:val="single" w:color="auto" w:sz="4" w:space="0"/>
              <w:right w:val="single" w:color="auto" w:sz="4" w:space="0"/>
            </w:tcBorders>
            <w:vAlign w:val="center"/>
          </w:tcPr>
          <w:p w14:paraId="6724ADC3">
            <w:pPr>
              <w:widowControl/>
              <w:spacing w:line="240" w:lineRule="exact"/>
              <w:jc w:val="center"/>
              <w:rPr>
                <w:rFonts w:ascii="宋体"/>
                <w:kern w:val="0"/>
              </w:rPr>
            </w:pPr>
            <w:r>
              <w:rPr>
                <w:rFonts w:hint="eastAsia" w:ascii="宋体"/>
                <w:kern w:val="0"/>
              </w:rPr>
              <w:t>1-2.5万元</w:t>
            </w:r>
          </w:p>
        </w:tc>
      </w:tr>
      <w:tr w14:paraId="4BDC7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5" w:hRule="atLeast"/>
        </w:trPr>
        <w:tc>
          <w:tcPr>
            <w:tcW w:w="883" w:type="dxa"/>
            <w:vMerge w:val="continue"/>
            <w:vAlign w:val="center"/>
          </w:tcPr>
          <w:p w14:paraId="392A564B">
            <w:pPr>
              <w:widowControl/>
              <w:spacing w:line="240" w:lineRule="exact"/>
              <w:jc w:val="left"/>
              <w:rPr>
                <w:rFonts w:ascii="宋体"/>
                <w:kern w:val="0"/>
              </w:rPr>
            </w:pPr>
          </w:p>
        </w:tc>
        <w:tc>
          <w:tcPr>
            <w:tcW w:w="2148" w:type="dxa"/>
            <w:vMerge w:val="continue"/>
            <w:vAlign w:val="center"/>
          </w:tcPr>
          <w:p w14:paraId="202B65D7">
            <w:pPr>
              <w:widowControl/>
              <w:spacing w:line="240" w:lineRule="exact"/>
              <w:jc w:val="left"/>
              <w:rPr>
                <w:rFonts w:ascii="宋体"/>
                <w:kern w:val="0"/>
              </w:rPr>
            </w:pPr>
          </w:p>
        </w:tc>
        <w:tc>
          <w:tcPr>
            <w:tcW w:w="2124" w:type="dxa"/>
            <w:vMerge w:val="continue"/>
            <w:vAlign w:val="center"/>
          </w:tcPr>
          <w:p w14:paraId="5E388DCE">
            <w:pPr>
              <w:widowControl/>
              <w:spacing w:line="240" w:lineRule="exact"/>
              <w:jc w:val="left"/>
              <w:rPr>
                <w:rFonts w:ascii="宋体"/>
                <w:kern w:val="0"/>
              </w:rPr>
            </w:pPr>
          </w:p>
        </w:tc>
        <w:tc>
          <w:tcPr>
            <w:tcW w:w="1080" w:type="dxa"/>
            <w:vMerge w:val="continue"/>
            <w:vAlign w:val="center"/>
          </w:tcPr>
          <w:p w14:paraId="62C8AD91">
            <w:pPr>
              <w:spacing w:line="240" w:lineRule="exact"/>
              <w:jc w:val="center"/>
              <w:rPr>
                <w:rFonts w:ascii="宋体"/>
                <w:kern w:val="0"/>
              </w:rPr>
            </w:pPr>
          </w:p>
        </w:tc>
        <w:tc>
          <w:tcPr>
            <w:tcW w:w="3284" w:type="dxa"/>
            <w:tcBorders>
              <w:bottom w:val="single" w:color="auto" w:sz="4" w:space="0"/>
              <w:right w:val="single" w:color="auto" w:sz="4" w:space="0"/>
            </w:tcBorders>
            <w:vAlign w:val="center"/>
          </w:tcPr>
          <w:p w14:paraId="172093CA">
            <w:pPr>
              <w:widowControl/>
              <w:spacing w:line="240" w:lineRule="exact"/>
              <w:jc w:val="left"/>
              <w:rPr>
                <w:rFonts w:ascii="宋体"/>
                <w:kern w:val="0"/>
              </w:rPr>
            </w:pPr>
            <w:r>
              <w:rPr>
                <w:rFonts w:hint="eastAsia" w:ascii="宋体"/>
                <w:kern w:val="0"/>
              </w:rPr>
              <w:t>所装卸或过驳的货物属于高危险性货物（爆炸品、放射性物质、感染性物质）、剧毒品、5类危险品或者4类应温控物质，且未发生事故的；</w:t>
            </w:r>
          </w:p>
        </w:tc>
        <w:tc>
          <w:tcPr>
            <w:tcW w:w="4921" w:type="dxa"/>
            <w:tcBorders>
              <w:left w:val="single" w:color="auto" w:sz="4" w:space="0"/>
              <w:bottom w:val="single" w:color="auto" w:sz="4" w:space="0"/>
              <w:right w:val="single" w:color="auto" w:sz="4" w:space="0"/>
            </w:tcBorders>
            <w:vAlign w:val="center"/>
          </w:tcPr>
          <w:p w14:paraId="1200D029">
            <w:pPr>
              <w:widowControl/>
              <w:spacing w:line="240" w:lineRule="exact"/>
              <w:jc w:val="center"/>
              <w:rPr>
                <w:rFonts w:ascii="宋体"/>
                <w:kern w:val="0"/>
              </w:rPr>
            </w:pPr>
            <w:r>
              <w:rPr>
                <w:rFonts w:hint="eastAsia" w:ascii="宋体"/>
                <w:kern w:val="0"/>
              </w:rPr>
              <w:t>8-20万元</w:t>
            </w:r>
          </w:p>
        </w:tc>
        <w:tc>
          <w:tcPr>
            <w:tcW w:w="2650" w:type="dxa"/>
            <w:tcBorders>
              <w:left w:val="single" w:color="auto" w:sz="4" w:space="0"/>
              <w:bottom w:val="single" w:color="auto" w:sz="4" w:space="0"/>
              <w:right w:val="single" w:color="auto" w:sz="4" w:space="0"/>
            </w:tcBorders>
            <w:vAlign w:val="center"/>
          </w:tcPr>
          <w:p w14:paraId="518CDC1D">
            <w:pPr>
              <w:widowControl/>
              <w:spacing w:line="240" w:lineRule="exact"/>
              <w:jc w:val="center"/>
              <w:rPr>
                <w:rFonts w:ascii="宋体"/>
                <w:kern w:val="0"/>
              </w:rPr>
            </w:pPr>
            <w:r>
              <w:rPr>
                <w:rFonts w:hint="eastAsia" w:ascii="宋体"/>
                <w:kern w:val="0"/>
              </w:rPr>
              <w:t>3-5万元</w:t>
            </w:r>
          </w:p>
        </w:tc>
        <w:tc>
          <w:tcPr>
            <w:tcW w:w="2349" w:type="dxa"/>
            <w:tcBorders>
              <w:left w:val="single" w:color="auto" w:sz="4" w:space="0"/>
              <w:bottom w:val="single" w:color="auto" w:sz="4" w:space="0"/>
              <w:right w:val="single" w:color="auto" w:sz="4" w:space="0"/>
            </w:tcBorders>
            <w:vAlign w:val="center"/>
          </w:tcPr>
          <w:p w14:paraId="509CE83B">
            <w:pPr>
              <w:widowControl/>
              <w:spacing w:line="240" w:lineRule="exact"/>
              <w:jc w:val="center"/>
              <w:rPr>
                <w:rFonts w:ascii="宋体"/>
                <w:kern w:val="0"/>
              </w:rPr>
            </w:pPr>
            <w:r>
              <w:rPr>
                <w:rFonts w:hint="eastAsia" w:ascii="宋体"/>
                <w:kern w:val="0"/>
              </w:rPr>
              <w:t>2.5-5万元</w:t>
            </w:r>
          </w:p>
        </w:tc>
      </w:tr>
      <w:tr w14:paraId="02F76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883" w:type="dxa"/>
            <w:vMerge w:val="continue"/>
            <w:vAlign w:val="center"/>
          </w:tcPr>
          <w:p w14:paraId="0CFC55AF">
            <w:pPr>
              <w:widowControl/>
              <w:spacing w:line="240" w:lineRule="exact"/>
              <w:jc w:val="left"/>
              <w:rPr>
                <w:rFonts w:ascii="宋体"/>
                <w:kern w:val="0"/>
              </w:rPr>
            </w:pPr>
          </w:p>
        </w:tc>
        <w:tc>
          <w:tcPr>
            <w:tcW w:w="2148" w:type="dxa"/>
            <w:vMerge w:val="continue"/>
            <w:vAlign w:val="center"/>
          </w:tcPr>
          <w:p w14:paraId="39BE3615">
            <w:pPr>
              <w:widowControl/>
              <w:spacing w:line="240" w:lineRule="exact"/>
              <w:jc w:val="left"/>
              <w:rPr>
                <w:rFonts w:ascii="宋体"/>
                <w:kern w:val="0"/>
              </w:rPr>
            </w:pPr>
          </w:p>
        </w:tc>
        <w:tc>
          <w:tcPr>
            <w:tcW w:w="2124" w:type="dxa"/>
            <w:vMerge w:val="continue"/>
            <w:vAlign w:val="center"/>
          </w:tcPr>
          <w:p w14:paraId="72B28FA0">
            <w:pPr>
              <w:widowControl/>
              <w:spacing w:line="240" w:lineRule="exact"/>
              <w:jc w:val="left"/>
              <w:rPr>
                <w:rFonts w:ascii="宋体"/>
                <w:kern w:val="0"/>
              </w:rPr>
            </w:pPr>
          </w:p>
        </w:tc>
        <w:tc>
          <w:tcPr>
            <w:tcW w:w="1080" w:type="dxa"/>
            <w:vMerge w:val="continue"/>
            <w:vAlign w:val="center"/>
          </w:tcPr>
          <w:p w14:paraId="5D99A2E8">
            <w:pPr>
              <w:spacing w:line="240" w:lineRule="exact"/>
              <w:jc w:val="center"/>
              <w:rPr>
                <w:rFonts w:ascii="宋体"/>
                <w:kern w:val="0"/>
              </w:rPr>
            </w:pPr>
          </w:p>
        </w:tc>
        <w:tc>
          <w:tcPr>
            <w:tcW w:w="3284" w:type="dxa"/>
            <w:tcBorders>
              <w:bottom w:val="single" w:color="auto" w:sz="4" w:space="0"/>
              <w:right w:val="single" w:color="auto" w:sz="4" w:space="0"/>
            </w:tcBorders>
            <w:vAlign w:val="center"/>
          </w:tcPr>
          <w:p w14:paraId="5B5CADC4">
            <w:pPr>
              <w:widowControl/>
              <w:spacing w:line="240" w:lineRule="exact"/>
              <w:jc w:val="left"/>
              <w:rPr>
                <w:rFonts w:ascii="宋体"/>
                <w:kern w:val="0"/>
              </w:rPr>
            </w:pPr>
            <w:r>
              <w:rPr>
                <w:rFonts w:hint="eastAsia" w:ascii="宋体"/>
                <w:kern w:val="0"/>
              </w:rPr>
              <w:t>具有其他较重情节的</w:t>
            </w:r>
          </w:p>
        </w:tc>
        <w:tc>
          <w:tcPr>
            <w:tcW w:w="4921" w:type="dxa"/>
            <w:tcBorders>
              <w:left w:val="single" w:color="auto" w:sz="4" w:space="0"/>
              <w:bottom w:val="single" w:color="auto" w:sz="4" w:space="0"/>
              <w:right w:val="single" w:color="auto" w:sz="4" w:space="0"/>
            </w:tcBorders>
            <w:vAlign w:val="center"/>
          </w:tcPr>
          <w:p w14:paraId="24BAF6A9">
            <w:pPr>
              <w:widowControl/>
              <w:spacing w:line="240" w:lineRule="exact"/>
              <w:jc w:val="center"/>
              <w:rPr>
                <w:rFonts w:ascii="宋体"/>
                <w:kern w:val="0"/>
              </w:rPr>
            </w:pPr>
            <w:r>
              <w:rPr>
                <w:rFonts w:hint="eastAsia" w:ascii="宋体"/>
                <w:kern w:val="0"/>
              </w:rPr>
              <w:t>10-30万元</w:t>
            </w:r>
          </w:p>
        </w:tc>
        <w:tc>
          <w:tcPr>
            <w:tcW w:w="2650" w:type="dxa"/>
            <w:tcBorders>
              <w:left w:val="single" w:color="auto" w:sz="4" w:space="0"/>
              <w:bottom w:val="single" w:color="auto" w:sz="4" w:space="0"/>
              <w:right w:val="single" w:color="auto" w:sz="4" w:space="0"/>
            </w:tcBorders>
            <w:vAlign w:val="center"/>
          </w:tcPr>
          <w:p w14:paraId="66D867AC">
            <w:pPr>
              <w:widowControl/>
              <w:spacing w:line="240" w:lineRule="exact"/>
              <w:jc w:val="center"/>
              <w:rPr>
                <w:rFonts w:ascii="宋体"/>
                <w:kern w:val="0"/>
              </w:rPr>
            </w:pPr>
            <w:r>
              <w:rPr>
                <w:rFonts w:hint="eastAsia" w:ascii="宋体"/>
                <w:kern w:val="0"/>
              </w:rPr>
              <w:t>3-5万元</w:t>
            </w:r>
          </w:p>
        </w:tc>
        <w:tc>
          <w:tcPr>
            <w:tcW w:w="2349" w:type="dxa"/>
            <w:tcBorders>
              <w:left w:val="single" w:color="auto" w:sz="4" w:space="0"/>
              <w:bottom w:val="single" w:color="auto" w:sz="4" w:space="0"/>
              <w:right w:val="single" w:color="auto" w:sz="4" w:space="0"/>
            </w:tcBorders>
            <w:vAlign w:val="center"/>
          </w:tcPr>
          <w:p w14:paraId="2E7A44A9">
            <w:pPr>
              <w:widowControl/>
              <w:spacing w:line="240" w:lineRule="exact"/>
              <w:jc w:val="center"/>
              <w:rPr>
                <w:rFonts w:ascii="宋体"/>
                <w:kern w:val="0"/>
              </w:rPr>
            </w:pPr>
            <w:r>
              <w:rPr>
                <w:rFonts w:hint="eastAsia" w:ascii="宋体"/>
                <w:kern w:val="0"/>
              </w:rPr>
              <w:t>2.5-5万元</w:t>
            </w:r>
          </w:p>
        </w:tc>
      </w:tr>
      <w:tr w14:paraId="5706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883" w:type="dxa"/>
            <w:vMerge w:val="continue"/>
            <w:vAlign w:val="center"/>
          </w:tcPr>
          <w:p w14:paraId="35DEF66A">
            <w:pPr>
              <w:widowControl/>
              <w:spacing w:line="240" w:lineRule="exact"/>
              <w:jc w:val="left"/>
              <w:rPr>
                <w:rFonts w:ascii="宋体"/>
                <w:kern w:val="0"/>
              </w:rPr>
            </w:pPr>
          </w:p>
        </w:tc>
        <w:tc>
          <w:tcPr>
            <w:tcW w:w="2148" w:type="dxa"/>
            <w:vMerge w:val="continue"/>
            <w:vAlign w:val="center"/>
          </w:tcPr>
          <w:p w14:paraId="4B4C4460">
            <w:pPr>
              <w:widowControl/>
              <w:spacing w:line="240" w:lineRule="exact"/>
              <w:jc w:val="left"/>
              <w:rPr>
                <w:rFonts w:ascii="宋体"/>
                <w:kern w:val="0"/>
              </w:rPr>
            </w:pPr>
          </w:p>
        </w:tc>
        <w:tc>
          <w:tcPr>
            <w:tcW w:w="2124" w:type="dxa"/>
            <w:vMerge w:val="continue"/>
            <w:vAlign w:val="center"/>
          </w:tcPr>
          <w:p w14:paraId="55CAEAFB">
            <w:pPr>
              <w:widowControl/>
              <w:spacing w:line="240" w:lineRule="exact"/>
              <w:jc w:val="left"/>
              <w:rPr>
                <w:rFonts w:ascii="宋体"/>
                <w:kern w:val="0"/>
              </w:rPr>
            </w:pPr>
          </w:p>
        </w:tc>
        <w:tc>
          <w:tcPr>
            <w:tcW w:w="1080" w:type="dxa"/>
            <w:vMerge w:val="restart"/>
            <w:vAlign w:val="center"/>
          </w:tcPr>
          <w:p w14:paraId="2DA49ED0">
            <w:pPr>
              <w:widowControl/>
              <w:spacing w:line="240" w:lineRule="exact"/>
              <w:jc w:val="center"/>
              <w:rPr>
                <w:rFonts w:ascii="宋体"/>
                <w:kern w:val="0"/>
              </w:rPr>
            </w:pPr>
            <w:r>
              <w:rPr>
                <w:rFonts w:hint="eastAsia" w:ascii="宋体"/>
                <w:kern w:val="0"/>
              </w:rPr>
              <w:t>情节严重</w:t>
            </w:r>
          </w:p>
        </w:tc>
        <w:tc>
          <w:tcPr>
            <w:tcW w:w="3284" w:type="dxa"/>
            <w:tcBorders>
              <w:top w:val="single" w:color="auto" w:sz="4" w:space="0"/>
              <w:bottom w:val="single" w:color="auto" w:sz="4" w:space="0"/>
              <w:right w:val="single" w:color="auto" w:sz="4" w:space="0"/>
            </w:tcBorders>
            <w:vAlign w:val="center"/>
          </w:tcPr>
          <w:p w14:paraId="5E1133B6">
            <w:pPr>
              <w:widowControl/>
              <w:spacing w:line="240" w:lineRule="exact"/>
              <w:jc w:val="left"/>
              <w:rPr>
                <w:rFonts w:ascii="宋体"/>
                <w:kern w:val="0"/>
              </w:rPr>
            </w:pPr>
            <w:r>
              <w:rPr>
                <w:rFonts w:hint="eastAsia" w:ascii="宋体"/>
                <w:kern w:val="0"/>
              </w:rPr>
              <w:t>发生一般等级事故的</w:t>
            </w:r>
          </w:p>
        </w:tc>
        <w:tc>
          <w:tcPr>
            <w:tcW w:w="4921" w:type="dxa"/>
            <w:tcBorders>
              <w:top w:val="single" w:color="auto" w:sz="4" w:space="0"/>
              <w:left w:val="single" w:color="auto" w:sz="4" w:space="0"/>
              <w:bottom w:val="single" w:color="auto" w:sz="4" w:space="0"/>
              <w:right w:val="single" w:color="auto" w:sz="4" w:space="0"/>
            </w:tcBorders>
            <w:vAlign w:val="center"/>
          </w:tcPr>
          <w:p w14:paraId="63979408">
            <w:pPr>
              <w:widowControl/>
              <w:spacing w:line="240" w:lineRule="exact"/>
              <w:jc w:val="center"/>
              <w:rPr>
                <w:rFonts w:ascii="宋体"/>
                <w:kern w:val="0"/>
              </w:rPr>
            </w:pPr>
            <w:r>
              <w:rPr>
                <w:rFonts w:hint="eastAsia" w:ascii="宋体"/>
                <w:kern w:val="0"/>
              </w:rPr>
              <w:t>30-40万元</w:t>
            </w:r>
          </w:p>
        </w:tc>
        <w:tc>
          <w:tcPr>
            <w:tcW w:w="2650" w:type="dxa"/>
            <w:tcBorders>
              <w:top w:val="single" w:color="auto" w:sz="4" w:space="0"/>
              <w:left w:val="single" w:color="auto" w:sz="4" w:space="0"/>
              <w:bottom w:val="single" w:color="auto" w:sz="4" w:space="0"/>
              <w:right w:val="single" w:color="auto" w:sz="4" w:space="0"/>
            </w:tcBorders>
            <w:vAlign w:val="center"/>
          </w:tcPr>
          <w:p w14:paraId="0C3D2A4D">
            <w:pPr>
              <w:widowControl/>
              <w:spacing w:line="240" w:lineRule="exact"/>
              <w:jc w:val="center"/>
              <w:rPr>
                <w:rFonts w:ascii="宋体"/>
                <w:kern w:val="0"/>
              </w:rPr>
            </w:pPr>
            <w:r>
              <w:rPr>
                <w:rFonts w:hint="eastAsia" w:ascii="宋体"/>
                <w:kern w:val="0"/>
              </w:rPr>
              <w:t>暂扣适任证书6个月至12个月</w:t>
            </w:r>
          </w:p>
        </w:tc>
        <w:tc>
          <w:tcPr>
            <w:tcW w:w="2349" w:type="dxa"/>
            <w:tcBorders>
              <w:top w:val="single" w:color="auto" w:sz="4" w:space="0"/>
              <w:left w:val="single" w:color="auto" w:sz="4" w:space="0"/>
              <w:bottom w:val="single" w:color="auto" w:sz="4" w:space="0"/>
              <w:right w:val="single" w:color="auto" w:sz="4" w:space="0"/>
            </w:tcBorders>
            <w:vAlign w:val="center"/>
          </w:tcPr>
          <w:p w14:paraId="3DB8FFD4">
            <w:pPr>
              <w:widowControl/>
              <w:spacing w:line="240" w:lineRule="exact"/>
              <w:jc w:val="center"/>
              <w:rPr>
                <w:rFonts w:ascii="宋体"/>
                <w:kern w:val="0"/>
              </w:rPr>
            </w:pPr>
            <w:r>
              <w:rPr>
                <w:rFonts w:hint="eastAsia" w:ascii="宋体"/>
                <w:kern w:val="0"/>
              </w:rPr>
              <w:t>暂扣适任证书6个月至12个月</w:t>
            </w:r>
          </w:p>
        </w:tc>
      </w:tr>
      <w:tr w14:paraId="14FF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trPr>
        <w:tc>
          <w:tcPr>
            <w:tcW w:w="883" w:type="dxa"/>
            <w:vMerge w:val="continue"/>
            <w:vAlign w:val="center"/>
          </w:tcPr>
          <w:p w14:paraId="195367DE">
            <w:pPr>
              <w:widowControl/>
              <w:spacing w:line="240" w:lineRule="exact"/>
              <w:jc w:val="left"/>
              <w:rPr>
                <w:rFonts w:ascii="宋体"/>
                <w:kern w:val="0"/>
              </w:rPr>
            </w:pPr>
          </w:p>
        </w:tc>
        <w:tc>
          <w:tcPr>
            <w:tcW w:w="2148" w:type="dxa"/>
            <w:vMerge w:val="continue"/>
            <w:vAlign w:val="center"/>
          </w:tcPr>
          <w:p w14:paraId="36E73B03">
            <w:pPr>
              <w:widowControl/>
              <w:spacing w:line="240" w:lineRule="exact"/>
              <w:jc w:val="left"/>
              <w:rPr>
                <w:rFonts w:ascii="宋体"/>
                <w:kern w:val="0"/>
              </w:rPr>
            </w:pPr>
          </w:p>
        </w:tc>
        <w:tc>
          <w:tcPr>
            <w:tcW w:w="2124" w:type="dxa"/>
            <w:vMerge w:val="continue"/>
            <w:vAlign w:val="center"/>
          </w:tcPr>
          <w:p w14:paraId="29F5B4BA">
            <w:pPr>
              <w:widowControl/>
              <w:spacing w:line="240" w:lineRule="exact"/>
              <w:jc w:val="left"/>
              <w:rPr>
                <w:rFonts w:ascii="宋体"/>
                <w:kern w:val="0"/>
              </w:rPr>
            </w:pPr>
          </w:p>
        </w:tc>
        <w:tc>
          <w:tcPr>
            <w:tcW w:w="1080" w:type="dxa"/>
            <w:vMerge w:val="continue"/>
            <w:vAlign w:val="center"/>
          </w:tcPr>
          <w:p w14:paraId="7D09127C">
            <w:pPr>
              <w:widowControl/>
              <w:spacing w:line="240" w:lineRule="exact"/>
              <w:jc w:val="center"/>
              <w:rPr>
                <w:rFonts w:ascii="宋体"/>
                <w:kern w:val="0"/>
              </w:rPr>
            </w:pPr>
          </w:p>
        </w:tc>
        <w:tc>
          <w:tcPr>
            <w:tcW w:w="3284" w:type="dxa"/>
            <w:tcBorders>
              <w:top w:val="single" w:color="auto" w:sz="4" w:space="0"/>
              <w:right w:val="single" w:color="auto" w:sz="4" w:space="0"/>
            </w:tcBorders>
            <w:vAlign w:val="center"/>
          </w:tcPr>
          <w:p w14:paraId="3D90A5AC">
            <w:pPr>
              <w:widowControl/>
              <w:spacing w:line="240" w:lineRule="exact"/>
              <w:jc w:val="left"/>
              <w:rPr>
                <w:rFonts w:ascii="宋体"/>
                <w:kern w:val="0"/>
              </w:rPr>
            </w:pPr>
            <w:r>
              <w:rPr>
                <w:rFonts w:hint="eastAsia" w:ascii="宋体"/>
                <w:kern w:val="0"/>
              </w:rPr>
              <w:t>1.发生较大等级以上事故的；</w:t>
            </w:r>
          </w:p>
          <w:p w14:paraId="4362BB83">
            <w:pPr>
              <w:widowControl/>
              <w:spacing w:line="240" w:lineRule="exact"/>
              <w:jc w:val="left"/>
              <w:rPr>
                <w:rFonts w:ascii="宋体"/>
                <w:kern w:val="0"/>
              </w:rPr>
            </w:pPr>
            <w:r>
              <w:rPr>
                <w:rFonts w:hint="eastAsia" w:ascii="宋体"/>
                <w:kern w:val="0"/>
              </w:rPr>
              <w:t>2.具有其他严重情节的。</w:t>
            </w:r>
          </w:p>
        </w:tc>
        <w:tc>
          <w:tcPr>
            <w:tcW w:w="4921" w:type="dxa"/>
            <w:tcBorders>
              <w:top w:val="single" w:color="auto" w:sz="4" w:space="0"/>
              <w:left w:val="single" w:color="auto" w:sz="4" w:space="0"/>
              <w:right w:val="single" w:color="auto" w:sz="4" w:space="0"/>
            </w:tcBorders>
            <w:vAlign w:val="center"/>
          </w:tcPr>
          <w:p w14:paraId="578F0DCE">
            <w:pPr>
              <w:spacing w:line="240" w:lineRule="exact"/>
              <w:jc w:val="center"/>
              <w:rPr>
                <w:rFonts w:ascii="宋体"/>
                <w:kern w:val="0"/>
              </w:rPr>
            </w:pPr>
            <w:r>
              <w:rPr>
                <w:rFonts w:hint="eastAsia" w:ascii="宋体"/>
                <w:kern w:val="0"/>
              </w:rPr>
              <w:t>40-50万元</w:t>
            </w:r>
          </w:p>
        </w:tc>
        <w:tc>
          <w:tcPr>
            <w:tcW w:w="2650" w:type="dxa"/>
            <w:tcBorders>
              <w:top w:val="single" w:color="auto" w:sz="4" w:space="0"/>
              <w:left w:val="single" w:color="auto" w:sz="4" w:space="0"/>
              <w:right w:val="single" w:color="auto" w:sz="4" w:space="0"/>
            </w:tcBorders>
            <w:vAlign w:val="center"/>
          </w:tcPr>
          <w:p w14:paraId="7A9138A6">
            <w:pPr>
              <w:spacing w:line="240" w:lineRule="exact"/>
              <w:jc w:val="center"/>
              <w:rPr>
                <w:rFonts w:ascii="宋体"/>
                <w:kern w:val="0"/>
              </w:rPr>
            </w:pPr>
            <w:r>
              <w:rPr>
                <w:rFonts w:hint="eastAsia" w:ascii="宋体"/>
                <w:kern w:val="0"/>
              </w:rPr>
              <w:t>暂扣适任证书9个月至12个月，直至吊销适任证书</w:t>
            </w:r>
          </w:p>
        </w:tc>
        <w:tc>
          <w:tcPr>
            <w:tcW w:w="2349" w:type="dxa"/>
            <w:tcBorders>
              <w:top w:val="single" w:color="auto" w:sz="4" w:space="0"/>
              <w:left w:val="single" w:color="auto" w:sz="4" w:space="0"/>
              <w:right w:val="single" w:color="auto" w:sz="4" w:space="0"/>
            </w:tcBorders>
            <w:vAlign w:val="center"/>
          </w:tcPr>
          <w:p w14:paraId="40515689">
            <w:pPr>
              <w:spacing w:line="240" w:lineRule="exact"/>
              <w:jc w:val="center"/>
              <w:rPr>
                <w:rFonts w:ascii="宋体"/>
                <w:kern w:val="0"/>
              </w:rPr>
            </w:pPr>
            <w:r>
              <w:rPr>
                <w:rFonts w:hint="eastAsia" w:ascii="宋体"/>
                <w:kern w:val="0"/>
              </w:rPr>
              <w:t>暂扣适任证书9个月至12个月，直至吊销适任证书</w:t>
            </w:r>
          </w:p>
        </w:tc>
      </w:tr>
    </w:tbl>
    <w:p w14:paraId="17034D25">
      <w:pPr>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2247"/>
        <w:gridCol w:w="2148"/>
        <w:gridCol w:w="1155"/>
        <w:gridCol w:w="6213"/>
        <w:gridCol w:w="7369"/>
      </w:tblGrid>
      <w:tr w14:paraId="2522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99" w:type="dxa"/>
            <w:vMerge w:val="restart"/>
            <w:vAlign w:val="center"/>
          </w:tcPr>
          <w:p w14:paraId="4BBD9024">
            <w:pPr>
              <w:spacing w:line="240" w:lineRule="exact"/>
              <w:jc w:val="center"/>
              <w:rPr>
                <w:rFonts w:ascii="宋体"/>
                <w:b/>
                <w:kern w:val="0"/>
              </w:rPr>
            </w:pPr>
            <w:r>
              <w:rPr>
                <w:rFonts w:hint="eastAsia" w:ascii="宋体"/>
                <w:b/>
                <w:kern w:val="0"/>
              </w:rPr>
              <w:t>案由</w:t>
            </w:r>
            <w:r>
              <w:rPr>
                <w:rFonts w:hint="eastAsia" w:ascii="宋体"/>
                <w:b/>
                <w:bCs/>
                <w:kern w:val="0"/>
              </w:rPr>
              <w:t>70</w:t>
            </w:r>
          </w:p>
        </w:tc>
        <w:tc>
          <w:tcPr>
            <w:tcW w:w="4395" w:type="dxa"/>
            <w:gridSpan w:val="2"/>
            <w:vAlign w:val="center"/>
          </w:tcPr>
          <w:p w14:paraId="015F35A2">
            <w:pPr>
              <w:spacing w:line="240" w:lineRule="exact"/>
              <w:jc w:val="center"/>
              <w:rPr>
                <w:rFonts w:ascii="宋体"/>
                <w:b/>
                <w:kern w:val="0"/>
              </w:rPr>
            </w:pPr>
            <w:r>
              <w:rPr>
                <w:rFonts w:hint="eastAsia" w:ascii="宋体"/>
                <w:b/>
                <w:kern w:val="0"/>
              </w:rPr>
              <w:t>法律依据</w:t>
            </w:r>
          </w:p>
        </w:tc>
        <w:tc>
          <w:tcPr>
            <w:tcW w:w="1155" w:type="dxa"/>
            <w:vMerge w:val="restart"/>
            <w:vAlign w:val="center"/>
          </w:tcPr>
          <w:p w14:paraId="02F5CF3A">
            <w:pPr>
              <w:spacing w:line="240" w:lineRule="exact"/>
              <w:jc w:val="center"/>
              <w:rPr>
                <w:rFonts w:ascii="宋体"/>
                <w:b/>
                <w:kern w:val="0"/>
              </w:rPr>
            </w:pPr>
            <w:r>
              <w:rPr>
                <w:rFonts w:hint="eastAsia" w:ascii="宋体"/>
                <w:b/>
                <w:kern w:val="0"/>
              </w:rPr>
              <w:t>违法情节</w:t>
            </w:r>
          </w:p>
        </w:tc>
        <w:tc>
          <w:tcPr>
            <w:tcW w:w="6213" w:type="dxa"/>
            <w:vMerge w:val="restart"/>
            <w:vAlign w:val="center"/>
          </w:tcPr>
          <w:p w14:paraId="2EE0F643">
            <w:pPr>
              <w:spacing w:line="240" w:lineRule="exact"/>
              <w:jc w:val="center"/>
              <w:rPr>
                <w:rFonts w:ascii="宋体"/>
                <w:b/>
                <w:kern w:val="0"/>
              </w:rPr>
            </w:pPr>
            <w:r>
              <w:rPr>
                <w:rFonts w:hint="eastAsia" w:ascii="宋体"/>
                <w:b/>
                <w:kern w:val="0"/>
              </w:rPr>
              <w:t>主要考虑因素（事实、性质、情节、危害程度和实际后果等）</w:t>
            </w:r>
          </w:p>
        </w:tc>
        <w:tc>
          <w:tcPr>
            <w:tcW w:w="7369" w:type="dxa"/>
            <w:tcBorders>
              <w:right w:val="single" w:color="auto" w:sz="4" w:space="0"/>
            </w:tcBorders>
            <w:vAlign w:val="center"/>
          </w:tcPr>
          <w:p w14:paraId="70CFE913">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14:paraId="190C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99" w:type="dxa"/>
            <w:vMerge w:val="continue"/>
            <w:vAlign w:val="center"/>
          </w:tcPr>
          <w:p w14:paraId="60A9E8C2">
            <w:pPr>
              <w:spacing w:line="240" w:lineRule="exact"/>
              <w:jc w:val="center"/>
              <w:rPr>
                <w:rFonts w:ascii="宋体"/>
                <w:b/>
                <w:kern w:val="0"/>
              </w:rPr>
            </w:pPr>
          </w:p>
        </w:tc>
        <w:tc>
          <w:tcPr>
            <w:tcW w:w="2247" w:type="dxa"/>
            <w:vAlign w:val="center"/>
          </w:tcPr>
          <w:p w14:paraId="34E9E79B">
            <w:pPr>
              <w:spacing w:line="240" w:lineRule="exact"/>
              <w:jc w:val="center"/>
              <w:rPr>
                <w:rFonts w:ascii="宋体"/>
                <w:b/>
                <w:kern w:val="0"/>
              </w:rPr>
            </w:pPr>
            <w:r>
              <w:rPr>
                <w:rFonts w:hint="eastAsia" w:ascii="宋体"/>
                <w:b/>
                <w:kern w:val="0"/>
              </w:rPr>
              <w:t>违反条款</w:t>
            </w:r>
          </w:p>
        </w:tc>
        <w:tc>
          <w:tcPr>
            <w:tcW w:w="2148" w:type="dxa"/>
            <w:vAlign w:val="center"/>
          </w:tcPr>
          <w:p w14:paraId="126D371E">
            <w:pPr>
              <w:spacing w:line="240" w:lineRule="exact"/>
              <w:jc w:val="center"/>
              <w:rPr>
                <w:rFonts w:ascii="宋体"/>
                <w:b/>
                <w:kern w:val="0"/>
              </w:rPr>
            </w:pPr>
            <w:r>
              <w:rPr>
                <w:rFonts w:hint="eastAsia" w:ascii="宋体"/>
                <w:b/>
                <w:kern w:val="0"/>
              </w:rPr>
              <w:t>处罚依据</w:t>
            </w:r>
          </w:p>
        </w:tc>
        <w:tc>
          <w:tcPr>
            <w:tcW w:w="1155" w:type="dxa"/>
            <w:vMerge w:val="continue"/>
            <w:vAlign w:val="center"/>
          </w:tcPr>
          <w:p w14:paraId="4686AC7D">
            <w:pPr>
              <w:spacing w:line="240" w:lineRule="exact"/>
              <w:jc w:val="center"/>
              <w:rPr>
                <w:rFonts w:ascii="宋体"/>
                <w:b/>
                <w:kern w:val="0"/>
              </w:rPr>
            </w:pPr>
          </w:p>
        </w:tc>
        <w:tc>
          <w:tcPr>
            <w:tcW w:w="6213" w:type="dxa"/>
            <w:vMerge w:val="continue"/>
            <w:tcBorders>
              <w:bottom w:val="single" w:color="auto" w:sz="4" w:space="0"/>
            </w:tcBorders>
            <w:vAlign w:val="center"/>
          </w:tcPr>
          <w:p w14:paraId="0B6DF3C4">
            <w:pPr>
              <w:spacing w:line="240" w:lineRule="exact"/>
              <w:jc w:val="center"/>
              <w:rPr>
                <w:rFonts w:ascii="宋体"/>
                <w:b/>
                <w:kern w:val="0"/>
              </w:rPr>
            </w:pPr>
          </w:p>
        </w:tc>
        <w:tc>
          <w:tcPr>
            <w:tcW w:w="7369" w:type="dxa"/>
            <w:tcBorders>
              <w:top w:val="single" w:color="auto" w:sz="4" w:space="0"/>
              <w:bottom w:val="single" w:color="auto" w:sz="4" w:space="0"/>
              <w:right w:val="single" w:color="auto" w:sz="4" w:space="0"/>
            </w:tcBorders>
            <w:vAlign w:val="center"/>
          </w:tcPr>
          <w:p w14:paraId="22E01C7E">
            <w:pPr>
              <w:spacing w:line="240" w:lineRule="exact"/>
              <w:jc w:val="center"/>
              <w:rPr>
                <w:rFonts w:ascii="宋体"/>
                <w:b/>
                <w:kern w:val="0"/>
              </w:rPr>
            </w:pPr>
            <w:r>
              <w:rPr>
                <w:rFonts w:hint="eastAsia" w:ascii="宋体"/>
                <w:b/>
                <w:kern w:val="0"/>
              </w:rPr>
              <w:t>【对象】托运人</w:t>
            </w:r>
          </w:p>
        </w:tc>
      </w:tr>
      <w:tr w14:paraId="35014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099" w:type="dxa"/>
            <w:vMerge w:val="restart"/>
            <w:vAlign w:val="center"/>
          </w:tcPr>
          <w:p w14:paraId="10A35DE4">
            <w:pPr>
              <w:widowControl/>
              <w:spacing w:line="240" w:lineRule="exact"/>
              <w:jc w:val="left"/>
              <w:rPr>
                <w:rFonts w:ascii="宋体"/>
                <w:kern w:val="0"/>
              </w:rPr>
            </w:pPr>
            <w:r>
              <w:rPr>
                <w:rFonts w:hint="eastAsia" w:ascii="宋体"/>
                <w:kern w:val="0"/>
              </w:rPr>
              <w:t xml:space="preserve">托运人未将托运的危险货物的正式名称、危险性质以及应当采取的防护措施通知承运人 </w:t>
            </w:r>
          </w:p>
        </w:tc>
        <w:tc>
          <w:tcPr>
            <w:tcW w:w="2247" w:type="dxa"/>
            <w:vMerge w:val="restart"/>
            <w:vAlign w:val="center"/>
          </w:tcPr>
          <w:p w14:paraId="3022B76C">
            <w:pPr>
              <w:widowControl/>
              <w:spacing w:line="240" w:lineRule="exact"/>
              <w:jc w:val="left"/>
              <w:rPr>
                <w:rFonts w:ascii="宋体"/>
                <w:kern w:val="0"/>
              </w:rPr>
            </w:pPr>
            <w:r>
              <w:rPr>
                <w:rFonts w:hint="eastAsia" w:ascii="宋体"/>
                <w:kern w:val="0"/>
              </w:rPr>
              <w:t>1.《中华人民共和国海上交通安全法》第六十三条第一款。</w:t>
            </w:r>
          </w:p>
        </w:tc>
        <w:tc>
          <w:tcPr>
            <w:tcW w:w="2148" w:type="dxa"/>
            <w:vMerge w:val="restart"/>
            <w:vAlign w:val="center"/>
          </w:tcPr>
          <w:p w14:paraId="1FDB8FF2">
            <w:pPr>
              <w:widowControl/>
              <w:spacing w:line="240" w:lineRule="exact"/>
              <w:jc w:val="left"/>
              <w:rPr>
                <w:rFonts w:ascii="宋体"/>
                <w:kern w:val="0"/>
              </w:rPr>
            </w:pPr>
            <w:r>
              <w:rPr>
                <w:rFonts w:hint="eastAsia" w:ascii="宋体"/>
                <w:kern w:val="0"/>
              </w:rPr>
              <w:t>1.《中华人民共和国海上交通安全法》第一百零九条第（一）项、</w:t>
            </w:r>
            <w:r>
              <w:rPr>
                <w:rFonts w:hint="eastAsia" w:ascii="宋体"/>
              </w:rPr>
              <w:t>《中华人民共和国海上海事行政处罚规定》第三十一条第（一）项。</w:t>
            </w:r>
            <w:r>
              <w:rPr>
                <w:rFonts w:hint="eastAsia" w:ascii="宋体"/>
                <w:kern w:val="0"/>
              </w:rPr>
              <w:t xml:space="preserve"> </w:t>
            </w:r>
          </w:p>
          <w:p w14:paraId="30AA4A6E">
            <w:pPr>
              <w:widowControl/>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14:paraId="70F9046D">
            <w:pPr>
              <w:widowControl/>
              <w:spacing w:line="240" w:lineRule="exact"/>
              <w:jc w:val="center"/>
              <w:rPr>
                <w:rFonts w:ascii="宋体"/>
                <w:kern w:val="0"/>
              </w:rPr>
            </w:pPr>
            <w:r>
              <w:rPr>
                <w:rFonts w:hint="eastAsia" w:ascii="宋体"/>
                <w:kern w:val="0"/>
              </w:rPr>
              <w:t>从轻</w:t>
            </w:r>
          </w:p>
        </w:tc>
        <w:tc>
          <w:tcPr>
            <w:tcW w:w="6213" w:type="dxa"/>
            <w:tcBorders>
              <w:bottom w:val="single" w:color="auto" w:sz="4" w:space="0"/>
              <w:right w:val="single" w:color="auto" w:sz="4" w:space="0"/>
            </w:tcBorders>
            <w:vAlign w:val="center"/>
          </w:tcPr>
          <w:p w14:paraId="02D3906F">
            <w:pPr>
              <w:widowControl/>
              <w:spacing w:line="240" w:lineRule="exact"/>
              <w:jc w:val="left"/>
              <w:rPr>
                <w:rFonts w:ascii="宋体"/>
                <w:kern w:val="0"/>
              </w:rPr>
            </w:pPr>
            <w:r>
              <w:rPr>
                <w:rFonts w:hint="eastAsia" w:ascii="宋体"/>
                <w:kern w:val="0"/>
              </w:rPr>
              <w:t>具有法定从轻处罚情节的</w:t>
            </w:r>
          </w:p>
        </w:tc>
        <w:tc>
          <w:tcPr>
            <w:tcW w:w="7369" w:type="dxa"/>
            <w:tcBorders>
              <w:left w:val="single" w:color="auto" w:sz="4" w:space="0"/>
              <w:bottom w:val="single" w:color="auto" w:sz="4" w:space="0"/>
              <w:right w:val="single" w:color="auto" w:sz="4" w:space="0"/>
            </w:tcBorders>
            <w:vAlign w:val="center"/>
          </w:tcPr>
          <w:p w14:paraId="3FCF12F9">
            <w:pPr>
              <w:widowControl/>
              <w:spacing w:line="240" w:lineRule="exact"/>
              <w:jc w:val="center"/>
              <w:rPr>
                <w:rFonts w:ascii="宋体"/>
                <w:kern w:val="0"/>
              </w:rPr>
            </w:pPr>
            <w:r>
              <w:rPr>
                <w:rFonts w:hint="eastAsia" w:ascii="宋体"/>
                <w:kern w:val="0"/>
              </w:rPr>
              <w:t>5-6万元</w:t>
            </w:r>
          </w:p>
        </w:tc>
      </w:tr>
      <w:tr w14:paraId="1E0D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099" w:type="dxa"/>
            <w:vMerge w:val="continue"/>
            <w:vAlign w:val="center"/>
          </w:tcPr>
          <w:p w14:paraId="1982CA62">
            <w:pPr>
              <w:widowControl/>
              <w:spacing w:line="240" w:lineRule="exact"/>
              <w:jc w:val="left"/>
              <w:rPr>
                <w:rFonts w:ascii="宋体"/>
                <w:kern w:val="0"/>
              </w:rPr>
            </w:pPr>
          </w:p>
        </w:tc>
        <w:tc>
          <w:tcPr>
            <w:tcW w:w="2247" w:type="dxa"/>
            <w:vMerge w:val="continue"/>
            <w:vAlign w:val="center"/>
          </w:tcPr>
          <w:p w14:paraId="19FA8E57">
            <w:pPr>
              <w:widowControl/>
              <w:spacing w:line="240" w:lineRule="exact"/>
              <w:jc w:val="left"/>
              <w:rPr>
                <w:rFonts w:ascii="宋体"/>
                <w:kern w:val="0"/>
              </w:rPr>
            </w:pPr>
          </w:p>
        </w:tc>
        <w:tc>
          <w:tcPr>
            <w:tcW w:w="2148" w:type="dxa"/>
            <w:vMerge w:val="continue"/>
            <w:vAlign w:val="center"/>
          </w:tcPr>
          <w:p w14:paraId="4157D6A1">
            <w:pPr>
              <w:widowControl/>
              <w:spacing w:line="240" w:lineRule="exact"/>
              <w:jc w:val="left"/>
              <w:rPr>
                <w:rFonts w:ascii="宋体"/>
                <w:kern w:val="0"/>
              </w:rPr>
            </w:pPr>
          </w:p>
        </w:tc>
        <w:tc>
          <w:tcPr>
            <w:tcW w:w="1155" w:type="dxa"/>
            <w:vMerge w:val="restart"/>
            <w:vAlign w:val="center"/>
          </w:tcPr>
          <w:p w14:paraId="5DE8775E">
            <w:pPr>
              <w:widowControl/>
              <w:spacing w:line="240" w:lineRule="exact"/>
              <w:jc w:val="center"/>
              <w:rPr>
                <w:rFonts w:ascii="宋体"/>
                <w:kern w:val="0"/>
              </w:rPr>
            </w:pPr>
            <w:r>
              <w:rPr>
                <w:rFonts w:hint="eastAsia" w:ascii="宋体"/>
                <w:kern w:val="0"/>
              </w:rPr>
              <w:t>一般</w:t>
            </w:r>
          </w:p>
        </w:tc>
        <w:tc>
          <w:tcPr>
            <w:tcW w:w="6213" w:type="dxa"/>
            <w:tcBorders>
              <w:bottom w:val="single" w:color="auto" w:sz="4" w:space="0"/>
              <w:right w:val="single" w:color="auto" w:sz="4" w:space="0"/>
            </w:tcBorders>
            <w:vAlign w:val="center"/>
          </w:tcPr>
          <w:p w14:paraId="5CC6D134">
            <w:pPr>
              <w:widowControl/>
              <w:spacing w:line="240" w:lineRule="exact"/>
              <w:jc w:val="left"/>
              <w:rPr>
                <w:rFonts w:ascii="宋体"/>
                <w:kern w:val="0"/>
              </w:rPr>
            </w:pPr>
            <w:r>
              <w:rPr>
                <w:rFonts w:hint="eastAsia" w:ascii="宋体"/>
                <w:kern w:val="0"/>
              </w:rPr>
              <w:t>1.涉及品种1个；</w:t>
            </w:r>
          </w:p>
          <w:p w14:paraId="0B41B50A">
            <w:pPr>
              <w:widowControl/>
              <w:spacing w:line="240" w:lineRule="exact"/>
              <w:jc w:val="left"/>
              <w:rPr>
                <w:rFonts w:ascii="宋体"/>
                <w:kern w:val="0"/>
              </w:rPr>
            </w:pPr>
            <w:r>
              <w:rPr>
                <w:rFonts w:hint="eastAsia" w:ascii="宋体"/>
                <w:kern w:val="0"/>
              </w:rPr>
              <w:t>2.涉及集装箱数1～5TEU的，或涉及散装货物不足500吨的。</w:t>
            </w:r>
          </w:p>
        </w:tc>
        <w:tc>
          <w:tcPr>
            <w:tcW w:w="7369" w:type="dxa"/>
            <w:tcBorders>
              <w:left w:val="single" w:color="auto" w:sz="4" w:space="0"/>
              <w:bottom w:val="single" w:color="auto" w:sz="4" w:space="0"/>
              <w:right w:val="single" w:color="auto" w:sz="4" w:space="0"/>
            </w:tcBorders>
            <w:vAlign w:val="center"/>
          </w:tcPr>
          <w:p w14:paraId="7B60EBBF">
            <w:pPr>
              <w:widowControl/>
              <w:spacing w:line="240" w:lineRule="exact"/>
              <w:jc w:val="center"/>
              <w:rPr>
                <w:rFonts w:ascii="宋体"/>
                <w:kern w:val="0"/>
              </w:rPr>
            </w:pPr>
            <w:r>
              <w:rPr>
                <w:rFonts w:hint="eastAsia" w:ascii="宋体"/>
                <w:kern w:val="0"/>
              </w:rPr>
              <w:t>6-8万元</w:t>
            </w:r>
          </w:p>
        </w:tc>
      </w:tr>
      <w:tr w14:paraId="749B3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1099" w:type="dxa"/>
            <w:vMerge w:val="continue"/>
            <w:vAlign w:val="center"/>
          </w:tcPr>
          <w:p w14:paraId="3DA2ABBE">
            <w:pPr>
              <w:widowControl/>
              <w:spacing w:line="240" w:lineRule="exact"/>
              <w:jc w:val="left"/>
              <w:rPr>
                <w:rFonts w:ascii="宋体"/>
                <w:kern w:val="0"/>
              </w:rPr>
            </w:pPr>
          </w:p>
        </w:tc>
        <w:tc>
          <w:tcPr>
            <w:tcW w:w="2247" w:type="dxa"/>
            <w:vMerge w:val="continue"/>
            <w:vAlign w:val="center"/>
          </w:tcPr>
          <w:p w14:paraId="73FE92D7">
            <w:pPr>
              <w:widowControl/>
              <w:spacing w:line="240" w:lineRule="exact"/>
              <w:jc w:val="left"/>
              <w:rPr>
                <w:rFonts w:ascii="宋体"/>
                <w:kern w:val="0"/>
              </w:rPr>
            </w:pPr>
          </w:p>
        </w:tc>
        <w:tc>
          <w:tcPr>
            <w:tcW w:w="2148" w:type="dxa"/>
            <w:vMerge w:val="continue"/>
            <w:vAlign w:val="center"/>
          </w:tcPr>
          <w:p w14:paraId="65476548">
            <w:pPr>
              <w:widowControl/>
              <w:spacing w:line="240" w:lineRule="exact"/>
              <w:jc w:val="left"/>
              <w:rPr>
                <w:rFonts w:ascii="宋体"/>
                <w:kern w:val="0"/>
              </w:rPr>
            </w:pPr>
          </w:p>
        </w:tc>
        <w:tc>
          <w:tcPr>
            <w:tcW w:w="1155" w:type="dxa"/>
            <w:vMerge w:val="continue"/>
            <w:vAlign w:val="center"/>
          </w:tcPr>
          <w:p w14:paraId="31E0A88C">
            <w:pPr>
              <w:spacing w:line="240" w:lineRule="exact"/>
              <w:jc w:val="center"/>
              <w:rPr>
                <w:rFonts w:ascii="宋体"/>
                <w:kern w:val="0"/>
              </w:rPr>
            </w:pPr>
          </w:p>
        </w:tc>
        <w:tc>
          <w:tcPr>
            <w:tcW w:w="6213" w:type="dxa"/>
            <w:tcBorders>
              <w:bottom w:val="single" w:color="auto" w:sz="4" w:space="0"/>
              <w:right w:val="single" w:color="auto" w:sz="4" w:space="0"/>
            </w:tcBorders>
            <w:vAlign w:val="center"/>
          </w:tcPr>
          <w:p w14:paraId="78329931">
            <w:pPr>
              <w:widowControl/>
              <w:spacing w:line="240" w:lineRule="exact"/>
              <w:jc w:val="left"/>
              <w:rPr>
                <w:rFonts w:ascii="宋体"/>
                <w:kern w:val="0"/>
              </w:rPr>
            </w:pPr>
            <w:r>
              <w:rPr>
                <w:rFonts w:hint="eastAsia" w:ascii="宋体"/>
                <w:kern w:val="0"/>
              </w:rPr>
              <w:t>1.涉及品种2个以上；</w:t>
            </w:r>
          </w:p>
          <w:p w14:paraId="76444628">
            <w:pPr>
              <w:widowControl/>
              <w:spacing w:line="240" w:lineRule="exact"/>
              <w:jc w:val="left"/>
              <w:rPr>
                <w:rFonts w:ascii="宋体"/>
                <w:kern w:val="0"/>
              </w:rPr>
            </w:pPr>
            <w:r>
              <w:rPr>
                <w:rFonts w:hint="eastAsia" w:ascii="宋体"/>
                <w:kern w:val="0"/>
              </w:rPr>
              <w:t>2.涉及集装箱数6～10TEU的，或涉及散装货物500～1000吨。</w:t>
            </w:r>
          </w:p>
        </w:tc>
        <w:tc>
          <w:tcPr>
            <w:tcW w:w="7369" w:type="dxa"/>
            <w:tcBorders>
              <w:left w:val="single" w:color="auto" w:sz="4" w:space="0"/>
              <w:bottom w:val="single" w:color="auto" w:sz="4" w:space="0"/>
              <w:right w:val="single" w:color="auto" w:sz="4" w:space="0"/>
            </w:tcBorders>
            <w:vAlign w:val="center"/>
          </w:tcPr>
          <w:p w14:paraId="47BBA524">
            <w:pPr>
              <w:widowControl/>
              <w:spacing w:line="240" w:lineRule="exact"/>
              <w:jc w:val="center"/>
              <w:rPr>
                <w:rFonts w:ascii="宋体"/>
                <w:kern w:val="0"/>
              </w:rPr>
            </w:pPr>
            <w:r>
              <w:rPr>
                <w:rFonts w:hint="eastAsia" w:ascii="宋体"/>
                <w:kern w:val="0"/>
              </w:rPr>
              <w:t>8-10万元</w:t>
            </w:r>
          </w:p>
        </w:tc>
      </w:tr>
      <w:tr w14:paraId="67225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1099" w:type="dxa"/>
            <w:vMerge w:val="continue"/>
            <w:vAlign w:val="center"/>
          </w:tcPr>
          <w:p w14:paraId="2A9CADC2">
            <w:pPr>
              <w:widowControl/>
              <w:spacing w:line="240" w:lineRule="exact"/>
              <w:jc w:val="left"/>
              <w:rPr>
                <w:rFonts w:ascii="宋体"/>
                <w:kern w:val="0"/>
              </w:rPr>
            </w:pPr>
          </w:p>
        </w:tc>
        <w:tc>
          <w:tcPr>
            <w:tcW w:w="2247" w:type="dxa"/>
            <w:vMerge w:val="continue"/>
            <w:vAlign w:val="center"/>
          </w:tcPr>
          <w:p w14:paraId="6BD02041">
            <w:pPr>
              <w:widowControl/>
              <w:spacing w:line="240" w:lineRule="exact"/>
              <w:jc w:val="left"/>
              <w:rPr>
                <w:rFonts w:ascii="宋体"/>
                <w:kern w:val="0"/>
              </w:rPr>
            </w:pPr>
          </w:p>
        </w:tc>
        <w:tc>
          <w:tcPr>
            <w:tcW w:w="2148" w:type="dxa"/>
            <w:vMerge w:val="continue"/>
            <w:vAlign w:val="center"/>
          </w:tcPr>
          <w:p w14:paraId="74EDD40E">
            <w:pPr>
              <w:widowControl/>
              <w:spacing w:line="240" w:lineRule="exact"/>
              <w:jc w:val="left"/>
              <w:rPr>
                <w:rFonts w:ascii="宋体"/>
                <w:kern w:val="0"/>
              </w:rPr>
            </w:pPr>
          </w:p>
        </w:tc>
        <w:tc>
          <w:tcPr>
            <w:tcW w:w="1155" w:type="dxa"/>
            <w:vMerge w:val="continue"/>
            <w:vAlign w:val="center"/>
          </w:tcPr>
          <w:p w14:paraId="096019F0">
            <w:pPr>
              <w:widowControl/>
              <w:spacing w:line="240" w:lineRule="exact"/>
              <w:jc w:val="center"/>
              <w:rPr>
                <w:rFonts w:ascii="宋体"/>
                <w:kern w:val="0"/>
              </w:rPr>
            </w:pPr>
          </w:p>
        </w:tc>
        <w:tc>
          <w:tcPr>
            <w:tcW w:w="6213" w:type="dxa"/>
            <w:tcBorders>
              <w:top w:val="single" w:color="auto" w:sz="4" w:space="0"/>
              <w:bottom w:val="single" w:color="auto" w:sz="4" w:space="0"/>
              <w:right w:val="single" w:color="auto" w:sz="4" w:space="0"/>
            </w:tcBorders>
            <w:vAlign w:val="center"/>
          </w:tcPr>
          <w:p w14:paraId="6965471E">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14:paraId="35478A0C">
            <w:pPr>
              <w:widowControl/>
              <w:spacing w:line="240" w:lineRule="exact"/>
              <w:jc w:val="left"/>
              <w:rPr>
                <w:rFonts w:ascii="宋体"/>
                <w:kern w:val="0"/>
              </w:rPr>
            </w:pPr>
            <w:r>
              <w:rPr>
                <w:rFonts w:hint="eastAsia" w:ascii="宋体"/>
                <w:kern w:val="0"/>
              </w:rPr>
              <w:t>2.涉及集装箱数11TEU及以上的，或涉及散装货物超过1000吨的；</w:t>
            </w:r>
          </w:p>
          <w:p w14:paraId="261B8B22">
            <w:pPr>
              <w:widowControl/>
              <w:spacing w:line="240" w:lineRule="exact"/>
              <w:jc w:val="left"/>
              <w:rPr>
                <w:rFonts w:ascii="宋体"/>
                <w:kern w:val="0"/>
              </w:rPr>
            </w:pPr>
            <w:r>
              <w:rPr>
                <w:rFonts w:hint="eastAsia" w:ascii="宋体"/>
                <w:kern w:val="0"/>
              </w:rPr>
              <w:t>3.发生险情的；</w:t>
            </w:r>
          </w:p>
        </w:tc>
        <w:tc>
          <w:tcPr>
            <w:tcW w:w="7369" w:type="dxa"/>
            <w:tcBorders>
              <w:top w:val="single" w:color="auto" w:sz="4" w:space="0"/>
              <w:left w:val="single" w:color="auto" w:sz="4" w:space="0"/>
              <w:bottom w:val="single" w:color="auto" w:sz="4" w:space="0"/>
              <w:right w:val="single" w:color="auto" w:sz="4" w:space="0"/>
            </w:tcBorders>
            <w:vAlign w:val="center"/>
          </w:tcPr>
          <w:p w14:paraId="19B2D5F6">
            <w:pPr>
              <w:widowControl/>
              <w:spacing w:line="240" w:lineRule="exact"/>
              <w:jc w:val="center"/>
              <w:rPr>
                <w:rFonts w:ascii="宋体"/>
                <w:kern w:val="0"/>
              </w:rPr>
            </w:pPr>
            <w:r>
              <w:rPr>
                <w:rFonts w:hint="eastAsia" w:ascii="宋体"/>
                <w:kern w:val="0"/>
              </w:rPr>
              <w:t xml:space="preserve">10-20万元 </w:t>
            </w:r>
          </w:p>
        </w:tc>
      </w:tr>
      <w:tr w14:paraId="2F976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1099" w:type="dxa"/>
            <w:vMerge w:val="continue"/>
            <w:vAlign w:val="center"/>
          </w:tcPr>
          <w:p w14:paraId="417F5D60">
            <w:pPr>
              <w:widowControl/>
              <w:spacing w:line="240" w:lineRule="exact"/>
              <w:jc w:val="left"/>
              <w:rPr>
                <w:rFonts w:ascii="宋体"/>
                <w:kern w:val="0"/>
              </w:rPr>
            </w:pPr>
          </w:p>
        </w:tc>
        <w:tc>
          <w:tcPr>
            <w:tcW w:w="2247" w:type="dxa"/>
            <w:vMerge w:val="continue"/>
            <w:vAlign w:val="center"/>
          </w:tcPr>
          <w:p w14:paraId="226BAB55">
            <w:pPr>
              <w:widowControl/>
              <w:spacing w:line="240" w:lineRule="exact"/>
              <w:jc w:val="left"/>
              <w:rPr>
                <w:rFonts w:ascii="宋体"/>
                <w:kern w:val="0"/>
              </w:rPr>
            </w:pPr>
          </w:p>
        </w:tc>
        <w:tc>
          <w:tcPr>
            <w:tcW w:w="2148" w:type="dxa"/>
            <w:vMerge w:val="continue"/>
            <w:vAlign w:val="center"/>
          </w:tcPr>
          <w:p w14:paraId="67D46E7C">
            <w:pPr>
              <w:widowControl/>
              <w:spacing w:line="240" w:lineRule="exact"/>
              <w:jc w:val="left"/>
              <w:rPr>
                <w:rFonts w:ascii="宋体"/>
                <w:kern w:val="0"/>
              </w:rPr>
            </w:pPr>
          </w:p>
        </w:tc>
        <w:tc>
          <w:tcPr>
            <w:tcW w:w="1155" w:type="dxa"/>
            <w:vMerge w:val="continue"/>
            <w:vAlign w:val="center"/>
          </w:tcPr>
          <w:p w14:paraId="1812FCAD">
            <w:pPr>
              <w:widowControl/>
              <w:spacing w:line="240" w:lineRule="exact"/>
              <w:jc w:val="center"/>
              <w:rPr>
                <w:rFonts w:ascii="宋体"/>
                <w:kern w:val="0"/>
              </w:rPr>
            </w:pPr>
          </w:p>
        </w:tc>
        <w:tc>
          <w:tcPr>
            <w:tcW w:w="6213" w:type="dxa"/>
            <w:tcBorders>
              <w:top w:val="single" w:color="auto" w:sz="4" w:space="0"/>
              <w:bottom w:val="single" w:color="auto" w:sz="4" w:space="0"/>
              <w:right w:val="single" w:color="auto" w:sz="4" w:space="0"/>
            </w:tcBorders>
            <w:vAlign w:val="center"/>
          </w:tcPr>
          <w:p w14:paraId="44003DC4">
            <w:pPr>
              <w:widowControl/>
              <w:spacing w:line="240" w:lineRule="exact"/>
              <w:jc w:val="left"/>
              <w:rPr>
                <w:rFonts w:ascii="宋体"/>
                <w:kern w:val="0"/>
              </w:rPr>
            </w:pPr>
            <w:r>
              <w:rPr>
                <w:rFonts w:hint="eastAsia" w:ascii="宋体"/>
                <w:kern w:val="0"/>
              </w:rPr>
              <w:t>具有其他较重情节的。</w:t>
            </w:r>
          </w:p>
        </w:tc>
        <w:tc>
          <w:tcPr>
            <w:tcW w:w="7369" w:type="dxa"/>
            <w:tcBorders>
              <w:top w:val="single" w:color="auto" w:sz="4" w:space="0"/>
              <w:left w:val="single" w:color="auto" w:sz="4" w:space="0"/>
              <w:bottom w:val="single" w:color="auto" w:sz="4" w:space="0"/>
              <w:right w:val="single" w:color="auto" w:sz="4" w:space="0"/>
            </w:tcBorders>
            <w:vAlign w:val="center"/>
          </w:tcPr>
          <w:p w14:paraId="0D18E13C">
            <w:pPr>
              <w:widowControl/>
              <w:spacing w:line="240" w:lineRule="exact"/>
              <w:jc w:val="center"/>
              <w:rPr>
                <w:rFonts w:ascii="宋体"/>
                <w:kern w:val="0"/>
              </w:rPr>
            </w:pPr>
            <w:r>
              <w:rPr>
                <w:rFonts w:hint="eastAsia" w:ascii="宋体"/>
                <w:kern w:val="0"/>
              </w:rPr>
              <w:t xml:space="preserve">15-30万元 </w:t>
            </w:r>
          </w:p>
        </w:tc>
      </w:tr>
      <w:tr w14:paraId="3D1DF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99" w:type="dxa"/>
            <w:vMerge w:val="continue"/>
            <w:vAlign w:val="center"/>
          </w:tcPr>
          <w:p w14:paraId="015ADA8C">
            <w:pPr>
              <w:widowControl/>
              <w:spacing w:line="240" w:lineRule="exact"/>
              <w:jc w:val="center"/>
              <w:rPr>
                <w:rFonts w:ascii="宋体"/>
              </w:rPr>
            </w:pPr>
          </w:p>
        </w:tc>
        <w:tc>
          <w:tcPr>
            <w:tcW w:w="2247" w:type="dxa"/>
            <w:vMerge w:val="continue"/>
            <w:vAlign w:val="center"/>
          </w:tcPr>
          <w:p w14:paraId="48DD574C">
            <w:pPr>
              <w:widowControl/>
              <w:spacing w:line="240" w:lineRule="exact"/>
              <w:jc w:val="center"/>
              <w:rPr>
                <w:rFonts w:ascii="宋体"/>
              </w:rPr>
            </w:pPr>
          </w:p>
        </w:tc>
        <w:tc>
          <w:tcPr>
            <w:tcW w:w="2148" w:type="dxa"/>
            <w:vMerge w:val="continue"/>
            <w:vAlign w:val="center"/>
          </w:tcPr>
          <w:p w14:paraId="7B7E7EEB">
            <w:pPr>
              <w:widowControl/>
              <w:spacing w:line="240" w:lineRule="exact"/>
              <w:jc w:val="center"/>
              <w:rPr>
                <w:rFonts w:ascii="宋体"/>
              </w:rPr>
            </w:pPr>
          </w:p>
        </w:tc>
        <w:tc>
          <w:tcPr>
            <w:tcW w:w="1155" w:type="dxa"/>
            <w:vMerge w:val="continue"/>
            <w:tcBorders>
              <w:bottom w:val="single" w:color="auto" w:sz="4" w:space="0"/>
            </w:tcBorders>
            <w:vAlign w:val="center"/>
          </w:tcPr>
          <w:p w14:paraId="7EDF4D29">
            <w:pPr>
              <w:widowControl/>
              <w:spacing w:line="240" w:lineRule="exact"/>
              <w:jc w:val="center"/>
              <w:rPr>
                <w:rFonts w:ascii="宋体"/>
              </w:rPr>
            </w:pPr>
          </w:p>
        </w:tc>
        <w:tc>
          <w:tcPr>
            <w:tcW w:w="6213" w:type="dxa"/>
            <w:tcBorders>
              <w:top w:val="single" w:color="auto" w:sz="4" w:space="0"/>
              <w:bottom w:val="single" w:color="auto" w:sz="4" w:space="0"/>
              <w:right w:val="single" w:color="auto" w:sz="4" w:space="0"/>
            </w:tcBorders>
            <w:vAlign w:val="center"/>
          </w:tcPr>
          <w:p w14:paraId="63B7D1AA">
            <w:pPr>
              <w:widowControl/>
              <w:spacing w:line="240" w:lineRule="exact"/>
              <w:jc w:val="left"/>
              <w:rPr>
                <w:rFonts w:ascii="宋体"/>
                <w:kern w:val="0"/>
              </w:rPr>
            </w:pPr>
            <w:r>
              <w:rPr>
                <w:rFonts w:hint="eastAsia" w:ascii="宋体"/>
                <w:kern w:val="0"/>
              </w:rPr>
              <w:t>发生船舶火灾、爆炸、人身伤亡、污染等事故。</w:t>
            </w:r>
          </w:p>
        </w:tc>
        <w:tc>
          <w:tcPr>
            <w:tcW w:w="7369" w:type="dxa"/>
            <w:tcBorders>
              <w:top w:val="single" w:color="auto" w:sz="4" w:space="0"/>
              <w:left w:val="single" w:color="auto" w:sz="4" w:space="0"/>
              <w:bottom w:val="single" w:color="auto" w:sz="4" w:space="0"/>
              <w:right w:val="single" w:color="auto" w:sz="4" w:space="0"/>
            </w:tcBorders>
            <w:vAlign w:val="center"/>
          </w:tcPr>
          <w:p w14:paraId="10CDE0D9">
            <w:pPr>
              <w:widowControl/>
              <w:spacing w:line="240" w:lineRule="exact"/>
              <w:jc w:val="center"/>
              <w:rPr>
                <w:rFonts w:ascii="宋体"/>
                <w:kern w:val="0"/>
              </w:rPr>
            </w:pPr>
            <w:r>
              <w:rPr>
                <w:rFonts w:hint="eastAsia" w:ascii="宋体"/>
                <w:kern w:val="0"/>
              </w:rPr>
              <w:t xml:space="preserve">20-30万元 </w:t>
            </w:r>
          </w:p>
        </w:tc>
      </w:tr>
    </w:tbl>
    <w:p w14:paraId="4E027B2D">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2307"/>
        <w:gridCol w:w="2148"/>
        <w:gridCol w:w="1095"/>
        <w:gridCol w:w="6273"/>
        <w:gridCol w:w="7420"/>
      </w:tblGrid>
      <w:tr w14:paraId="75C8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39" w:type="dxa"/>
            <w:vMerge w:val="restart"/>
            <w:vAlign w:val="center"/>
          </w:tcPr>
          <w:p w14:paraId="2D5715C4">
            <w:pPr>
              <w:spacing w:line="240" w:lineRule="exact"/>
              <w:jc w:val="center"/>
              <w:rPr>
                <w:rFonts w:ascii="宋体"/>
                <w:b/>
                <w:kern w:val="0"/>
              </w:rPr>
            </w:pPr>
            <w:r>
              <w:rPr>
                <w:rFonts w:hint="eastAsia" w:ascii="宋体"/>
                <w:b/>
                <w:kern w:val="0"/>
              </w:rPr>
              <w:t>案由</w:t>
            </w:r>
            <w:r>
              <w:rPr>
                <w:rFonts w:hint="eastAsia" w:ascii="宋体"/>
                <w:b/>
                <w:bCs/>
                <w:kern w:val="0"/>
              </w:rPr>
              <w:t>71</w:t>
            </w:r>
          </w:p>
        </w:tc>
        <w:tc>
          <w:tcPr>
            <w:tcW w:w="4455" w:type="dxa"/>
            <w:gridSpan w:val="2"/>
            <w:vAlign w:val="center"/>
          </w:tcPr>
          <w:p w14:paraId="0C4C1866">
            <w:pPr>
              <w:spacing w:line="240" w:lineRule="exact"/>
              <w:jc w:val="center"/>
              <w:rPr>
                <w:rFonts w:ascii="宋体"/>
                <w:b/>
                <w:kern w:val="0"/>
              </w:rPr>
            </w:pPr>
            <w:r>
              <w:rPr>
                <w:rFonts w:hint="eastAsia" w:ascii="宋体"/>
                <w:b/>
                <w:kern w:val="0"/>
              </w:rPr>
              <w:t>法律依据</w:t>
            </w:r>
          </w:p>
        </w:tc>
        <w:tc>
          <w:tcPr>
            <w:tcW w:w="1095" w:type="dxa"/>
            <w:vMerge w:val="restart"/>
            <w:vAlign w:val="center"/>
          </w:tcPr>
          <w:p w14:paraId="65744B5C">
            <w:pPr>
              <w:spacing w:line="240" w:lineRule="exact"/>
              <w:jc w:val="center"/>
              <w:rPr>
                <w:rFonts w:ascii="宋体"/>
                <w:b/>
                <w:kern w:val="0"/>
              </w:rPr>
            </w:pPr>
            <w:r>
              <w:rPr>
                <w:rFonts w:hint="eastAsia" w:ascii="宋体"/>
                <w:b/>
                <w:kern w:val="0"/>
              </w:rPr>
              <w:t>违法情节</w:t>
            </w:r>
          </w:p>
        </w:tc>
        <w:tc>
          <w:tcPr>
            <w:tcW w:w="6273" w:type="dxa"/>
            <w:vMerge w:val="restart"/>
            <w:vAlign w:val="center"/>
          </w:tcPr>
          <w:p w14:paraId="312323FC">
            <w:pPr>
              <w:spacing w:line="240" w:lineRule="exact"/>
              <w:jc w:val="center"/>
              <w:rPr>
                <w:rFonts w:ascii="宋体"/>
                <w:b/>
                <w:kern w:val="0"/>
              </w:rPr>
            </w:pPr>
            <w:r>
              <w:rPr>
                <w:rFonts w:hint="eastAsia" w:ascii="宋体"/>
                <w:b/>
                <w:kern w:val="0"/>
              </w:rPr>
              <w:t>主要考虑因素（事实、性质、情节、危害程度和实际后果等）</w:t>
            </w:r>
          </w:p>
        </w:tc>
        <w:tc>
          <w:tcPr>
            <w:tcW w:w="7420" w:type="dxa"/>
            <w:tcBorders>
              <w:right w:val="single" w:color="auto" w:sz="4" w:space="0"/>
            </w:tcBorders>
            <w:vAlign w:val="center"/>
          </w:tcPr>
          <w:p w14:paraId="7AEB8C17">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14:paraId="13688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39" w:type="dxa"/>
            <w:vMerge w:val="continue"/>
            <w:vAlign w:val="center"/>
          </w:tcPr>
          <w:p w14:paraId="2DA79564">
            <w:pPr>
              <w:spacing w:line="240" w:lineRule="exact"/>
              <w:jc w:val="center"/>
              <w:rPr>
                <w:rFonts w:ascii="宋体"/>
                <w:b/>
                <w:kern w:val="0"/>
              </w:rPr>
            </w:pPr>
          </w:p>
        </w:tc>
        <w:tc>
          <w:tcPr>
            <w:tcW w:w="2307" w:type="dxa"/>
            <w:vAlign w:val="center"/>
          </w:tcPr>
          <w:p w14:paraId="2E21934F">
            <w:pPr>
              <w:spacing w:line="240" w:lineRule="exact"/>
              <w:jc w:val="center"/>
              <w:rPr>
                <w:rFonts w:ascii="宋体"/>
                <w:b/>
                <w:kern w:val="0"/>
              </w:rPr>
            </w:pPr>
            <w:r>
              <w:rPr>
                <w:rFonts w:hint="eastAsia" w:ascii="宋体"/>
                <w:b/>
                <w:kern w:val="0"/>
              </w:rPr>
              <w:t>违反条款</w:t>
            </w:r>
          </w:p>
        </w:tc>
        <w:tc>
          <w:tcPr>
            <w:tcW w:w="2148" w:type="dxa"/>
            <w:vAlign w:val="center"/>
          </w:tcPr>
          <w:p w14:paraId="2FC6B3D3">
            <w:pPr>
              <w:spacing w:line="240" w:lineRule="exact"/>
              <w:jc w:val="center"/>
              <w:rPr>
                <w:rFonts w:ascii="宋体"/>
                <w:b/>
                <w:kern w:val="0"/>
              </w:rPr>
            </w:pPr>
            <w:r>
              <w:rPr>
                <w:rFonts w:hint="eastAsia" w:ascii="宋体"/>
                <w:b/>
                <w:kern w:val="0"/>
              </w:rPr>
              <w:t>处罚依据</w:t>
            </w:r>
          </w:p>
        </w:tc>
        <w:tc>
          <w:tcPr>
            <w:tcW w:w="1095" w:type="dxa"/>
            <w:vMerge w:val="continue"/>
            <w:vAlign w:val="center"/>
          </w:tcPr>
          <w:p w14:paraId="7FD3D725">
            <w:pPr>
              <w:spacing w:line="240" w:lineRule="exact"/>
              <w:jc w:val="center"/>
              <w:rPr>
                <w:rFonts w:ascii="宋体"/>
                <w:b/>
                <w:kern w:val="0"/>
              </w:rPr>
            </w:pPr>
          </w:p>
        </w:tc>
        <w:tc>
          <w:tcPr>
            <w:tcW w:w="6273" w:type="dxa"/>
            <w:vMerge w:val="continue"/>
            <w:tcBorders>
              <w:bottom w:val="single" w:color="auto" w:sz="4" w:space="0"/>
            </w:tcBorders>
            <w:vAlign w:val="center"/>
          </w:tcPr>
          <w:p w14:paraId="46400E13">
            <w:pPr>
              <w:spacing w:line="240" w:lineRule="exact"/>
              <w:jc w:val="center"/>
              <w:rPr>
                <w:rFonts w:ascii="宋体"/>
                <w:b/>
                <w:kern w:val="0"/>
              </w:rPr>
            </w:pPr>
          </w:p>
        </w:tc>
        <w:tc>
          <w:tcPr>
            <w:tcW w:w="7420" w:type="dxa"/>
            <w:tcBorders>
              <w:top w:val="single" w:color="auto" w:sz="4" w:space="0"/>
              <w:bottom w:val="single" w:color="auto" w:sz="4" w:space="0"/>
              <w:right w:val="single" w:color="auto" w:sz="4" w:space="0"/>
            </w:tcBorders>
            <w:vAlign w:val="center"/>
          </w:tcPr>
          <w:p w14:paraId="78143F5B">
            <w:pPr>
              <w:spacing w:line="240" w:lineRule="exact"/>
              <w:jc w:val="center"/>
              <w:rPr>
                <w:rFonts w:ascii="宋体"/>
                <w:b/>
                <w:kern w:val="0"/>
              </w:rPr>
            </w:pPr>
            <w:r>
              <w:rPr>
                <w:rFonts w:hint="eastAsia" w:ascii="宋体"/>
                <w:b/>
                <w:kern w:val="0"/>
              </w:rPr>
              <w:t>【对象】托运人</w:t>
            </w:r>
          </w:p>
        </w:tc>
      </w:tr>
      <w:tr w14:paraId="4721D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1039" w:type="dxa"/>
            <w:vMerge w:val="restart"/>
            <w:vAlign w:val="center"/>
          </w:tcPr>
          <w:p w14:paraId="28BCD89E">
            <w:pPr>
              <w:widowControl/>
              <w:spacing w:line="240" w:lineRule="exact"/>
              <w:jc w:val="left"/>
              <w:rPr>
                <w:rFonts w:ascii="宋体"/>
                <w:kern w:val="0"/>
              </w:rPr>
            </w:pPr>
            <w:r>
              <w:rPr>
                <w:rFonts w:hint="eastAsia" w:ascii="宋体"/>
                <w:kern w:val="0"/>
              </w:rPr>
              <w:t>托运人未按照有关法律、行政法规、规章以及强制性标准和技术规范的要求对危险货物妥善包装，设置明显的危险品标志和标签</w:t>
            </w:r>
          </w:p>
        </w:tc>
        <w:tc>
          <w:tcPr>
            <w:tcW w:w="2307" w:type="dxa"/>
            <w:vMerge w:val="restart"/>
            <w:vAlign w:val="center"/>
          </w:tcPr>
          <w:p w14:paraId="2B0971FD">
            <w:pPr>
              <w:widowControl/>
              <w:spacing w:line="240" w:lineRule="exact"/>
              <w:jc w:val="left"/>
              <w:rPr>
                <w:rFonts w:ascii="宋体"/>
                <w:kern w:val="0"/>
              </w:rPr>
            </w:pPr>
            <w:r>
              <w:rPr>
                <w:rFonts w:hint="eastAsia" w:ascii="宋体"/>
                <w:kern w:val="0"/>
              </w:rPr>
              <w:t>1.《中华人民共和国海上交通安全法》第六十三条第一款；</w:t>
            </w:r>
          </w:p>
          <w:p w14:paraId="670C4508">
            <w:pPr>
              <w:widowControl/>
              <w:spacing w:line="240" w:lineRule="exact"/>
              <w:jc w:val="left"/>
              <w:rPr>
                <w:rFonts w:ascii="宋体"/>
                <w:kern w:val="0"/>
              </w:rPr>
            </w:pPr>
            <w:r>
              <w:rPr>
                <w:rFonts w:hint="eastAsia" w:ascii="宋体"/>
                <w:kern w:val="0"/>
              </w:rPr>
              <w:t>2.其他法律、行政法规、规章以及强制性标准和技术规范。</w:t>
            </w:r>
          </w:p>
        </w:tc>
        <w:tc>
          <w:tcPr>
            <w:tcW w:w="2148" w:type="dxa"/>
            <w:vMerge w:val="restart"/>
            <w:vAlign w:val="center"/>
          </w:tcPr>
          <w:p w14:paraId="1B56BA19">
            <w:pPr>
              <w:widowControl/>
              <w:spacing w:line="240" w:lineRule="exact"/>
              <w:jc w:val="left"/>
              <w:rPr>
                <w:rFonts w:ascii="宋体"/>
                <w:kern w:val="0"/>
              </w:rPr>
            </w:pPr>
            <w:r>
              <w:rPr>
                <w:rFonts w:hint="eastAsia" w:ascii="宋体"/>
                <w:kern w:val="0"/>
              </w:rPr>
              <w:t xml:space="preserve">1.《中华人民共和国海上交通安全法》第一百零九条第（二）项、《中华人民共和国海上海事行政处罚规定》第三十一条第（二）项。  </w:t>
            </w:r>
          </w:p>
          <w:p w14:paraId="36758272">
            <w:pPr>
              <w:widowControl/>
              <w:spacing w:line="240" w:lineRule="exact"/>
              <w:jc w:val="left"/>
              <w:rPr>
                <w:rFonts w:ascii="宋体"/>
                <w:kern w:val="0"/>
              </w:rPr>
            </w:pPr>
            <w:r>
              <w:rPr>
                <w:rFonts w:hint="eastAsia" w:ascii="宋体"/>
                <w:kern w:val="0"/>
              </w:rPr>
              <w:t>2. 《中华人民共和国海上海事行政处罚规定》第七条。</w:t>
            </w:r>
          </w:p>
        </w:tc>
        <w:tc>
          <w:tcPr>
            <w:tcW w:w="1095" w:type="dxa"/>
            <w:vAlign w:val="center"/>
          </w:tcPr>
          <w:p w14:paraId="4BF29A29">
            <w:pPr>
              <w:widowControl/>
              <w:spacing w:line="240" w:lineRule="exact"/>
              <w:jc w:val="left"/>
              <w:rPr>
                <w:rFonts w:ascii="宋体"/>
                <w:kern w:val="0"/>
              </w:rPr>
            </w:pPr>
            <w:r>
              <w:rPr>
                <w:rFonts w:hint="eastAsia" w:ascii="宋体"/>
                <w:kern w:val="0"/>
              </w:rPr>
              <w:t>从轻</w:t>
            </w:r>
          </w:p>
        </w:tc>
        <w:tc>
          <w:tcPr>
            <w:tcW w:w="6273" w:type="dxa"/>
            <w:tcBorders>
              <w:bottom w:val="single" w:color="auto" w:sz="4" w:space="0"/>
              <w:right w:val="single" w:color="auto" w:sz="4" w:space="0"/>
            </w:tcBorders>
            <w:vAlign w:val="center"/>
          </w:tcPr>
          <w:p w14:paraId="627AF1D7">
            <w:pPr>
              <w:widowControl/>
              <w:spacing w:line="240" w:lineRule="exact"/>
              <w:jc w:val="left"/>
              <w:rPr>
                <w:rFonts w:ascii="宋体"/>
                <w:kern w:val="0"/>
              </w:rPr>
            </w:pPr>
            <w:r>
              <w:rPr>
                <w:rFonts w:hint="eastAsia" w:ascii="宋体"/>
                <w:kern w:val="0"/>
              </w:rPr>
              <w:t>具有法定从轻处罚情节的</w:t>
            </w:r>
          </w:p>
        </w:tc>
        <w:tc>
          <w:tcPr>
            <w:tcW w:w="7420" w:type="dxa"/>
            <w:tcBorders>
              <w:left w:val="single" w:color="auto" w:sz="4" w:space="0"/>
              <w:bottom w:val="single" w:color="auto" w:sz="4" w:space="0"/>
              <w:right w:val="single" w:color="auto" w:sz="4" w:space="0"/>
            </w:tcBorders>
            <w:vAlign w:val="center"/>
          </w:tcPr>
          <w:p w14:paraId="5005C7D3">
            <w:pPr>
              <w:widowControl/>
              <w:spacing w:line="240" w:lineRule="exact"/>
              <w:jc w:val="center"/>
              <w:rPr>
                <w:rFonts w:ascii="宋体"/>
                <w:kern w:val="0"/>
              </w:rPr>
            </w:pPr>
            <w:r>
              <w:rPr>
                <w:rFonts w:hint="eastAsia" w:ascii="宋体"/>
                <w:kern w:val="0"/>
              </w:rPr>
              <w:t>5-6万元</w:t>
            </w:r>
          </w:p>
        </w:tc>
      </w:tr>
      <w:tr w14:paraId="3818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039" w:type="dxa"/>
            <w:vMerge w:val="continue"/>
            <w:vAlign w:val="center"/>
          </w:tcPr>
          <w:p w14:paraId="778C279F">
            <w:pPr>
              <w:widowControl/>
              <w:spacing w:line="240" w:lineRule="exact"/>
              <w:jc w:val="left"/>
              <w:rPr>
                <w:rFonts w:ascii="宋体"/>
                <w:kern w:val="0"/>
              </w:rPr>
            </w:pPr>
          </w:p>
        </w:tc>
        <w:tc>
          <w:tcPr>
            <w:tcW w:w="2307" w:type="dxa"/>
            <w:vMerge w:val="continue"/>
            <w:vAlign w:val="center"/>
          </w:tcPr>
          <w:p w14:paraId="1B131881">
            <w:pPr>
              <w:widowControl/>
              <w:spacing w:line="240" w:lineRule="exact"/>
              <w:jc w:val="left"/>
              <w:rPr>
                <w:rFonts w:ascii="宋体"/>
                <w:kern w:val="0"/>
              </w:rPr>
            </w:pPr>
          </w:p>
        </w:tc>
        <w:tc>
          <w:tcPr>
            <w:tcW w:w="2148" w:type="dxa"/>
            <w:vMerge w:val="continue"/>
            <w:vAlign w:val="center"/>
          </w:tcPr>
          <w:p w14:paraId="25B3D394">
            <w:pPr>
              <w:widowControl/>
              <w:spacing w:line="240" w:lineRule="exact"/>
              <w:jc w:val="left"/>
              <w:rPr>
                <w:rFonts w:ascii="宋体"/>
                <w:kern w:val="0"/>
              </w:rPr>
            </w:pPr>
          </w:p>
        </w:tc>
        <w:tc>
          <w:tcPr>
            <w:tcW w:w="1095" w:type="dxa"/>
            <w:vMerge w:val="restart"/>
            <w:vAlign w:val="center"/>
          </w:tcPr>
          <w:p w14:paraId="3BB57F3B">
            <w:pPr>
              <w:widowControl/>
              <w:spacing w:line="240" w:lineRule="exact"/>
              <w:jc w:val="left"/>
              <w:rPr>
                <w:rFonts w:ascii="宋体"/>
                <w:kern w:val="0"/>
              </w:rPr>
            </w:pPr>
            <w:r>
              <w:rPr>
                <w:rFonts w:hint="eastAsia" w:ascii="宋体"/>
                <w:kern w:val="0"/>
              </w:rPr>
              <w:t>一般</w:t>
            </w:r>
          </w:p>
        </w:tc>
        <w:tc>
          <w:tcPr>
            <w:tcW w:w="6273" w:type="dxa"/>
            <w:tcBorders>
              <w:bottom w:val="single" w:color="auto" w:sz="4" w:space="0"/>
              <w:right w:val="single" w:color="auto" w:sz="4" w:space="0"/>
            </w:tcBorders>
            <w:vAlign w:val="center"/>
          </w:tcPr>
          <w:p w14:paraId="288BC8FD">
            <w:pPr>
              <w:widowControl/>
              <w:spacing w:line="240" w:lineRule="exact"/>
              <w:jc w:val="left"/>
              <w:rPr>
                <w:rFonts w:ascii="宋体"/>
                <w:kern w:val="0"/>
              </w:rPr>
            </w:pPr>
            <w:r>
              <w:rPr>
                <w:rFonts w:hint="eastAsia" w:ascii="宋体"/>
                <w:kern w:val="0"/>
              </w:rPr>
              <w:t>1.涉及品种1个；</w:t>
            </w:r>
          </w:p>
          <w:p w14:paraId="0C56498C">
            <w:pPr>
              <w:widowControl/>
              <w:spacing w:line="240" w:lineRule="exact"/>
              <w:jc w:val="left"/>
              <w:rPr>
                <w:rFonts w:ascii="宋体"/>
                <w:kern w:val="0"/>
              </w:rPr>
            </w:pPr>
            <w:r>
              <w:rPr>
                <w:rFonts w:hint="eastAsia" w:ascii="宋体"/>
                <w:kern w:val="0"/>
              </w:rPr>
              <w:t>2.涉及集装箱数1～5TEU的，或涉及散装货物不足500吨的。</w:t>
            </w:r>
          </w:p>
        </w:tc>
        <w:tc>
          <w:tcPr>
            <w:tcW w:w="7420" w:type="dxa"/>
            <w:tcBorders>
              <w:left w:val="single" w:color="auto" w:sz="4" w:space="0"/>
              <w:bottom w:val="single" w:color="auto" w:sz="4" w:space="0"/>
              <w:right w:val="single" w:color="auto" w:sz="4" w:space="0"/>
            </w:tcBorders>
            <w:vAlign w:val="center"/>
          </w:tcPr>
          <w:p w14:paraId="18890331">
            <w:pPr>
              <w:widowControl/>
              <w:spacing w:line="240" w:lineRule="exact"/>
              <w:jc w:val="center"/>
              <w:rPr>
                <w:rFonts w:ascii="宋体"/>
                <w:kern w:val="0"/>
              </w:rPr>
            </w:pPr>
            <w:r>
              <w:rPr>
                <w:rFonts w:hint="eastAsia" w:ascii="宋体"/>
                <w:kern w:val="0"/>
              </w:rPr>
              <w:t>6-8万元</w:t>
            </w:r>
          </w:p>
        </w:tc>
      </w:tr>
      <w:tr w14:paraId="7CD34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039" w:type="dxa"/>
            <w:vMerge w:val="continue"/>
            <w:vAlign w:val="center"/>
          </w:tcPr>
          <w:p w14:paraId="134FECB0">
            <w:pPr>
              <w:widowControl/>
              <w:spacing w:line="240" w:lineRule="exact"/>
              <w:jc w:val="left"/>
              <w:rPr>
                <w:rFonts w:ascii="宋体"/>
                <w:kern w:val="0"/>
              </w:rPr>
            </w:pPr>
          </w:p>
        </w:tc>
        <w:tc>
          <w:tcPr>
            <w:tcW w:w="2307" w:type="dxa"/>
            <w:vMerge w:val="continue"/>
            <w:vAlign w:val="center"/>
          </w:tcPr>
          <w:p w14:paraId="51D4B6D9">
            <w:pPr>
              <w:widowControl/>
              <w:spacing w:line="240" w:lineRule="exact"/>
              <w:jc w:val="left"/>
              <w:rPr>
                <w:rFonts w:ascii="宋体"/>
                <w:kern w:val="0"/>
              </w:rPr>
            </w:pPr>
          </w:p>
        </w:tc>
        <w:tc>
          <w:tcPr>
            <w:tcW w:w="2148" w:type="dxa"/>
            <w:vMerge w:val="continue"/>
            <w:vAlign w:val="center"/>
          </w:tcPr>
          <w:p w14:paraId="69C0CCD9">
            <w:pPr>
              <w:widowControl/>
              <w:spacing w:line="240" w:lineRule="exact"/>
              <w:jc w:val="left"/>
              <w:rPr>
                <w:rFonts w:ascii="宋体"/>
                <w:kern w:val="0"/>
              </w:rPr>
            </w:pPr>
          </w:p>
        </w:tc>
        <w:tc>
          <w:tcPr>
            <w:tcW w:w="1095" w:type="dxa"/>
            <w:vMerge w:val="continue"/>
            <w:vAlign w:val="center"/>
          </w:tcPr>
          <w:p w14:paraId="7FE62906">
            <w:pPr>
              <w:widowControl/>
              <w:spacing w:line="240" w:lineRule="exact"/>
              <w:jc w:val="left"/>
              <w:rPr>
                <w:rFonts w:ascii="宋体"/>
                <w:kern w:val="0"/>
              </w:rPr>
            </w:pPr>
          </w:p>
        </w:tc>
        <w:tc>
          <w:tcPr>
            <w:tcW w:w="6273" w:type="dxa"/>
            <w:tcBorders>
              <w:bottom w:val="single" w:color="auto" w:sz="4" w:space="0"/>
              <w:right w:val="single" w:color="auto" w:sz="4" w:space="0"/>
            </w:tcBorders>
            <w:vAlign w:val="center"/>
          </w:tcPr>
          <w:p w14:paraId="65E65A75">
            <w:pPr>
              <w:widowControl/>
              <w:spacing w:line="240" w:lineRule="exact"/>
              <w:jc w:val="left"/>
              <w:rPr>
                <w:rFonts w:ascii="宋体"/>
                <w:kern w:val="0"/>
              </w:rPr>
            </w:pPr>
            <w:r>
              <w:rPr>
                <w:rFonts w:hint="eastAsia" w:ascii="宋体"/>
                <w:kern w:val="0"/>
              </w:rPr>
              <w:t>1.涉及品种2个以上；</w:t>
            </w:r>
          </w:p>
          <w:p w14:paraId="331DC0E3">
            <w:pPr>
              <w:widowControl/>
              <w:spacing w:line="240" w:lineRule="exact"/>
              <w:jc w:val="left"/>
              <w:rPr>
                <w:rFonts w:ascii="宋体"/>
                <w:kern w:val="0"/>
              </w:rPr>
            </w:pPr>
            <w:r>
              <w:rPr>
                <w:rFonts w:hint="eastAsia" w:ascii="宋体"/>
                <w:kern w:val="0"/>
              </w:rPr>
              <w:t>2.涉及集装箱数6～10TEU的，或涉及散装货物500～1000吨。</w:t>
            </w:r>
          </w:p>
        </w:tc>
        <w:tc>
          <w:tcPr>
            <w:tcW w:w="7420" w:type="dxa"/>
            <w:tcBorders>
              <w:left w:val="single" w:color="auto" w:sz="4" w:space="0"/>
              <w:bottom w:val="single" w:color="auto" w:sz="4" w:space="0"/>
              <w:right w:val="single" w:color="auto" w:sz="4" w:space="0"/>
            </w:tcBorders>
            <w:vAlign w:val="center"/>
          </w:tcPr>
          <w:p w14:paraId="7C23BDD5">
            <w:pPr>
              <w:widowControl/>
              <w:spacing w:line="240" w:lineRule="exact"/>
              <w:jc w:val="center"/>
              <w:rPr>
                <w:rFonts w:ascii="宋体"/>
                <w:kern w:val="0"/>
              </w:rPr>
            </w:pPr>
            <w:r>
              <w:rPr>
                <w:rFonts w:hint="eastAsia" w:ascii="宋体"/>
                <w:kern w:val="0"/>
              </w:rPr>
              <w:t>8-10万元</w:t>
            </w:r>
          </w:p>
        </w:tc>
      </w:tr>
      <w:tr w14:paraId="1501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1039" w:type="dxa"/>
            <w:vMerge w:val="continue"/>
            <w:vAlign w:val="center"/>
          </w:tcPr>
          <w:p w14:paraId="57DFA6EE">
            <w:pPr>
              <w:widowControl/>
              <w:spacing w:line="240" w:lineRule="exact"/>
              <w:jc w:val="left"/>
              <w:rPr>
                <w:rFonts w:ascii="宋体"/>
                <w:kern w:val="0"/>
              </w:rPr>
            </w:pPr>
          </w:p>
        </w:tc>
        <w:tc>
          <w:tcPr>
            <w:tcW w:w="2307" w:type="dxa"/>
            <w:vMerge w:val="continue"/>
            <w:vAlign w:val="center"/>
          </w:tcPr>
          <w:p w14:paraId="1CE417B1">
            <w:pPr>
              <w:widowControl/>
              <w:spacing w:line="240" w:lineRule="exact"/>
              <w:jc w:val="left"/>
              <w:rPr>
                <w:rFonts w:ascii="宋体"/>
                <w:kern w:val="0"/>
              </w:rPr>
            </w:pPr>
          </w:p>
        </w:tc>
        <w:tc>
          <w:tcPr>
            <w:tcW w:w="2148" w:type="dxa"/>
            <w:vMerge w:val="continue"/>
            <w:vAlign w:val="center"/>
          </w:tcPr>
          <w:p w14:paraId="4055E39E">
            <w:pPr>
              <w:widowControl/>
              <w:spacing w:line="240" w:lineRule="exact"/>
              <w:jc w:val="left"/>
              <w:rPr>
                <w:rFonts w:ascii="宋体"/>
                <w:kern w:val="0"/>
              </w:rPr>
            </w:pPr>
          </w:p>
        </w:tc>
        <w:tc>
          <w:tcPr>
            <w:tcW w:w="1095" w:type="dxa"/>
            <w:vMerge w:val="continue"/>
            <w:vAlign w:val="center"/>
          </w:tcPr>
          <w:p w14:paraId="7D3A876E">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14:paraId="1610558C">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14:paraId="328322EC">
            <w:pPr>
              <w:widowControl/>
              <w:spacing w:line="240" w:lineRule="exact"/>
              <w:jc w:val="left"/>
              <w:rPr>
                <w:rFonts w:ascii="宋体"/>
                <w:kern w:val="0"/>
              </w:rPr>
            </w:pPr>
            <w:r>
              <w:rPr>
                <w:rFonts w:hint="eastAsia" w:ascii="宋体"/>
                <w:kern w:val="0"/>
              </w:rPr>
              <w:t>2.涉及集装箱数11TEU及以上的，或涉及散装货物超过1000吨的；</w:t>
            </w:r>
          </w:p>
          <w:p w14:paraId="3498BDAA">
            <w:pPr>
              <w:widowControl/>
              <w:spacing w:line="240" w:lineRule="exact"/>
              <w:jc w:val="left"/>
              <w:rPr>
                <w:rFonts w:ascii="宋体"/>
                <w:kern w:val="0"/>
              </w:rPr>
            </w:pPr>
            <w:r>
              <w:rPr>
                <w:rFonts w:hint="eastAsia" w:ascii="宋体"/>
                <w:kern w:val="0"/>
              </w:rPr>
              <w:t>3.发生险情的；</w:t>
            </w:r>
          </w:p>
        </w:tc>
        <w:tc>
          <w:tcPr>
            <w:tcW w:w="7420" w:type="dxa"/>
            <w:tcBorders>
              <w:top w:val="single" w:color="auto" w:sz="4" w:space="0"/>
              <w:left w:val="single" w:color="auto" w:sz="4" w:space="0"/>
              <w:bottom w:val="single" w:color="auto" w:sz="4" w:space="0"/>
              <w:right w:val="single" w:color="auto" w:sz="4" w:space="0"/>
            </w:tcBorders>
            <w:vAlign w:val="center"/>
          </w:tcPr>
          <w:p w14:paraId="49782C09">
            <w:pPr>
              <w:widowControl/>
              <w:spacing w:line="240" w:lineRule="exact"/>
              <w:jc w:val="center"/>
              <w:rPr>
                <w:rFonts w:ascii="宋体"/>
                <w:kern w:val="0"/>
              </w:rPr>
            </w:pPr>
            <w:r>
              <w:rPr>
                <w:rFonts w:hint="eastAsia" w:ascii="宋体"/>
                <w:kern w:val="0"/>
              </w:rPr>
              <w:t xml:space="preserve">10-20万元 </w:t>
            </w:r>
          </w:p>
        </w:tc>
      </w:tr>
      <w:tr w14:paraId="1E000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1039" w:type="dxa"/>
            <w:vMerge w:val="continue"/>
            <w:vAlign w:val="center"/>
          </w:tcPr>
          <w:p w14:paraId="158356CB">
            <w:pPr>
              <w:widowControl/>
              <w:spacing w:line="240" w:lineRule="exact"/>
              <w:jc w:val="left"/>
              <w:rPr>
                <w:rFonts w:ascii="宋体"/>
                <w:kern w:val="0"/>
              </w:rPr>
            </w:pPr>
          </w:p>
        </w:tc>
        <w:tc>
          <w:tcPr>
            <w:tcW w:w="2307" w:type="dxa"/>
            <w:vMerge w:val="continue"/>
            <w:vAlign w:val="center"/>
          </w:tcPr>
          <w:p w14:paraId="53C59857">
            <w:pPr>
              <w:widowControl/>
              <w:spacing w:line="240" w:lineRule="exact"/>
              <w:jc w:val="left"/>
              <w:rPr>
                <w:rFonts w:ascii="宋体"/>
                <w:kern w:val="0"/>
              </w:rPr>
            </w:pPr>
          </w:p>
        </w:tc>
        <w:tc>
          <w:tcPr>
            <w:tcW w:w="2148" w:type="dxa"/>
            <w:vMerge w:val="continue"/>
            <w:vAlign w:val="center"/>
          </w:tcPr>
          <w:p w14:paraId="17BE8CE5">
            <w:pPr>
              <w:widowControl/>
              <w:spacing w:line="240" w:lineRule="exact"/>
              <w:jc w:val="left"/>
              <w:rPr>
                <w:rFonts w:ascii="宋体"/>
                <w:kern w:val="0"/>
              </w:rPr>
            </w:pPr>
          </w:p>
        </w:tc>
        <w:tc>
          <w:tcPr>
            <w:tcW w:w="1095" w:type="dxa"/>
            <w:vMerge w:val="continue"/>
            <w:vAlign w:val="center"/>
          </w:tcPr>
          <w:p w14:paraId="0E6AF50E">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14:paraId="226BB9C6">
            <w:pPr>
              <w:widowControl/>
              <w:spacing w:line="240" w:lineRule="exact"/>
              <w:jc w:val="left"/>
              <w:rPr>
                <w:rFonts w:ascii="宋体"/>
                <w:kern w:val="0"/>
              </w:rPr>
            </w:pPr>
            <w:r>
              <w:rPr>
                <w:rFonts w:hint="eastAsia" w:ascii="宋体"/>
                <w:kern w:val="0"/>
              </w:rPr>
              <w:t>具有其他较重情节的。</w:t>
            </w:r>
          </w:p>
        </w:tc>
        <w:tc>
          <w:tcPr>
            <w:tcW w:w="7420" w:type="dxa"/>
            <w:tcBorders>
              <w:top w:val="single" w:color="auto" w:sz="4" w:space="0"/>
              <w:left w:val="single" w:color="auto" w:sz="4" w:space="0"/>
              <w:bottom w:val="single" w:color="auto" w:sz="4" w:space="0"/>
              <w:right w:val="single" w:color="auto" w:sz="4" w:space="0"/>
            </w:tcBorders>
            <w:vAlign w:val="center"/>
          </w:tcPr>
          <w:p w14:paraId="4DDABCB6">
            <w:pPr>
              <w:widowControl/>
              <w:spacing w:line="240" w:lineRule="exact"/>
              <w:jc w:val="center"/>
              <w:rPr>
                <w:rFonts w:ascii="宋体"/>
                <w:kern w:val="0"/>
              </w:rPr>
            </w:pPr>
            <w:r>
              <w:rPr>
                <w:rFonts w:hint="eastAsia" w:ascii="宋体"/>
                <w:kern w:val="0"/>
              </w:rPr>
              <w:t xml:space="preserve">15-30万元 </w:t>
            </w:r>
          </w:p>
        </w:tc>
      </w:tr>
      <w:tr w14:paraId="27081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39" w:type="dxa"/>
            <w:vMerge w:val="continue"/>
            <w:vAlign w:val="center"/>
          </w:tcPr>
          <w:p w14:paraId="4D9B367C">
            <w:pPr>
              <w:widowControl/>
              <w:spacing w:line="240" w:lineRule="exact"/>
              <w:jc w:val="left"/>
              <w:rPr>
                <w:rFonts w:ascii="宋体"/>
                <w:kern w:val="0"/>
              </w:rPr>
            </w:pPr>
          </w:p>
        </w:tc>
        <w:tc>
          <w:tcPr>
            <w:tcW w:w="2307" w:type="dxa"/>
            <w:vMerge w:val="continue"/>
            <w:vAlign w:val="center"/>
          </w:tcPr>
          <w:p w14:paraId="1F44A9CB">
            <w:pPr>
              <w:widowControl/>
              <w:spacing w:line="240" w:lineRule="exact"/>
              <w:jc w:val="left"/>
              <w:rPr>
                <w:rFonts w:ascii="宋体"/>
                <w:kern w:val="0"/>
              </w:rPr>
            </w:pPr>
          </w:p>
        </w:tc>
        <w:tc>
          <w:tcPr>
            <w:tcW w:w="2148" w:type="dxa"/>
            <w:vMerge w:val="continue"/>
            <w:vAlign w:val="center"/>
          </w:tcPr>
          <w:p w14:paraId="480A0395">
            <w:pPr>
              <w:widowControl/>
              <w:spacing w:line="240" w:lineRule="exact"/>
              <w:jc w:val="left"/>
              <w:rPr>
                <w:rFonts w:ascii="宋体"/>
                <w:kern w:val="0"/>
              </w:rPr>
            </w:pPr>
          </w:p>
        </w:tc>
        <w:tc>
          <w:tcPr>
            <w:tcW w:w="1095" w:type="dxa"/>
            <w:vMerge w:val="continue"/>
            <w:tcBorders>
              <w:bottom w:val="single" w:color="auto" w:sz="4" w:space="0"/>
            </w:tcBorders>
            <w:vAlign w:val="center"/>
          </w:tcPr>
          <w:p w14:paraId="6B4F0A26">
            <w:pPr>
              <w:widowControl/>
              <w:spacing w:line="240" w:lineRule="exact"/>
              <w:jc w:val="left"/>
              <w:rPr>
                <w:rFonts w:ascii="宋体"/>
                <w:kern w:val="0"/>
              </w:rPr>
            </w:pPr>
          </w:p>
        </w:tc>
        <w:tc>
          <w:tcPr>
            <w:tcW w:w="6273" w:type="dxa"/>
            <w:tcBorders>
              <w:top w:val="single" w:color="auto" w:sz="4" w:space="0"/>
              <w:bottom w:val="single" w:color="auto" w:sz="4" w:space="0"/>
              <w:right w:val="single" w:color="auto" w:sz="4" w:space="0"/>
            </w:tcBorders>
            <w:vAlign w:val="center"/>
          </w:tcPr>
          <w:p w14:paraId="246B60B6">
            <w:pPr>
              <w:widowControl/>
              <w:spacing w:line="240" w:lineRule="exact"/>
              <w:jc w:val="left"/>
              <w:rPr>
                <w:rFonts w:ascii="宋体"/>
                <w:kern w:val="0"/>
              </w:rPr>
            </w:pPr>
            <w:r>
              <w:rPr>
                <w:rFonts w:hint="eastAsia" w:ascii="宋体"/>
                <w:kern w:val="0"/>
              </w:rPr>
              <w:t>发生船舶火灾、爆炸、人身伤亡、污染等事故。</w:t>
            </w:r>
          </w:p>
        </w:tc>
        <w:tc>
          <w:tcPr>
            <w:tcW w:w="7420" w:type="dxa"/>
            <w:tcBorders>
              <w:top w:val="single" w:color="auto" w:sz="4" w:space="0"/>
              <w:left w:val="single" w:color="auto" w:sz="4" w:space="0"/>
              <w:bottom w:val="single" w:color="auto" w:sz="4" w:space="0"/>
              <w:right w:val="single" w:color="auto" w:sz="4" w:space="0"/>
            </w:tcBorders>
            <w:vAlign w:val="center"/>
          </w:tcPr>
          <w:p w14:paraId="4540A309">
            <w:pPr>
              <w:widowControl/>
              <w:spacing w:line="240" w:lineRule="exact"/>
              <w:jc w:val="center"/>
              <w:rPr>
                <w:rFonts w:ascii="宋体"/>
                <w:kern w:val="0"/>
              </w:rPr>
            </w:pPr>
            <w:r>
              <w:rPr>
                <w:rFonts w:hint="eastAsia" w:ascii="宋体"/>
                <w:kern w:val="0"/>
              </w:rPr>
              <w:t xml:space="preserve">20-30万元 </w:t>
            </w:r>
          </w:p>
        </w:tc>
      </w:tr>
    </w:tbl>
    <w:p w14:paraId="717A778B">
      <w:pPr>
        <w:spacing w:line="240" w:lineRule="exact"/>
        <w:rPr>
          <w:rFonts w:ascii="宋体"/>
          <w:b/>
          <w:bCs/>
          <w:kern w:val="0"/>
        </w:rPr>
      </w:pPr>
      <w:r>
        <w:rPr>
          <w:rFonts w:ascii="宋体"/>
          <w:b/>
          <w:bCs/>
          <w:kern w:val="0"/>
        </w:rPr>
        <w:br w:type="page"/>
      </w:r>
    </w:p>
    <w:p w14:paraId="28C31E80">
      <w:pPr>
        <w:spacing w:line="240" w:lineRule="exact"/>
        <w:rPr>
          <w:rFonts w:ascii="宋体"/>
          <w:b/>
          <w:bCs/>
          <w:kern w:val="0"/>
        </w:rPr>
      </w:pPr>
    </w:p>
    <w:tbl>
      <w:tblPr>
        <w:tblStyle w:val="6"/>
        <w:tblpPr w:leftFromText="180" w:rightFromText="180" w:vertAnchor="text" w:horzAnchor="page" w:tblpX="1436" w:tblpY="22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2331"/>
        <w:gridCol w:w="2148"/>
        <w:gridCol w:w="1170"/>
        <w:gridCol w:w="6198"/>
        <w:gridCol w:w="7227"/>
      </w:tblGrid>
      <w:tr w14:paraId="17898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1015" w:type="dxa"/>
            <w:vMerge w:val="restart"/>
            <w:vAlign w:val="center"/>
          </w:tcPr>
          <w:p w14:paraId="662424E8">
            <w:pPr>
              <w:spacing w:line="240" w:lineRule="exact"/>
              <w:jc w:val="center"/>
              <w:rPr>
                <w:rFonts w:ascii="宋体"/>
                <w:b/>
                <w:kern w:val="0"/>
              </w:rPr>
            </w:pPr>
            <w:r>
              <w:rPr>
                <w:rFonts w:hint="eastAsia" w:ascii="宋体"/>
                <w:b/>
                <w:kern w:val="0"/>
              </w:rPr>
              <w:t>案由</w:t>
            </w:r>
            <w:r>
              <w:rPr>
                <w:rFonts w:hint="eastAsia" w:ascii="宋体"/>
                <w:b/>
                <w:bCs/>
                <w:kern w:val="0"/>
              </w:rPr>
              <w:t>72</w:t>
            </w:r>
          </w:p>
        </w:tc>
        <w:tc>
          <w:tcPr>
            <w:tcW w:w="4479" w:type="dxa"/>
            <w:gridSpan w:val="2"/>
            <w:vAlign w:val="center"/>
          </w:tcPr>
          <w:p w14:paraId="0FCE9A65">
            <w:pPr>
              <w:spacing w:line="240" w:lineRule="exact"/>
              <w:jc w:val="center"/>
              <w:rPr>
                <w:rFonts w:ascii="宋体"/>
                <w:b/>
                <w:kern w:val="0"/>
              </w:rPr>
            </w:pPr>
            <w:r>
              <w:rPr>
                <w:rFonts w:hint="eastAsia" w:ascii="宋体"/>
                <w:b/>
                <w:kern w:val="0"/>
              </w:rPr>
              <w:t>法律依据</w:t>
            </w:r>
          </w:p>
        </w:tc>
        <w:tc>
          <w:tcPr>
            <w:tcW w:w="1170" w:type="dxa"/>
            <w:vMerge w:val="restart"/>
            <w:vAlign w:val="center"/>
          </w:tcPr>
          <w:p w14:paraId="78A7DA36">
            <w:pPr>
              <w:spacing w:line="240" w:lineRule="exact"/>
              <w:jc w:val="center"/>
              <w:rPr>
                <w:rFonts w:ascii="宋体"/>
                <w:b/>
                <w:kern w:val="0"/>
              </w:rPr>
            </w:pPr>
            <w:r>
              <w:rPr>
                <w:rFonts w:hint="eastAsia" w:ascii="宋体"/>
                <w:b/>
                <w:kern w:val="0"/>
              </w:rPr>
              <w:t>违法情节</w:t>
            </w:r>
          </w:p>
        </w:tc>
        <w:tc>
          <w:tcPr>
            <w:tcW w:w="6198" w:type="dxa"/>
            <w:vMerge w:val="restart"/>
            <w:vAlign w:val="center"/>
          </w:tcPr>
          <w:p w14:paraId="05B4C40E">
            <w:pPr>
              <w:spacing w:line="240" w:lineRule="exact"/>
              <w:jc w:val="center"/>
              <w:rPr>
                <w:rFonts w:ascii="宋体"/>
                <w:b/>
                <w:kern w:val="0"/>
              </w:rPr>
            </w:pPr>
            <w:r>
              <w:rPr>
                <w:rFonts w:hint="eastAsia" w:ascii="宋体"/>
                <w:b/>
                <w:kern w:val="0"/>
              </w:rPr>
              <w:t>主要考虑因素（事实、性质、情节、危害程度和实际后果等）</w:t>
            </w:r>
          </w:p>
        </w:tc>
        <w:tc>
          <w:tcPr>
            <w:tcW w:w="7227" w:type="dxa"/>
            <w:tcBorders>
              <w:right w:val="single" w:color="auto" w:sz="4" w:space="0"/>
            </w:tcBorders>
            <w:vAlign w:val="center"/>
          </w:tcPr>
          <w:p w14:paraId="1AF21205">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14:paraId="0E846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015" w:type="dxa"/>
            <w:vMerge w:val="continue"/>
            <w:vAlign w:val="center"/>
          </w:tcPr>
          <w:p w14:paraId="6E7C4B97">
            <w:pPr>
              <w:spacing w:line="240" w:lineRule="exact"/>
              <w:jc w:val="center"/>
              <w:rPr>
                <w:rFonts w:ascii="宋体"/>
                <w:b/>
                <w:kern w:val="0"/>
              </w:rPr>
            </w:pPr>
          </w:p>
        </w:tc>
        <w:tc>
          <w:tcPr>
            <w:tcW w:w="2331" w:type="dxa"/>
            <w:vAlign w:val="center"/>
          </w:tcPr>
          <w:p w14:paraId="77AD89E7">
            <w:pPr>
              <w:spacing w:line="240" w:lineRule="exact"/>
              <w:jc w:val="center"/>
              <w:rPr>
                <w:rFonts w:ascii="宋体"/>
                <w:b/>
                <w:kern w:val="0"/>
              </w:rPr>
            </w:pPr>
            <w:r>
              <w:rPr>
                <w:rFonts w:hint="eastAsia" w:ascii="宋体"/>
                <w:b/>
                <w:kern w:val="0"/>
              </w:rPr>
              <w:t>违反条款</w:t>
            </w:r>
          </w:p>
        </w:tc>
        <w:tc>
          <w:tcPr>
            <w:tcW w:w="2148" w:type="dxa"/>
            <w:vAlign w:val="center"/>
          </w:tcPr>
          <w:p w14:paraId="04ECB26A">
            <w:pPr>
              <w:spacing w:line="240" w:lineRule="exact"/>
              <w:jc w:val="center"/>
              <w:rPr>
                <w:rFonts w:ascii="宋体"/>
                <w:b/>
                <w:kern w:val="0"/>
              </w:rPr>
            </w:pPr>
            <w:r>
              <w:rPr>
                <w:rFonts w:hint="eastAsia" w:ascii="宋体"/>
                <w:b/>
                <w:kern w:val="0"/>
              </w:rPr>
              <w:t>处罚依据</w:t>
            </w:r>
          </w:p>
        </w:tc>
        <w:tc>
          <w:tcPr>
            <w:tcW w:w="1170" w:type="dxa"/>
            <w:vMerge w:val="continue"/>
            <w:vAlign w:val="center"/>
          </w:tcPr>
          <w:p w14:paraId="09F2B206">
            <w:pPr>
              <w:spacing w:line="240" w:lineRule="exact"/>
              <w:jc w:val="center"/>
              <w:rPr>
                <w:rFonts w:ascii="宋体"/>
                <w:b/>
                <w:kern w:val="0"/>
              </w:rPr>
            </w:pPr>
          </w:p>
        </w:tc>
        <w:tc>
          <w:tcPr>
            <w:tcW w:w="6198" w:type="dxa"/>
            <w:vMerge w:val="continue"/>
            <w:tcBorders>
              <w:bottom w:val="single" w:color="auto" w:sz="4" w:space="0"/>
            </w:tcBorders>
            <w:vAlign w:val="center"/>
          </w:tcPr>
          <w:p w14:paraId="2DAA30B1">
            <w:pPr>
              <w:spacing w:line="240" w:lineRule="exact"/>
              <w:jc w:val="center"/>
              <w:rPr>
                <w:rFonts w:ascii="宋体"/>
                <w:b/>
                <w:kern w:val="0"/>
              </w:rPr>
            </w:pPr>
          </w:p>
        </w:tc>
        <w:tc>
          <w:tcPr>
            <w:tcW w:w="7227" w:type="dxa"/>
            <w:tcBorders>
              <w:top w:val="single" w:color="auto" w:sz="4" w:space="0"/>
              <w:bottom w:val="single" w:color="auto" w:sz="4" w:space="0"/>
              <w:right w:val="single" w:color="auto" w:sz="4" w:space="0"/>
            </w:tcBorders>
            <w:vAlign w:val="center"/>
          </w:tcPr>
          <w:p w14:paraId="21EBE4B6">
            <w:pPr>
              <w:spacing w:line="240" w:lineRule="exact"/>
              <w:jc w:val="center"/>
              <w:rPr>
                <w:rFonts w:ascii="宋体"/>
                <w:b/>
                <w:kern w:val="0"/>
              </w:rPr>
            </w:pPr>
            <w:r>
              <w:rPr>
                <w:rFonts w:hint="eastAsia" w:ascii="宋体"/>
                <w:b/>
                <w:kern w:val="0"/>
              </w:rPr>
              <w:t>【对象】托运人</w:t>
            </w:r>
          </w:p>
        </w:tc>
      </w:tr>
      <w:tr w14:paraId="7601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1015" w:type="dxa"/>
            <w:vMerge w:val="restart"/>
            <w:vAlign w:val="center"/>
          </w:tcPr>
          <w:p w14:paraId="5DAA5E65">
            <w:pPr>
              <w:widowControl/>
              <w:spacing w:line="240" w:lineRule="exact"/>
              <w:jc w:val="left"/>
              <w:rPr>
                <w:rFonts w:ascii="宋体"/>
                <w:kern w:val="0"/>
              </w:rPr>
            </w:pPr>
            <w:r>
              <w:rPr>
                <w:rFonts w:hint="eastAsia" w:ascii="宋体"/>
                <w:kern w:val="0"/>
              </w:rPr>
              <w:t>托运人在托运的普通货物中夹带危险货物或者将危险货物谎报为普通货物托运</w:t>
            </w:r>
          </w:p>
        </w:tc>
        <w:tc>
          <w:tcPr>
            <w:tcW w:w="2331" w:type="dxa"/>
            <w:vMerge w:val="restart"/>
            <w:vAlign w:val="center"/>
          </w:tcPr>
          <w:p w14:paraId="5EF52166">
            <w:pPr>
              <w:widowControl/>
              <w:spacing w:line="240" w:lineRule="exact"/>
              <w:jc w:val="left"/>
              <w:rPr>
                <w:rFonts w:ascii="宋体"/>
                <w:kern w:val="0"/>
              </w:rPr>
            </w:pPr>
            <w:r>
              <w:rPr>
                <w:rFonts w:hint="eastAsia" w:ascii="宋体"/>
                <w:kern w:val="0"/>
              </w:rPr>
              <w:t>1.《中华人民共和国海上交通安全法》第六十三条第二款。</w:t>
            </w:r>
          </w:p>
        </w:tc>
        <w:tc>
          <w:tcPr>
            <w:tcW w:w="2148" w:type="dxa"/>
            <w:vMerge w:val="restart"/>
            <w:vAlign w:val="center"/>
          </w:tcPr>
          <w:p w14:paraId="3F50E707">
            <w:pPr>
              <w:widowControl/>
              <w:spacing w:line="240" w:lineRule="exact"/>
              <w:jc w:val="left"/>
              <w:rPr>
                <w:rFonts w:ascii="宋体"/>
                <w:kern w:val="0"/>
              </w:rPr>
            </w:pPr>
            <w:r>
              <w:rPr>
                <w:rFonts w:hint="eastAsia" w:ascii="宋体"/>
                <w:kern w:val="0"/>
              </w:rPr>
              <w:t>1.《中华人民共和国海上交通安全法》第一百零九条第（三）项、</w:t>
            </w:r>
            <w:r>
              <w:rPr>
                <w:rFonts w:hint="eastAsia" w:ascii="宋体"/>
              </w:rPr>
              <w:t>《中华人民共和国海上海事行政处罚规定》第三十一条第（三）项。</w:t>
            </w:r>
            <w:r>
              <w:rPr>
                <w:rFonts w:hint="eastAsia" w:ascii="宋体"/>
                <w:kern w:val="0"/>
              </w:rPr>
              <w:t xml:space="preserve">  </w:t>
            </w:r>
          </w:p>
          <w:p w14:paraId="7E84C579">
            <w:pPr>
              <w:widowControl/>
              <w:spacing w:line="240" w:lineRule="exact"/>
              <w:jc w:val="left"/>
              <w:rPr>
                <w:rFonts w:ascii="宋体"/>
                <w:kern w:val="0"/>
              </w:rPr>
            </w:pPr>
            <w:r>
              <w:rPr>
                <w:rFonts w:hint="eastAsia" w:ascii="宋体"/>
                <w:kern w:val="0"/>
              </w:rPr>
              <w:t>2. 《中华人民共和国海上海事行政处罚规定》第七条。</w:t>
            </w:r>
          </w:p>
        </w:tc>
        <w:tc>
          <w:tcPr>
            <w:tcW w:w="1170" w:type="dxa"/>
            <w:vAlign w:val="center"/>
          </w:tcPr>
          <w:p w14:paraId="39EB9596">
            <w:pPr>
              <w:widowControl/>
              <w:spacing w:line="240" w:lineRule="exact"/>
              <w:jc w:val="center"/>
              <w:rPr>
                <w:rFonts w:ascii="宋体"/>
                <w:kern w:val="0"/>
              </w:rPr>
            </w:pPr>
            <w:r>
              <w:rPr>
                <w:rFonts w:hint="eastAsia" w:ascii="宋体"/>
                <w:kern w:val="0"/>
              </w:rPr>
              <w:t>从轻</w:t>
            </w:r>
          </w:p>
        </w:tc>
        <w:tc>
          <w:tcPr>
            <w:tcW w:w="6198" w:type="dxa"/>
            <w:tcBorders>
              <w:bottom w:val="single" w:color="auto" w:sz="4" w:space="0"/>
              <w:right w:val="single" w:color="auto" w:sz="4" w:space="0"/>
            </w:tcBorders>
            <w:vAlign w:val="center"/>
          </w:tcPr>
          <w:p w14:paraId="1E922DA0">
            <w:pPr>
              <w:widowControl/>
              <w:spacing w:line="240" w:lineRule="exact"/>
              <w:jc w:val="left"/>
              <w:rPr>
                <w:rFonts w:ascii="宋体"/>
                <w:kern w:val="0"/>
              </w:rPr>
            </w:pPr>
            <w:r>
              <w:rPr>
                <w:rFonts w:hint="eastAsia" w:ascii="宋体"/>
                <w:kern w:val="0"/>
              </w:rPr>
              <w:t>具有法定从轻处罚情节的</w:t>
            </w:r>
          </w:p>
        </w:tc>
        <w:tc>
          <w:tcPr>
            <w:tcW w:w="7227" w:type="dxa"/>
            <w:tcBorders>
              <w:left w:val="single" w:color="auto" w:sz="4" w:space="0"/>
              <w:bottom w:val="single" w:color="auto" w:sz="4" w:space="0"/>
              <w:right w:val="single" w:color="auto" w:sz="4" w:space="0"/>
            </w:tcBorders>
            <w:vAlign w:val="center"/>
          </w:tcPr>
          <w:p w14:paraId="71875873">
            <w:pPr>
              <w:widowControl/>
              <w:spacing w:line="240" w:lineRule="exact"/>
              <w:jc w:val="center"/>
              <w:rPr>
                <w:rFonts w:ascii="宋体"/>
                <w:kern w:val="0"/>
              </w:rPr>
            </w:pPr>
            <w:r>
              <w:rPr>
                <w:rFonts w:hint="eastAsia" w:ascii="宋体"/>
                <w:kern w:val="0"/>
              </w:rPr>
              <w:t>5-6万元</w:t>
            </w:r>
          </w:p>
        </w:tc>
      </w:tr>
      <w:tr w14:paraId="4697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015" w:type="dxa"/>
            <w:vMerge w:val="continue"/>
            <w:vAlign w:val="center"/>
          </w:tcPr>
          <w:p w14:paraId="7F5FC326">
            <w:pPr>
              <w:widowControl/>
              <w:spacing w:line="240" w:lineRule="exact"/>
              <w:jc w:val="left"/>
              <w:rPr>
                <w:rFonts w:ascii="宋体"/>
                <w:kern w:val="0"/>
              </w:rPr>
            </w:pPr>
          </w:p>
        </w:tc>
        <w:tc>
          <w:tcPr>
            <w:tcW w:w="2331" w:type="dxa"/>
            <w:vMerge w:val="continue"/>
            <w:vAlign w:val="center"/>
          </w:tcPr>
          <w:p w14:paraId="0B3DA9BF">
            <w:pPr>
              <w:widowControl/>
              <w:spacing w:line="240" w:lineRule="exact"/>
              <w:jc w:val="left"/>
              <w:rPr>
                <w:rFonts w:ascii="宋体"/>
                <w:kern w:val="0"/>
              </w:rPr>
            </w:pPr>
          </w:p>
        </w:tc>
        <w:tc>
          <w:tcPr>
            <w:tcW w:w="2148" w:type="dxa"/>
            <w:vMerge w:val="continue"/>
            <w:vAlign w:val="center"/>
          </w:tcPr>
          <w:p w14:paraId="63E97892">
            <w:pPr>
              <w:widowControl/>
              <w:spacing w:line="240" w:lineRule="exact"/>
              <w:jc w:val="left"/>
              <w:rPr>
                <w:rFonts w:ascii="宋体"/>
                <w:kern w:val="0"/>
              </w:rPr>
            </w:pPr>
          </w:p>
        </w:tc>
        <w:tc>
          <w:tcPr>
            <w:tcW w:w="1170" w:type="dxa"/>
            <w:vMerge w:val="restart"/>
            <w:vAlign w:val="center"/>
          </w:tcPr>
          <w:p w14:paraId="230ED7E6">
            <w:pPr>
              <w:widowControl/>
              <w:spacing w:line="240" w:lineRule="exact"/>
              <w:jc w:val="center"/>
              <w:rPr>
                <w:rFonts w:ascii="宋体"/>
                <w:kern w:val="0"/>
              </w:rPr>
            </w:pPr>
            <w:r>
              <w:rPr>
                <w:rFonts w:hint="eastAsia" w:ascii="宋体"/>
                <w:kern w:val="0"/>
              </w:rPr>
              <w:t>一般</w:t>
            </w:r>
          </w:p>
        </w:tc>
        <w:tc>
          <w:tcPr>
            <w:tcW w:w="6198" w:type="dxa"/>
            <w:tcBorders>
              <w:bottom w:val="single" w:color="auto" w:sz="4" w:space="0"/>
              <w:right w:val="single" w:color="auto" w:sz="4" w:space="0"/>
            </w:tcBorders>
            <w:vAlign w:val="center"/>
          </w:tcPr>
          <w:p w14:paraId="70D93F93">
            <w:pPr>
              <w:widowControl/>
              <w:spacing w:line="240" w:lineRule="exact"/>
              <w:jc w:val="left"/>
              <w:rPr>
                <w:rFonts w:ascii="宋体"/>
                <w:kern w:val="0"/>
              </w:rPr>
            </w:pPr>
            <w:r>
              <w:rPr>
                <w:rFonts w:hint="eastAsia" w:ascii="宋体"/>
                <w:kern w:val="0"/>
              </w:rPr>
              <w:t>1.涉及品种1个；</w:t>
            </w:r>
          </w:p>
          <w:p w14:paraId="68F4B947">
            <w:pPr>
              <w:widowControl/>
              <w:spacing w:line="240" w:lineRule="exact"/>
              <w:jc w:val="left"/>
              <w:rPr>
                <w:rFonts w:ascii="宋体"/>
                <w:kern w:val="0"/>
              </w:rPr>
            </w:pPr>
            <w:r>
              <w:rPr>
                <w:rFonts w:hint="eastAsia" w:ascii="宋体"/>
                <w:kern w:val="0"/>
              </w:rPr>
              <w:t>2.涉及集装箱数1～5TEU的，或涉及散装货物不足500吨的。</w:t>
            </w:r>
          </w:p>
        </w:tc>
        <w:tc>
          <w:tcPr>
            <w:tcW w:w="7227" w:type="dxa"/>
            <w:tcBorders>
              <w:left w:val="single" w:color="auto" w:sz="4" w:space="0"/>
              <w:bottom w:val="single" w:color="auto" w:sz="4" w:space="0"/>
              <w:right w:val="single" w:color="auto" w:sz="4" w:space="0"/>
            </w:tcBorders>
            <w:vAlign w:val="center"/>
          </w:tcPr>
          <w:p w14:paraId="5351F2DA">
            <w:pPr>
              <w:widowControl/>
              <w:spacing w:line="240" w:lineRule="exact"/>
              <w:jc w:val="center"/>
              <w:rPr>
                <w:rFonts w:ascii="宋体"/>
                <w:kern w:val="0"/>
              </w:rPr>
            </w:pPr>
            <w:r>
              <w:rPr>
                <w:rFonts w:hint="eastAsia" w:ascii="宋体"/>
                <w:kern w:val="0"/>
              </w:rPr>
              <w:t>6-8万元</w:t>
            </w:r>
          </w:p>
        </w:tc>
      </w:tr>
      <w:tr w14:paraId="4AAF2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015" w:type="dxa"/>
            <w:vMerge w:val="continue"/>
            <w:vAlign w:val="center"/>
          </w:tcPr>
          <w:p w14:paraId="69684BAC">
            <w:pPr>
              <w:widowControl/>
              <w:spacing w:line="240" w:lineRule="exact"/>
              <w:jc w:val="left"/>
              <w:rPr>
                <w:rFonts w:ascii="宋体"/>
                <w:kern w:val="0"/>
              </w:rPr>
            </w:pPr>
          </w:p>
        </w:tc>
        <w:tc>
          <w:tcPr>
            <w:tcW w:w="2331" w:type="dxa"/>
            <w:vMerge w:val="continue"/>
            <w:vAlign w:val="center"/>
          </w:tcPr>
          <w:p w14:paraId="016E7AC4">
            <w:pPr>
              <w:widowControl/>
              <w:spacing w:line="240" w:lineRule="exact"/>
              <w:jc w:val="left"/>
              <w:rPr>
                <w:rFonts w:ascii="宋体"/>
                <w:kern w:val="0"/>
              </w:rPr>
            </w:pPr>
          </w:p>
        </w:tc>
        <w:tc>
          <w:tcPr>
            <w:tcW w:w="2148" w:type="dxa"/>
            <w:vMerge w:val="continue"/>
            <w:vAlign w:val="center"/>
          </w:tcPr>
          <w:p w14:paraId="341E71D1">
            <w:pPr>
              <w:widowControl/>
              <w:spacing w:line="240" w:lineRule="exact"/>
              <w:jc w:val="left"/>
              <w:rPr>
                <w:rFonts w:ascii="宋体"/>
                <w:kern w:val="0"/>
              </w:rPr>
            </w:pPr>
          </w:p>
        </w:tc>
        <w:tc>
          <w:tcPr>
            <w:tcW w:w="1170" w:type="dxa"/>
            <w:vMerge w:val="continue"/>
            <w:vAlign w:val="center"/>
          </w:tcPr>
          <w:p w14:paraId="568FE9CD">
            <w:pPr>
              <w:spacing w:line="240" w:lineRule="exact"/>
              <w:jc w:val="center"/>
              <w:rPr>
                <w:rFonts w:ascii="宋体"/>
                <w:kern w:val="0"/>
              </w:rPr>
            </w:pPr>
          </w:p>
        </w:tc>
        <w:tc>
          <w:tcPr>
            <w:tcW w:w="6198" w:type="dxa"/>
            <w:tcBorders>
              <w:bottom w:val="single" w:color="auto" w:sz="4" w:space="0"/>
              <w:right w:val="single" w:color="auto" w:sz="4" w:space="0"/>
            </w:tcBorders>
            <w:vAlign w:val="center"/>
          </w:tcPr>
          <w:p w14:paraId="41686087">
            <w:pPr>
              <w:widowControl/>
              <w:spacing w:line="240" w:lineRule="exact"/>
              <w:jc w:val="left"/>
              <w:rPr>
                <w:rFonts w:ascii="宋体"/>
                <w:kern w:val="0"/>
              </w:rPr>
            </w:pPr>
            <w:r>
              <w:rPr>
                <w:rFonts w:hint="eastAsia" w:ascii="宋体"/>
                <w:kern w:val="0"/>
              </w:rPr>
              <w:t>1.涉及品种2个及以上；</w:t>
            </w:r>
          </w:p>
          <w:p w14:paraId="77789471">
            <w:pPr>
              <w:widowControl/>
              <w:spacing w:line="240" w:lineRule="exact"/>
              <w:jc w:val="left"/>
              <w:rPr>
                <w:rFonts w:ascii="宋体"/>
                <w:kern w:val="0"/>
              </w:rPr>
            </w:pPr>
            <w:r>
              <w:rPr>
                <w:rFonts w:hint="eastAsia" w:ascii="宋体"/>
                <w:kern w:val="0"/>
              </w:rPr>
              <w:t>2.涉及集装箱数6～10TEU的，或涉及散装货物500～1000吨。</w:t>
            </w:r>
          </w:p>
        </w:tc>
        <w:tc>
          <w:tcPr>
            <w:tcW w:w="7227" w:type="dxa"/>
            <w:tcBorders>
              <w:left w:val="single" w:color="auto" w:sz="4" w:space="0"/>
              <w:bottom w:val="single" w:color="auto" w:sz="4" w:space="0"/>
              <w:right w:val="single" w:color="auto" w:sz="4" w:space="0"/>
            </w:tcBorders>
            <w:vAlign w:val="center"/>
          </w:tcPr>
          <w:p w14:paraId="47988E1C">
            <w:pPr>
              <w:widowControl/>
              <w:spacing w:line="240" w:lineRule="exact"/>
              <w:jc w:val="center"/>
              <w:rPr>
                <w:rFonts w:ascii="宋体"/>
                <w:kern w:val="0"/>
              </w:rPr>
            </w:pPr>
            <w:r>
              <w:rPr>
                <w:rFonts w:hint="eastAsia" w:ascii="宋体"/>
                <w:kern w:val="0"/>
              </w:rPr>
              <w:t>8-10万元</w:t>
            </w:r>
          </w:p>
        </w:tc>
      </w:tr>
      <w:tr w14:paraId="1D4D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trPr>
        <w:tc>
          <w:tcPr>
            <w:tcW w:w="1015" w:type="dxa"/>
            <w:vMerge w:val="continue"/>
            <w:vAlign w:val="center"/>
          </w:tcPr>
          <w:p w14:paraId="267E8432">
            <w:pPr>
              <w:widowControl/>
              <w:spacing w:line="240" w:lineRule="exact"/>
              <w:jc w:val="left"/>
              <w:rPr>
                <w:rFonts w:ascii="宋体"/>
                <w:kern w:val="0"/>
              </w:rPr>
            </w:pPr>
          </w:p>
        </w:tc>
        <w:tc>
          <w:tcPr>
            <w:tcW w:w="2331" w:type="dxa"/>
            <w:vMerge w:val="continue"/>
            <w:vAlign w:val="center"/>
          </w:tcPr>
          <w:p w14:paraId="759AFE45">
            <w:pPr>
              <w:widowControl/>
              <w:spacing w:line="240" w:lineRule="exact"/>
              <w:jc w:val="left"/>
              <w:rPr>
                <w:rFonts w:ascii="宋体"/>
                <w:kern w:val="0"/>
              </w:rPr>
            </w:pPr>
          </w:p>
        </w:tc>
        <w:tc>
          <w:tcPr>
            <w:tcW w:w="2148" w:type="dxa"/>
            <w:vMerge w:val="continue"/>
            <w:vAlign w:val="center"/>
          </w:tcPr>
          <w:p w14:paraId="5F54129A">
            <w:pPr>
              <w:widowControl/>
              <w:spacing w:line="240" w:lineRule="exact"/>
              <w:jc w:val="left"/>
              <w:rPr>
                <w:rFonts w:ascii="宋体"/>
                <w:kern w:val="0"/>
              </w:rPr>
            </w:pPr>
          </w:p>
        </w:tc>
        <w:tc>
          <w:tcPr>
            <w:tcW w:w="1170" w:type="dxa"/>
            <w:vMerge w:val="continue"/>
            <w:vAlign w:val="center"/>
          </w:tcPr>
          <w:p w14:paraId="30E43750">
            <w:pPr>
              <w:widowControl/>
              <w:spacing w:line="240" w:lineRule="exact"/>
              <w:jc w:val="center"/>
              <w:rPr>
                <w:rFonts w:ascii="宋体"/>
                <w:kern w:val="0"/>
              </w:rPr>
            </w:pPr>
          </w:p>
        </w:tc>
        <w:tc>
          <w:tcPr>
            <w:tcW w:w="6198" w:type="dxa"/>
            <w:tcBorders>
              <w:top w:val="single" w:color="auto" w:sz="4" w:space="0"/>
              <w:bottom w:val="single" w:color="auto" w:sz="4" w:space="0"/>
              <w:right w:val="single" w:color="auto" w:sz="4" w:space="0"/>
            </w:tcBorders>
            <w:vAlign w:val="center"/>
          </w:tcPr>
          <w:p w14:paraId="4605D991">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14:paraId="69E9C1CF">
            <w:pPr>
              <w:widowControl/>
              <w:spacing w:line="240" w:lineRule="exact"/>
              <w:jc w:val="left"/>
              <w:rPr>
                <w:rFonts w:ascii="宋体"/>
                <w:kern w:val="0"/>
              </w:rPr>
            </w:pPr>
            <w:r>
              <w:rPr>
                <w:rFonts w:hint="eastAsia" w:ascii="宋体"/>
                <w:kern w:val="0"/>
              </w:rPr>
              <w:t>2.涉及集装箱数11TEU及以上的，或涉及散装货物超过1000吨的；</w:t>
            </w:r>
          </w:p>
          <w:p w14:paraId="08949552">
            <w:pPr>
              <w:widowControl/>
              <w:spacing w:line="240" w:lineRule="exact"/>
              <w:jc w:val="left"/>
              <w:rPr>
                <w:rFonts w:ascii="宋体"/>
                <w:kern w:val="0"/>
              </w:rPr>
            </w:pPr>
            <w:r>
              <w:rPr>
                <w:rFonts w:hint="eastAsia" w:ascii="宋体"/>
                <w:kern w:val="0"/>
              </w:rPr>
              <w:t>3.发生险情的；</w:t>
            </w:r>
          </w:p>
        </w:tc>
        <w:tc>
          <w:tcPr>
            <w:tcW w:w="7227" w:type="dxa"/>
            <w:tcBorders>
              <w:top w:val="single" w:color="auto" w:sz="4" w:space="0"/>
              <w:left w:val="single" w:color="auto" w:sz="4" w:space="0"/>
              <w:bottom w:val="single" w:color="auto" w:sz="4" w:space="0"/>
              <w:right w:val="single" w:color="auto" w:sz="4" w:space="0"/>
            </w:tcBorders>
            <w:vAlign w:val="center"/>
          </w:tcPr>
          <w:p w14:paraId="73FA2670">
            <w:pPr>
              <w:widowControl/>
              <w:spacing w:line="240" w:lineRule="exact"/>
              <w:jc w:val="center"/>
              <w:rPr>
                <w:rFonts w:ascii="宋体"/>
                <w:kern w:val="0"/>
              </w:rPr>
            </w:pPr>
            <w:r>
              <w:rPr>
                <w:rFonts w:hint="eastAsia" w:ascii="宋体"/>
                <w:kern w:val="0"/>
              </w:rPr>
              <w:t xml:space="preserve">10-20万元 </w:t>
            </w:r>
          </w:p>
        </w:tc>
      </w:tr>
      <w:tr w14:paraId="24DF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15" w:type="dxa"/>
            <w:vMerge w:val="continue"/>
            <w:vAlign w:val="center"/>
          </w:tcPr>
          <w:p w14:paraId="1DAC687E">
            <w:pPr>
              <w:widowControl/>
              <w:spacing w:line="240" w:lineRule="exact"/>
              <w:jc w:val="left"/>
              <w:rPr>
                <w:rFonts w:ascii="宋体"/>
                <w:kern w:val="0"/>
              </w:rPr>
            </w:pPr>
          </w:p>
        </w:tc>
        <w:tc>
          <w:tcPr>
            <w:tcW w:w="2331" w:type="dxa"/>
            <w:vMerge w:val="continue"/>
            <w:vAlign w:val="center"/>
          </w:tcPr>
          <w:p w14:paraId="61DA9E2C">
            <w:pPr>
              <w:widowControl/>
              <w:spacing w:line="240" w:lineRule="exact"/>
              <w:jc w:val="left"/>
              <w:rPr>
                <w:rFonts w:ascii="宋体"/>
                <w:kern w:val="0"/>
              </w:rPr>
            </w:pPr>
          </w:p>
        </w:tc>
        <w:tc>
          <w:tcPr>
            <w:tcW w:w="2148" w:type="dxa"/>
            <w:vMerge w:val="continue"/>
            <w:vAlign w:val="center"/>
          </w:tcPr>
          <w:p w14:paraId="133DAFEB">
            <w:pPr>
              <w:widowControl/>
              <w:spacing w:line="240" w:lineRule="exact"/>
              <w:jc w:val="left"/>
              <w:rPr>
                <w:rFonts w:ascii="宋体"/>
                <w:kern w:val="0"/>
              </w:rPr>
            </w:pPr>
          </w:p>
        </w:tc>
        <w:tc>
          <w:tcPr>
            <w:tcW w:w="1170" w:type="dxa"/>
            <w:vMerge w:val="continue"/>
            <w:vAlign w:val="center"/>
          </w:tcPr>
          <w:p w14:paraId="78551D10">
            <w:pPr>
              <w:widowControl/>
              <w:spacing w:line="240" w:lineRule="exact"/>
              <w:jc w:val="center"/>
              <w:rPr>
                <w:rFonts w:ascii="宋体"/>
                <w:kern w:val="0"/>
              </w:rPr>
            </w:pPr>
          </w:p>
        </w:tc>
        <w:tc>
          <w:tcPr>
            <w:tcW w:w="6198" w:type="dxa"/>
            <w:tcBorders>
              <w:top w:val="single" w:color="auto" w:sz="4" w:space="0"/>
              <w:bottom w:val="single" w:color="auto" w:sz="4" w:space="0"/>
              <w:right w:val="single" w:color="auto" w:sz="4" w:space="0"/>
            </w:tcBorders>
            <w:vAlign w:val="center"/>
          </w:tcPr>
          <w:p w14:paraId="430FC6C8">
            <w:pPr>
              <w:widowControl/>
              <w:spacing w:line="240" w:lineRule="exact"/>
              <w:jc w:val="left"/>
              <w:rPr>
                <w:rFonts w:ascii="宋体"/>
                <w:kern w:val="0"/>
              </w:rPr>
            </w:pPr>
            <w:r>
              <w:rPr>
                <w:rFonts w:hint="eastAsia" w:ascii="宋体"/>
                <w:kern w:val="0"/>
              </w:rPr>
              <w:t>具有其他较重情节的。</w:t>
            </w:r>
          </w:p>
        </w:tc>
        <w:tc>
          <w:tcPr>
            <w:tcW w:w="7227" w:type="dxa"/>
            <w:tcBorders>
              <w:top w:val="single" w:color="auto" w:sz="4" w:space="0"/>
              <w:left w:val="single" w:color="auto" w:sz="4" w:space="0"/>
              <w:bottom w:val="single" w:color="auto" w:sz="4" w:space="0"/>
              <w:right w:val="single" w:color="auto" w:sz="4" w:space="0"/>
            </w:tcBorders>
            <w:vAlign w:val="center"/>
          </w:tcPr>
          <w:p w14:paraId="28E41B34">
            <w:pPr>
              <w:widowControl/>
              <w:spacing w:line="240" w:lineRule="exact"/>
              <w:jc w:val="center"/>
              <w:rPr>
                <w:rFonts w:ascii="宋体"/>
                <w:kern w:val="0"/>
              </w:rPr>
            </w:pPr>
            <w:r>
              <w:rPr>
                <w:rFonts w:hint="eastAsia" w:ascii="宋体"/>
                <w:kern w:val="0"/>
              </w:rPr>
              <w:t xml:space="preserve">15-30万元 </w:t>
            </w:r>
          </w:p>
        </w:tc>
      </w:tr>
      <w:tr w14:paraId="1F55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1015" w:type="dxa"/>
            <w:vMerge w:val="continue"/>
            <w:vAlign w:val="center"/>
          </w:tcPr>
          <w:p w14:paraId="48CF15B9">
            <w:pPr>
              <w:widowControl/>
              <w:spacing w:line="240" w:lineRule="exact"/>
              <w:jc w:val="center"/>
              <w:rPr>
                <w:rFonts w:ascii="宋体"/>
              </w:rPr>
            </w:pPr>
          </w:p>
        </w:tc>
        <w:tc>
          <w:tcPr>
            <w:tcW w:w="2331" w:type="dxa"/>
            <w:vMerge w:val="continue"/>
            <w:vAlign w:val="center"/>
          </w:tcPr>
          <w:p w14:paraId="1A1497E6">
            <w:pPr>
              <w:widowControl/>
              <w:spacing w:line="240" w:lineRule="exact"/>
              <w:jc w:val="center"/>
              <w:rPr>
                <w:rFonts w:ascii="宋体"/>
              </w:rPr>
            </w:pPr>
          </w:p>
        </w:tc>
        <w:tc>
          <w:tcPr>
            <w:tcW w:w="2148" w:type="dxa"/>
            <w:vMerge w:val="continue"/>
            <w:vAlign w:val="center"/>
          </w:tcPr>
          <w:p w14:paraId="74C9E491">
            <w:pPr>
              <w:widowControl/>
              <w:spacing w:line="240" w:lineRule="exact"/>
              <w:jc w:val="center"/>
              <w:rPr>
                <w:rFonts w:ascii="宋体"/>
              </w:rPr>
            </w:pPr>
          </w:p>
        </w:tc>
        <w:tc>
          <w:tcPr>
            <w:tcW w:w="1170" w:type="dxa"/>
            <w:vMerge w:val="continue"/>
            <w:tcBorders>
              <w:bottom w:val="single" w:color="auto" w:sz="4" w:space="0"/>
            </w:tcBorders>
            <w:vAlign w:val="center"/>
          </w:tcPr>
          <w:p w14:paraId="1F648510">
            <w:pPr>
              <w:widowControl/>
              <w:spacing w:line="240" w:lineRule="exact"/>
              <w:jc w:val="center"/>
              <w:rPr>
                <w:rFonts w:ascii="宋体"/>
              </w:rPr>
            </w:pPr>
          </w:p>
        </w:tc>
        <w:tc>
          <w:tcPr>
            <w:tcW w:w="6198" w:type="dxa"/>
            <w:tcBorders>
              <w:top w:val="single" w:color="auto" w:sz="4" w:space="0"/>
              <w:bottom w:val="single" w:color="auto" w:sz="4" w:space="0"/>
              <w:right w:val="single" w:color="auto" w:sz="4" w:space="0"/>
            </w:tcBorders>
            <w:vAlign w:val="center"/>
          </w:tcPr>
          <w:p w14:paraId="38465718">
            <w:pPr>
              <w:widowControl/>
              <w:spacing w:line="240" w:lineRule="exact"/>
              <w:jc w:val="left"/>
              <w:rPr>
                <w:rFonts w:ascii="宋体"/>
                <w:kern w:val="0"/>
              </w:rPr>
            </w:pPr>
            <w:r>
              <w:rPr>
                <w:rFonts w:hint="eastAsia" w:ascii="宋体"/>
                <w:kern w:val="0"/>
              </w:rPr>
              <w:t>发生船舶火灾、爆炸、人身伤亡、污染等事故。</w:t>
            </w:r>
          </w:p>
        </w:tc>
        <w:tc>
          <w:tcPr>
            <w:tcW w:w="7227" w:type="dxa"/>
            <w:tcBorders>
              <w:top w:val="single" w:color="auto" w:sz="4" w:space="0"/>
              <w:left w:val="single" w:color="auto" w:sz="4" w:space="0"/>
              <w:bottom w:val="single" w:color="auto" w:sz="4" w:space="0"/>
              <w:right w:val="single" w:color="auto" w:sz="4" w:space="0"/>
            </w:tcBorders>
            <w:vAlign w:val="center"/>
          </w:tcPr>
          <w:p w14:paraId="1353FB67">
            <w:pPr>
              <w:widowControl/>
              <w:spacing w:line="240" w:lineRule="exact"/>
              <w:jc w:val="center"/>
              <w:rPr>
                <w:rFonts w:ascii="宋体"/>
                <w:kern w:val="0"/>
              </w:rPr>
            </w:pPr>
            <w:r>
              <w:rPr>
                <w:rFonts w:hint="eastAsia" w:ascii="宋体"/>
                <w:kern w:val="0"/>
              </w:rPr>
              <w:t xml:space="preserve">20-30万元 </w:t>
            </w:r>
          </w:p>
        </w:tc>
      </w:tr>
    </w:tbl>
    <w:p w14:paraId="0B3D5B1C">
      <w:pPr>
        <w:spacing w:line="240" w:lineRule="exact"/>
        <w:rPr>
          <w:rFonts w:ascii="宋体"/>
          <w:b/>
          <w:bCs/>
          <w:kern w:val="0"/>
        </w:rPr>
      </w:pPr>
    </w:p>
    <w:p w14:paraId="2F9422F4">
      <w:pPr>
        <w:spacing w:line="240" w:lineRule="exact"/>
        <w:rPr>
          <w:rFonts w:ascii="宋体"/>
          <w:b/>
          <w:bCs/>
          <w:kern w:val="0"/>
        </w:rPr>
      </w:pPr>
    </w:p>
    <w:p w14:paraId="469712BF">
      <w:pPr>
        <w:spacing w:line="240" w:lineRule="exact"/>
        <w:rPr>
          <w:rFonts w:ascii="宋体"/>
          <w:b/>
          <w:bCs/>
          <w:kern w:val="0"/>
        </w:rPr>
      </w:pPr>
    </w:p>
    <w:p w14:paraId="22B7B7FA">
      <w:pPr>
        <w:spacing w:line="240" w:lineRule="exact"/>
        <w:rPr>
          <w:rFonts w:ascii="宋体"/>
          <w:b/>
          <w:bCs/>
          <w:kern w:val="0"/>
        </w:rPr>
      </w:pPr>
    </w:p>
    <w:p w14:paraId="2575C8D5">
      <w:pPr>
        <w:spacing w:line="240" w:lineRule="exact"/>
        <w:rPr>
          <w:rFonts w:ascii="宋体"/>
          <w:b/>
          <w:bCs/>
          <w:kern w:val="0"/>
        </w:rPr>
      </w:pPr>
    </w:p>
    <w:p w14:paraId="45695E80">
      <w:pPr>
        <w:spacing w:line="240" w:lineRule="exact"/>
        <w:rPr>
          <w:rFonts w:ascii="宋体"/>
          <w:b/>
          <w:bCs/>
          <w:kern w:val="0"/>
        </w:rPr>
      </w:pPr>
    </w:p>
    <w:p w14:paraId="3D731603">
      <w:pPr>
        <w:spacing w:line="240" w:lineRule="exact"/>
        <w:rPr>
          <w:rFonts w:ascii="宋体"/>
          <w:b/>
          <w:bCs/>
          <w:kern w:val="0"/>
        </w:rPr>
      </w:pPr>
    </w:p>
    <w:p w14:paraId="58D14C18">
      <w:pPr>
        <w:spacing w:line="240" w:lineRule="exact"/>
        <w:rPr>
          <w:rFonts w:ascii="宋体"/>
          <w:b/>
          <w:bCs/>
          <w:kern w:val="0"/>
        </w:rPr>
      </w:pPr>
    </w:p>
    <w:p w14:paraId="0E58A717">
      <w:pPr>
        <w:spacing w:line="240" w:lineRule="exact"/>
        <w:rPr>
          <w:rFonts w:ascii="宋体"/>
          <w:b/>
          <w:bCs/>
          <w:kern w:val="0"/>
        </w:rPr>
      </w:pPr>
    </w:p>
    <w:p w14:paraId="7BD27157">
      <w:pPr>
        <w:spacing w:line="240" w:lineRule="exact"/>
        <w:rPr>
          <w:rFonts w:ascii="宋体"/>
          <w:b/>
          <w:bCs/>
          <w:kern w:val="0"/>
        </w:rPr>
      </w:pPr>
    </w:p>
    <w:p w14:paraId="4D277032">
      <w:pPr>
        <w:spacing w:line="240" w:lineRule="exact"/>
        <w:rPr>
          <w:rFonts w:ascii="宋体"/>
          <w:b/>
          <w:bCs/>
          <w:kern w:val="0"/>
        </w:rPr>
      </w:pPr>
    </w:p>
    <w:p w14:paraId="4E8CFA29">
      <w:pPr>
        <w:spacing w:line="240" w:lineRule="exact"/>
        <w:rPr>
          <w:rFonts w:ascii="宋体"/>
          <w:b/>
          <w:bCs/>
          <w:kern w:val="0"/>
        </w:rPr>
      </w:pPr>
    </w:p>
    <w:p w14:paraId="0200B3AB">
      <w:pPr>
        <w:spacing w:line="240" w:lineRule="exact"/>
        <w:rPr>
          <w:rFonts w:ascii="宋体"/>
          <w:b/>
          <w:bCs/>
          <w:kern w:val="0"/>
        </w:rPr>
      </w:pPr>
    </w:p>
    <w:p w14:paraId="3283E55D">
      <w:pPr>
        <w:spacing w:line="240" w:lineRule="exact"/>
        <w:rPr>
          <w:rFonts w:ascii="宋体"/>
          <w:b/>
          <w:bCs/>
          <w:kern w:val="0"/>
        </w:rPr>
      </w:pPr>
    </w:p>
    <w:p w14:paraId="28A3A4D2">
      <w:pPr>
        <w:spacing w:line="240" w:lineRule="exact"/>
        <w:rPr>
          <w:rFonts w:ascii="宋体"/>
          <w:b/>
          <w:bCs/>
          <w:kern w:val="0"/>
        </w:rPr>
      </w:pPr>
    </w:p>
    <w:p w14:paraId="66EAF54C">
      <w:pPr>
        <w:spacing w:line="240" w:lineRule="exact"/>
        <w:rPr>
          <w:rFonts w:ascii="宋体"/>
          <w:b/>
          <w:bCs/>
          <w:kern w:val="0"/>
        </w:rPr>
      </w:pPr>
    </w:p>
    <w:p w14:paraId="4C3BF34C">
      <w:pPr>
        <w:spacing w:line="240" w:lineRule="exact"/>
        <w:rPr>
          <w:rFonts w:ascii="宋体"/>
          <w:b/>
          <w:bCs/>
          <w:kern w:val="0"/>
        </w:rPr>
      </w:pPr>
    </w:p>
    <w:p w14:paraId="5E8094F1">
      <w:pPr>
        <w:spacing w:line="240" w:lineRule="exact"/>
        <w:rPr>
          <w:rFonts w:ascii="宋体"/>
          <w:b/>
          <w:bCs/>
          <w:kern w:val="0"/>
        </w:rPr>
      </w:pPr>
    </w:p>
    <w:p w14:paraId="4A730A2E">
      <w:pPr>
        <w:spacing w:line="240" w:lineRule="exact"/>
        <w:rPr>
          <w:rFonts w:ascii="宋体"/>
          <w:b/>
          <w:bCs/>
          <w:kern w:val="0"/>
        </w:rPr>
      </w:pPr>
    </w:p>
    <w:p w14:paraId="34DCBEA4">
      <w:pPr>
        <w:spacing w:line="240" w:lineRule="exact"/>
        <w:rPr>
          <w:rFonts w:ascii="宋体"/>
          <w:b/>
          <w:bCs/>
          <w:kern w:val="0"/>
        </w:rPr>
      </w:pPr>
    </w:p>
    <w:p w14:paraId="75F43C05">
      <w:pPr>
        <w:spacing w:line="240" w:lineRule="exact"/>
        <w:rPr>
          <w:rFonts w:ascii="宋体"/>
          <w:b/>
          <w:bCs/>
          <w:kern w:val="0"/>
        </w:rPr>
      </w:pPr>
    </w:p>
    <w:p w14:paraId="50FB42AF">
      <w:pPr>
        <w:spacing w:line="240" w:lineRule="exact"/>
        <w:rPr>
          <w:rFonts w:ascii="宋体"/>
          <w:b/>
          <w:bCs/>
          <w:kern w:val="0"/>
        </w:rPr>
      </w:pPr>
    </w:p>
    <w:p w14:paraId="311E4360">
      <w:pPr>
        <w:spacing w:line="240" w:lineRule="exact"/>
        <w:rPr>
          <w:rFonts w:ascii="宋体"/>
          <w:b/>
          <w:bCs/>
          <w:kern w:val="0"/>
        </w:rPr>
      </w:pPr>
    </w:p>
    <w:p w14:paraId="00AA258E">
      <w:pPr>
        <w:spacing w:line="240" w:lineRule="exact"/>
        <w:rPr>
          <w:rFonts w:ascii="宋体"/>
          <w:b/>
          <w:bCs/>
          <w:kern w:val="0"/>
        </w:rPr>
      </w:pPr>
    </w:p>
    <w:p w14:paraId="7742AD04">
      <w:pPr>
        <w:spacing w:line="240" w:lineRule="exact"/>
        <w:rPr>
          <w:rFonts w:ascii="宋体"/>
          <w:b/>
          <w:bCs/>
          <w:kern w:val="0"/>
        </w:rPr>
      </w:pPr>
    </w:p>
    <w:p w14:paraId="73EAD874">
      <w:pPr>
        <w:spacing w:line="240" w:lineRule="exact"/>
        <w:rPr>
          <w:rFonts w:ascii="宋体"/>
          <w:b/>
          <w:bCs/>
          <w:kern w:val="0"/>
        </w:rPr>
      </w:pPr>
    </w:p>
    <w:p w14:paraId="796FDE8A">
      <w:pPr>
        <w:spacing w:line="240" w:lineRule="exact"/>
        <w:rPr>
          <w:rFonts w:ascii="宋体"/>
          <w:b/>
          <w:bCs/>
          <w:kern w:val="0"/>
        </w:rPr>
      </w:pPr>
    </w:p>
    <w:p w14:paraId="0D0AE8AB">
      <w:pPr>
        <w:spacing w:line="240" w:lineRule="exact"/>
        <w:rPr>
          <w:rFonts w:ascii="宋体"/>
          <w:b/>
          <w:bCs/>
          <w:kern w:val="0"/>
        </w:rPr>
      </w:pPr>
    </w:p>
    <w:p w14:paraId="04252D05">
      <w:pPr>
        <w:spacing w:line="240" w:lineRule="exact"/>
        <w:rPr>
          <w:rFonts w:ascii="宋体"/>
          <w:b/>
          <w:bCs/>
          <w:kern w:val="0"/>
        </w:rPr>
      </w:pPr>
    </w:p>
    <w:p w14:paraId="359766FB">
      <w:pPr>
        <w:spacing w:line="240" w:lineRule="exact"/>
        <w:rPr>
          <w:rFonts w:ascii="宋体"/>
          <w:b/>
          <w:bCs/>
          <w:kern w:val="0"/>
        </w:rPr>
      </w:pPr>
    </w:p>
    <w:p w14:paraId="2BD6622F">
      <w:pPr>
        <w:spacing w:line="240" w:lineRule="exact"/>
        <w:rPr>
          <w:rFonts w:ascii="宋体"/>
          <w:b/>
          <w:bCs/>
          <w:kern w:val="0"/>
        </w:rPr>
      </w:pPr>
      <w:r>
        <w:rPr>
          <w:rFonts w:ascii="宋体"/>
          <w:b/>
          <w:bCs/>
          <w:kern w:val="0"/>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2021"/>
        <w:gridCol w:w="2148"/>
        <w:gridCol w:w="960"/>
        <w:gridCol w:w="6408"/>
        <w:gridCol w:w="7083"/>
      </w:tblGrid>
      <w:tr w14:paraId="76CC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trPr>
        <w:tc>
          <w:tcPr>
            <w:tcW w:w="895" w:type="dxa"/>
            <w:vMerge w:val="restart"/>
            <w:vAlign w:val="center"/>
          </w:tcPr>
          <w:p w14:paraId="4769BB66">
            <w:pPr>
              <w:spacing w:line="240" w:lineRule="exact"/>
              <w:jc w:val="center"/>
              <w:rPr>
                <w:rFonts w:ascii="宋体"/>
                <w:b/>
                <w:kern w:val="0"/>
              </w:rPr>
            </w:pPr>
            <w:r>
              <w:rPr>
                <w:rFonts w:hint="eastAsia" w:ascii="宋体"/>
                <w:b/>
                <w:kern w:val="0"/>
              </w:rPr>
              <w:t>案由</w:t>
            </w:r>
            <w:r>
              <w:rPr>
                <w:rFonts w:hint="eastAsia" w:ascii="宋体"/>
                <w:b/>
                <w:bCs/>
                <w:kern w:val="0"/>
              </w:rPr>
              <w:t>73</w:t>
            </w:r>
          </w:p>
        </w:tc>
        <w:tc>
          <w:tcPr>
            <w:tcW w:w="4169" w:type="dxa"/>
            <w:gridSpan w:val="2"/>
            <w:vAlign w:val="center"/>
          </w:tcPr>
          <w:p w14:paraId="54803CFE">
            <w:pPr>
              <w:spacing w:line="240" w:lineRule="exact"/>
              <w:jc w:val="center"/>
              <w:rPr>
                <w:rFonts w:ascii="宋体"/>
                <w:b/>
                <w:kern w:val="0"/>
              </w:rPr>
            </w:pPr>
            <w:r>
              <w:rPr>
                <w:rFonts w:hint="eastAsia" w:ascii="宋体"/>
                <w:b/>
                <w:kern w:val="0"/>
              </w:rPr>
              <w:t>法律依据</w:t>
            </w:r>
          </w:p>
        </w:tc>
        <w:tc>
          <w:tcPr>
            <w:tcW w:w="960" w:type="dxa"/>
            <w:vMerge w:val="restart"/>
            <w:vAlign w:val="center"/>
          </w:tcPr>
          <w:p w14:paraId="61919D18">
            <w:pPr>
              <w:spacing w:line="240" w:lineRule="exact"/>
              <w:jc w:val="center"/>
              <w:rPr>
                <w:rFonts w:ascii="宋体"/>
                <w:b/>
                <w:kern w:val="0"/>
              </w:rPr>
            </w:pPr>
            <w:r>
              <w:rPr>
                <w:rFonts w:hint="eastAsia" w:ascii="宋体"/>
                <w:b/>
                <w:kern w:val="0"/>
              </w:rPr>
              <w:t>违法情节</w:t>
            </w:r>
          </w:p>
        </w:tc>
        <w:tc>
          <w:tcPr>
            <w:tcW w:w="6408" w:type="dxa"/>
            <w:vMerge w:val="restart"/>
            <w:vAlign w:val="center"/>
          </w:tcPr>
          <w:p w14:paraId="1E15F006">
            <w:pPr>
              <w:spacing w:line="240" w:lineRule="exact"/>
              <w:jc w:val="center"/>
              <w:rPr>
                <w:rFonts w:ascii="宋体"/>
                <w:b/>
                <w:kern w:val="0"/>
              </w:rPr>
            </w:pPr>
            <w:r>
              <w:rPr>
                <w:rFonts w:hint="eastAsia" w:ascii="宋体"/>
                <w:b/>
                <w:kern w:val="0"/>
              </w:rPr>
              <w:t>主要考虑因素（事实、性质、情节、危害程度和实际后果等）</w:t>
            </w:r>
          </w:p>
        </w:tc>
        <w:tc>
          <w:tcPr>
            <w:tcW w:w="7083" w:type="dxa"/>
            <w:tcBorders>
              <w:right w:val="single" w:color="auto" w:sz="4" w:space="0"/>
            </w:tcBorders>
            <w:vAlign w:val="center"/>
          </w:tcPr>
          <w:p w14:paraId="0153914B">
            <w:pPr>
              <w:spacing w:line="240" w:lineRule="exact"/>
              <w:jc w:val="left"/>
              <w:rPr>
                <w:rFonts w:ascii="宋体"/>
                <w:b/>
                <w:kern w:val="0"/>
              </w:rPr>
            </w:pPr>
            <w:r>
              <w:rPr>
                <w:rFonts w:hint="eastAsia" w:ascii="宋体"/>
                <w:b/>
                <w:kern w:val="0"/>
              </w:rPr>
              <w:t>【法定幅度和种类】</w:t>
            </w:r>
            <w:r>
              <w:rPr>
                <w:rFonts w:hint="eastAsia" w:ascii="宋体"/>
                <w:shd w:val="clear" w:color="auto" w:fill="FFFFFF"/>
              </w:rPr>
              <w:t>由海事管理机构责令改正，处五万元以上三十万元以下的罚款。</w:t>
            </w:r>
          </w:p>
        </w:tc>
      </w:tr>
      <w:tr w14:paraId="2613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895" w:type="dxa"/>
            <w:vMerge w:val="continue"/>
            <w:vAlign w:val="center"/>
          </w:tcPr>
          <w:p w14:paraId="40339B39">
            <w:pPr>
              <w:spacing w:line="240" w:lineRule="exact"/>
              <w:jc w:val="center"/>
              <w:rPr>
                <w:rFonts w:ascii="宋体"/>
                <w:b/>
                <w:kern w:val="0"/>
              </w:rPr>
            </w:pPr>
          </w:p>
        </w:tc>
        <w:tc>
          <w:tcPr>
            <w:tcW w:w="2021" w:type="dxa"/>
            <w:vAlign w:val="center"/>
          </w:tcPr>
          <w:p w14:paraId="034200A5">
            <w:pPr>
              <w:spacing w:line="240" w:lineRule="exact"/>
              <w:jc w:val="center"/>
              <w:rPr>
                <w:rFonts w:ascii="宋体"/>
                <w:b/>
                <w:kern w:val="0"/>
              </w:rPr>
            </w:pPr>
            <w:r>
              <w:rPr>
                <w:rFonts w:hint="eastAsia" w:ascii="宋体"/>
                <w:b/>
                <w:kern w:val="0"/>
              </w:rPr>
              <w:t>违反条款</w:t>
            </w:r>
          </w:p>
        </w:tc>
        <w:tc>
          <w:tcPr>
            <w:tcW w:w="2148" w:type="dxa"/>
            <w:vAlign w:val="center"/>
          </w:tcPr>
          <w:p w14:paraId="5CE0CC66">
            <w:pPr>
              <w:spacing w:line="240" w:lineRule="exact"/>
              <w:jc w:val="center"/>
              <w:rPr>
                <w:rFonts w:ascii="宋体"/>
                <w:b/>
                <w:kern w:val="0"/>
              </w:rPr>
            </w:pPr>
            <w:r>
              <w:rPr>
                <w:rFonts w:hint="eastAsia" w:ascii="宋体"/>
                <w:b/>
                <w:kern w:val="0"/>
              </w:rPr>
              <w:t>处罚依据</w:t>
            </w:r>
          </w:p>
        </w:tc>
        <w:tc>
          <w:tcPr>
            <w:tcW w:w="960" w:type="dxa"/>
            <w:vMerge w:val="continue"/>
            <w:vAlign w:val="center"/>
          </w:tcPr>
          <w:p w14:paraId="1364DE0D">
            <w:pPr>
              <w:spacing w:line="240" w:lineRule="exact"/>
              <w:jc w:val="center"/>
              <w:rPr>
                <w:rFonts w:ascii="宋体"/>
                <w:b/>
                <w:kern w:val="0"/>
              </w:rPr>
            </w:pPr>
          </w:p>
        </w:tc>
        <w:tc>
          <w:tcPr>
            <w:tcW w:w="6408" w:type="dxa"/>
            <w:vMerge w:val="continue"/>
            <w:tcBorders>
              <w:bottom w:val="single" w:color="auto" w:sz="4" w:space="0"/>
            </w:tcBorders>
            <w:vAlign w:val="center"/>
          </w:tcPr>
          <w:p w14:paraId="3BF14E77">
            <w:pPr>
              <w:spacing w:line="240" w:lineRule="exact"/>
              <w:jc w:val="center"/>
              <w:rPr>
                <w:rFonts w:ascii="宋体"/>
                <w:b/>
                <w:kern w:val="0"/>
              </w:rPr>
            </w:pPr>
          </w:p>
        </w:tc>
        <w:tc>
          <w:tcPr>
            <w:tcW w:w="7083" w:type="dxa"/>
            <w:tcBorders>
              <w:top w:val="single" w:color="auto" w:sz="4" w:space="0"/>
              <w:bottom w:val="single" w:color="auto" w:sz="4" w:space="0"/>
              <w:right w:val="single" w:color="auto" w:sz="4" w:space="0"/>
            </w:tcBorders>
            <w:vAlign w:val="center"/>
          </w:tcPr>
          <w:p w14:paraId="1FD6FCD3">
            <w:pPr>
              <w:spacing w:line="240" w:lineRule="exact"/>
              <w:jc w:val="center"/>
              <w:rPr>
                <w:rFonts w:ascii="宋体"/>
                <w:b/>
                <w:kern w:val="0"/>
              </w:rPr>
            </w:pPr>
            <w:r>
              <w:rPr>
                <w:rFonts w:hint="eastAsia" w:ascii="宋体"/>
                <w:b/>
                <w:kern w:val="0"/>
              </w:rPr>
              <w:t>【对象】托运人</w:t>
            </w:r>
          </w:p>
          <w:p w14:paraId="7120EE56">
            <w:pPr>
              <w:spacing w:line="240" w:lineRule="exact"/>
              <w:jc w:val="center"/>
              <w:rPr>
                <w:rFonts w:ascii="宋体"/>
                <w:b/>
                <w:kern w:val="0"/>
              </w:rPr>
            </w:pPr>
          </w:p>
        </w:tc>
      </w:tr>
      <w:tr w14:paraId="4BF3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895" w:type="dxa"/>
            <w:vMerge w:val="restart"/>
            <w:vAlign w:val="center"/>
          </w:tcPr>
          <w:p w14:paraId="37425C6C">
            <w:pPr>
              <w:widowControl/>
              <w:spacing w:line="240" w:lineRule="exact"/>
              <w:jc w:val="left"/>
              <w:rPr>
                <w:rFonts w:ascii="宋体"/>
                <w:kern w:val="0"/>
              </w:rPr>
            </w:pPr>
            <w:r>
              <w:rPr>
                <w:rFonts w:hint="eastAsia" w:ascii="宋体"/>
                <w:kern w:val="0"/>
              </w:rPr>
              <w:t>托运人未依法提交有关专业机构出具的表明该货物危险特性以及应当采取的防护措施等情况的文件</w:t>
            </w:r>
          </w:p>
        </w:tc>
        <w:tc>
          <w:tcPr>
            <w:tcW w:w="2021" w:type="dxa"/>
            <w:vMerge w:val="restart"/>
            <w:vAlign w:val="center"/>
          </w:tcPr>
          <w:p w14:paraId="551AAEAF">
            <w:pPr>
              <w:widowControl/>
              <w:spacing w:line="240" w:lineRule="exact"/>
              <w:jc w:val="left"/>
              <w:rPr>
                <w:rFonts w:ascii="宋体"/>
                <w:kern w:val="0"/>
              </w:rPr>
            </w:pPr>
            <w:r>
              <w:rPr>
                <w:rFonts w:hint="eastAsia" w:ascii="宋体"/>
                <w:kern w:val="0"/>
              </w:rPr>
              <w:t>1.《中华人民共和国海上交通安全法》第六十三条第三款。</w:t>
            </w:r>
          </w:p>
        </w:tc>
        <w:tc>
          <w:tcPr>
            <w:tcW w:w="2148" w:type="dxa"/>
            <w:vMerge w:val="restart"/>
            <w:vAlign w:val="center"/>
          </w:tcPr>
          <w:p w14:paraId="676A9072">
            <w:pPr>
              <w:widowControl/>
              <w:spacing w:line="240" w:lineRule="exact"/>
              <w:jc w:val="left"/>
              <w:rPr>
                <w:rFonts w:ascii="宋体"/>
                <w:kern w:val="0"/>
              </w:rPr>
            </w:pPr>
            <w:r>
              <w:rPr>
                <w:rFonts w:hint="eastAsia" w:ascii="宋体"/>
                <w:kern w:val="0"/>
              </w:rPr>
              <w:t>1.《中华人民共和国海上交通安全法》第一百零九条第（四）项、</w:t>
            </w:r>
            <w:r>
              <w:rPr>
                <w:rFonts w:hint="eastAsia" w:ascii="宋体"/>
              </w:rPr>
              <w:t>《中华人民共和国海上海事行政处罚规定》第三十一条第（四）项。</w:t>
            </w:r>
            <w:r>
              <w:rPr>
                <w:rFonts w:hint="eastAsia" w:ascii="宋体"/>
                <w:kern w:val="0"/>
              </w:rPr>
              <w:t xml:space="preserve">  </w:t>
            </w:r>
          </w:p>
          <w:p w14:paraId="7BE0C727">
            <w:pPr>
              <w:widowControl/>
              <w:spacing w:line="240" w:lineRule="exact"/>
              <w:jc w:val="left"/>
              <w:rPr>
                <w:rFonts w:ascii="宋体"/>
                <w:kern w:val="0"/>
              </w:rPr>
            </w:pPr>
            <w:r>
              <w:rPr>
                <w:rFonts w:hint="eastAsia" w:ascii="宋体"/>
                <w:kern w:val="0"/>
              </w:rPr>
              <w:t>2. 《中华人民共和国海上海事行政处罚规定》第七条（从轻）。</w:t>
            </w:r>
          </w:p>
        </w:tc>
        <w:tc>
          <w:tcPr>
            <w:tcW w:w="960" w:type="dxa"/>
            <w:vAlign w:val="center"/>
          </w:tcPr>
          <w:p w14:paraId="7C61D7AF">
            <w:pPr>
              <w:widowControl/>
              <w:spacing w:line="240" w:lineRule="exact"/>
              <w:jc w:val="center"/>
              <w:rPr>
                <w:rFonts w:ascii="宋体"/>
                <w:kern w:val="0"/>
              </w:rPr>
            </w:pPr>
            <w:r>
              <w:rPr>
                <w:rFonts w:hint="eastAsia" w:ascii="宋体"/>
                <w:kern w:val="0"/>
              </w:rPr>
              <w:t>从轻</w:t>
            </w:r>
          </w:p>
        </w:tc>
        <w:tc>
          <w:tcPr>
            <w:tcW w:w="6408" w:type="dxa"/>
            <w:tcBorders>
              <w:bottom w:val="single" w:color="auto" w:sz="4" w:space="0"/>
              <w:right w:val="single" w:color="auto" w:sz="4" w:space="0"/>
            </w:tcBorders>
            <w:vAlign w:val="center"/>
          </w:tcPr>
          <w:p w14:paraId="49FF65B1">
            <w:pPr>
              <w:widowControl/>
              <w:spacing w:line="240" w:lineRule="exact"/>
              <w:jc w:val="left"/>
              <w:rPr>
                <w:rFonts w:ascii="宋体"/>
                <w:kern w:val="0"/>
              </w:rPr>
            </w:pPr>
            <w:r>
              <w:rPr>
                <w:rFonts w:hint="eastAsia" w:ascii="宋体"/>
                <w:kern w:val="0"/>
              </w:rPr>
              <w:t>具有法定从轻处罚情节的</w:t>
            </w:r>
          </w:p>
        </w:tc>
        <w:tc>
          <w:tcPr>
            <w:tcW w:w="7083" w:type="dxa"/>
            <w:tcBorders>
              <w:left w:val="single" w:color="auto" w:sz="4" w:space="0"/>
              <w:bottom w:val="single" w:color="auto" w:sz="4" w:space="0"/>
              <w:right w:val="single" w:color="auto" w:sz="4" w:space="0"/>
            </w:tcBorders>
            <w:vAlign w:val="center"/>
          </w:tcPr>
          <w:p w14:paraId="63A1CE19">
            <w:pPr>
              <w:widowControl/>
              <w:spacing w:line="240" w:lineRule="exact"/>
              <w:jc w:val="center"/>
              <w:rPr>
                <w:rFonts w:ascii="宋体"/>
                <w:kern w:val="0"/>
              </w:rPr>
            </w:pPr>
            <w:r>
              <w:rPr>
                <w:rFonts w:hint="eastAsia" w:ascii="宋体"/>
                <w:kern w:val="0"/>
              </w:rPr>
              <w:t>5-6万元</w:t>
            </w:r>
          </w:p>
        </w:tc>
      </w:tr>
      <w:tr w14:paraId="3644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895" w:type="dxa"/>
            <w:vMerge w:val="continue"/>
            <w:vAlign w:val="center"/>
          </w:tcPr>
          <w:p w14:paraId="29AC3BFE">
            <w:pPr>
              <w:widowControl/>
              <w:spacing w:line="240" w:lineRule="exact"/>
              <w:jc w:val="left"/>
              <w:rPr>
                <w:rFonts w:ascii="宋体"/>
                <w:kern w:val="0"/>
              </w:rPr>
            </w:pPr>
          </w:p>
        </w:tc>
        <w:tc>
          <w:tcPr>
            <w:tcW w:w="2021" w:type="dxa"/>
            <w:vMerge w:val="continue"/>
            <w:vAlign w:val="center"/>
          </w:tcPr>
          <w:p w14:paraId="07205965">
            <w:pPr>
              <w:widowControl/>
              <w:spacing w:line="240" w:lineRule="exact"/>
              <w:jc w:val="left"/>
              <w:rPr>
                <w:rFonts w:ascii="宋体"/>
                <w:kern w:val="0"/>
              </w:rPr>
            </w:pPr>
          </w:p>
        </w:tc>
        <w:tc>
          <w:tcPr>
            <w:tcW w:w="2148" w:type="dxa"/>
            <w:vMerge w:val="continue"/>
            <w:vAlign w:val="center"/>
          </w:tcPr>
          <w:p w14:paraId="1566EAC7">
            <w:pPr>
              <w:widowControl/>
              <w:spacing w:line="240" w:lineRule="exact"/>
              <w:jc w:val="left"/>
              <w:rPr>
                <w:rFonts w:ascii="宋体"/>
                <w:kern w:val="0"/>
              </w:rPr>
            </w:pPr>
          </w:p>
        </w:tc>
        <w:tc>
          <w:tcPr>
            <w:tcW w:w="960" w:type="dxa"/>
            <w:vMerge w:val="restart"/>
            <w:vAlign w:val="center"/>
          </w:tcPr>
          <w:p w14:paraId="13282DC0">
            <w:pPr>
              <w:widowControl/>
              <w:spacing w:line="240" w:lineRule="exact"/>
              <w:jc w:val="center"/>
              <w:rPr>
                <w:rFonts w:ascii="宋体"/>
                <w:kern w:val="0"/>
              </w:rPr>
            </w:pPr>
            <w:r>
              <w:rPr>
                <w:rFonts w:hint="eastAsia" w:ascii="宋体"/>
                <w:kern w:val="0"/>
              </w:rPr>
              <w:t>一般</w:t>
            </w:r>
          </w:p>
        </w:tc>
        <w:tc>
          <w:tcPr>
            <w:tcW w:w="6408" w:type="dxa"/>
            <w:tcBorders>
              <w:bottom w:val="single" w:color="auto" w:sz="4" w:space="0"/>
              <w:right w:val="single" w:color="auto" w:sz="4" w:space="0"/>
            </w:tcBorders>
            <w:vAlign w:val="center"/>
          </w:tcPr>
          <w:p w14:paraId="5CDE4705">
            <w:pPr>
              <w:widowControl/>
              <w:spacing w:line="240" w:lineRule="exact"/>
              <w:jc w:val="left"/>
              <w:rPr>
                <w:rFonts w:ascii="宋体"/>
                <w:kern w:val="0"/>
              </w:rPr>
            </w:pPr>
            <w:r>
              <w:rPr>
                <w:rFonts w:hint="eastAsia" w:ascii="宋体"/>
                <w:kern w:val="0"/>
              </w:rPr>
              <w:t>1.涉及品种1个；</w:t>
            </w:r>
          </w:p>
          <w:p w14:paraId="678193E1">
            <w:pPr>
              <w:widowControl/>
              <w:spacing w:line="240" w:lineRule="exact"/>
              <w:jc w:val="left"/>
              <w:rPr>
                <w:rFonts w:ascii="宋体"/>
                <w:kern w:val="0"/>
              </w:rPr>
            </w:pPr>
            <w:r>
              <w:rPr>
                <w:rFonts w:hint="eastAsia" w:ascii="宋体"/>
                <w:kern w:val="0"/>
              </w:rPr>
              <w:t>2.涉及集装箱数1～5TEU的，或涉及散装货物不足500吨的。</w:t>
            </w:r>
          </w:p>
        </w:tc>
        <w:tc>
          <w:tcPr>
            <w:tcW w:w="7083" w:type="dxa"/>
            <w:tcBorders>
              <w:left w:val="single" w:color="auto" w:sz="4" w:space="0"/>
              <w:bottom w:val="single" w:color="auto" w:sz="4" w:space="0"/>
              <w:right w:val="single" w:color="auto" w:sz="4" w:space="0"/>
            </w:tcBorders>
            <w:vAlign w:val="center"/>
          </w:tcPr>
          <w:p w14:paraId="3A1949F9">
            <w:pPr>
              <w:widowControl/>
              <w:spacing w:line="240" w:lineRule="exact"/>
              <w:jc w:val="center"/>
              <w:rPr>
                <w:rFonts w:ascii="宋体"/>
                <w:kern w:val="0"/>
              </w:rPr>
            </w:pPr>
            <w:r>
              <w:rPr>
                <w:rFonts w:hint="eastAsia" w:ascii="宋体"/>
                <w:kern w:val="0"/>
              </w:rPr>
              <w:t>6-8万元</w:t>
            </w:r>
          </w:p>
        </w:tc>
      </w:tr>
      <w:tr w14:paraId="53BC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895" w:type="dxa"/>
            <w:vMerge w:val="continue"/>
            <w:vAlign w:val="center"/>
          </w:tcPr>
          <w:p w14:paraId="42FB7697">
            <w:pPr>
              <w:widowControl/>
              <w:spacing w:line="240" w:lineRule="exact"/>
              <w:jc w:val="left"/>
              <w:rPr>
                <w:rFonts w:ascii="宋体"/>
                <w:kern w:val="0"/>
              </w:rPr>
            </w:pPr>
          </w:p>
        </w:tc>
        <w:tc>
          <w:tcPr>
            <w:tcW w:w="2021" w:type="dxa"/>
            <w:vMerge w:val="continue"/>
            <w:vAlign w:val="center"/>
          </w:tcPr>
          <w:p w14:paraId="093ADFDE">
            <w:pPr>
              <w:widowControl/>
              <w:spacing w:line="240" w:lineRule="exact"/>
              <w:jc w:val="left"/>
              <w:rPr>
                <w:rFonts w:ascii="宋体"/>
                <w:kern w:val="0"/>
              </w:rPr>
            </w:pPr>
          </w:p>
        </w:tc>
        <w:tc>
          <w:tcPr>
            <w:tcW w:w="2148" w:type="dxa"/>
            <w:vMerge w:val="continue"/>
            <w:vAlign w:val="center"/>
          </w:tcPr>
          <w:p w14:paraId="0B740432">
            <w:pPr>
              <w:widowControl/>
              <w:spacing w:line="240" w:lineRule="exact"/>
              <w:jc w:val="left"/>
              <w:rPr>
                <w:rFonts w:ascii="宋体"/>
                <w:kern w:val="0"/>
              </w:rPr>
            </w:pPr>
          </w:p>
        </w:tc>
        <w:tc>
          <w:tcPr>
            <w:tcW w:w="960" w:type="dxa"/>
            <w:vMerge w:val="continue"/>
            <w:vAlign w:val="center"/>
          </w:tcPr>
          <w:p w14:paraId="423279FF">
            <w:pPr>
              <w:spacing w:line="240" w:lineRule="exact"/>
              <w:jc w:val="center"/>
              <w:rPr>
                <w:rFonts w:ascii="宋体"/>
                <w:kern w:val="0"/>
              </w:rPr>
            </w:pPr>
          </w:p>
        </w:tc>
        <w:tc>
          <w:tcPr>
            <w:tcW w:w="6408" w:type="dxa"/>
            <w:tcBorders>
              <w:bottom w:val="single" w:color="auto" w:sz="4" w:space="0"/>
              <w:right w:val="single" w:color="auto" w:sz="4" w:space="0"/>
            </w:tcBorders>
            <w:vAlign w:val="center"/>
          </w:tcPr>
          <w:p w14:paraId="4AE8681F">
            <w:pPr>
              <w:widowControl/>
              <w:spacing w:line="240" w:lineRule="exact"/>
              <w:jc w:val="left"/>
              <w:rPr>
                <w:rFonts w:ascii="宋体"/>
                <w:kern w:val="0"/>
              </w:rPr>
            </w:pPr>
            <w:r>
              <w:rPr>
                <w:rFonts w:hint="eastAsia" w:ascii="宋体"/>
                <w:kern w:val="0"/>
              </w:rPr>
              <w:t>1.涉及品种2个及以上；</w:t>
            </w:r>
          </w:p>
          <w:p w14:paraId="6AB9ADCE">
            <w:pPr>
              <w:widowControl/>
              <w:spacing w:line="240" w:lineRule="exact"/>
              <w:jc w:val="left"/>
              <w:rPr>
                <w:rFonts w:ascii="宋体"/>
                <w:kern w:val="0"/>
              </w:rPr>
            </w:pPr>
            <w:r>
              <w:rPr>
                <w:rFonts w:hint="eastAsia" w:ascii="宋体"/>
                <w:kern w:val="0"/>
              </w:rPr>
              <w:t>2.涉及集装箱数6～10TEU的，或涉及散装货物500～1000吨。</w:t>
            </w:r>
          </w:p>
        </w:tc>
        <w:tc>
          <w:tcPr>
            <w:tcW w:w="7083" w:type="dxa"/>
            <w:tcBorders>
              <w:left w:val="single" w:color="auto" w:sz="4" w:space="0"/>
              <w:bottom w:val="single" w:color="auto" w:sz="4" w:space="0"/>
              <w:right w:val="single" w:color="auto" w:sz="4" w:space="0"/>
            </w:tcBorders>
            <w:vAlign w:val="center"/>
          </w:tcPr>
          <w:p w14:paraId="2F544E14">
            <w:pPr>
              <w:widowControl/>
              <w:spacing w:line="240" w:lineRule="exact"/>
              <w:jc w:val="center"/>
              <w:rPr>
                <w:rFonts w:ascii="宋体"/>
                <w:kern w:val="0"/>
              </w:rPr>
            </w:pPr>
            <w:r>
              <w:rPr>
                <w:rFonts w:hint="eastAsia" w:ascii="宋体"/>
                <w:kern w:val="0"/>
              </w:rPr>
              <w:t>8-10万元</w:t>
            </w:r>
          </w:p>
        </w:tc>
      </w:tr>
      <w:tr w14:paraId="6D3D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895" w:type="dxa"/>
            <w:vMerge w:val="continue"/>
            <w:vAlign w:val="center"/>
          </w:tcPr>
          <w:p w14:paraId="7BDA1FAA">
            <w:pPr>
              <w:widowControl/>
              <w:spacing w:line="240" w:lineRule="exact"/>
              <w:jc w:val="left"/>
              <w:rPr>
                <w:rFonts w:ascii="宋体"/>
                <w:kern w:val="0"/>
              </w:rPr>
            </w:pPr>
          </w:p>
        </w:tc>
        <w:tc>
          <w:tcPr>
            <w:tcW w:w="2021" w:type="dxa"/>
            <w:vMerge w:val="continue"/>
            <w:vAlign w:val="center"/>
          </w:tcPr>
          <w:p w14:paraId="746EC731">
            <w:pPr>
              <w:widowControl/>
              <w:spacing w:line="240" w:lineRule="exact"/>
              <w:jc w:val="left"/>
              <w:rPr>
                <w:rFonts w:ascii="宋体"/>
                <w:kern w:val="0"/>
              </w:rPr>
            </w:pPr>
          </w:p>
        </w:tc>
        <w:tc>
          <w:tcPr>
            <w:tcW w:w="2148" w:type="dxa"/>
            <w:vMerge w:val="continue"/>
            <w:vAlign w:val="center"/>
          </w:tcPr>
          <w:p w14:paraId="4DFDAA68">
            <w:pPr>
              <w:widowControl/>
              <w:spacing w:line="240" w:lineRule="exact"/>
              <w:jc w:val="left"/>
              <w:rPr>
                <w:rFonts w:ascii="宋体"/>
                <w:kern w:val="0"/>
              </w:rPr>
            </w:pPr>
          </w:p>
        </w:tc>
        <w:tc>
          <w:tcPr>
            <w:tcW w:w="960" w:type="dxa"/>
            <w:vMerge w:val="continue"/>
            <w:vAlign w:val="center"/>
          </w:tcPr>
          <w:p w14:paraId="6CA61BFC">
            <w:pPr>
              <w:widowControl/>
              <w:spacing w:line="240" w:lineRule="exact"/>
              <w:jc w:val="center"/>
              <w:rPr>
                <w:rFonts w:ascii="宋体"/>
                <w:kern w:val="0"/>
              </w:rPr>
            </w:pPr>
          </w:p>
        </w:tc>
        <w:tc>
          <w:tcPr>
            <w:tcW w:w="6408" w:type="dxa"/>
            <w:tcBorders>
              <w:top w:val="single" w:color="auto" w:sz="4" w:space="0"/>
              <w:bottom w:val="single" w:color="auto" w:sz="4" w:space="0"/>
              <w:right w:val="single" w:color="auto" w:sz="4" w:space="0"/>
            </w:tcBorders>
            <w:vAlign w:val="center"/>
          </w:tcPr>
          <w:p w14:paraId="48CE33A6">
            <w:pPr>
              <w:widowControl/>
              <w:spacing w:line="240" w:lineRule="exact"/>
              <w:jc w:val="left"/>
              <w:rPr>
                <w:rFonts w:ascii="宋体"/>
                <w:kern w:val="0"/>
              </w:rPr>
            </w:pPr>
            <w:r>
              <w:rPr>
                <w:rFonts w:hint="eastAsia" w:ascii="宋体"/>
                <w:kern w:val="0"/>
              </w:rPr>
              <w:t>1.涉及品种属于高危险性货物（爆炸品、放射性物质、感染性物质）、剧毒品、5类危险品或者4类应温控物质；</w:t>
            </w:r>
          </w:p>
          <w:p w14:paraId="791F1536">
            <w:pPr>
              <w:widowControl/>
              <w:spacing w:line="240" w:lineRule="exact"/>
              <w:jc w:val="left"/>
              <w:rPr>
                <w:rFonts w:ascii="宋体"/>
                <w:kern w:val="0"/>
              </w:rPr>
            </w:pPr>
            <w:r>
              <w:rPr>
                <w:rFonts w:hint="eastAsia" w:ascii="宋体"/>
                <w:kern w:val="0"/>
              </w:rPr>
              <w:t>2.涉及集装箱数11TEU及以上的，或涉及散装货物超过1000吨的；</w:t>
            </w:r>
          </w:p>
          <w:p w14:paraId="0567C6EC">
            <w:pPr>
              <w:widowControl/>
              <w:spacing w:line="240" w:lineRule="exact"/>
              <w:jc w:val="left"/>
              <w:rPr>
                <w:rFonts w:ascii="宋体"/>
                <w:kern w:val="0"/>
              </w:rPr>
            </w:pPr>
            <w:r>
              <w:rPr>
                <w:rFonts w:hint="eastAsia" w:ascii="宋体"/>
                <w:kern w:val="0"/>
              </w:rPr>
              <w:t>3.发生险情的；</w:t>
            </w:r>
          </w:p>
        </w:tc>
        <w:tc>
          <w:tcPr>
            <w:tcW w:w="7083" w:type="dxa"/>
            <w:tcBorders>
              <w:top w:val="single" w:color="auto" w:sz="4" w:space="0"/>
              <w:left w:val="single" w:color="auto" w:sz="4" w:space="0"/>
              <w:bottom w:val="single" w:color="auto" w:sz="4" w:space="0"/>
              <w:right w:val="single" w:color="auto" w:sz="4" w:space="0"/>
            </w:tcBorders>
            <w:vAlign w:val="center"/>
          </w:tcPr>
          <w:p w14:paraId="14C63378">
            <w:pPr>
              <w:widowControl/>
              <w:spacing w:line="240" w:lineRule="exact"/>
              <w:jc w:val="center"/>
              <w:rPr>
                <w:rFonts w:ascii="宋体"/>
                <w:kern w:val="0"/>
              </w:rPr>
            </w:pPr>
            <w:r>
              <w:rPr>
                <w:rFonts w:hint="eastAsia" w:ascii="宋体"/>
                <w:kern w:val="0"/>
              </w:rPr>
              <w:t xml:space="preserve">10-20万元 </w:t>
            </w:r>
          </w:p>
        </w:tc>
      </w:tr>
      <w:tr w14:paraId="6281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0" w:hRule="atLeast"/>
        </w:trPr>
        <w:tc>
          <w:tcPr>
            <w:tcW w:w="895" w:type="dxa"/>
            <w:vMerge w:val="continue"/>
            <w:vAlign w:val="center"/>
          </w:tcPr>
          <w:p w14:paraId="01E81EBD">
            <w:pPr>
              <w:widowControl/>
              <w:spacing w:line="240" w:lineRule="exact"/>
              <w:jc w:val="left"/>
              <w:rPr>
                <w:rFonts w:ascii="宋体"/>
                <w:kern w:val="0"/>
              </w:rPr>
            </w:pPr>
          </w:p>
        </w:tc>
        <w:tc>
          <w:tcPr>
            <w:tcW w:w="2021" w:type="dxa"/>
            <w:vMerge w:val="continue"/>
            <w:vAlign w:val="center"/>
          </w:tcPr>
          <w:p w14:paraId="00B0483C">
            <w:pPr>
              <w:widowControl/>
              <w:spacing w:line="240" w:lineRule="exact"/>
              <w:jc w:val="left"/>
              <w:rPr>
                <w:rFonts w:ascii="宋体"/>
                <w:kern w:val="0"/>
              </w:rPr>
            </w:pPr>
          </w:p>
        </w:tc>
        <w:tc>
          <w:tcPr>
            <w:tcW w:w="2148" w:type="dxa"/>
            <w:vMerge w:val="continue"/>
            <w:vAlign w:val="center"/>
          </w:tcPr>
          <w:p w14:paraId="0F753AEF">
            <w:pPr>
              <w:widowControl/>
              <w:spacing w:line="240" w:lineRule="exact"/>
              <w:jc w:val="left"/>
              <w:rPr>
                <w:rFonts w:ascii="宋体"/>
                <w:kern w:val="0"/>
              </w:rPr>
            </w:pPr>
          </w:p>
        </w:tc>
        <w:tc>
          <w:tcPr>
            <w:tcW w:w="960" w:type="dxa"/>
            <w:vMerge w:val="continue"/>
            <w:vAlign w:val="center"/>
          </w:tcPr>
          <w:p w14:paraId="66552C5D">
            <w:pPr>
              <w:widowControl/>
              <w:spacing w:line="240" w:lineRule="exact"/>
              <w:jc w:val="center"/>
              <w:rPr>
                <w:rFonts w:ascii="宋体"/>
                <w:kern w:val="0"/>
              </w:rPr>
            </w:pPr>
          </w:p>
        </w:tc>
        <w:tc>
          <w:tcPr>
            <w:tcW w:w="6408" w:type="dxa"/>
            <w:tcBorders>
              <w:top w:val="single" w:color="auto" w:sz="4" w:space="0"/>
              <w:bottom w:val="single" w:color="auto" w:sz="4" w:space="0"/>
              <w:right w:val="single" w:color="auto" w:sz="4" w:space="0"/>
            </w:tcBorders>
            <w:vAlign w:val="center"/>
          </w:tcPr>
          <w:p w14:paraId="578C26CC">
            <w:pPr>
              <w:widowControl/>
              <w:spacing w:line="240" w:lineRule="exact"/>
              <w:jc w:val="left"/>
              <w:rPr>
                <w:rFonts w:ascii="宋体"/>
                <w:kern w:val="0"/>
              </w:rPr>
            </w:pPr>
            <w:r>
              <w:rPr>
                <w:rFonts w:hint="eastAsia" w:ascii="宋体"/>
                <w:kern w:val="0"/>
              </w:rPr>
              <w:t>具有其他较重情节的。</w:t>
            </w:r>
          </w:p>
        </w:tc>
        <w:tc>
          <w:tcPr>
            <w:tcW w:w="7083" w:type="dxa"/>
            <w:tcBorders>
              <w:top w:val="single" w:color="auto" w:sz="4" w:space="0"/>
              <w:left w:val="single" w:color="auto" w:sz="4" w:space="0"/>
              <w:bottom w:val="single" w:color="auto" w:sz="4" w:space="0"/>
              <w:right w:val="single" w:color="auto" w:sz="4" w:space="0"/>
            </w:tcBorders>
            <w:vAlign w:val="center"/>
          </w:tcPr>
          <w:p w14:paraId="3FCD21DD">
            <w:pPr>
              <w:widowControl/>
              <w:spacing w:line="240" w:lineRule="exact"/>
              <w:jc w:val="center"/>
              <w:rPr>
                <w:rFonts w:ascii="宋体"/>
                <w:kern w:val="0"/>
              </w:rPr>
            </w:pPr>
            <w:r>
              <w:rPr>
                <w:rFonts w:hint="eastAsia" w:ascii="宋体"/>
                <w:kern w:val="0"/>
              </w:rPr>
              <w:t xml:space="preserve">15-30万元 </w:t>
            </w:r>
          </w:p>
        </w:tc>
      </w:tr>
      <w:tr w14:paraId="270E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895" w:type="dxa"/>
            <w:vMerge w:val="continue"/>
            <w:vAlign w:val="center"/>
          </w:tcPr>
          <w:p w14:paraId="22602ED6">
            <w:pPr>
              <w:widowControl/>
              <w:spacing w:line="240" w:lineRule="exact"/>
              <w:jc w:val="center"/>
              <w:rPr>
                <w:rFonts w:ascii="宋体"/>
              </w:rPr>
            </w:pPr>
          </w:p>
        </w:tc>
        <w:tc>
          <w:tcPr>
            <w:tcW w:w="2021" w:type="dxa"/>
            <w:vMerge w:val="continue"/>
            <w:vAlign w:val="center"/>
          </w:tcPr>
          <w:p w14:paraId="01B20346">
            <w:pPr>
              <w:widowControl/>
              <w:spacing w:line="240" w:lineRule="exact"/>
              <w:jc w:val="center"/>
              <w:rPr>
                <w:rFonts w:ascii="宋体"/>
              </w:rPr>
            </w:pPr>
          </w:p>
        </w:tc>
        <w:tc>
          <w:tcPr>
            <w:tcW w:w="2148" w:type="dxa"/>
            <w:vMerge w:val="continue"/>
            <w:vAlign w:val="center"/>
          </w:tcPr>
          <w:p w14:paraId="211D06E0">
            <w:pPr>
              <w:widowControl/>
              <w:spacing w:line="240" w:lineRule="exact"/>
              <w:jc w:val="center"/>
              <w:rPr>
                <w:rFonts w:ascii="宋体"/>
              </w:rPr>
            </w:pPr>
          </w:p>
        </w:tc>
        <w:tc>
          <w:tcPr>
            <w:tcW w:w="960" w:type="dxa"/>
            <w:vMerge w:val="continue"/>
            <w:vAlign w:val="center"/>
          </w:tcPr>
          <w:p w14:paraId="7F4710D7">
            <w:pPr>
              <w:widowControl/>
              <w:spacing w:line="240" w:lineRule="exact"/>
              <w:jc w:val="center"/>
              <w:rPr>
                <w:rFonts w:ascii="宋体"/>
              </w:rPr>
            </w:pPr>
          </w:p>
        </w:tc>
        <w:tc>
          <w:tcPr>
            <w:tcW w:w="6408" w:type="dxa"/>
            <w:tcBorders>
              <w:top w:val="single" w:color="auto" w:sz="4" w:space="0"/>
              <w:bottom w:val="single" w:color="auto" w:sz="4" w:space="0"/>
              <w:right w:val="single" w:color="auto" w:sz="4" w:space="0"/>
            </w:tcBorders>
            <w:vAlign w:val="center"/>
          </w:tcPr>
          <w:p w14:paraId="1114C7F3">
            <w:pPr>
              <w:widowControl/>
              <w:spacing w:line="240" w:lineRule="exact"/>
              <w:jc w:val="left"/>
              <w:rPr>
                <w:rFonts w:ascii="宋体"/>
                <w:kern w:val="0"/>
              </w:rPr>
            </w:pPr>
            <w:r>
              <w:rPr>
                <w:rFonts w:hint="eastAsia" w:ascii="宋体"/>
                <w:kern w:val="0"/>
              </w:rPr>
              <w:t>发生船舶火灾、爆炸、人身伤亡、污染等事故。</w:t>
            </w:r>
          </w:p>
        </w:tc>
        <w:tc>
          <w:tcPr>
            <w:tcW w:w="7083" w:type="dxa"/>
            <w:tcBorders>
              <w:top w:val="single" w:color="auto" w:sz="4" w:space="0"/>
              <w:left w:val="single" w:color="auto" w:sz="4" w:space="0"/>
              <w:bottom w:val="single" w:color="auto" w:sz="4" w:space="0"/>
              <w:right w:val="single" w:color="auto" w:sz="4" w:space="0"/>
            </w:tcBorders>
            <w:vAlign w:val="center"/>
          </w:tcPr>
          <w:p w14:paraId="27F040E1">
            <w:pPr>
              <w:widowControl/>
              <w:spacing w:line="240" w:lineRule="exact"/>
              <w:jc w:val="center"/>
              <w:rPr>
                <w:rFonts w:ascii="宋体"/>
                <w:kern w:val="0"/>
              </w:rPr>
            </w:pPr>
            <w:r>
              <w:rPr>
                <w:rFonts w:hint="eastAsia" w:ascii="宋体"/>
                <w:kern w:val="0"/>
              </w:rPr>
              <w:t xml:space="preserve">20-30万元 </w:t>
            </w:r>
          </w:p>
        </w:tc>
      </w:tr>
    </w:tbl>
    <w:p w14:paraId="71CD52B2">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468"/>
        <w:gridCol w:w="2157"/>
        <w:gridCol w:w="1230"/>
        <w:gridCol w:w="3936"/>
        <w:gridCol w:w="3659"/>
        <w:gridCol w:w="2409"/>
        <w:gridCol w:w="2977"/>
      </w:tblGrid>
      <w:tr w14:paraId="59B3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692" w:type="dxa"/>
            <w:vMerge w:val="restart"/>
            <w:vAlign w:val="center"/>
          </w:tcPr>
          <w:p w14:paraId="60DB2DBF">
            <w:pPr>
              <w:spacing w:line="240" w:lineRule="exact"/>
              <w:jc w:val="center"/>
              <w:rPr>
                <w:rFonts w:ascii="宋体"/>
                <w:b/>
              </w:rPr>
            </w:pPr>
            <w:r>
              <w:rPr>
                <w:rFonts w:hint="eastAsia" w:ascii="宋体"/>
                <w:b/>
              </w:rPr>
              <w:t>案由74</w:t>
            </w:r>
          </w:p>
        </w:tc>
        <w:tc>
          <w:tcPr>
            <w:tcW w:w="3625" w:type="dxa"/>
            <w:gridSpan w:val="2"/>
            <w:vAlign w:val="center"/>
          </w:tcPr>
          <w:p w14:paraId="78B4E7E7">
            <w:pPr>
              <w:spacing w:line="240" w:lineRule="exact"/>
              <w:jc w:val="center"/>
              <w:rPr>
                <w:rFonts w:ascii="宋体"/>
                <w:b/>
              </w:rPr>
            </w:pPr>
            <w:r>
              <w:rPr>
                <w:rFonts w:hint="eastAsia" w:ascii="宋体"/>
                <w:b/>
              </w:rPr>
              <w:t>法律依据</w:t>
            </w:r>
          </w:p>
        </w:tc>
        <w:tc>
          <w:tcPr>
            <w:tcW w:w="1230" w:type="dxa"/>
            <w:vMerge w:val="restart"/>
            <w:vAlign w:val="center"/>
          </w:tcPr>
          <w:p w14:paraId="626418A3">
            <w:pPr>
              <w:spacing w:line="240" w:lineRule="exact"/>
              <w:jc w:val="center"/>
              <w:rPr>
                <w:rFonts w:ascii="宋体"/>
                <w:b/>
              </w:rPr>
            </w:pPr>
            <w:r>
              <w:rPr>
                <w:rFonts w:hint="eastAsia" w:ascii="宋体"/>
                <w:b/>
              </w:rPr>
              <w:t>违法情节</w:t>
            </w:r>
          </w:p>
        </w:tc>
        <w:tc>
          <w:tcPr>
            <w:tcW w:w="3936" w:type="dxa"/>
            <w:vMerge w:val="restart"/>
            <w:vAlign w:val="center"/>
          </w:tcPr>
          <w:p w14:paraId="15461F23">
            <w:pPr>
              <w:spacing w:line="240" w:lineRule="exact"/>
              <w:jc w:val="center"/>
              <w:rPr>
                <w:rFonts w:ascii="宋体"/>
                <w:b/>
              </w:rPr>
            </w:pPr>
            <w:r>
              <w:rPr>
                <w:rFonts w:hint="eastAsia" w:ascii="宋体"/>
                <w:b/>
              </w:rPr>
              <w:t>主要考虑因素（事实、性质、情节、危害程度和实际后果等）</w:t>
            </w:r>
          </w:p>
        </w:tc>
        <w:tc>
          <w:tcPr>
            <w:tcW w:w="9045" w:type="dxa"/>
            <w:gridSpan w:val="3"/>
            <w:tcBorders>
              <w:right w:val="single" w:color="auto" w:sz="4" w:space="0"/>
            </w:tcBorders>
            <w:vAlign w:val="center"/>
          </w:tcPr>
          <w:p w14:paraId="5C85F67C">
            <w:pPr>
              <w:spacing w:line="240" w:lineRule="exact"/>
              <w:jc w:val="left"/>
              <w:rPr>
                <w:rFonts w:ascii="宋体"/>
                <w:b/>
              </w:rPr>
            </w:pPr>
            <w:r>
              <w:rPr>
                <w:rFonts w:hint="eastAsia" w:ascii="宋体"/>
                <w:b/>
              </w:rPr>
              <w:t>【法定幅度和种类】</w:t>
            </w:r>
            <w:r>
              <w:rPr>
                <w:rFonts w:hint="eastAsia" w:ascii="宋体"/>
                <w:bCs/>
              </w:rPr>
              <w:t>10万元以上20万元以下的罚款，有违法所得的，没收违法所得；拒不改正的，责令停产停业整顿。</w:t>
            </w:r>
          </w:p>
        </w:tc>
      </w:tr>
      <w:tr w14:paraId="754AB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692" w:type="dxa"/>
            <w:vMerge w:val="continue"/>
            <w:vAlign w:val="center"/>
          </w:tcPr>
          <w:p w14:paraId="669968FD">
            <w:pPr>
              <w:spacing w:line="240" w:lineRule="exact"/>
              <w:jc w:val="center"/>
              <w:rPr>
                <w:rFonts w:ascii="宋体"/>
                <w:b/>
              </w:rPr>
            </w:pPr>
          </w:p>
        </w:tc>
        <w:tc>
          <w:tcPr>
            <w:tcW w:w="1468" w:type="dxa"/>
            <w:vMerge w:val="restart"/>
            <w:vAlign w:val="center"/>
          </w:tcPr>
          <w:p w14:paraId="56E8B9A6">
            <w:pPr>
              <w:spacing w:line="240" w:lineRule="exact"/>
              <w:jc w:val="center"/>
              <w:rPr>
                <w:rFonts w:ascii="宋体"/>
                <w:b/>
              </w:rPr>
            </w:pPr>
            <w:r>
              <w:rPr>
                <w:rFonts w:hint="eastAsia" w:ascii="宋体"/>
                <w:b/>
              </w:rPr>
              <w:t>违反条款</w:t>
            </w:r>
          </w:p>
        </w:tc>
        <w:tc>
          <w:tcPr>
            <w:tcW w:w="2157" w:type="dxa"/>
            <w:vMerge w:val="restart"/>
            <w:vAlign w:val="center"/>
          </w:tcPr>
          <w:p w14:paraId="672A0229">
            <w:pPr>
              <w:spacing w:line="240" w:lineRule="exact"/>
              <w:jc w:val="center"/>
              <w:rPr>
                <w:rFonts w:ascii="宋体"/>
                <w:b/>
              </w:rPr>
            </w:pPr>
            <w:r>
              <w:rPr>
                <w:rFonts w:hint="eastAsia" w:ascii="宋体"/>
                <w:b/>
              </w:rPr>
              <w:t>处罚依据</w:t>
            </w:r>
          </w:p>
        </w:tc>
        <w:tc>
          <w:tcPr>
            <w:tcW w:w="1230" w:type="dxa"/>
            <w:vMerge w:val="continue"/>
            <w:vAlign w:val="center"/>
          </w:tcPr>
          <w:p w14:paraId="19D09FBB">
            <w:pPr>
              <w:spacing w:line="240" w:lineRule="exact"/>
              <w:jc w:val="center"/>
              <w:rPr>
                <w:rFonts w:ascii="宋体"/>
                <w:b/>
              </w:rPr>
            </w:pPr>
          </w:p>
        </w:tc>
        <w:tc>
          <w:tcPr>
            <w:tcW w:w="3936" w:type="dxa"/>
            <w:vMerge w:val="continue"/>
            <w:vAlign w:val="center"/>
          </w:tcPr>
          <w:p w14:paraId="29B46831">
            <w:pPr>
              <w:spacing w:line="240" w:lineRule="exact"/>
              <w:jc w:val="center"/>
              <w:rPr>
                <w:rFonts w:ascii="宋体"/>
                <w:b/>
              </w:rPr>
            </w:pPr>
          </w:p>
        </w:tc>
        <w:tc>
          <w:tcPr>
            <w:tcW w:w="9045" w:type="dxa"/>
            <w:gridSpan w:val="3"/>
            <w:tcBorders>
              <w:top w:val="single" w:color="auto" w:sz="4" w:space="0"/>
              <w:bottom w:val="single" w:color="auto" w:sz="4" w:space="0"/>
              <w:right w:val="single" w:color="auto" w:sz="4" w:space="0"/>
            </w:tcBorders>
            <w:vAlign w:val="center"/>
          </w:tcPr>
          <w:p w14:paraId="50DCBAF6">
            <w:pPr>
              <w:spacing w:line="240" w:lineRule="exact"/>
              <w:jc w:val="center"/>
              <w:rPr>
                <w:rFonts w:ascii="宋体"/>
                <w:b/>
              </w:rPr>
            </w:pPr>
            <w:r>
              <w:rPr>
                <w:rFonts w:hint="eastAsia" w:ascii="宋体"/>
                <w:b/>
              </w:rPr>
              <w:t>【对象】船舶所有人或经营人</w:t>
            </w:r>
          </w:p>
        </w:tc>
      </w:tr>
      <w:tr w14:paraId="5989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692" w:type="dxa"/>
            <w:vMerge w:val="continue"/>
            <w:vAlign w:val="center"/>
          </w:tcPr>
          <w:p w14:paraId="3DD49007">
            <w:pPr>
              <w:spacing w:line="240" w:lineRule="exact"/>
              <w:jc w:val="center"/>
              <w:rPr>
                <w:rFonts w:ascii="宋体"/>
                <w:b/>
              </w:rPr>
            </w:pPr>
          </w:p>
        </w:tc>
        <w:tc>
          <w:tcPr>
            <w:tcW w:w="1468" w:type="dxa"/>
            <w:vMerge w:val="continue"/>
            <w:vAlign w:val="center"/>
          </w:tcPr>
          <w:p w14:paraId="13D8BE97">
            <w:pPr>
              <w:spacing w:line="240" w:lineRule="exact"/>
              <w:jc w:val="center"/>
              <w:rPr>
                <w:rFonts w:ascii="宋体"/>
                <w:b/>
              </w:rPr>
            </w:pPr>
          </w:p>
        </w:tc>
        <w:tc>
          <w:tcPr>
            <w:tcW w:w="2157" w:type="dxa"/>
            <w:vMerge w:val="continue"/>
            <w:vAlign w:val="center"/>
          </w:tcPr>
          <w:p w14:paraId="74E024A8">
            <w:pPr>
              <w:spacing w:line="240" w:lineRule="exact"/>
              <w:jc w:val="center"/>
              <w:rPr>
                <w:rFonts w:ascii="宋体"/>
                <w:b/>
              </w:rPr>
            </w:pPr>
          </w:p>
        </w:tc>
        <w:tc>
          <w:tcPr>
            <w:tcW w:w="1230" w:type="dxa"/>
            <w:vMerge w:val="continue"/>
            <w:vAlign w:val="center"/>
          </w:tcPr>
          <w:p w14:paraId="71E809D8">
            <w:pPr>
              <w:spacing w:line="240" w:lineRule="exact"/>
              <w:jc w:val="center"/>
              <w:rPr>
                <w:rFonts w:ascii="宋体"/>
                <w:b/>
              </w:rPr>
            </w:pPr>
          </w:p>
        </w:tc>
        <w:tc>
          <w:tcPr>
            <w:tcW w:w="3936" w:type="dxa"/>
            <w:vMerge w:val="continue"/>
            <w:vAlign w:val="center"/>
          </w:tcPr>
          <w:p w14:paraId="50CAACDE">
            <w:pPr>
              <w:spacing w:line="240" w:lineRule="exact"/>
              <w:jc w:val="center"/>
              <w:rPr>
                <w:rFonts w:ascii="宋体"/>
                <w:b/>
              </w:rPr>
            </w:pPr>
          </w:p>
        </w:tc>
        <w:tc>
          <w:tcPr>
            <w:tcW w:w="3659" w:type="dxa"/>
            <w:tcBorders>
              <w:top w:val="single" w:color="auto" w:sz="4" w:space="0"/>
              <w:bottom w:val="single" w:color="auto" w:sz="4" w:space="0"/>
              <w:right w:val="single" w:color="auto" w:sz="4" w:space="0"/>
            </w:tcBorders>
            <w:vAlign w:val="center"/>
          </w:tcPr>
          <w:p w14:paraId="4FC21A49">
            <w:pPr>
              <w:spacing w:line="240" w:lineRule="exact"/>
              <w:jc w:val="center"/>
              <w:rPr>
                <w:rFonts w:ascii="宋体"/>
                <w:b/>
              </w:rPr>
            </w:pPr>
            <w:r>
              <w:rPr>
                <w:rFonts w:hint="eastAsia" w:ascii="宋体"/>
                <w:b/>
              </w:rPr>
              <w:t>无违法所得，且按要求改正的</w:t>
            </w:r>
          </w:p>
        </w:tc>
        <w:tc>
          <w:tcPr>
            <w:tcW w:w="2409" w:type="dxa"/>
            <w:tcBorders>
              <w:top w:val="single" w:color="auto" w:sz="4" w:space="0"/>
              <w:bottom w:val="single" w:color="auto" w:sz="4" w:space="0"/>
              <w:right w:val="single" w:color="auto" w:sz="4" w:space="0"/>
            </w:tcBorders>
            <w:vAlign w:val="center"/>
          </w:tcPr>
          <w:p w14:paraId="5B5AD23A">
            <w:pPr>
              <w:spacing w:line="240" w:lineRule="exact"/>
              <w:jc w:val="center"/>
              <w:rPr>
                <w:rFonts w:ascii="宋体"/>
                <w:b/>
              </w:rPr>
            </w:pPr>
            <w:r>
              <w:rPr>
                <w:rFonts w:hint="eastAsia" w:ascii="宋体"/>
                <w:b/>
              </w:rPr>
              <w:t>有违法所得</w:t>
            </w:r>
          </w:p>
        </w:tc>
        <w:tc>
          <w:tcPr>
            <w:tcW w:w="2977" w:type="dxa"/>
            <w:tcBorders>
              <w:top w:val="single" w:color="auto" w:sz="4" w:space="0"/>
              <w:bottom w:val="single" w:color="auto" w:sz="4" w:space="0"/>
              <w:right w:val="single" w:color="auto" w:sz="4" w:space="0"/>
            </w:tcBorders>
            <w:vAlign w:val="center"/>
          </w:tcPr>
          <w:p w14:paraId="4D10ACDB">
            <w:pPr>
              <w:spacing w:line="240" w:lineRule="exact"/>
              <w:jc w:val="center"/>
              <w:rPr>
                <w:rFonts w:ascii="宋体"/>
                <w:b/>
              </w:rPr>
            </w:pPr>
            <w:r>
              <w:rPr>
                <w:rFonts w:hint="eastAsia" w:ascii="宋体"/>
                <w:b/>
              </w:rPr>
              <w:t>拒不改正</w:t>
            </w:r>
          </w:p>
        </w:tc>
      </w:tr>
      <w:tr w14:paraId="7595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1692" w:type="dxa"/>
            <w:vMerge w:val="restart"/>
            <w:vAlign w:val="center"/>
          </w:tcPr>
          <w:p w14:paraId="71A3DA95">
            <w:pPr>
              <w:widowControl/>
              <w:spacing w:line="240" w:lineRule="exact"/>
              <w:jc w:val="left"/>
              <w:rPr>
                <w:rFonts w:ascii="宋体"/>
                <w:kern w:val="0"/>
              </w:rPr>
            </w:pPr>
            <w:r>
              <w:rPr>
                <w:rFonts w:hint="eastAsia" w:ascii="宋体"/>
                <w:kern w:val="0"/>
              </w:rPr>
              <w:t>将未经检验合格的运输危险化学品的船舶配载容器投入使用的</w:t>
            </w:r>
          </w:p>
        </w:tc>
        <w:tc>
          <w:tcPr>
            <w:tcW w:w="1468" w:type="dxa"/>
            <w:vMerge w:val="restart"/>
            <w:vAlign w:val="center"/>
          </w:tcPr>
          <w:p w14:paraId="2EA26555">
            <w:pPr>
              <w:widowControl/>
              <w:spacing w:line="240" w:lineRule="exact"/>
              <w:jc w:val="left"/>
              <w:rPr>
                <w:rFonts w:ascii="宋体"/>
                <w:kern w:val="0"/>
              </w:rPr>
            </w:pPr>
            <w:r>
              <w:rPr>
                <w:rFonts w:hint="eastAsia" w:ascii="宋体"/>
                <w:kern w:val="0"/>
              </w:rPr>
              <w:t>1.《危险化学品安全管理条例》第十八条第二款。</w:t>
            </w:r>
          </w:p>
        </w:tc>
        <w:tc>
          <w:tcPr>
            <w:tcW w:w="2157" w:type="dxa"/>
            <w:vMerge w:val="restart"/>
            <w:vAlign w:val="center"/>
          </w:tcPr>
          <w:p w14:paraId="0D932D02">
            <w:pPr>
              <w:widowControl/>
              <w:numPr>
                <w:ilvl w:val="0"/>
                <w:numId w:val="14"/>
              </w:numPr>
              <w:spacing w:line="240" w:lineRule="exact"/>
              <w:jc w:val="left"/>
              <w:rPr>
                <w:rFonts w:ascii="宋体"/>
                <w:kern w:val="0"/>
              </w:rPr>
            </w:pPr>
            <w:r>
              <w:rPr>
                <w:rFonts w:hint="eastAsia" w:ascii="宋体"/>
                <w:kern w:val="0"/>
              </w:rPr>
              <w:t>《危险化学品安全管理条例》第七十九条第二款、《中华人民共和国海上海事行政处罚规定》第二十九条第一款。</w:t>
            </w:r>
          </w:p>
          <w:p w14:paraId="252B98FC">
            <w:pPr>
              <w:widowControl/>
              <w:spacing w:line="240" w:lineRule="exact"/>
              <w:jc w:val="left"/>
              <w:rPr>
                <w:rFonts w:ascii="宋体"/>
                <w:kern w:val="0"/>
              </w:rPr>
            </w:pPr>
            <w:r>
              <w:rPr>
                <w:rFonts w:hint="eastAsia" w:ascii="宋体"/>
                <w:kern w:val="0"/>
              </w:rPr>
              <w:t>2. 《中华人民共和国海上海事行政处罚规定》第七条。</w:t>
            </w:r>
          </w:p>
        </w:tc>
        <w:tc>
          <w:tcPr>
            <w:tcW w:w="1230" w:type="dxa"/>
            <w:vAlign w:val="center"/>
          </w:tcPr>
          <w:p w14:paraId="579BB941">
            <w:pPr>
              <w:widowControl/>
              <w:spacing w:line="240" w:lineRule="exact"/>
              <w:jc w:val="center"/>
              <w:rPr>
                <w:rFonts w:ascii="宋体"/>
                <w:kern w:val="0"/>
              </w:rPr>
            </w:pPr>
            <w:r>
              <w:rPr>
                <w:rFonts w:hint="eastAsia" w:ascii="宋体"/>
                <w:kern w:val="0"/>
              </w:rPr>
              <w:t>从轻</w:t>
            </w:r>
          </w:p>
        </w:tc>
        <w:tc>
          <w:tcPr>
            <w:tcW w:w="3936" w:type="dxa"/>
            <w:vAlign w:val="center"/>
          </w:tcPr>
          <w:p w14:paraId="222973C8">
            <w:pPr>
              <w:widowControl/>
              <w:spacing w:line="240" w:lineRule="exact"/>
              <w:jc w:val="left"/>
              <w:rPr>
                <w:rFonts w:ascii="宋体"/>
                <w:kern w:val="0"/>
              </w:rPr>
            </w:pPr>
            <w:r>
              <w:rPr>
                <w:rFonts w:hint="eastAsia" w:ascii="宋体"/>
                <w:kern w:val="0"/>
              </w:rPr>
              <w:t>具有法定从轻处罚情节的</w:t>
            </w:r>
          </w:p>
        </w:tc>
        <w:tc>
          <w:tcPr>
            <w:tcW w:w="3659" w:type="dxa"/>
            <w:tcBorders>
              <w:bottom w:val="single" w:color="auto" w:sz="4" w:space="0"/>
              <w:right w:val="single" w:color="auto" w:sz="4" w:space="0"/>
            </w:tcBorders>
            <w:vAlign w:val="center"/>
          </w:tcPr>
          <w:p w14:paraId="41350A66">
            <w:pPr>
              <w:widowControl/>
              <w:spacing w:line="240" w:lineRule="exact"/>
              <w:jc w:val="center"/>
              <w:rPr>
                <w:rFonts w:ascii="宋体"/>
                <w:kern w:val="0"/>
              </w:rPr>
            </w:pPr>
            <w:r>
              <w:rPr>
                <w:rFonts w:hint="eastAsia" w:ascii="宋体"/>
                <w:kern w:val="0"/>
              </w:rPr>
              <w:t>10-12万元</w:t>
            </w:r>
          </w:p>
        </w:tc>
        <w:tc>
          <w:tcPr>
            <w:tcW w:w="2409" w:type="dxa"/>
            <w:vMerge w:val="restart"/>
            <w:vAlign w:val="center"/>
          </w:tcPr>
          <w:p w14:paraId="41543000">
            <w:pPr>
              <w:widowControl/>
              <w:spacing w:line="240" w:lineRule="exact"/>
              <w:rPr>
                <w:rFonts w:ascii="宋体"/>
                <w:kern w:val="0"/>
              </w:rPr>
            </w:pPr>
            <w:r>
              <w:rPr>
                <w:rFonts w:hint="eastAsia" w:ascii="宋体"/>
                <w:kern w:val="0"/>
              </w:rPr>
              <w:t>除按前述标准罚款外，没收违法所得</w:t>
            </w:r>
          </w:p>
        </w:tc>
        <w:tc>
          <w:tcPr>
            <w:tcW w:w="2977" w:type="dxa"/>
            <w:vMerge w:val="restart"/>
            <w:tcBorders>
              <w:right w:val="single" w:color="auto" w:sz="4" w:space="0"/>
            </w:tcBorders>
            <w:vAlign w:val="center"/>
          </w:tcPr>
          <w:p w14:paraId="53CC15C2">
            <w:pPr>
              <w:widowControl/>
              <w:spacing w:line="240" w:lineRule="exact"/>
              <w:rPr>
                <w:rFonts w:ascii="宋体"/>
                <w:kern w:val="0"/>
              </w:rPr>
            </w:pPr>
            <w:r>
              <w:rPr>
                <w:rFonts w:hint="eastAsia" w:ascii="宋体"/>
                <w:kern w:val="0"/>
              </w:rPr>
              <w:t>除按前述标准罚款、没收违法所得外，并责令停产停业整顿</w:t>
            </w:r>
          </w:p>
        </w:tc>
      </w:tr>
      <w:tr w14:paraId="34E5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4D671FEB">
            <w:pPr>
              <w:widowControl/>
              <w:spacing w:line="240" w:lineRule="exact"/>
              <w:jc w:val="left"/>
              <w:rPr>
                <w:rFonts w:ascii="宋体"/>
                <w:kern w:val="0"/>
              </w:rPr>
            </w:pPr>
          </w:p>
        </w:tc>
        <w:tc>
          <w:tcPr>
            <w:tcW w:w="1468" w:type="dxa"/>
            <w:vMerge w:val="continue"/>
            <w:vAlign w:val="center"/>
          </w:tcPr>
          <w:p w14:paraId="0C4AE885">
            <w:pPr>
              <w:widowControl/>
              <w:spacing w:line="240" w:lineRule="exact"/>
              <w:jc w:val="left"/>
              <w:rPr>
                <w:rFonts w:ascii="宋体"/>
                <w:kern w:val="0"/>
              </w:rPr>
            </w:pPr>
          </w:p>
        </w:tc>
        <w:tc>
          <w:tcPr>
            <w:tcW w:w="2157" w:type="dxa"/>
            <w:vMerge w:val="continue"/>
            <w:vAlign w:val="center"/>
          </w:tcPr>
          <w:p w14:paraId="1EC1FEE1">
            <w:pPr>
              <w:widowControl/>
              <w:spacing w:line="240" w:lineRule="exact"/>
              <w:jc w:val="left"/>
              <w:rPr>
                <w:rFonts w:ascii="宋体"/>
                <w:kern w:val="0"/>
              </w:rPr>
            </w:pPr>
          </w:p>
        </w:tc>
        <w:tc>
          <w:tcPr>
            <w:tcW w:w="1230" w:type="dxa"/>
            <w:vMerge w:val="restart"/>
            <w:vAlign w:val="center"/>
          </w:tcPr>
          <w:p w14:paraId="5B9597A1">
            <w:pPr>
              <w:widowControl/>
              <w:spacing w:line="240" w:lineRule="exact"/>
              <w:jc w:val="center"/>
              <w:rPr>
                <w:rFonts w:ascii="宋体"/>
                <w:kern w:val="0"/>
              </w:rPr>
            </w:pPr>
            <w:r>
              <w:rPr>
                <w:rFonts w:hint="eastAsia" w:ascii="宋体"/>
                <w:kern w:val="0"/>
              </w:rPr>
              <w:t>一般</w:t>
            </w:r>
          </w:p>
        </w:tc>
        <w:tc>
          <w:tcPr>
            <w:tcW w:w="3936" w:type="dxa"/>
            <w:tcBorders>
              <w:top w:val="single" w:color="auto" w:sz="4" w:space="0"/>
              <w:bottom w:val="single" w:color="auto" w:sz="4" w:space="0"/>
            </w:tcBorders>
            <w:vAlign w:val="center"/>
          </w:tcPr>
          <w:p w14:paraId="50B439A7">
            <w:pPr>
              <w:widowControl/>
              <w:spacing w:line="240" w:lineRule="exact"/>
              <w:jc w:val="left"/>
              <w:rPr>
                <w:rFonts w:ascii="宋体"/>
                <w:kern w:val="0"/>
              </w:rPr>
            </w:pPr>
            <w:r>
              <w:rPr>
                <w:rFonts w:hint="eastAsia" w:ascii="宋体"/>
                <w:kern w:val="0"/>
              </w:rPr>
              <w:t>未造成人员伤亡、财产损失或危险化学品泄漏的</w:t>
            </w:r>
          </w:p>
        </w:tc>
        <w:tc>
          <w:tcPr>
            <w:tcW w:w="3659" w:type="dxa"/>
            <w:tcBorders>
              <w:right w:val="single" w:color="auto" w:sz="4" w:space="0"/>
            </w:tcBorders>
            <w:vAlign w:val="center"/>
          </w:tcPr>
          <w:p w14:paraId="2F919446">
            <w:pPr>
              <w:widowControl/>
              <w:spacing w:line="240" w:lineRule="exact"/>
              <w:jc w:val="center"/>
              <w:rPr>
                <w:rFonts w:ascii="宋体"/>
                <w:kern w:val="0"/>
              </w:rPr>
            </w:pPr>
            <w:r>
              <w:rPr>
                <w:rFonts w:hint="eastAsia" w:ascii="宋体"/>
                <w:kern w:val="0"/>
              </w:rPr>
              <w:t>12-14万元</w:t>
            </w:r>
          </w:p>
        </w:tc>
        <w:tc>
          <w:tcPr>
            <w:tcW w:w="2409" w:type="dxa"/>
            <w:vMerge w:val="continue"/>
            <w:vAlign w:val="center"/>
          </w:tcPr>
          <w:p w14:paraId="7945EED2">
            <w:pPr>
              <w:widowControl/>
              <w:spacing w:line="240" w:lineRule="exact"/>
              <w:rPr>
                <w:rFonts w:ascii="宋体"/>
                <w:kern w:val="0"/>
              </w:rPr>
            </w:pPr>
          </w:p>
        </w:tc>
        <w:tc>
          <w:tcPr>
            <w:tcW w:w="2977" w:type="dxa"/>
            <w:vMerge w:val="continue"/>
            <w:tcBorders>
              <w:right w:val="single" w:color="auto" w:sz="4" w:space="0"/>
            </w:tcBorders>
            <w:vAlign w:val="center"/>
          </w:tcPr>
          <w:p w14:paraId="146FC294">
            <w:pPr>
              <w:widowControl/>
              <w:spacing w:line="240" w:lineRule="exact"/>
              <w:rPr>
                <w:rFonts w:ascii="宋体"/>
                <w:kern w:val="0"/>
              </w:rPr>
            </w:pPr>
          </w:p>
        </w:tc>
      </w:tr>
      <w:tr w14:paraId="3C6E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1692" w:type="dxa"/>
            <w:vMerge w:val="continue"/>
            <w:vAlign w:val="center"/>
          </w:tcPr>
          <w:p w14:paraId="2F22BE21">
            <w:pPr>
              <w:widowControl/>
              <w:spacing w:line="240" w:lineRule="exact"/>
              <w:jc w:val="left"/>
              <w:rPr>
                <w:rFonts w:ascii="宋体"/>
                <w:kern w:val="0"/>
              </w:rPr>
            </w:pPr>
          </w:p>
        </w:tc>
        <w:tc>
          <w:tcPr>
            <w:tcW w:w="1468" w:type="dxa"/>
            <w:vMerge w:val="continue"/>
            <w:vAlign w:val="center"/>
          </w:tcPr>
          <w:p w14:paraId="168CC25F">
            <w:pPr>
              <w:widowControl/>
              <w:spacing w:line="240" w:lineRule="exact"/>
              <w:jc w:val="left"/>
              <w:rPr>
                <w:rFonts w:ascii="宋体"/>
                <w:kern w:val="0"/>
              </w:rPr>
            </w:pPr>
          </w:p>
        </w:tc>
        <w:tc>
          <w:tcPr>
            <w:tcW w:w="2157" w:type="dxa"/>
            <w:vMerge w:val="continue"/>
            <w:vAlign w:val="center"/>
          </w:tcPr>
          <w:p w14:paraId="309DC9E6">
            <w:pPr>
              <w:widowControl/>
              <w:spacing w:line="240" w:lineRule="exact"/>
              <w:jc w:val="left"/>
              <w:rPr>
                <w:rFonts w:ascii="宋体"/>
                <w:kern w:val="0"/>
              </w:rPr>
            </w:pPr>
          </w:p>
        </w:tc>
        <w:tc>
          <w:tcPr>
            <w:tcW w:w="1230" w:type="dxa"/>
            <w:vMerge w:val="continue"/>
            <w:vAlign w:val="center"/>
          </w:tcPr>
          <w:p w14:paraId="1A84160C">
            <w:pPr>
              <w:widowControl/>
              <w:spacing w:line="240" w:lineRule="exact"/>
              <w:jc w:val="center"/>
              <w:rPr>
                <w:rFonts w:ascii="宋体"/>
                <w:kern w:val="0"/>
              </w:rPr>
            </w:pPr>
          </w:p>
        </w:tc>
        <w:tc>
          <w:tcPr>
            <w:tcW w:w="3936" w:type="dxa"/>
            <w:tcBorders>
              <w:top w:val="single" w:color="auto" w:sz="4" w:space="0"/>
            </w:tcBorders>
            <w:vAlign w:val="center"/>
          </w:tcPr>
          <w:p w14:paraId="23B16395">
            <w:pPr>
              <w:widowControl/>
              <w:spacing w:line="240" w:lineRule="exact"/>
              <w:jc w:val="left"/>
              <w:rPr>
                <w:rFonts w:ascii="宋体"/>
                <w:kern w:val="0"/>
              </w:rPr>
            </w:pPr>
            <w:r>
              <w:rPr>
                <w:rFonts w:hint="eastAsia" w:ascii="宋体"/>
                <w:kern w:val="0"/>
              </w:rPr>
              <w:t>造成危险化学品泄漏、人员受伤或财产损失在1000万元及以下的</w:t>
            </w:r>
          </w:p>
        </w:tc>
        <w:tc>
          <w:tcPr>
            <w:tcW w:w="3659" w:type="dxa"/>
            <w:tcBorders>
              <w:top w:val="single" w:color="auto" w:sz="4" w:space="0"/>
              <w:right w:val="single" w:color="auto" w:sz="4" w:space="0"/>
            </w:tcBorders>
            <w:vAlign w:val="center"/>
          </w:tcPr>
          <w:p w14:paraId="62247628">
            <w:pPr>
              <w:widowControl/>
              <w:spacing w:line="240" w:lineRule="exact"/>
              <w:jc w:val="center"/>
              <w:rPr>
                <w:rFonts w:ascii="宋体"/>
                <w:kern w:val="0"/>
              </w:rPr>
            </w:pPr>
            <w:r>
              <w:rPr>
                <w:rFonts w:hint="eastAsia" w:ascii="宋体"/>
                <w:kern w:val="0"/>
              </w:rPr>
              <w:t>14-15万元</w:t>
            </w:r>
          </w:p>
        </w:tc>
        <w:tc>
          <w:tcPr>
            <w:tcW w:w="2409" w:type="dxa"/>
            <w:vMerge w:val="continue"/>
            <w:vAlign w:val="center"/>
          </w:tcPr>
          <w:p w14:paraId="05879303">
            <w:pPr>
              <w:widowControl/>
              <w:spacing w:line="240" w:lineRule="exact"/>
              <w:rPr>
                <w:rFonts w:ascii="宋体"/>
                <w:kern w:val="0"/>
              </w:rPr>
            </w:pPr>
          </w:p>
        </w:tc>
        <w:tc>
          <w:tcPr>
            <w:tcW w:w="2977" w:type="dxa"/>
            <w:vMerge w:val="continue"/>
            <w:tcBorders>
              <w:right w:val="single" w:color="auto" w:sz="4" w:space="0"/>
            </w:tcBorders>
            <w:vAlign w:val="center"/>
          </w:tcPr>
          <w:p w14:paraId="03FB551D">
            <w:pPr>
              <w:widowControl/>
              <w:spacing w:line="240" w:lineRule="exact"/>
              <w:rPr>
                <w:rFonts w:ascii="宋体"/>
                <w:kern w:val="0"/>
              </w:rPr>
            </w:pPr>
          </w:p>
        </w:tc>
      </w:tr>
      <w:tr w14:paraId="29524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14:paraId="63A34E6D">
            <w:pPr>
              <w:widowControl/>
              <w:spacing w:line="240" w:lineRule="exact"/>
              <w:jc w:val="left"/>
              <w:rPr>
                <w:rFonts w:ascii="宋体"/>
                <w:kern w:val="0"/>
              </w:rPr>
            </w:pPr>
          </w:p>
        </w:tc>
        <w:tc>
          <w:tcPr>
            <w:tcW w:w="1468" w:type="dxa"/>
            <w:vMerge w:val="continue"/>
            <w:vAlign w:val="center"/>
          </w:tcPr>
          <w:p w14:paraId="2A5600BB">
            <w:pPr>
              <w:widowControl/>
              <w:spacing w:line="240" w:lineRule="exact"/>
              <w:jc w:val="left"/>
              <w:rPr>
                <w:rFonts w:ascii="宋体"/>
                <w:kern w:val="0"/>
              </w:rPr>
            </w:pPr>
          </w:p>
        </w:tc>
        <w:tc>
          <w:tcPr>
            <w:tcW w:w="2157" w:type="dxa"/>
            <w:vMerge w:val="continue"/>
            <w:vAlign w:val="center"/>
          </w:tcPr>
          <w:p w14:paraId="22C6F09B">
            <w:pPr>
              <w:widowControl/>
              <w:spacing w:line="240" w:lineRule="exact"/>
              <w:jc w:val="left"/>
              <w:rPr>
                <w:rFonts w:ascii="宋体"/>
                <w:kern w:val="0"/>
              </w:rPr>
            </w:pPr>
          </w:p>
        </w:tc>
        <w:tc>
          <w:tcPr>
            <w:tcW w:w="1230" w:type="dxa"/>
            <w:vMerge w:val="continue"/>
            <w:tcBorders>
              <w:bottom w:val="single" w:color="auto" w:sz="4" w:space="0"/>
            </w:tcBorders>
            <w:vAlign w:val="center"/>
          </w:tcPr>
          <w:p w14:paraId="246ED138">
            <w:pPr>
              <w:widowControl/>
              <w:spacing w:line="240" w:lineRule="exact"/>
              <w:jc w:val="left"/>
              <w:rPr>
                <w:rFonts w:ascii="宋体"/>
                <w:kern w:val="0"/>
              </w:rPr>
            </w:pPr>
          </w:p>
        </w:tc>
        <w:tc>
          <w:tcPr>
            <w:tcW w:w="3936" w:type="dxa"/>
            <w:tcBorders>
              <w:top w:val="single" w:color="auto" w:sz="4" w:space="0"/>
              <w:left w:val="single" w:color="auto" w:sz="4" w:space="0"/>
              <w:bottom w:val="single" w:color="auto" w:sz="4" w:space="0"/>
            </w:tcBorders>
            <w:vAlign w:val="center"/>
          </w:tcPr>
          <w:p w14:paraId="7C0B4530">
            <w:pPr>
              <w:widowControl/>
              <w:spacing w:line="240" w:lineRule="exact"/>
              <w:jc w:val="left"/>
              <w:rPr>
                <w:rFonts w:ascii="宋体"/>
                <w:kern w:val="0"/>
              </w:rPr>
            </w:pPr>
            <w:r>
              <w:rPr>
                <w:rFonts w:hint="eastAsia" w:ascii="宋体"/>
                <w:kern w:val="0"/>
              </w:rPr>
              <w:t>1.造成人员死亡或财产损1000万元以上的；</w:t>
            </w:r>
          </w:p>
          <w:p w14:paraId="0ADDF2AF">
            <w:pPr>
              <w:widowControl/>
              <w:spacing w:line="240" w:lineRule="exact"/>
              <w:jc w:val="left"/>
              <w:rPr>
                <w:rFonts w:ascii="宋体"/>
                <w:kern w:val="0"/>
              </w:rPr>
            </w:pPr>
            <w:r>
              <w:rPr>
                <w:rFonts w:hint="eastAsia" w:ascii="宋体"/>
                <w:kern w:val="0"/>
              </w:rPr>
              <w:t>2.具有其他较重情节的。</w:t>
            </w:r>
          </w:p>
        </w:tc>
        <w:tc>
          <w:tcPr>
            <w:tcW w:w="3659" w:type="dxa"/>
            <w:tcBorders>
              <w:top w:val="single" w:color="auto" w:sz="4" w:space="0"/>
              <w:bottom w:val="single" w:color="auto" w:sz="4" w:space="0"/>
              <w:right w:val="single" w:color="auto" w:sz="4" w:space="0"/>
            </w:tcBorders>
            <w:vAlign w:val="center"/>
          </w:tcPr>
          <w:p w14:paraId="3930D7DB">
            <w:pPr>
              <w:widowControl/>
              <w:spacing w:line="240" w:lineRule="exact"/>
              <w:jc w:val="center"/>
              <w:rPr>
                <w:rFonts w:ascii="宋体"/>
                <w:kern w:val="0"/>
              </w:rPr>
            </w:pPr>
            <w:r>
              <w:rPr>
                <w:rFonts w:hint="eastAsia" w:ascii="宋体"/>
                <w:kern w:val="0"/>
              </w:rPr>
              <w:t>15-20万元</w:t>
            </w:r>
          </w:p>
        </w:tc>
        <w:tc>
          <w:tcPr>
            <w:tcW w:w="2409" w:type="dxa"/>
            <w:vMerge w:val="continue"/>
            <w:vAlign w:val="center"/>
          </w:tcPr>
          <w:p w14:paraId="2F5A0D34">
            <w:pPr>
              <w:widowControl/>
              <w:spacing w:line="240" w:lineRule="exact"/>
              <w:rPr>
                <w:rFonts w:ascii="宋体"/>
                <w:kern w:val="0"/>
              </w:rPr>
            </w:pPr>
          </w:p>
        </w:tc>
        <w:tc>
          <w:tcPr>
            <w:tcW w:w="2977" w:type="dxa"/>
            <w:vMerge w:val="continue"/>
            <w:tcBorders>
              <w:right w:val="single" w:color="auto" w:sz="4" w:space="0"/>
            </w:tcBorders>
            <w:vAlign w:val="center"/>
          </w:tcPr>
          <w:p w14:paraId="55DE0ECF">
            <w:pPr>
              <w:widowControl/>
              <w:spacing w:line="240" w:lineRule="exact"/>
              <w:rPr>
                <w:rFonts w:ascii="宋体"/>
                <w:kern w:val="0"/>
              </w:rPr>
            </w:pPr>
          </w:p>
        </w:tc>
      </w:tr>
    </w:tbl>
    <w:p w14:paraId="6848B920">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0"/>
        <w:gridCol w:w="1992"/>
        <w:gridCol w:w="2745"/>
        <w:gridCol w:w="1485"/>
        <w:gridCol w:w="6272"/>
        <w:gridCol w:w="6216"/>
      </w:tblGrid>
      <w:tr w14:paraId="4F902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810" w:type="dxa"/>
            <w:vMerge w:val="restart"/>
            <w:vAlign w:val="center"/>
          </w:tcPr>
          <w:p w14:paraId="7F97E666">
            <w:pPr>
              <w:spacing w:line="240" w:lineRule="exact"/>
              <w:jc w:val="center"/>
              <w:rPr>
                <w:rFonts w:ascii="宋体"/>
                <w:b/>
                <w:kern w:val="0"/>
              </w:rPr>
            </w:pPr>
            <w:r>
              <w:rPr>
                <w:rFonts w:hint="eastAsia" w:ascii="宋体"/>
                <w:b/>
                <w:kern w:val="0"/>
              </w:rPr>
              <w:t>案由75</w:t>
            </w:r>
          </w:p>
        </w:tc>
        <w:tc>
          <w:tcPr>
            <w:tcW w:w="4737" w:type="dxa"/>
            <w:gridSpan w:val="2"/>
            <w:vAlign w:val="center"/>
          </w:tcPr>
          <w:p w14:paraId="38D1875C">
            <w:pPr>
              <w:spacing w:line="240" w:lineRule="exact"/>
              <w:jc w:val="center"/>
              <w:rPr>
                <w:rFonts w:ascii="宋体"/>
                <w:b/>
                <w:kern w:val="0"/>
              </w:rPr>
            </w:pPr>
            <w:r>
              <w:rPr>
                <w:rFonts w:hint="eastAsia" w:ascii="宋体"/>
                <w:b/>
                <w:kern w:val="0"/>
              </w:rPr>
              <w:t>法律依据</w:t>
            </w:r>
          </w:p>
        </w:tc>
        <w:tc>
          <w:tcPr>
            <w:tcW w:w="1485" w:type="dxa"/>
            <w:vMerge w:val="restart"/>
            <w:vAlign w:val="center"/>
          </w:tcPr>
          <w:p w14:paraId="68148A47">
            <w:pPr>
              <w:spacing w:line="240" w:lineRule="exact"/>
              <w:jc w:val="center"/>
              <w:rPr>
                <w:rFonts w:ascii="宋体"/>
                <w:b/>
                <w:kern w:val="0"/>
              </w:rPr>
            </w:pPr>
            <w:r>
              <w:rPr>
                <w:rFonts w:hint="eastAsia" w:ascii="宋体"/>
                <w:b/>
                <w:kern w:val="0"/>
              </w:rPr>
              <w:t>违法情节</w:t>
            </w:r>
          </w:p>
        </w:tc>
        <w:tc>
          <w:tcPr>
            <w:tcW w:w="6272" w:type="dxa"/>
            <w:vMerge w:val="restart"/>
            <w:vAlign w:val="center"/>
          </w:tcPr>
          <w:p w14:paraId="1699B46A">
            <w:pPr>
              <w:spacing w:line="240" w:lineRule="exact"/>
              <w:jc w:val="center"/>
              <w:rPr>
                <w:rFonts w:ascii="宋体"/>
                <w:b/>
                <w:kern w:val="0"/>
              </w:rPr>
            </w:pPr>
            <w:r>
              <w:rPr>
                <w:rFonts w:hint="eastAsia" w:ascii="宋体"/>
                <w:b/>
                <w:kern w:val="0"/>
              </w:rPr>
              <w:t>主要考虑因素（事实、性质、情节、危害程度和实际后果等）</w:t>
            </w:r>
          </w:p>
        </w:tc>
        <w:tc>
          <w:tcPr>
            <w:tcW w:w="6216" w:type="dxa"/>
            <w:tcBorders>
              <w:right w:val="single" w:color="auto" w:sz="4" w:space="0"/>
            </w:tcBorders>
            <w:vAlign w:val="center"/>
          </w:tcPr>
          <w:p w14:paraId="142BD619">
            <w:pPr>
              <w:spacing w:line="240" w:lineRule="exact"/>
              <w:jc w:val="left"/>
              <w:rPr>
                <w:rFonts w:ascii="宋体"/>
                <w:b/>
                <w:kern w:val="0"/>
              </w:rPr>
            </w:pPr>
            <w:r>
              <w:rPr>
                <w:rFonts w:hint="eastAsia" w:ascii="宋体"/>
                <w:b/>
                <w:kern w:val="0"/>
              </w:rPr>
              <w:t>【法定幅度和种类】</w:t>
            </w:r>
            <w:r>
              <w:rPr>
                <w:rFonts w:hint="eastAsia" w:ascii="宋体"/>
                <w:bCs/>
                <w:kern w:val="0"/>
              </w:rPr>
              <w:t>警告或处2万以下罚款。</w:t>
            </w:r>
          </w:p>
        </w:tc>
      </w:tr>
      <w:tr w14:paraId="52044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810" w:type="dxa"/>
            <w:vMerge w:val="continue"/>
            <w:tcBorders>
              <w:bottom w:val="single" w:color="auto" w:sz="4" w:space="0"/>
            </w:tcBorders>
            <w:vAlign w:val="center"/>
          </w:tcPr>
          <w:p w14:paraId="35B83362">
            <w:pPr>
              <w:spacing w:line="240" w:lineRule="exact"/>
              <w:jc w:val="center"/>
              <w:rPr>
                <w:rFonts w:ascii="宋体"/>
                <w:b/>
                <w:kern w:val="0"/>
              </w:rPr>
            </w:pPr>
          </w:p>
        </w:tc>
        <w:tc>
          <w:tcPr>
            <w:tcW w:w="1992" w:type="dxa"/>
            <w:tcBorders>
              <w:bottom w:val="single" w:color="auto" w:sz="4" w:space="0"/>
            </w:tcBorders>
            <w:vAlign w:val="center"/>
          </w:tcPr>
          <w:p w14:paraId="130F0055">
            <w:pPr>
              <w:spacing w:line="240" w:lineRule="exact"/>
              <w:jc w:val="center"/>
              <w:rPr>
                <w:rFonts w:ascii="宋体"/>
                <w:b/>
                <w:kern w:val="0"/>
              </w:rPr>
            </w:pPr>
            <w:r>
              <w:rPr>
                <w:rFonts w:hint="eastAsia" w:ascii="宋体"/>
                <w:b/>
                <w:kern w:val="0"/>
              </w:rPr>
              <w:t>违反条款</w:t>
            </w:r>
          </w:p>
        </w:tc>
        <w:tc>
          <w:tcPr>
            <w:tcW w:w="2745" w:type="dxa"/>
            <w:tcBorders>
              <w:bottom w:val="single" w:color="auto" w:sz="4" w:space="0"/>
            </w:tcBorders>
            <w:vAlign w:val="center"/>
          </w:tcPr>
          <w:p w14:paraId="3307574C">
            <w:pPr>
              <w:spacing w:line="240" w:lineRule="exact"/>
              <w:jc w:val="center"/>
              <w:rPr>
                <w:rFonts w:ascii="宋体"/>
                <w:b/>
                <w:kern w:val="0"/>
              </w:rPr>
            </w:pPr>
            <w:r>
              <w:rPr>
                <w:rFonts w:hint="eastAsia" w:ascii="宋体"/>
                <w:b/>
                <w:kern w:val="0"/>
              </w:rPr>
              <w:t>处罚依据</w:t>
            </w:r>
          </w:p>
        </w:tc>
        <w:tc>
          <w:tcPr>
            <w:tcW w:w="1485" w:type="dxa"/>
            <w:vMerge w:val="continue"/>
            <w:tcBorders>
              <w:bottom w:val="single" w:color="auto" w:sz="4" w:space="0"/>
            </w:tcBorders>
            <w:vAlign w:val="center"/>
          </w:tcPr>
          <w:p w14:paraId="3A3FEB2A">
            <w:pPr>
              <w:spacing w:line="240" w:lineRule="exact"/>
              <w:jc w:val="center"/>
              <w:rPr>
                <w:rFonts w:ascii="宋体"/>
                <w:b/>
                <w:kern w:val="0"/>
              </w:rPr>
            </w:pPr>
          </w:p>
        </w:tc>
        <w:tc>
          <w:tcPr>
            <w:tcW w:w="6272" w:type="dxa"/>
            <w:vMerge w:val="continue"/>
            <w:tcBorders>
              <w:bottom w:val="single" w:color="auto" w:sz="4" w:space="0"/>
            </w:tcBorders>
            <w:vAlign w:val="center"/>
          </w:tcPr>
          <w:p w14:paraId="277742D7">
            <w:pPr>
              <w:spacing w:line="240" w:lineRule="exact"/>
              <w:jc w:val="center"/>
              <w:rPr>
                <w:rFonts w:ascii="宋体"/>
                <w:b/>
                <w:kern w:val="0"/>
              </w:rPr>
            </w:pPr>
          </w:p>
        </w:tc>
        <w:tc>
          <w:tcPr>
            <w:tcW w:w="6216" w:type="dxa"/>
            <w:tcBorders>
              <w:top w:val="single" w:color="auto" w:sz="4" w:space="0"/>
              <w:bottom w:val="single" w:color="auto" w:sz="4" w:space="0"/>
              <w:right w:val="single" w:color="auto" w:sz="4" w:space="0"/>
            </w:tcBorders>
            <w:vAlign w:val="center"/>
          </w:tcPr>
          <w:p w14:paraId="1B8E0EAD">
            <w:pPr>
              <w:spacing w:line="240" w:lineRule="exact"/>
              <w:jc w:val="center"/>
              <w:rPr>
                <w:rFonts w:ascii="宋体"/>
                <w:b/>
                <w:kern w:val="0"/>
              </w:rPr>
            </w:pPr>
            <w:r>
              <w:rPr>
                <w:rFonts w:hint="eastAsia" w:ascii="宋体"/>
                <w:b/>
                <w:kern w:val="0"/>
              </w:rPr>
              <w:t>【对象】船舶所有人或经营人</w:t>
            </w:r>
          </w:p>
        </w:tc>
      </w:tr>
      <w:tr w14:paraId="0EC0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810" w:type="dxa"/>
            <w:vMerge w:val="restart"/>
            <w:vAlign w:val="center"/>
          </w:tcPr>
          <w:p w14:paraId="07C8E255">
            <w:pPr>
              <w:widowControl/>
              <w:spacing w:line="240" w:lineRule="exact"/>
              <w:jc w:val="left"/>
              <w:rPr>
                <w:rFonts w:ascii="宋体"/>
                <w:kern w:val="0"/>
              </w:rPr>
            </w:pPr>
            <w:r>
              <w:rPr>
                <w:rFonts w:hint="eastAsia" w:ascii="宋体"/>
                <w:kern w:val="0"/>
              </w:rPr>
              <w:t>船舶不按照规定记载排污记录的</w:t>
            </w:r>
          </w:p>
        </w:tc>
        <w:tc>
          <w:tcPr>
            <w:tcW w:w="1992" w:type="dxa"/>
            <w:vMerge w:val="restart"/>
            <w:vAlign w:val="center"/>
          </w:tcPr>
          <w:p w14:paraId="5F70361C">
            <w:pPr>
              <w:widowControl/>
              <w:spacing w:line="240" w:lineRule="exact"/>
              <w:jc w:val="left"/>
              <w:rPr>
                <w:rFonts w:ascii="宋体"/>
                <w:kern w:val="0"/>
              </w:rPr>
            </w:pPr>
            <w:r>
              <w:rPr>
                <w:rFonts w:hint="eastAsia" w:ascii="宋体"/>
                <w:kern w:val="0"/>
              </w:rPr>
              <w:t>1.《中华人民共和国海洋环境保护法》第六十三条</w:t>
            </w:r>
          </w:p>
        </w:tc>
        <w:tc>
          <w:tcPr>
            <w:tcW w:w="2745" w:type="dxa"/>
            <w:vMerge w:val="restart"/>
            <w:vAlign w:val="center"/>
          </w:tcPr>
          <w:p w14:paraId="1B9A193D">
            <w:pPr>
              <w:widowControl/>
              <w:spacing w:line="240" w:lineRule="exact"/>
              <w:jc w:val="left"/>
              <w:rPr>
                <w:rFonts w:ascii="宋体"/>
                <w:kern w:val="0"/>
              </w:rPr>
            </w:pPr>
            <w:r>
              <w:rPr>
                <w:rFonts w:hint="eastAsia" w:ascii="宋体"/>
                <w:kern w:val="0"/>
              </w:rPr>
              <w:t>1.《中华人民共和国海洋环境保护法》第八十七条第一款第（二）项及第二款；</w:t>
            </w:r>
          </w:p>
          <w:p w14:paraId="57F80D0F">
            <w:pPr>
              <w:widowControl/>
              <w:spacing w:line="240" w:lineRule="exact"/>
              <w:jc w:val="left"/>
              <w:rPr>
                <w:rFonts w:ascii="宋体"/>
                <w:kern w:val="0"/>
              </w:rPr>
            </w:pPr>
            <w:r>
              <w:rPr>
                <w:rFonts w:hint="eastAsia" w:ascii="宋体"/>
                <w:kern w:val="0"/>
              </w:rPr>
              <w:t>2. 《中华人民共和国海上海事行政处罚规定》第七条</w:t>
            </w:r>
          </w:p>
        </w:tc>
        <w:tc>
          <w:tcPr>
            <w:tcW w:w="1485" w:type="dxa"/>
            <w:vAlign w:val="center"/>
          </w:tcPr>
          <w:p w14:paraId="5A06F2BC">
            <w:pPr>
              <w:widowControl/>
              <w:spacing w:line="240" w:lineRule="exact"/>
              <w:jc w:val="center"/>
              <w:rPr>
                <w:rFonts w:ascii="宋体"/>
                <w:kern w:val="0"/>
              </w:rPr>
            </w:pPr>
            <w:r>
              <w:rPr>
                <w:rFonts w:hint="eastAsia" w:ascii="宋体"/>
                <w:kern w:val="0"/>
              </w:rPr>
              <w:t>从轻</w:t>
            </w:r>
          </w:p>
        </w:tc>
        <w:tc>
          <w:tcPr>
            <w:tcW w:w="6272" w:type="dxa"/>
            <w:vAlign w:val="center"/>
          </w:tcPr>
          <w:p w14:paraId="1C08B2B5">
            <w:pPr>
              <w:widowControl/>
              <w:spacing w:line="240" w:lineRule="exact"/>
              <w:jc w:val="left"/>
              <w:rPr>
                <w:rFonts w:ascii="宋体"/>
                <w:kern w:val="0"/>
              </w:rPr>
            </w:pPr>
            <w:r>
              <w:rPr>
                <w:rFonts w:hint="eastAsia" w:ascii="宋体"/>
                <w:kern w:val="0"/>
              </w:rPr>
              <w:t>具有法定从轻处罚情节的</w:t>
            </w:r>
          </w:p>
        </w:tc>
        <w:tc>
          <w:tcPr>
            <w:tcW w:w="6216" w:type="dxa"/>
            <w:tcBorders>
              <w:right w:val="single" w:color="auto" w:sz="4" w:space="0"/>
            </w:tcBorders>
            <w:vAlign w:val="center"/>
          </w:tcPr>
          <w:p w14:paraId="48490913">
            <w:pPr>
              <w:widowControl/>
              <w:spacing w:line="240" w:lineRule="exact"/>
              <w:jc w:val="center"/>
              <w:rPr>
                <w:rFonts w:ascii="宋体"/>
                <w:kern w:val="0"/>
              </w:rPr>
            </w:pPr>
            <w:r>
              <w:rPr>
                <w:rFonts w:hint="eastAsia" w:ascii="宋体"/>
                <w:kern w:val="0"/>
              </w:rPr>
              <w:t>警告或者处1000-2000元</w:t>
            </w:r>
          </w:p>
        </w:tc>
      </w:tr>
      <w:tr w14:paraId="2BD36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trPr>
        <w:tc>
          <w:tcPr>
            <w:tcW w:w="1810" w:type="dxa"/>
            <w:vMerge w:val="continue"/>
            <w:vAlign w:val="center"/>
          </w:tcPr>
          <w:p w14:paraId="22D453F2">
            <w:pPr>
              <w:widowControl/>
              <w:spacing w:line="240" w:lineRule="exact"/>
              <w:jc w:val="left"/>
              <w:rPr>
                <w:rFonts w:ascii="宋体"/>
                <w:kern w:val="0"/>
              </w:rPr>
            </w:pPr>
          </w:p>
        </w:tc>
        <w:tc>
          <w:tcPr>
            <w:tcW w:w="1992" w:type="dxa"/>
            <w:vMerge w:val="continue"/>
            <w:vAlign w:val="center"/>
          </w:tcPr>
          <w:p w14:paraId="1DE369AD">
            <w:pPr>
              <w:widowControl/>
              <w:spacing w:line="240" w:lineRule="exact"/>
              <w:jc w:val="left"/>
              <w:rPr>
                <w:rFonts w:ascii="宋体"/>
                <w:kern w:val="0"/>
              </w:rPr>
            </w:pPr>
          </w:p>
        </w:tc>
        <w:tc>
          <w:tcPr>
            <w:tcW w:w="2745" w:type="dxa"/>
            <w:vMerge w:val="continue"/>
            <w:vAlign w:val="center"/>
          </w:tcPr>
          <w:p w14:paraId="156944B5">
            <w:pPr>
              <w:widowControl/>
              <w:spacing w:line="240" w:lineRule="exact"/>
              <w:jc w:val="left"/>
              <w:rPr>
                <w:rFonts w:ascii="宋体"/>
                <w:kern w:val="0"/>
              </w:rPr>
            </w:pPr>
          </w:p>
        </w:tc>
        <w:tc>
          <w:tcPr>
            <w:tcW w:w="1485" w:type="dxa"/>
            <w:vMerge w:val="restart"/>
            <w:vAlign w:val="center"/>
          </w:tcPr>
          <w:p w14:paraId="4FB2F7C6">
            <w:pPr>
              <w:widowControl/>
              <w:spacing w:line="240" w:lineRule="exact"/>
              <w:jc w:val="center"/>
              <w:rPr>
                <w:rFonts w:ascii="宋体"/>
                <w:kern w:val="0"/>
              </w:rPr>
            </w:pPr>
            <w:r>
              <w:rPr>
                <w:rFonts w:hint="eastAsia" w:ascii="宋体"/>
                <w:kern w:val="0"/>
              </w:rPr>
              <w:t>一般</w:t>
            </w:r>
          </w:p>
        </w:tc>
        <w:tc>
          <w:tcPr>
            <w:tcW w:w="6272" w:type="dxa"/>
            <w:vAlign w:val="center"/>
          </w:tcPr>
          <w:p w14:paraId="00ED4744">
            <w:pPr>
              <w:widowControl/>
              <w:spacing w:line="240" w:lineRule="exact"/>
              <w:jc w:val="left"/>
              <w:rPr>
                <w:rFonts w:ascii="宋体"/>
                <w:kern w:val="0"/>
              </w:rPr>
            </w:pPr>
            <w:r>
              <w:rPr>
                <w:rFonts w:hint="eastAsia" w:ascii="宋体"/>
                <w:kern w:val="0"/>
              </w:rPr>
              <w:t>1.船舶1次污染物处置情况未记录，但船舶能提供污染物接收证明等能证明船舶不存在违法排污行为的证据的；</w:t>
            </w:r>
          </w:p>
          <w:p w14:paraId="673404AC">
            <w:pPr>
              <w:widowControl/>
              <w:spacing w:line="240" w:lineRule="exact"/>
              <w:jc w:val="left"/>
              <w:rPr>
                <w:rFonts w:ascii="宋体"/>
                <w:kern w:val="0"/>
              </w:rPr>
            </w:pPr>
            <w:r>
              <w:rPr>
                <w:rFonts w:hint="eastAsia" w:ascii="宋体"/>
                <w:kern w:val="0"/>
              </w:rPr>
              <w:t>2.无法判定船舶未记录污染物处置情况的次数但船舶未记录污染物处置情况持续时间不足1个月的（船舶正常营运），同时船舶能提供污染物接收证明等能证明船舶不存在违法排污行为的证据的；</w:t>
            </w:r>
          </w:p>
          <w:p w14:paraId="06C60A67">
            <w:pPr>
              <w:widowControl/>
              <w:spacing w:line="240" w:lineRule="exact"/>
              <w:jc w:val="left"/>
              <w:rPr>
                <w:rFonts w:ascii="宋体"/>
                <w:kern w:val="0"/>
              </w:rPr>
            </w:pPr>
            <w:r>
              <w:rPr>
                <w:rFonts w:hint="eastAsia" w:ascii="宋体"/>
                <w:kern w:val="0"/>
              </w:rPr>
              <w:t>3.污染物处置记录错误或与事实不符的（不足3次），但船舶能提供污染物接收证明等证明船舶不存在违法排污行为的证据的。</w:t>
            </w:r>
          </w:p>
        </w:tc>
        <w:tc>
          <w:tcPr>
            <w:tcW w:w="6216" w:type="dxa"/>
            <w:tcBorders>
              <w:bottom w:val="single" w:color="auto" w:sz="4" w:space="0"/>
              <w:right w:val="single" w:color="auto" w:sz="4" w:space="0"/>
            </w:tcBorders>
            <w:vAlign w:val="center"/>
          </w:tcPr>
          <w:p w14:paraId="104F1380">
            <w:pPr>
              <w:widowControl/>
              <w:spacing w:line="240" w:lineRule="exact"/>
              <w:jc w:val="center"/>
              <w:rPr>
                <w:rFonts w:ascii="宋体"/>
                <w:kern w:val="0"/>
              </w:rPr>
            </w:pPr>
            <w:r>
              <w:rPr>
                <w:rFonts w:hint="eastAsia" w:ascii="宋体"/>
                <w:kern w:val="0"/>
              </w:rPr>
              <w:t>2000-4000元</w:t>
            </w:r>
          </w:p>
        </w:tc>
      </w:tr>
      <w:tr w14:paraId="0A64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1810" w:type="dxa"/>
            <w:vMerge w:val="continue"/>
            <w:vAlign w:val="center"/>
          </w:tcPr>
          <w:p w14:paraId="2A007CD3">
            <w:pPr>
              <w:widowControl/>
              <w:spacing w:line="240" w:lineRule="exact"/>
              <w:jc w:val="left"/>
              <w:rPr>
                <w:rFonts w:ascii="宋体"/>
                <w:kern w:val="0"/>
              </w:rPr>
            </w:pPr>
          </w:p>
        </w:tc>
        <w:tc>
          <w:tcPr>
            <w:tcW w:w="1992" w:type="dxa"/>
            <w:vMerge w:val="continue"/>
            <w:vAlign w:val="center"/>
          </w:tcPr>
          <w:p w14:paraId="6599D98E">
            <w:pPr>
              <w:widowControl/>
              <w:spacing w:line="240" w:lineRule="exact"/>
              <w:jc w:val="left"/>
              <w:rPr>
                <w:rFonts w:ascii="宋体"/>
                <w:kern w:val="0"/>
              </w:rPr>
            </w:pPr>
          </w:p>
        </w:tc>
        <w:tc>
          <w:tcPr>
            <w:tcW w:w="2745" w:type="dxa"/>
            <w:vMerge w:val="continue"/>
            <w:vAlign w:val="center"/>
          </w:tcPr>
          <w:p w14:paraId="7524FD47">
            <w:pPr>
              <w:widowControl/>
              <w:spacing w:line="240" w:lineRule="exact"/>
              <w:jc w:val="left"/>
              <w:rPr>
                <w:rFonts w:ascii="宋体"/>
                <w:kern w:val="0"/>
              </w:rPr>
            </w:pPr>
          </w:p>
        </w:tc>
        <w:tc>
          <w:tcPr>
            <w:tcW w:w="1485" w:type="dxa"/>
            <w:vMerge w:val="continue"/>
            <w:vAlign w:val="center"/>
          </w:tcPr>
          <w:p w14:paraId="7C58CCB2">
            <w:pPr>
              <w:spacing w:line="240" w:lineRule="exact"/>
              <w:jc w:val="center"/>
              <w:rPr>
                <w:rFonts w:ascii="宋体"/>
                <w:kern w:val="0"/>
              </w:rPr>
            </w:pPr>
          </w:p>
        </w:tc>
        <w:tc>
          <w:tcPr>
            <w:tcW w:w="6272" w:type="dxa"/>
            <w:tcBorders>
              <w:top w:val="single" w:color="auto" w:sz="4" w:space="0"/>
              <w:bottom w:val="single" w:color="auto" w:sz="4" w:space="0"/>
            </w:tcBorders>
            <w:vAlign w:val="center"/>
          </w:tcPr>
          <w:p w14:paraId="3346A907">
            <w:pPr>
              <w:widowControl/>
              <w:spacing w:line="240" w:lineRule="exact"/>
              <w:jc w:val="left"/>
              <w:rPr>
                <w:rFonts w:ascii="宋体"/>
                <w:kern w:val="0"/>
              </w:rPr>
            </w:pPr>
            <w:r>
              <w:rPr>
                <w:rFonts w:hint="eastAsia" w:ascii="宋体"/>
                <w:kern w:val="0"/>
              </w:rPr>
              <w:t>1.船舶多次污染物处置情况未记录，但船舶能提供污染物接收证明等能证明船舶不存在违法排污行为的证据的；</w:t>
            </w:r>
          </w:p>
          <w:p w14:paraId="67062CCB">
            <w:pPr>
              <w:widowControl/>
              <w:spacing w:line="240" w:lineRule="exact"/>
              <w:jc w:val="left"/>
              <w:rPr>
                <w:rFonts w:ascii="宋体"/>
                <w:kern w:val="0"/>
              </w:rPr>
            </w:pPr>
            <w:r>
              <w:rPr>
                <w:rFonts w:hint="eastAsia" w:ascii="宋体"/>
                <w:kern w:val="0"/>
              </w:rPr>
              <w:t>2.无法判定船舶未记录污染物处置情况的次数但船舶未记录污染物处置情况持续时间在1个月及以上的（船舶正常营运），同时船舶能提供污染物接收证明等能证明船舶不存违法排污行为的证据的；</w:t>
            </w:r>
          </w:p>
          <w:p w14:paraId="48D51EA1">
            <w:pPr>
              <w:widowControl/>
              <w:spacing w:line="240" w:lineRule="exact"/>
              <w:jc w:val="left"/>
              <w:rPr>
                <w:rFonts w:ascii="宋体"/>
                <w:kern w:val="0"/>
              </w:rPr>
            </w:pPr>
            <w:r>
              <w:rPr>
                <w:rFonts w:hint="eastAsia" w:ascii="宋体"/>
                <w:kern w:val="0"/>
              </w:rPr>
              <w:t>2.污染物处置记录错误或污染物排放记录错误或与事实不符的（3次及以上），但船舶能提供污染物接收证明等证明船舶不存违法排污行为的证据的。</w:t>
            </w:r>
          </w:p>
        </w:tc>
        <w:tc>
          <w:tcPr>
            <w:tcW w:w="6216" w:type="dxa"/>
            <w:tcBorders>
              <w:top w:val="single" w:color="auto" w:sz="4" w:space="0"/>
              <w:bottom w:val="single" w:color="auto" w:sz="4" w:space="0"/>
              <w:right w:val="single" w:color="auto" w:sz="4" w:space="0"/>
            </w:tcBorders>
            <w:vAlign w:val="center"/>
          </w:tcPr>
          <w:p w14:paraId="6BD99D0D">
            <w:pPr>
              <w:widowControl/>
              <w:spacing w:line="240" w:lineRule="exact"/>
              <w:jc w:val="center"/>
              <w:rPr>
                <w:rFonts w:ascii="宋体"/>
                <w:kern w:val="0"/>
              </w:rPr>
            </w:pPr>
            <w:r>
              <w:rPr>
                <w:rFonts w:hint="eastAsia" w:ascii="宋体"/>
                <w:kern w:val="0"/>
              </w:rPr>
              <w:t>4000元-1万元</w:t>
            </w:r>
          </w:p>
        </w:tc>
      </w:tr>
      <w:tr w14:paraId="45242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trPr>
        <w:tc>
          <w:tcPr>
            <w:tcW w:w="1810" w:type="dxa"/>
            <w:vMerge w:val="continue"/>
            <w:vAlign w:val="center"/>
          </w:tcPr>
          <w:p w14:paraId="6A8C4393">
            <w:pPr>
              <w:widowControl/>
              <w:spacing w:line="240" w:lineRule="exact"/>
              <w:jc w:val="left"/>
              <w:rPr>
                <w:rFonts w:ascii="宋体"/>
                <w:kern w:val="0"/>
              </w:rPr>
            </w:pPr>
          </w:p>
        </w:tc>
        <w:tc>
          <w:tcPr>
            <w:tcW w:w="1992" w:type="dxa"/>
            <w:vMerge w:val="continue"/>
            <w:vAlign w:val="center"/>
          </w:tcPr>
          <w:p w14:paraId="2C304003">
            <w:pPr>
              <w:widowControl/>
              <w:spacing w:line="240" w:lineRule="exact"/>
              <w:jc w:val="left"/>
              <w:rPr>
                <w:rFonts w:ascii="宋体"/>
                <w:kern w:val="0"/>
              </w:rPr>
            </w:pPr>
          </w:p>
        </w:tc>
        <w:tc>
          <w:tcPr>
            <w:tcW w:w="2745" w:type="dxa"/>
            <w:vMerge w:val="continue"/>
            <w:vAlign w:val="center"/>
          </w:tcPr>
          <w:p w14:paraId="75E3EC9A">
            <w:pPr>
              <w:widowControl/>
              <w:spacing w:line="240" w:lineRule="exact"/>
              <w:jc w:val="left"/>
              <w:rPr>
                <w:rFonts w:ascii="宋体"/>
                <w:kern w:val="0"/>
              </w:rPr>
            </w:pPr>
          </w:p>
        </w:tc>
        <w:tc>
          <w:tcPr>
            <w:tcW w:w="1485" w:type="dxa"/>
            <w:vMerge w:val="continue"/>
            <w:vAlign w:val="center"/>
          </w:tcPr>
          <w:p w14:paraId="12ACC2D8">
            <w:pPr>
              <w:spacing w:line="240" w:lineRule="exact"/>
              <w:jc w:val="center"/>
              <w:rPr>
                <w:rFonts w:ascii="宋体"/>
                <w:kern w:val="0"/>
              </w:rPr>
            </w:pPr>
          </w:p>
        </w:tc>
        <w:tc>
          <w:tcPr>
            <w:tcW w:w="6272" w:type="dxa"/>
            <w:tcBorders>
              <w:top w:val="single" w:color="auto" w:sz="4" w:space="0"/>
              <w:left w:val="single" w:color="auto" w:sz="4" w:space="0"/>
              <w:bottom w:val="single" w:color="auto" w:sz="4" w:space="0"/>
            </w:tcBorders>
            <w:vAlign w:val="center"/>
          </w:tcPr>
          <w:p w14:paraId="59F65812">
            <w:pPr>
              <w:widowControl/>
              <w:spacing w:line="240" w:lineRule="exact"/>
              <w:jc w:val="left"/>
              <w:rPr>
                <w:rFonts w:ascii="宋体"/>
                <w:kern w:val="0"/>
              </w:rPr>
            </w:pPr>
            <w:r>
              <w:rPr>
                <w:rFonts w:hint="eastAsia" w:ascii="宋体"/>
                <w:kern w:val="0"/>
              </w:rPr>
              <w:t>船舶未记录污染物处置情况、记录错误或者记录情况与实际不符，且船舶不能提供污染物接收证明等证明船舶不存在违法排污行为的证据的，同时因证据灭失亦无法证明其是否存在排污违法行为的。</w:t>
            </w:r>
          </w:p>
        </w:tc>
        <w:tc>
          <w:tcPr>
            <w:tcW w:w="6216" w:type="dxa"/>
            <w:tcBorders>
              <w:top w:val="single" w:color="auto" w:sz="4" w:space="0"/>
              <w:bottom w:val="single" w:color="auto" w:sz="4" w:space="0"/>
              <w:right w:val="single" w:color="auto" w:sz="4" w:space="0"/>
            </w:tcBorders>
            <w:vAlign w:val="center"/>
          </w:tcPr>
          <w:p w14:paraId="05CA9EC7">
            <w:pPr>
              <w:widowControl/>
              <w:spacing w:line="240" w:lineRule="exact"/>
              <w:jc w:val="center"/>
              <w:rPr>
                <w:rFonts w:ascii="宋体"/>
                <w:kern w:val="0"/>
              </w:rPr>
            </w:pPr>
            <w:r>
              <w:rPr>
                <w:rFonts w:hint="eastAsia" w:ascii="宋体"/>
                <w:kern w:val="0"/>
              </w:rPr>
              <w:t>1-2万元</w:t>
            </w:r>
          </w:p>
        </w:tc>
      </w:tr>
      <w:tr w14:paraId="0CA05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rPr>
        <w:tc>
          <w:tcPr>
            <w:tcW w:w="1810" w:type="dxa"/>
            <w:vMerge w:val="continue"/>
            <w:vAlign w:val="center"/>
          </w:tcPr>
          <w:p w14:paraId="55165138">
            <w:pPr>
              <w:widowControl/>
              <w:spacing w:line="240" w:lineRule="exact"/>
              <w:jc w:val="left"/>
              <w:rPr>
                <w:rFonts w:ascii="宋体"/>
                <w:kern w:val="0"/>
              </w:rPr>
            </w:pPr>
          </w:p>
        </w:tc>
        <w:tc>
          <w:tcPr>
            <w:tcW w:w="1992" w:type="dxa"/>
            <w:vMerge w:val="continue"/>
            <w:vAlign w:val="center"/>
          </w:tcPr>
          <w:p w14:paraId="204C11C2">
            <w:pPr>
              <w:widowControl/>
              <w:spacing w:line="240" w:lineRule="exact"/>
              <w:jc w:val="left"/>
              <w:rPr>
                <w:rFonts w:ascii="宋体"/>
                <w:kern w:val="0"/>
              </w:rPr>
            </w:pPr>
          </w:p>
        </w:tc>
        <w:tc>
          <w:tcPr>
            <w:tcW w:w="2745" w:type="dxa"/>
            <w:vMerge w:val="continue"/>
            <w:vAlign w:val="center"/>
          </w:tcPr>
          <w:p w14:paraId="7394CF40">
            <w:pPr>
              <w:widowControl/>
              <w:spacing w:line="240" w:lineRule="exact"/>
              <w:jc w:val="left"/>
              <w:rPr>
                <w:rFonts w:ascii="宋体"/>
                <w:kern w:val="0"/>
              </w:rPr>
            </w:pPr>
          </w:p>
        </w:tc>
        <w:tc>
          <w:tcPr>
            <w:tcW w:w="1485" w:type="dxa"/>
            <w:vMerge w:val="continue"/>
            <w:tcBorders>
              <w:bottom w:val="single" w:color="auto" w:sz="4" w:space="0"/>
            </w:tcBorders>
            <w:vAlign w:val="center"/>
          </w:tcPr>
          <w:p w14:paraId="7BBA3B9F">
            <w:pPr>
              <w:widowControl/>
              <w:spacing w:line="240" w:lineRule="exact"/>
              <w:jc w:val="center"/>
              <w:rPr>
                <w:rFonts w:ascii="宋体"/>
                <w:kern w:val="0"/>
              </w:rPr>
            </w:pPr>
          </w:p>
        </w:tc>
        <w:tc>
          <w:tcPr>
            <w:tcW w:w="6272" w:type="dxa"/>
            <w:tcBorders>
              <w:top w:val="single" w:color="auto" w:sz="4" w:space="0"/>
              <w:bottom w:val="single" w:color="auto" w:sz="4" w:space="0"/>
            </w:tcBorders>
            <w:vAlign w:val="center"/>
          </w:tcPr>
          <w:p w14:paraId="500579E4">
            <w:pPr>
              <w:widowControl/>
              <w:spacing w:line="240" w:lineRule="exact"/>
              <w:jc w:val="left"/>
              <w:rPr>
                <w:rFonts w:ascii="宋体"/>
                <w:kern w:val="0"/>
              </w:rPr>
            </w:pPr>
            <w:r>
              <w:rPr>
                <w:rFonts w:hint="eastAsia" w:ascii="宋体"/>
                <w:kern w:val="0"/>
              </w:rPr>
              <w:t>1.记录时故意弄虚作假的；</w:t>
            </w:r>
          </w:p>
          <w:p w14:paraId="2E8D7775">
            <w:pPr>
              <w:widowControl/>
              <w:spacing w:line="240" w:lineRule="exact"/>
              <w:jc w:val="left"/>
              <w:rPr>
                <w:rFonts w:ascii="宋体"/>
                <w:kern w:val="0"/>
              </w:rPr>
            </w:pPr>
            <w:r>
              <w:rPr>
                <w:rFonts w:hint="eastAsia" w:ascii="宋体"/>
                <w:kern w:val="0"/>
              </w:rPr>
              <w:t>2.具有其他较重情节的。</w:t>
            </w:r>
          </w:p>
        </w:tc>
        <w:tc>
          <w:tcPr>
            <w:tcW w:w="6216" w:type="dxa"/>
            <w:tcBorders>
              <w:top w:val="single" w:color="auto" w:sz="4" w:space="0"/>
              <w:bottom w:val="single" w:color="auto" w:sz="4" w:space="0"/>
              <w:right w:val="single" w:color="auto" w:sz="4" w:space="0"/>
            </w:tcBorders>
            <w:vAlign w:val="center"/>
          </w:tcPr>
          <w:p w14:paraId="26AE291B">
            <w:pPr>
              <w:widowControl/>
              <w:spacing w:line="240" w:lineRule="exact"/>
              <w:jc w:val="center"/>
              <w:rPr>
                <w:rFonts w:ascii="宋体"/>
                <w:kern w:val="0"/>
              </w:rPr>
            </w:pPr>
            <w:r>
              <w:rPr>
                <w:rFonts w:hint="eastAsia" w:ascii="宋体"/>
                <w:kern w:val="0"/>
              </w:rPr>
              <w:t>1-2万元</w:t>
            </w:r>
          </w:p>
        </w:tc>
      </w:tr>
    </w:tbl>
    <w:p w14:paraId="4FFC0EA5">
      <w:pPr>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9"/>
        <w:gridCol w:w="1428"/>
        <w:gridCol w:w="2505"/>
        <w:gridCol w:w="1209"/>
        <w:gridCol w:w="3142"/>
        <w:gridCol w:w="10949"/>
      </w:tblGrid>
      <w:tr w14:paraId="6718F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1429" w:type="dxa"/>
            <w:vMerge w:val="restart"/>
            <w:vAlign w:val="center"/>
          </w:tcPr>
          <w:p w14:paraId="6903DD19">
            <w:pPr>
              <w:spacing w:line="240" w:lineRule="exact"/>
              <w:jc w:val="center"/>
              <w:rPr>
                <w:rFonts w:ascii="宋体"/>
                <w:b/>
              </w:rPr>
            </w:pPr>
            <w:r>
              <w:rPr>
                <w:rFonts w:hint="eastAsia" w:ascii="宋体"/>
                <w:b/>
              </w:rPr>
              <w:t>案由76</w:t>
            </w:r>
          </w:p>
        </w:tc>
        <w:tc>
          <w:tcPr>
            <w:tcW w:w="3933" w:type="dxa"/>
            <w:gridSpan w:val="2"/>
            <w:vAlign w:val="center"/>
          </w:tcPr>
          <w:p w14:paraId="36EDCAE8">
            <w:pPr>
              <w:spacing w:line="240" w:lineRule="exact"/>
              <w:jc w:val="center"/>
              <w:rPr>
                <w:rFonts w:ascii="宋体"/>
                <w:b/>
              </w:rPr>
            </w:pPr>
            <w:r>
              <w:rPr>
                <w:rFonts w:hint="eastAsia" w:ascii="宋体"/>
                <w:b/>
              </w:rPr>
              <w:t>法律依据</w:t>
            </w:r>
          </w:p>
        </w:tc>
        <w:tc>
          <w:tcPr>
            <w:tcW w:w="1209" w:type="dxa"/>
            <w:vMerge w:val="restart"/>
            <w:vAlign w:val="center"/>
          </w:tcPr>
          <w:p w14:paraId="40EF6C56">
            <w:pPr>
              <w:spacing w:line="240" w:lineRule="exact"/>
              <w:jc w:val="center"/>
              <w:rPr>
                <w:rFonts w:ascii="宋体"/>
                <w:b/>
              </w:rPr>
            </w:pPr>
            <w:r>
              <w:rPr>
                <w:rFonts w:hint="eastAsia" w:ascii="宋体"/>
                <w:b/>
              </w:rPr>
              <w:t>违法情节</w:t>
            </w:r>
          </w:p>
        </w:tc>
        <w:tc>
          <w:tcPr>
            <w:tcW w:w="3142" w:type="dxa"/>
            <w:vMerge w:val="restart"/>
            <w:vAlign w:val="center"/>
          </w:tcPr>
          <w:p w14:paraId="4E2E0D3A">
            <w:pPr>
              <w:spacing w:line="240" w:lineRule="exact"/>
              <w:jc w:val="center"/>
              <w:rPr>
                <w:rFonts w:ascii="宋体"/>
                <w:b/>
              </w:rPr>
            </w:pPr>
            <w:r>
              <w:rPr>
                <w:rFonts w:hint="eastAsia" w:ascii="宋体"/>
                <w:b/>
              </w:rPr>
              <w:t>主要考虑因素（事实、性质、情节、危害程度和实际后果等）</w:t>
            </w:r>
          </w:p>
        </w:tc>
        <w:tc>
          <w:tcPr>
            <w:tcW w:w="10949" w:type="dxa"/>
            <w:tcBorders>
              <w:right w:val="single" w:color="auto" w:sz="4" w:space="0"/>
            </w:tcBorders>
            <w:vAlign w:val="center"/>
          </w:tcPr>
          <w:p w14:paraId="069067A5">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14:paraId="7CCB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1429" w:type="dxa"/>
            <w:vMerge w:val="continue"/>
            <w:vAlign w:val="center"/>
          </w:tcPr>
          <w:p w14:paraId="5FB41AD4">
            <w:pPr>
              <w:spacing w:line="240" w:lineRule="exact"/>
              <w:jc w:val="center"/>
              <w:rPr>
                <w:rFonts w:ascii="宋体"/>
                <w:b/>
              </w:rPr>
            </w:pPr>
          </w:p>
        </w:tc>
        <w:tc>
          <w:tcPr>
            <w:tcW w:w="1428" w:type="dxa"/>
            <w:vAlign w:val="center"/>
          </w:tcPr>
          <w:p w14:paraId="204E55A0">
            <w:pPr>
              <w:spacing w:line="240" w:lineRule="exact"/>
              <w:jc w:val="center"/>
              <w:rPr>
                <w:rFonts w:ascii="宋体"/>
                <w:b/>
              </w:rPr>
            </w:pPr>
            <w:r>
              <w:rPr>
                <w:rFonts w:hint="eastAsia" w:ascii="宋体"/>
                <w:b/>
              </w:rPr>
              <w:t>违反条款</w:t>
            </w:r>
          </w:p>
        </w:tc>
        <w:tc>
          <w:tcPr>
            <w:tcW w:w="2505" w:type="dxa"/>
            <w:vAlign w:val="center"/>
          </w:tcPr>
          <w:p w14:paraId="3EC42120">
            <w:pPr>
              <w:spacing w:line="240" w:lineRule="exact"/>
              <w:jc w:val="center"/>
              <w:rPr>
                <w:rFonts w:ascii="宋体"/>
                <w:b/>
              </w:rPr>
            </w:pPr>
            <w:r>
              <w:rPr>
                <w:rFonts w:hint="eastAsia" w:ascii="宋体"/>
                <w:b/>
              </w:rPr>
              <w:t>处 罚 依 据</w:t>
            </w:r>
          </w:p>
        </w:tc>
        <w:tc>
          <w:tcPr>
            <w:tcW w:w="1209" w:type="dxa"/>
            <w:vMerge w:val="continue"/>
            <w:vAlign w:val="center"/>
          </w:tcPr>
          <w:p w14:paraId="3958C432">
            <w:pPr>
              <w:spacing w:line="240" w:lineRule="exact"/>
              <w:jc w:val="center"/>
              <w:rPr>
                <w:rFonts w:ascii="宋体"/>
                <w:b/>
              </w:rPr>
            </w:pPr>
          </w:p>
        </w:tc>
        <w:tc>
          <w:tcPr>
            <w:tcW w:w="3142" w:type="dxa"/>
            <w:vMerge w:val="continue"/>
            <w:vAlign w:val="center"/>
          </w:tcPr>
          <w:p w14:paraId="78DD77F1">
            <w:pPr>
              <w:spacing w:line="240" w:lineRule="exact"/>
              <w:jc w:val="center"/>
              <w:rPr>
                <w:rFonts w:ascii="宋体"/>
                <w:b/>
              </w:rPr>
            </w:pPr>
          </w:p>
        </w:tc>
        <w:tc>
          <w:tcPr>
            <w:tcW w:w="10949" w:type="dxa"/>
            <w:tcBorders>
              <w:top w:val="single" w:color="auto" w:sz="4" w:space="0"/>
              <w:right w:val="single" w:color="auto" w:sz="4" w:space="0"/>
            </w:tcBorders>
            <w:vAlign w:val="center"/>
          </w:tcPr>
          <w:p w14:paraId="4C8879B1">
            <w:pPr>
              <w:spacing w:line="240" w:lineRule="exact"/>
              <w:jc w:val="center"/>
              <w:rPr>
                <w:rFonts w:ascii="宋体"/>
                <w:b/>
              </w:rPr>
            </w:pPr>
            <w:r>
              <w:rPr>
                <w:rFonts w:hint="eastAsia" w:ascii="宋体"/>
                <w:b/>
              </w:rPr>
              <w:t>【对象】船舶所有人或经营人</w:t>
            </w:r>
          </w:p>
        </w:tc>
      </w:tr>
      <w:tr w14:paraId="3AB4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429" w:type="dxa"/>
            <w:vMerge w:val="restart"/>
            <w:vAlign w:val="center"/>
          </w:tcPr>
          <w:p w14:paraId="0C568248">
            <w:pPr>
              <w:widowControl/>
              <w:spacing w:line="240" w:lineRule="exact"/>
              <w:jc w:val="left"/>
              <w:rPr>
                <w:rFonts w:ascii="宋体"/>
                <w:kern w:val="0"/>
              </w:rPr>
            </w:pPr>
            <w:r>
              <w:rPr>
                <w:rFonts w:hint="eastAsia" w:ascii="宋体"/>
                <w:kern w:val="0"/>
              </w:rPr>
              <w:t>船舶未按照规定在船舶上留存船舶污染物处置记录</w:t>
            </w:r>
          </w:p>
        </w:tc>
        <w:tc>
          <w:tcPr>
            <w:tcW w:w="1428" w:type="dxa"/>
            <w:vMerge w:val="restart"/>
            <w:vAlign w:val="center"/>
          </w:tcPr>
          <w:p w14:paraId="341379BD">
            <w:pPr>
              <w:widowControl/>
              <w:spacing w:line="240" w:lineRule="exact"/>
              <w:jc w:val="left"/>
              <w:rPr>
                <w:rFonts w:ascii="宋体"/>
                <w:kern w:val="0"/>
              </w:rPr>
            </w:pPr>
            <w:r>
              <w:rPr>
                <w:rFonts w:hint="eastAsia" w:ascii="宋体"/>
                <w:kern w:val="0"/>
              </w:rPr>
              <w:t>1.《防治船舶污染海洋环境管理条例》第十六条第二款。</w:t>
            </w:r>
          </w:p>
        </w:tc>
        <w:tc>
          <w:tcPr>
            <w:tcW w:w="2505" w:type="dxa"/>
            <w:vMerge w:val="restart"/>
            <w:vAlign w:val="center"/>
          </w:tcPr>
          <w:p w14:paraId="0AC1078B">
            <w:pPr>
              <w:widowControl/>
              <w:spacing w:line="240" w:lineRule="exact"/>
              <w:jc w:val="left"/>
              <w:rPr>
                <w:rFonts w:ascii="宋体"/>
                <w:kern w:val="0"/>
              </w:rPr>
            </w:pPr>
            <w:r>
              <w:rPr>
                <w:rFonts w:hint="eastAsia" w:ascii="宋体"/>
                <w:kern w:val="0"/>
              </w:rPr>
              <w:t>1. 《防治船舶污染海洋环境管理条例》第五十九条；</w:t>
            </w:r>
          </w:p>
          <w:p w14:paraId="60AB0BB8">
            <w:pPr>
              <w:widowControl/>
              <w:spacing w:line="240" w:lineRule="exact"/>
              <w:jc w:val="left"/>
              <w:rPr>
                <w:rFonts w:ascii="宋体"/>
                <w:kern w:val="0"/>
              </w:rPr>
            </w:pPr>
            <w:r>
              <w:rPr>
                <w:rFonts w:hint="eastAsia" w:ascii="宋体"/>
                <w:kern w:val="0"/>
              </w:rPr>
              <w:t>2. 《中华人民共和国海上海事行政处罚规定》第七条。</w:t>
            </w:r>
          </w:p>
        </w:tc>
        <w:tc>
          <w:tcPr>
            <w:tcW w:w="1209" w:type="dxa"/>
            <w:vAlign w:val="center"/>
          </w:tcPr>
          <w:p w14:paraId="00BB9D1F">
            <w:pPr>
              <w:widowControl/>
              <w:spacing w:line="240" w:lineRule="exact"/>
              <w:jc w:val="center"/>
              <w:rPr>
                <w:rFonts w:ascii="宋体"/>
                <w:kern w:val="0"/>
              </w:rPr>
            </w:pPr>
            <w:r>
              <w:rPr>
                <w:rFonts w:hint="eastAsia" w:ascii="宋体"/>
                <w:kern w:val="0"/>
              </w:rPr>
              <w:t>从轻</w:t>
            </w:r>
          </w:p>
        </w:tc>
        <w:tc>
          <w:tcPr>
            <w:tcW w:w="3142" w:type="dxa"/>
            <w:tcBorders>
              <w:bottom w:val="single" w:color="auto" w:sz="4" w:space="0"/>
            </w:tcBorders>
            <w:vAlign w:val="center"/>
          </w:tcPr>
          <w:p w14:paraId="093BDAA6">
            <w:pPr>
              <w:widowControl/>
              <w:spacing w:line="240" w:lineRule="exact"/>
              <w:jc w:val="left"/>
              <w:rPr>
                <w:rFonts w:ascii="宋体"/>
                <w:kern w:val="0"/>
              </w:rPr>
            </w:pPr>
            <w:r>
              <w:rPr>
                <w:rFonts w:hint="eastAsia" w:ascii="宋体"/>
                <w:kern w:val="0"/>
              </w:rPr>
              <w:t>具有法定从轻处罚情节的</w:t>
            </w:r>
          </w:p>
        </w:tc>
        <w:tc>
          <w:tcPr>
            <w:tcW w:w="10949" w:type="dxa"/>
            <w:tcBorders>
              <w:bottom w:val="single" w:color="auto" w:sz="4" w:space="0"/>
              <w:right w:val="single" w:color="auto" w:sz="4" w:space="0"/>
            </w:tcBorders>
            <w:vAlign w:val="center"/>
          </w:tcPr>
          <w:p w14:paraId="6D5F641A">
            <w:pPr>
              <w:widowControl/>
              <w:spacing w:line="240" w:lineRule="exact"/>
              <w:jc w:val="center"/>
              <w:rPr>
                <w:rFonts w:ascii="宋体"/>
                <w:kern w:val="0"/>
              </w:rPr>
            </w:pPr>
            <w:r>
              <w:rPr>
                <w:rFonts w:hint="eastAsia" w:ascii="宋体"/>
                <w:kern w:val="0"/>
              </w:rPr>
              <w:t>2-3万元</w:t>
            </w:r>
          </w:p>
        </w:tc>
      </w:tr>
      <w:tr w14:paraId="1744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1429" w:type="dxa"/>
            <w:vMerge w:val="continue"/>
            <w:vAlign w:val="center"/>
          </w:tcPr>
          <w:p w14:paraId="6480D616">
            <w:pPr>
              <w:widowControl/>
              <w:spacing w:line="240" w:lineRule="exact"/>
              <w:jc w:val="left"/>
              <w:rPr>
                <w:rFonts w:ascii="宋体"/>
                <w:kern w:val="0"/>
              </w:rPr>
            </w:pPr>
          </w:p>
        </w:tc>
        <w:tc>
          <w:tcPr>
            <w:tcW w:w="1428" w:type="dxa"/>
            <w:vMerge w:val="continue"/>
            <w:vAlign w:val="center"/>
          </w:tcPr>
          <w:p w14:paraId="2F655176">
            <w:pPr>
              <w:widowControl/>
              <w:spacing w:line="240" w:lineRule="exact"/>
              <w:jc w:val="left"/>
              <w:rPr>
                <w:rFonts w:ascii="宋体"/>
                <w:kern w:val="0"/>
              </w:rPr>
            </w:pPr>
          </w:p>
        </w:tc>
        <w:tc>
          <w:tcPr>
            <w:tcW w:w="2505" w:type="dxa"/>
            <w:vMerge w:val="continue"/>
            <w:vAlign w:val="center"/>
          </w:tcPr>
          <w:p w14:paraId="33E220F8">
            <w:pPr>
              <w:widowControl/>
              <w:spacing w:line="240" w:lineRule="exact"/>
              <w:jc w:val="left"/>
              <w:rPr>
                <w:rFonts w:ascii="宋体"/>
                <w:kern w:val="0"/>
              </w:rPr>
            </w:pPr>
          </w:p>
        </w:tc>
        <w:tc>
          <w:tcPr>
            <w:tcW w:w="1209" w:type="dxa"/>
            <w:vMerge w:val="restart"/>
            <w:vAlign w:val="center"/>
          </w:tcPr>
          <w:p w14:paraId="0164F5CE">
            <w:pPr>
              <w:widowControl/>
              <w:spacing w:line="240" w:lineRule="exact"/>
              <w:jc w:val="center"/>
              <w:rPr>
                <w:rFonts w:ascii="宋体"/>
                <w:kern w:val="0"/>
              </w:rPr>
            </w:pPr>
            <w:r>
              <w:rPr>
                <w:rFonts w:hint="eastAsia" w:ascii="宋体"/>
                <w:kern w:val="0"/>
              </w:rPr>
              <w:t>一般</w:t>
            </w:r>
          </w:p>
        </w:tc>
        <w:tc>
          <w:tcPr>
            <w:tcW w:w="3142" w:type="dxa"/>
            <w:vAlign w:val="center"/>
          </w:tcPr>
          <w:p w14:paraId="3B80A4B4">
            <w:pPr>
              <w:widowControl/>
              <w:spacing w:line="240" w:lineRule="exact"/>
              <w:jc w:val="left"/>
              <w:rPr>
                <w:rFonts w:ascii="宋体"/>
                <w:kern w:val="0"/>
              </w:rPr>
            </w:pPr>
            <w:r>
              <w:rPr>
                <w:rFonts w:hint="eastAsia" w:ascii="宋体"/>
                <w:kern w:val="0"/>
              </w:rPr>
              <w:t>未按规定留存船舶垃圾处置记录的</w:t>
            </w:r>
          </w:p>
        </w:tc>
        <w:tc>
          <w:tcPr>
            <w:tcW w:w="10949" w:type="dxa"/>
            <w:tcBorders>
              <w:top w:val="single" w:color="auto" w:sz="4" w:space="0"/>
              <w:right w:val="single" w:color="auto" w:sz="4" w:space="0"/>
            </w:tcBorders>
            <w:vAlign w:val="center"/>
          </w:tcPr>
          <w:p w14:paraId="357AF89F">
            <w:pPr>
              <w:widowControl/>
              <w:spacing w:line="240" w:lineRule="exact"/>
              <w:jc w:val="center"/>
              <w:rPr>
                <w:rFonts w:ascii="宋体"/>
                <w:kern w:val="0"/>
              </w:rPr>
            </w:pPr>
            <w:r>
              <w:rPr>
                <w:rFonts w:hint="eastAsia" w:ascii="宋体"/>
                <w:kern w:val="0"/>
              </w:rPr>
              <w:t>3-4万元</w:t>
            </w:r>
          </w:p>
        </w:tc>
      </w:tr>
      <w:tr w14:paraId="69CE2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1429" w:type="dxa"/>
            <w:vMerge w:val="continue"/>
            <w:vAlign w:val="center"/>
          </w:tcPr>
          <w:p w14:paraId="7D801A39">
            <w:pPr>
              <w:widowControl/>
              <w:spacing w:line="240" w:lineRule="exact"/>
              <w:jc w:val="left"/>
              <w:rPr>
                <w:rFonts w:ascii="宋体"/>
                <w:kern w:val="0"/>
              </w:rPr>
            </w:pPr>
          </w:p>
        </w:tc>
        <w:tc>
          <w:tcPr>
            <w:tcW w:w="1428" w:type="dxa"/>
            <w:vMerge w:val="continue"/>
            <w:vAlign w:val="center"/>
          </w:tcPr>
          <w:p w14:paraId="595B8B10">
            <w:pPr>
              <w:widowControl/>
              <w:spacing w:line="240" w:lineRule="exact"/>
              <w:jc w:val="left"/>
              <w:rPr>
                <w:rFonts w:ascii="宋体"/>
                <w:kern w:val="0"/>
              </w:rPr>
            </w:pPr>
          </w:p>
        </w:tc>
        <w:tc>
          <w:tcPr>
            <w:tcW w:w="2505" w:type="dxa"/>
            <w:vMerge w:val="continue"/>
            <w:vAlign w:val="center"/>
          </w:tcPr>
          <w:p w14:paraId="4EC2EC22">
            <w:pPr>
              <w:widowControl/>
              <w:spacing w:line="240" w:lineRule="exact"/>
              <w:jc w:val="left"/>
              <w:rPr>
                <w:rFonts w:ascii="宋体"/>
                <w:kern w:val="0"/>
              </w:rPr>
            </w:pPr>
          </w:p>
        </w:tc>
        <w:tc>
          <w:tcPr>
            <w:tcW w:w="1209" w:type="dxa"/>
            <w:vMerge w:val="continue"/>
            <w:vAlign w:val="center"/>
          </w:tcPr>
          <w:p w14:paraId="2D7F2446">
            <w:pPr>
              <w:spacing w:line="240" w:lineRule="exact"/>
              <w:jc w:val="center"/>
              <w:rPr>
                <w:rFonts w:ascii="宋体"/>
                <w:kern w:val="0"/>
              </w:rPr>
            </w:pPr>
          </w:p>
        </w:tc>
        <w:tc>
          <w:tcPr>
            <w:tcW w:w="3142" w:type="dxa"/>
            <w:tcBorders>
              <w:top w:val="single" w:color="auto" w:sz="4" w:space="0"/>
            </w:tcBorders>
            <w:vAlign w:val="center"/>
          </w:tcPr>
          <w:p w14:paraId="34A1FD51">
            <w:pPr>
              <w:widowControl/>
              <w:spacing w:line="240" w:lineRule="exact"/>
              <w:jc w:val="left"/>
              <w:rPr>
                <w:rFonts w:ascii="宋体"/>
                <w:kern w:val="0"/>
              </w:rPr>
            </w:pPr>
            <w:r>
              <w:rPr>
                <w:rFonts w:hint="eastAsia" w:ascii="宋体"/>
                <w:kern w:val="0"/>
              </w:rPr>
              <w:t>未按规定留存油类、有毒有害物质记录等除船舶垃圾处置记录之外的其他处置记录的</w:t>
            </w:r>
          </w:p>
        </w:tc>
        <w:tc>
          <w:tcPr>
            <w:tcW w:w="10949" w:type="dxa"/>
            <w:tcBorders>
              <w:top w:val="single" w:color="auto" w:sz="4" w:space="0"/>
              <w:right w:val="single" w:color="auto" w:sz="4" w:space="0"/>
            </w:tcBorders>
            <w:vAlign w:val="center"/>
          </w:tcPr>
          <w:p w14:paraId="12D1DEE7">
            <w:pPr>
              <w:widowControl/>
              <w:spacing w:line="240" w:lineRule="exact"/>
              <w:jc w:val="center"/>
              <w:rPr>
                <w:rFonts w:ascii="宋体"/>
                <w:kern w:val="0"/>
              </w:rPr>
            </w:pPr>
            <w:r>
              <w:rPr>
                <w:rFonts w:hint="eastAsia" w:ascii="宋体"/>
                <w:kern w:val="0"/>
              </w:rPr>
              <w:t>4-5万元</w:t>
            </w:r>
          </w:p>
        </w:tc>
      </w:tr>
      <w:tr w14:paraId="605A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rPr>
        <w:tc>
          <w:tcPr>
            <w:tcW w:w="1429" w:type="dxa"/>
            <w:vMerge w:val="continue"/>
            <w:vAlign w:val="center"/>
          </w:tcPr>
          <w:p w14:paraId="166323FD">
            <w:pPr>
              <w:widowControl/>
              <w:spacing w:line="240" w:lineRule="exact"/>
              <w:jc w:val="left"/>
              <w:rPr>
                <w:rFonts w:ascii="宋体"/>
                <w:kern w:val="0"/>
              </w:rPr>
            </w:pPr>
          </w:p>
        </w:tc>
        <w:tc>
          <w:tcPr>
            <w:tcW w:w="1428" w:type="dxa"/>
            <w:vMerge w:val="continue"/>
            <w:vAlign w:val="center"/>
          </w:tcPr>
          <w:p w14:paraId="7D6B8983">
            <w:pPr>
              <w:widowControl/>
              <w:spacing w:line="240" w:lineRule="exact"/>
              <w:jc w:val="left"/>
              <w:rPr>
                <w:rFonts w:ascii="宋体"/>
                <w:kern w:val="0"/>
              </w:rPr>
            </w:pPr>
          </w:p>
        </w:tc>
        <w:tc>
          <w:tcPr>
            <w:tcW w:w="2505" w:type="dxa"/>
            <w:vMerge w:val="continue"/>
            <w:vAlign w:val="center"/>
          </w:tcPr>
          <w:p w14:paraId="40DD00A3">
            <w:pPr>
              <w:widowControl/>
              <w:spacing w:line="240" w:lineRule="exact"/>
              <w:jc w:val="left"/>
              <w:rPr>
                <w:rFonts w:ascii="宋体"/>
                <w:kern w:val="0"/>
              </w:rPr>
            </w:pPr>
          </w:p>
        </w:tc>
        <w:tc>
          <w:tcPr>
            <w:tcW w:w="1209" w:type="dxa"/>
            <w:vMerge w:val="continue"/>
            <w:tcBorders>
              <w:bottom w:val="single" w:color="auto" w:sz="4" w:space="0"/>
            </w:tcBorders>
            <w:vAlign w:val="center"/>
          </w:tcPr>
          <w:p w14:paraId="08EC204D">
            <w:pPr>
              <w:widowControl/>
              <w:spacing w:line="240" w:lineRule="exact"/>
              <w:jc w:val="center"/>
              <w:rPr>
                <w:rFonts w:ascii="宋体"/>
                <w:kern w:val="0"/>
              </w:rPr>
            </w:pPr>
          </w:p>
        </w:tc>
        <w:tc>
          <w:tcPr>
            <w:tcW w:w="3142" w:type="dxa"/>
            <w:tcBorders>
              <w:top w:val="single" w:color="auto" w:sz="4" w:space="0"/>
              <w:bottom w:val="single" w:color="auto" w:sz="4" w:space="0"/>
            </w:tcBorders>
            <w:vAlign w:val="center"/>
          </w:tcPr>
          <w:p w14:paraId="383DB51A">
            <w:pPr>
              <w:widowControl/>
              <w:spacing w:line="240" w:lineRule="exact"/>
              <w:jc w:val="left"/>
              <w:rPr>
                <w:rFonts w:ascii="宋体"/>
                <w:kern w:val="0"/>
              </w:rPr>
            </w:pPr>
            <w:r>
              <w:rPr>
                <w:rFonts w:hint="eastAsia" w:ascii="宋体"/>
                <w:kern w:val="0"/>
              </w:rPr>
              <w:t>具有其他较重情节的</w:t>
            </w:r>
          </w:p>
        </w:tc>
        <w:tc>
          <w:tcPr>
            <w:tcW w:w="10949" w:type="dxa"/>
            <w:tcBorders>
              <w:top w:val="single" w:color="auto" w:sz="4" w:space="0"/>
              <w:bottom w:val="single" w:color="auto" w:sz="4" w:space="0"/>
              <w:right w:val="single" w:color="auto" w:sz="4" w:space="0"/>
            </w:tcBorders>
            <w:vAlign w:val="center"/>
          </w:tcPr>
          <w:p w14:paraId="5AC5C1CB">
            <w:pPr>
              <w:widowControl/>
              <w:spacing w:line="240" w:lineRule="exact"/>
              <w:jc w:val="center"/>
              <w:rPr>
                <w:rFonts w:ascii="宋体"/>
                <w:kern w:val="0"/>
              </w:rPr>
            </w:pPr>
            <w:r>
              <w:rPr>
                <w:rFonts w:hint="eastAsia" w:ascii="宋体"/>
                <w:kern w:val="0"/>
              </w:rPr>
              <w:t>5-10万元</w:t>
            </w:r>
          </w:p>
        </w:tc>
      </w:tr>
    </w:tbl>
    <w:p w14:paraId="4CF8A4FB">
      <w:pPr>
        <w:jc w:val="left"/>
        <w:rPr>
          <w:rFonts w:ascii="宋体"/>
          <w:b/>
        </w:rPr>
      </w:pPr>
      <w:r>
        <w:rPr>
          <w:rFonts w:hint="eastAsia"/>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3"/>
        <w:gridCol w:w="2418"/>
        <w:gridCol w:w="2674"/>
        <w:gridCol w:w="1328"/>
        <w:gridCol w:w="3760"/>
        <w:gridCol w:w="8514"/>
      </w:tblGrid>
      <w:tr w14:paraId="397DD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1643" w:type="dxa"/>
            <w:vMerge w:val="restart"/>
            <w:vAlign w:val="center"/>
          </w:tcPr>
          <w:p w14:paraId="22FC93B5">
            <w:pPr>
              <w:spacing w:line="240" w:lineRule="exact"/>
              <w:jc w:val="center"/>
              <w:rPr>
                <w:rFonts w:ascii="宋体"/>
                <w:b/>
              </w:rPr>
            </w:pPr>
            <w:r>
              <w:rPr>
                <w:rFonts w:hint="eastAsia" w:ascii="宋体"/>
                <w:b/>
              </w:rPr>
              <w:t>案由77</w:t>
            </w:r>
          </w:p>
        </w:tc>
        <w:tc>
          <w:tcPr>
            <w:tcW w:w="5092" w:type="dxa"/>
            <w:gridSpan w:val="2"/>
            <w:vAlign w:val="center"/>
          </w:tcPr>
          <w:p w14:paraId="2FE22D59">
            <w:pPr>
              <w:spacing w:line="240" w:lineRule="exact"/>
              <w:jc w:val="center"/>
              <w:rPr>
                <w:rFonts w:ascii="宋体"/>
                <w:b/>
              </w:rPr>
            </w:pPr>
            <w:r>
              <w:rPr>
                <w:rFonts w:hint="eastAsia" w:ascii="宋体"/>
                <w:b/>
              </w:rPr>
              <w:t>法律依据</w:t>
            </w:r>
          </w:p>
        </w:tc>
        <w:tc>
          <w:tcPr>
            <w:tcW w:w="1328" w:type="dxa"/>
            <w:vMerge w:val="restart"/>
            <w:vAlign w:val="center"/>
          </w:tcPr>
          <w:p w14:paraId="44E08C61">
            <w:pPr>
              <w:spacing w:line="240" w:lineRule="exact"/>
              <w:jc w:val="center"/>
              <w:rPr>
                <w:rFonts w:ascii="宋体"/>
                <w:b/>
              </w:rPr>
            </w:pPr>
            <w:r>
              <w:rPr>
                <w:rFonts w:hint="eastAsia" w:ascii="宋体"/>
                <w:b/>
              </w:rPr>
              <w:t>违法情节</w:t>
            </w:r>
          </w:p>
        </w:tc>
        <w:tc>
          <w:tcPr>
            <w:tcW w:w="3760" w:type="dxa"/>
            <w:vMerge w:val="restart"/>
            <w:vAlign w:val="center"/>
          </w:tcPr>
          <w:p w14:paraId="7F711629">
            <w:pPr>
              <w:spacing w:line="240" w:lineRule="exact"/>
              <w:jc w:val="center"/>
              <w:rPr>
                <w:rFonts w:ascii="宋体"/>
                <w:b/>
              </w:rPr>
            </w:pPr>
            <w:r>
              <w:rPr>
                <w:rFonts w:hint="eastAsia" w:ascii="宋体"/>
                <w:b/>
              </w:rPr>
              <w:t>主要考虑因素（事实、性质、情节、危害程度和实际后果等）</w:t>
            </w:r>
          </w:p>
        </w:tc>
        <w:tc>
          <w:tcPr>
            <w:tcW w:w="8514" w:type="dxa"/>
            <w:tcBorders>
              <w:right w:val="single" w:color="auto" w:sz="4" w:space="0"/>
            </w:tcBorders>
            <w:vAlign w:val="center"/>
          </w:tcPr>
          <w:p w14:paraId="0E1D42A7">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14:paraId="0A91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1643" w:type="dxa"/>
            <w:vMerge w:val="continue"/>
            <w:vAlign w:val="center"/>
          </w:tcPr>
          <w:p w14:paraId="540273F5">
            <w:pPr>
              <w:spacing w:line="240" w:lineRule="exact"/>
              <w:jc w:val="center"/>
              <w:rPr>
                <w:rFonts w:ascii="宋体"/>
                <w:b/>
              </w:rPr>
            </w:pPr>
          </w:p>
        </w:tc>
        <w:tc>
          <w:tcPr>
            <w:tcW w:w="2418" w:type="dxa"/>
            <w:vAlign w:val="center"/>
          </w:tcPr>
          <w:p w14:paraId="447B706B">
            <w:pPr>
              <w:spacing w:line="240" w:lineRule="exact"/>
              <w:jc w:val="center"/>
              <w:rPr>
                <w:rFonts w:ascii="宋体"/>
                <w:b/>
              </w:rPr>
            </w:pPr>
            <w:r>
              <w:rPr>
                <w:rFonts w:hint="eastAsia" w:ascii="宋体"/>
                <w:b/>
              </w:rPr>
              <w:t>违反条款</w:t>
            </w:r>
          </w:p>
        </w:tc>
        <w:tc>
          <w:tcPr>
            <w:tcW w:w="2674" w:type="dxa"/>
            <w:vAlign w:val="center"/>
          </w:tcPr>
          <w:p w14:paraId="28694DC9">
            <w:pPr>
              <w:spacing w:line="240" w:lineRule="exact"/>
              <w:jc w:val="center"/>
              <w:rPr>
                <w:rFonts w:ascii="宋体"/>
                <w:b/>
              </w:rPr>
            </w:pPr>
            <w:r>
              <w:rPr>
                <w:rFonts w:hint="eastAsia" w:ascii="宋体"/>
                <w:b/>
              </w:rPr>
              <w:t>处 罚 依 据</w:t>
            </w:r>
          </w:p>
        </w:tc>
        <w:tc>
          <w:tcPr>
            <w:tcW w:w="1328" w:type="dxa"/>
            <w:vMerge w:val="continue"/>
            <w:vAlign w:val="center"/>
          </w:tcPr>
          <w:p w14:paraId="740F7D98">
            <w:pPr>
              <w:spacing w:line="240" w:lineRule="exact"/>
              <w:jc w:val="center"/>
              <w:rPr>
                <w:rFonts w:ascii="宋体"/>
                <w:b/>
              </w:rPr>
            </w:pPr>
          </w:p>
        </w:tc>
        <w:tc>
          <w:tcPr>
            <w:tcW w:w="3760" w:type="dxa"/>
            <w:vMerge w:val="continue"/>
            <w:vAlign w:val="center"/>
          </w:tcPr>
          <w:p w14:paraId="39E682F9">
            <w:pPr>
              <w:spacing w:line="240" w:lineRule="exact"/>
              <w:jc w:val="center"/>
              <w:rPr>
                <w:rFonts w:ascii="宋体"/>
                <w:b/>
              </w:rPr>
            </w:pPr>
          </w:p>
        </w:tc>
        <w:tc>
          <w:tcPr>
            <w:tcW w:w="8514" w:type="dxa"/>
            <w:tcBorders>
              <w:top w:val="single" w:color="auto" w:sz="4" w:space="0"/>
              <w:right w:val="single" w:color="auto" w:sz="4" w:space="0"/>
            </w:tcBorders>
            <w:vAlign w:val="center"/>
          </w:tcPr>
          <w:p w14:paraId="0E6F841C">
            <w:pPr>
              <w:spacing w:line="240" w:lineRule="exact"/>
              <w:jc w:val="center"/>
              <w:rPr>
                <w:rFonts w:ascii="宋体"/>
                <w:b/>
              </w:rPr>
            </w:pPr>
            <w:r>
              <w:rPr>
                <w:rFonts w:hint="eastAsia" w:ascii="宋体"/>
                <w:b/>
              </w:rPr>
              <w:t>【对象】船舶所有人或经营人</w:t>
            </w:r>
          </w:p>
        </w:tc>
      </w:tr>
      <w:tr w14:paraId="31F4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1643" w:type="dxa"/>
            <w:vMerge w:val="restart"/>
            <w:vAlign w:val="center"/>
          </w:tcPr>
          <w:p w14:paraId="4CAB259E">
            <w:pPr>
              <w:widowControl/>
              <w:spacing w:line="240" w:lineRule="exact"/>
              <w:jc w:val="left"/>
              <w:rPr>
                <w:rFonts w:ascii="宋体"/>
                <w:kern w:val="0"/>
              </w:rPr>
            </w:pPr>
            <w:r>
              <w:rPr>
                <w:rFonts w:hint="eastAsia" w:ascii="宋体"/>
                <w:kern w:val="0"/>
              </w:rPr>
              <w:t>船舶污染物处置记录与船舶运行过程中产生的污染物数量不符合</w:t>
            </w:r>
          </w:p>
        </w:tc>
        <w:tc>
          <w:tcPr>
            <w:tcW w:w="2418" w:type="dxa"/>
            <w:vMerge w:val="restart"/>
            <w:vAlign w:val="center"/>
          </w:tcPr>
          <w:p w14:paraId="14591BF1">
            <w:pPr>
              <w:widowControl/>
              <w:spacing w:line="240" w:lineRule="exact"/>
              <w:jc w:val="left"/>
              <w:rPr>
                <w:rFonts w:ascii="宋体"/>
                <w:kern w:val="0"/>
              </w:rPr>
            </w:pPr>
            <w:r>
              <w:rPr>
                <w:rFonts w:hint="eastAsia" w:ascii="宋体"/>
                <w:kern w:val="0"/>
              </w:rPr>
              <w:t>1.《防治船舶污染海洋环境管理条例》第十六条第一款。</w:t>
            </w:r>
          </w:p>
        </w:tc>
        <w:tc>
          <w:tcPr>
            <w:tcW w:w="2674" w:type="dxa"/>
            <w:vMerge w:val="restart"/>
            <w:vAlign w:val="center"/>
          </w:tcPr>
          <w:p w14:paraId="2D62B02A">
            <w:pPr>
              <w:widowControl/>
              <w:spacing w:line="240" w:lineRule="exact"/>
              <w:jc w:val="left"/>
              <w:rPr>
                <w:rFonts w:ascii="宋体"/>
                <w:kern w:val="0"/>
              </w:rPr>
            </w:pPr>
            <w:r>
              <w:rPr>
                <w:rFonts w:hint="eastAsia" w:ascii="宋体"/>
                <w:kern w:val="0"/>
              </w:rPr>
              <w:t>1. 《防治船舶污染海洋环境管理条例》第五十九条；</w:t>
            </w:r>
          </w:p>
          <w:p w14:paraId="1155F72A">
            <w:pPr>
              <w:widowControl/>
              <w:spacing w:line="240" w:lineRule="exact"/>
              <w:jc w:val="left"/>
              <w:rPr>
                <w:rFonts w:ascii="宋体"/>
                <w:kern w:val="0"/>
              </w:rPr>
            </w:pPr>
            <w:r>
              <w:rPr>
                <w:rFonts w:hint="eastAsia" w:ascii="宋体"/>
                <w:kern w:val="0"/>
              </w:rPr>
              <w:t>2. 《中华人民共和国海上海事行政处罚规定》第七条。</w:t>
            </w:r>
          </w:p>
        </w:tc>
        <w:tc>
          <w:tcPr>
            <w:tcW w:w="1328" w:type="dxa"/>
            <w:vAlign w:val="center"/>
          </w:tcPr>
          <w:p w14:paraId="080AA68F">
            <w:pPr>
              <w:widowControl/>
              <w:spacing w:line="240" w:lineRule="exact"/>
              <w:jc w:val="center"/>
              <w:rPr>
                <w:rFonts w:ascii="宋体"/>
                <w:kern w:val="0"/>
              </w:rPr>
            </w:pPr>
            <w:r>
              <w:rPr>
                <w:rFonts w:hint="eastAsia" w:ascii="宋体"/>
                <w:kern w:val="0"/>
              </w:rPr>
              <w:t>从轻</w:t>
            </w:r>
          </w:p>
        </w:tc>
        <w:tc>
          <w:tcPr>
            <w:tcW w:w="3760" w:type="dxa"/>
            <w:tcBorders>
              <w:bottom w:val="single" w:color="auto" w:sz="4" w:space="0"/>
            </w:tcBorders>
            <w:vAlign w:val="center"/>
          </w:tcPr>
          <w:p w14:paraId="78E5B24D">
            <w:pPr>
              <w:widowControl/>
              <w:spacing w:line="240" w:lineRule="exact"/>
              <w:jc w:val="left"/>
              <w:rPr>
                <w:rFonts w:ascii="宋体"/>
                <w:kern w:val="0"/>
              </w:rPr>
            </w:pPr>
            <w:r>
              <w:rPr>
                <w:rFonts w:hint="eastAsia" w:ascii="宋体"/>
                <w:kern w:val="0"/>
              </w:rPr>
              <w:t>具有法定从轻处罚情节的</w:t>
            </w:r>
          </w:p>
        </w:tc>
        <w:tc>
          <w:tcPr>
            <w:tcW w:w="8514" w:type="dxa"/>
            <w:tcBorders>
              <w:bottom w:val="single" w:color="auto" w:sz="4" w:space="0"/>
              <w:right w:val="single" w:color="auto" w:sz="4" w:space="0"/>
            </w:tcBorders>
            <w:vAlign w:val="center"/>
          </w:tcPr>
          <w:p w14:paraId="48E857A5">
            <w:pPr>
              <w:widowControl/>
              <w:spacing w:line="240" w:lineRule="exact"/>
              <w:jc w:val="center"/>
              <w:rPr>
                <w:rFonts w:ascii="宋体"/>
                <w:kern w:val="0"/>
              </w:rPr>
            </w:pPr>
            <w:r>
              <w:rPr>
                <w:rFonts w:hint="eastAsia" w:ascii="宋体"/>
                <w:kern w:val="0"/>
              </w:rPr>
              <w:t>2-3万元</w:t>
            </w:r>
          </w:p>
        </w:tc>
      </w:tr>
      <w:tr w14:paraId="6A94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8" w:hRule="atLeast"/>
        </w:trPr>
        <w:tc>
          <w:tcPr>
            <w:tcW w:w="1643" w:type="dxa"/>
            <w:vMerge w:val="continue"/>
            <w:vAlign w:val="center"/>
          </w:tcPr>
          <w:p w14:paraId="3B885A4D">
            <w:pPr>
              <w:widowControl/>
              <w:spacing w:line="240" w:lineRule="exact"/>
              <w:jc w:val="left"/>
              <w:rPr>
                <w:rFonts w:ascii="宋体"/>
                <w:kern w:val="0"/>
              </w:rPr>
            </w:pPr>
          </w:p>
        </w:tc>
        <w:tc>
          <w:tcPr>
            <w:tcW w:w="2418" w:type="dxa"/>
            <w:vMerge w:val="continue"/>
            <w:vAlign w:val="center"/>
          </w:tcPr>
          <w:p w14:paraId="261694C9">
            <w:pPr>
              <w:widowControl/>
              <w:spacing w:line="240" w:lineRule="exact"/>
              <w:jc w:val="left"/>
              <w:rPr>
                <w:rFonts w:ascii="宋体"/>
                <w:kern w:val="0"/>
              </w:rPr>
            </w:pPr>
          </w:p>
        </w:tc>
        <w:tc>
          <w:tcPr>
            <w:tcW w:w="2674" w:type="dxa"/>
            <w:vMerge w:val="continue"/>
            <w:vAlign w:val="center"/>
          </w:tcPr>
          <w:p w14:paraId="10B84CEC">
            <w:pPr>
              <w:widowControl/>
              <w:spacing w:line="240" w:lineRule="exact"/>
              <w:jc w:val="left"/>
              <w:rPr>
                <w:rFonts w:ascii="宋体"/>
                <w:kern w:val="0"/>
              </w:rPr>
            </w:pPr>
          </w:p>
        </w:tc>
        <w:tc>
          <w:tcPr>
            <w:tcW w:w="1328" w:type="dxa"/>
            <w:vMerge w:val="restart"/>
            <w:vAlign w:val="center"/>
          </w:tcPr>
          <w:p w14:paraId="1B889D03">
            <w:pPr>
              <w:widowControl/>
              <w:spacing w:line="240" w:lineRule="exact"/>
              <w:jc w:val="center"/>
              <w:rPr>
                <w:rFonts w:ascii="宋体"/>
                <w:kern w:val="0"/>
              </w:rPr>
            </w:pPr>
            <w:r>
              <w:rPr>
                <w:rFonts w:hint="eastAsia" w:ascii="宋体"/>
                <w:kern w:val="0"/>
              </w:rPr>
              <w:t>一般</w:t>
            </w:r>
          </w:p>
        </w:tc>
        <w:tc>
          <w:tcPr>
            <w:tcW w:w="3760" w:type="dxa"/>
            <w:vAlign w:val="center"/>
          </w:tcPr>
          <w:p w14:paraId="45D5C9CE">
            <w:pPr>
              <w:widowControl/>
              <w:spacing w:line="240" w:lineRule="exact"/>
              <w:jc w:val="left"/>
              <w:rPr>
                <w:rFonts w:ascii="宋体"/>
                <w:kern w:val="0"/>
              </w:rPr>
            </w:pPr>
            <w:r>
              <w:rPr>
                <w:rFonts w:hint="eastAsia" w:ascii="宋体"/>
                <w:kern w:val="0"/>
              </w:rPr>
              <w:t>1.船舶污染物处置记录与船舶运行过程中产生的污染物数量差异较大的；</w:t>
            </w:r>
          </w:p>
        </w:tc>
        <w:tc>
          <w:tcPr>
            <w:tcW w:w="8514" w:type="dxa"/>
            <w:tcBorders>
              <w:top w:val="single" w:color="auto" w:sz="4" w:space="0"/>
              <w:right w:val="single" w:color="auto" w:sz="4" w:space="0"/>
            </w:tcBorders>
            <w:vAlign w:val="center"/>
          </w:tcPr>
          <w:p w14:paraId="6A547F42">
            <w:pPr>
              <w:widowControl/>
              <w:spacing w:line="240" w:lineRule="exact"/>
              <w:jc w:val="center"/>
              <w:rPr>
                <w:rFonts w:ascii="宋体"/>
                <w:kern w:val="0"/>
              </w:rPr>
            </w:pPr>
            <w:r>
              <w:rPr>
                <w:rFonts w:hint="eastAsia" w:ascii="宋体"/>
                <w:kern w:val="0"/>
              </w:rPr>
              <w:t>3-4万元</w:t>
            </w:r>
          </w:p>
        </w:tc>
      </w:tr>
      <w:tr w14:paraId="5C478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4" w:hRule="atLeast"/>
        </w:trPr>
        <w:tc>
          <w:tcPr>
            <w:tcW w:w="1643" w:type="dxa"/>
            <w:vMerge w:val="continue"/>
            <w:vAlign w:val="center"/>
          </w:tcPr>
          <w:p w14:paraId="65073EF4">
            <w:pPr>
              <w:widowControl/>
              <w:spacing w:line="240" w:lineRule="exact"/>
              <w:jc w:val="left"/>
              <w:rPr>
                <w:rFonts w:ascii="宋体"/>
                <w:kern w:val="0"/>
              </w:rPr>
            </w:pPr>
          </w:p>
        </w:tc>
        <w:tc>
          <w:tcPr>
            <w:tcW w:w="2418" w:type="dxa"/>
            <w:vMerge w:val="continue"/>
            <w:vAlign w:val="center"/>
          </w:tcPr>
          <w:p w14:paraId="5504283B">
            <w:pPr>
              <w:widowControl/>
              <w:spacing w:line="240" w:lineRule="exact"/>
              <w:jc w:val="left"/>
              <w:rPr>
                <w:rFonts w:ascii="宋体"/>
                <w:kern w:val="0"/>
              </w:rPr>
            </w:pPr>
          </w:p>
        </w:tc>
        <w:tc>
          <w:tcPr>
            <w:tcW w:w="2674" w:type="dxa"/>
            <w:vMerge w:val="continue"/>
            <w:vAlign w:val="center"/>
          </w:tcPr>
          <w:p w14:paraId="75BF0706">
            <w:pPr>
              <w:widowControl/>
              <w:spacing w:line="240" w:lineRule="exact"/>
              <w:jc w:val="left"/>
              <w:rPr>
                <w:rFonts w:ascii="宋体"/>
                <w:kern w:val="0"/>
              </w:rPr>
            </w:pPr>
          </w:p>
        </w:tc>
        <w:tc>
          <w:tcPr>
            <w:tcW w:w="1328" w:type="dxa"/>
            <w:vMerge w:val="continue"/>
            <w:vAlign w:val="center"/>
          </w:tcPr>
          <w:p w14:paraId="5A3E5B0D">
            <w:pPr>
              <w:spacing w:line="240" w:lineRule="exact"/>
              <w:jc w:val="center"/>
              <w:rPr>
                <w:rFonts w:ascii="宋体"/>
                <w:kern w:val="0"/>
              </w:rPr>
            </w:pPr>
          </w:p>
        </w:tc>
        <w:tc>
          <w:tcPr>
            <w:tcW w:w="3760" w:type="dxa"/>
            <w:vAlign w:val="center"/>
          </w:tcPr>
          <w:p w14:paraId="69295150">
            <w:pPr>
              <w:widowControl/>
              <w:spacing w:line="240" w:lineRule="exact"/>
              <w:jc w:val="left"/>
              <w:rPr>
                <w:rFonts w:ascii="宋体"/>
                <w:kern w:val="0"/>
              </w:rPr>
            </w:pPr>
            <w:r>
              <w:rPr>
                <w:rFonts w:hint="eastAsia" w:ascii="宋体"/>
                <w:kern w:val="0"/>
              </w:rPr>
              <w:t>2.船舶运行过程中长期未记录产生的污染物数量。</w:t>
            </w:r>
          </w:p>
        </w:tc>
        <w:tc>
          <w:tcPr>
            <w:tcW w:w="8514" w:type="dxa"/>
            <w:tcBorders>
              <w:top w:val="single" w:color="auto" w:sz="4" w:space="0"/>
              <w:right w:val="single" w:color="auto" w:sz="4" w:space="0"/>
            </w:tcBorders>
            <w:vAlign w:val="center"/>
          </w:tcPr>
          <w:p w14:paraId="55584550">
            <w:pPr>
              <w:widowControl/>
              <w:spacing w:line="240" w:lineRule="exact"/>
              <w:jc w:val="center"/>
              <w:rPr>
                <w:rFonts w:ascii="宋体"/>
                <w:kern w:val="0"/>
              </w:rPr>
            </w:pPr>
            <w:r>
              <w:rPr>
                <w:rFonts w:hint="eastAsia" w:ascii="宋体"/>
                <w:kern w:val="0"/>
              </w:rPr>
              <w:t>4-6万元</w:t>
            </w:r>
          </w:p>
        </w:tc>
      </w:tr>
      <w:tr w14:paraId="3A05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1643" w:type="dxa"/>
            <w:vMerge w:val="continue"/>
            <w:vAlign w:val="center"/>
          </w:tcPr>
          <w:p w14:paraId="68D98AB5">
            <w:pPr>
              <w:widowControl/>
              <w:spacing w:line="240" w:lineRule="exact"/>
              <w:jc w:val="left"/>
              <w:rPr>
                <w:rFonts w:ascii="宋体"/>
                <w:kern w:val="0"/>
              </w:rPr>
            </w:pPr>
          </w:p>
        </w:tc>
        <w:tc>
          <w:tcPr>
            <w:tcW w:w="2418" w:type="dxa"/>
            <w:vMerge w:val="continue"/>
            <w:vAlign w:val="center"/>
          </w:tcPr>
          <w:p w14:paraId="33168DB2">
            <w:pPr>
              <w:widowControl/>
              <w:spacing w:line="240" w:lineRule="exact"/>
              <w:jc w:val="left"/>
              <w:rPr>
                <w:rFonts w:ascii="宋体"/>
                <w:kern w:val="0"/>
              </w:rPr>
            </w:pPr>
          </w:p>
        </w:tc>
        <w:tc>
          <w:tcPr>
            <w:tcW w:w="2674" w:type="dxa"/>
            <w:vMerge w:val="continue"/>
            <w:vAlign w:val="center"/>
          </w:tcPr>
          <w:p w14:paraId="19CAC481">
            <w:pPr>
              <w:widowControl/>
              <w:spacing w:line="240" w:lineRule="exact"/>
              <w:jc w:val="left"/>
              <w:rPr>
                <w:rFonts w:ascii="宋体"/>
                <w:kern w:val="0"/>
              </w:rPr>
            </w:pPr>
          </w:p>
        </w:tc>
        <w:tc>
          <w:tcPr>
            <w:tcW w:w="1328" w:type="dxa"/>
            <w:vMerge w:val="continue"/>
            <w:tcBorders>
              <w:bottom w:val="single" w:color="auto" w:sz="4" w:space="0"/>
            </w:tcBorders>
            <w:vAlign w:val="center"/>
          </w:tcPr>
          <w:p w14:paraId="418998DF">
            <w:pPr>
              <w:widowControl/>
              <w:spacing w:line="240" w:lineRule="exact"/>
              <w:jc w:val="center"/>
              <w:rPr>
                <w:rFonts w:ascii="宋体"/>
                <w:kern w:val="0"/>
              </w:rPr>
            </w:pPr>
          </w:p>
        </w:tc>
        <w:tc>
          <w:tcPr>
            <w:tcW w:w="3760" w:type="dxa"/>
            <w:tcBorders>
              <w:top w:val="single" w:color="auto" w:sz="4" w:space="0"/>
              <w:bottom w:val="single" w:color="auto" w:sz="4" w:space="0"/>
            </w:tcBorders>
            <w:vAlign w:val="center"/>
          </w:tcPr>
          <w:p w14:paraId="3E5B0485">
            <w:pPr>
              <w:widowControl/>
              <w:spacing w:line="240" w:lineRule="exact"/>
              <w:jc w:val="left"/>
              <w:rPr>
                <w:rFonts w:ascii="宋体"/>
                <w:kern w:val="0"/>
              </w:rPr>
            </w:pPr>
            <w:r>
              <w:rPr>
                <w:rFonts w:hint="eastAsia" w:ascii="宋体"/>
                <w:kern w:val="0"/>
              </w:rPr>
              <w:t>具有其他较重情节的</w:t>
            </w:r>
          </w:p>
        </w:tc>
        <w:tc>
          <w:tcPr>
            <w:tcW w:w="8514" w:type="dxa"/>
            <w:tcBorders>
              <w:top w:val="single" w:color="auto" w:sz="4" w:space="0"/>
              <w:bottom w:val="single" w:color="auto" w:sz="4" w:space="0"/>
              <w:right w:val="single" w:color="auto" w:sz="4" w:space="0"/>
            </w:tcBorders>
            <w:vAlign w:val="center"/>
          </w:tcPr>
          <w:p w14:paraId="20D8E738">
            <w:pPr>
              <w:widowControl/>
              <w:spacing w:line="240" w:lineRule="exact"/>
              <w:jc w:val="center"/>
              <w:rPr>
                <w:rFonts w:ascii="宋体"/>
                <w:kern w:val="0"/>
              </w:rPr>
            </w:pPr>
            <w:r>
              <w:rPr>
                <w:rFonts w:hint="eastAsia" w:ascii="宋体"/>
                <w:kern w:val="0"/>
              </w:rPr>
              <w:t>6-10万元</w:t>
            </w:r>
          </w:p>
        </w:tc>
      </w:tr>
    </w:tbl>
    <w:p w14:paraId="33EF9893">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765"/>
        <w:gridCol w:w="2144"/>
        <w:gridCol w:w="1531"/>
        <w:gridCol w:w="4230"/>
        <w:gridCol w:w="8218"/>
      </w:tblGrid>
      <w:tr w14:paraId="1901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1692" w:type="dxa"/>
            <w:vMerge w:val="restart"/>
            <w:vAlign w:val="center"/>
          </w:tcPr>
          <w:p w14:paraId="7951A091">
            <w:pPr>
              <w:spacing w:line="240" w:lineRule="exact"/>
              <w:jc w:val="center"/>
              <w:rPr>
                <w:rFonts w:ascii="宋体"/>
                <w:b/>
              </w:rPr>
            </w:pPr>
            <w:r>
              <w:rPr>
                <w:rFonts w:hint="eastAsia" w:ascii="宋体"/>
                <w:b/>
              </w:rPr>
              <w:t>案由78</w:t>
            </w:r>
          </w:p>
        </w:tc>
        <w:tc>
          <w:tcPr>
            <w:tcW w:w="3909" w:type="dxa"/>
            <w:gridSpan w:val="2"/>
            <w:vAlign w:val="center"/>
          </w:tcPr>
          <w:p w14:paraId="648BB813">
            <w:pPr>
              <w:spacing w:line="240" w:lineRule="exact"/>
              <w:jc w:val="center"/>
              <w:rPr>
                <w:rFonts w:ascii="宋体"/>
                <w:b/>
              </w:rPr>
            </w:pPr>
            <w:r>
              <w:rPr>
                <w:rFonts w:hint="eastAsia" w:ascii="宋体"/>
                <w:b/>
              </w:rPr>
              <w:t>法律依据</w:t>
            </w:r>
          </w:p>
        </w:tc>
        <w:tc>
          <w:tcPr>
            <w:tcW w:w="1531" w:type="dxa"/>
            <w:vMerge w:val="restart"/>
            <w:vAlign w:val="center"/>
          </w:tcPr>
          <w:p w14:paraId="266C8E6B">
            <w:pPr>
              <w:spacing w:line="240" w:lineRule="exact"/>
              <w:jc w:val="center"/>
              <w:rPr>
                <w:rFonts w:ascii="宋体"/>
                <w:b/>
              </w:rPr>
            </w:pPr>
            <w:r>
              <w:rPr>
                <w:rFonts w:hint="eastAsia" w:ascii="宋体"/>
                <w:b/>
              </w:rPr>
              <w:t>违法情节</w:t>
            </w:r>
          </w:p>
        </w:tc>
        <w:tc>
          <w:tcPr>
            <w:tcW w:w="4230" w:type="dxa"/>
            <w:vMerge w:val="restart"/>
            <w:vAlign w:val="center"/>
          </w:tcPr>
          <w:p w14:paraId="3F937633">
            <w:pPr>
              <w:spacing w:line="240" w:lineRule="exact"/>
              <w:jc w:val="center"/>
              <w:rPr>
                <w:rFonts w:ascii="宋体"/>
                <w:b/>
              </w:rPr>
            </w:pPr>
            <w:r>
              <w:rPr>
                <w:rFonts w:hint="eastAsia" w:ascii="宋体"/>
                <w:b/>
              </w:rPr>
              <w:t>主要考虑因素（事实、性质、情节、危害程度和实际后果等）</w:t>
            </w:r>
          </w:p>
        </w:tc>
        <w:tc>
          <w:tcPr>
            <w:tcW w:w="8218" w:type="dxa"/>
            <w:tcBorders>
              <w:right w:val="single" w:color="auto" w:sz="4" w:space="0"/>
            </w:tcBorders>
            <w:vAlign w:val="center"/>
          </w:tcPr>
          <w:p w14:paraId="1DFA31F6">
            <w:pPr>
              <w:spacing w:line="240" w:lineRule="exact"/>
              <w:jc w:val="left"/>
              <w:rPr>
                <w:rFonts w:ascii="宋体"/>
                <w:b/>
              </w:rPr>
            </w:pPr>
            <w:r>
              <w:rPr>
                <w:rFonts w:hint="eastAsia" w:ascii="宋体"/>
                <w:b/>
              </w:rPr>
              <w:t>【法定幅度和种类】</w:t>
            </w:r>
            <w:r>
              <w:rPr>
                <w:rFonts w:hint="eastAsia" w:ascii="宋体"/>
                <w:bCs/>
              </w:rPr>
              <w:t>1万元以上5万元以下的罚款；造成海洋环境污染的，处5万元以上25万元以下的罚款。</w:t>
            </w:r>
          </w:p>
        </w:tc>
      </w:tr>
      <w:tr w14:paraId="64CF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3C6A811D">
            <w:pPr>
              <w:spacing w:line="240" w:lineRule="exact"/>
              <w:jc w:val="center"/>
              <w:rPr>
                <w:rFonts w:ascii="宋体"/>
                <w:b/>
              </w:rPr>
            </w:pPr>
          </w:p>
        </w:tc>
        <w:tc>
          <w:tcPr>
            <w:tcW w:w="1765" w:type="dxa"/>
            <w:vAlign w:val="center"/>
          </w:tcPr>
          <w:p w14:paraId="481F9947">
            <w:pPr>
              <w:spacing w:line="240" w:lineRule="exact"/>
              <w:jc w:val="center"/>
              <w:rPr>
                <w:rFonts w:ascii="宋体"/>
                <w:b/>
              </w:rPr>
            </w:pPr>
            <w:r>
              <w:rPr>
                <w:rFonts w:hint="eastAsia" w:ascii="宋体"/>
                <w:b/>
              </w:rPr>
              <w:t>违反条款</w:t>
            </w:r>
          </w:p>
        </w:tc>
        <w:tc>
          <w:tcPr>
            <w:tcW w:w="2144" w:type="dxa"/>
            <w:vAlign w:val="center"/>
          </w:tcPr>
          <w:p w14:paraId="7E7FED97">
            <w:pPr>
              <w:spacing w:line="240" w:lineRule="exact"/>
              <w:jc w:val="center"/>
              <w:rPr>
                <w:rFonts w:ascii="宋体"/>
                <w:b/>
              </w:rPr>
            </w:pPr>
            <w:r>
              <w:rPr>
                <w:rFonts w:hint="eastAsia" w:ascii="宋体"/>
                <w:b/>
              </w:rPr>
              <w:t>处罚依据</w:t>
            </w:r>
          </w:p>
        </w:tc>
        <w:tc>
          <w:tcPr>
            <w:tcW w:w="1531" w:type="dxa"/>
            <w:vMerge w:val="continue"/>
            <w:vAlign w:val="center"/>
          </w:tcPr>
          <w:p w14:paraId="784C542E">
            <w:pPr>
              <w:spacing w:line="240" w:lineRule="exact"/>
              <w:jc w:val="center"/>
              <w:rPr>
                <w:rFonts w:ascii="宋体"/>
                <w:b/>
              </w:rPr>
            </w:pPr>
          </w:p>
        </w:tc>
        <w:tc>
          <w:tcPr>
            <w:tcW w:w="4230" w:type="dxa"/>
            <w:vMerge w:val="continue"/>
            <w:vAlign w:val="center"/>
          </w:tcPr>
          <w:p w14:paraId="5326554D">
            <w:pPr>
              <w:spacing w:line="240" w:lineRule="exact"/>
              <w:jc w:val="center"/>
              <w:rPr>
                <w:rFonts w:ascii="宋体"/>
                <w:b/>
              </w:rPr>
            </w:pPr>
          </w:p>
        </w:tc>
        <w:tc>
          <w:tcPr>
            <w:tcW w:w="8218" w:type="dxa"/>
            <w:tcBorders>
              <w:top w:val="single" w:color="auto" w:sz="4" w:space="0"/>
              <w:bottom w:val="single" w:color="auto" w:sz="4" w:space="0"/>
              <w:right w:val="single" w:color="auto" w:sz="4" w:space="0"/>
            </w:tcBorders>
            <w:vAlign w:val="center"/>
          </w:tcPr>
          <w:p w14:paraId="64D9B883">
            <w:pPr>
              <w:spacing w:line="240" w:lineRule="exact"/>
              <w:jc w:val="center"/>
              <w:rPr>
                <w:rFonts w:ascii="宋体"/>
                <w:b/>
              </w:rPr>
            </w:pPr>
            <w:r>
              <w:rPr>
                <w:rFonts w:hint="eastAsia" w:ascii="宋体"/>
                <w:b/>
              </w:rPr>
              <w:t>【对象】船舶污染物接收单位</w:t>
            </w:r>
          </w:p>
        </w:tc>
      </w:tr>
      <w:tr w14:paraId="7C94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14:paraId="13B630CB">
            <w:pPr>
              <w:spacing w:line="240" w:lineRule="exact"/>
              <w:jc w:val="left"/>
              <w:rPr>
                <w:rFonts w:ascii="宋体"/>
              </w:rPr>
            </w:pPr>
            <w:r>
              <w:rPr>
                <w:rFonts w:hint="eastAsia" w:ascii="宋体"/>
              </w:rPr>
              <w:t>船舶污染物接收单位未编制作业方案、遵守相关操作规程、采取必要的防污染措施</w:t>
            </w:r>
          </w:p>
        </w:tc>
        <w:tc>
          <w:tcPr>
            <w:tcW w:w="1765" w:type="dxa"/>
            <w:vMerge w:val="restart"/>
            <w:vAlign w:val="center"/>
          </w:tcPr>
          <w:p w14:paraId="7346A6A0">
            <w:pPr>
              <w:widowControl/>
              <w:spacing w:line="240" w:lineRule="exact"/>
              <w:jc w:val="left"/>
              <w:rPr>
                <w:rFonts w:ascii="宋体"/>
                <w:kern w:val="0"/>
              </w:rPr>
            </w:pPr>
            <w:r>
              <w:rPr>
                <w:rFonts w:hint="eastAsia" w:ascii="宋体"/>
                <w:kern w:val="0"/>
              </w:rPr>
              <w:t>1.《防治船舶污染海洋环境管理条例》第十七条</w:t>
            </w:r>
          </w:p>
        </w:tc>
        <w:tc>
          <w:tcPr>
            <w:tcW w:w="2144" w:type="dxa"/>
            <w:vMerge w:val="restart"/>
            <w:vAlign w:val="center"/>
          </w:tcPr>
          <w:p w14:paraId="0DDC81AC">
            <w:pPr>
              <w:widowControl/>
              <w:spacing w:line="240" w:lineRule="exact"/>
              <w:jc w:val="left"/>
              <w:rPr>
                <w:rFonts w:ascii="宋体"/>
                <w:kern w:val="0"/>
              </w:rPr>
            </w:pPr>
            <w:r>
              <w:rPr>
                <w:rFonts w:hint="eastAsia" w:ascii="宋体"/>
                <w:kern w:val="0"/>
              </w:rPr>
              <w:t>1. 《防治船舶污染海洋环境管理条例》第六十条；</w:t>
            </w:r>
          </w:p>
          <w:p w14:paraId="48B8BA4D">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531" w:type="dxa"/>
            <w:vAlign w:val="center"/>
          </w:tcPr>
          <w:p w14:paraId="4B4DD91D">
            <w:pPr>
              <w:spacing w:line="240" w:lineRule="exact"/>
              <w:jc w:val="center"/>
              <w:rPr>
                <w:rFonts w:ascii="宋体"/>
              </w:rPr>
            </w:pPr>
            <w:r>
              <w:rPr>
                <w:rFonts w:hint="eastAsia" w:ascii="宋体"/>
              </w:rPr>
              <w:t>从轻</w:t>
            </w:r>
          </w:p>
        </w:tc>
        <w:tc>
          <w:tcPr>
            <w:tcW w:w="4230" w:type="dxa"/>
            <w:vAlign w:val="center"/>
          </w:tcPr>
          <w:p w14:paraId="78CA4CE1">
            <w:pPr>
              <w:widowControl/>
              <w:spacing w:line="240" w:lineRule="exact"/>
              <w:jc w:val="left"/>
              <w:rPr>
                <w:rFonts w:ascii="宋体"/>
                <w:kern w:val="0"/>
              </w:rPr>
            </w:pPr>
            <w:r>
              <w:rPr>
                <w:rFonts w:hint="eastAsia" w:ascii="宋体"/>
                <w:kern w:val="0"/>
              </w:rPr>
              <w:t>具有法定从轻处罚情节的</w:t>
            </w:r>
          </w:p>
        </w:tc>
        <w:tc>
          <w:tcPr>
            <w:tcW w:w="8218" w:type="dxa"/>
            <w:tcBorders>
              <w:bottom w:val="single" w:color="auto" w:sz="4" w:space="0"/>
              <w:right w:val="single" w:color="auto" w:sz="4" w:space="0"/>
            </w:tcBorders>
            <w:vAlign w:val="center"/>
          </w:tcPr>
          <w:p w14:paraId="4829C613">
            <w:pPr>
              <w:widowControl/>
              <w:spacing w:line="240" w:lineRule="exact"/>
              <w:jc w:val="center"/>
              <w:rPr>
                <w:rFonts w:ascii="宋体"/>
                <w:kern w:val="0"/>
              </w:rPr>
            </w:pPr>
            <w:r>
              <w:rPr>
                <w:rFonts w:hint="eastAsia" w:ascii="宋体"/>
                <w:kern w:val="0"/>
              </w:rPr>
              <w:t>1-2万元</w:t>
            </w:r>
          </w:p>
        </w:tc>
      </w:tr>
      <w:tr w14:paraId="46AA3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40A497D3">
            <w:pPr>
              <w:spacing w:line="240" w:lineRule="exact"/>
              <w:jc w:val="left"/>
              <w:rPr>
                <w:rFonts w:ascii="宋体"/>
              </w:rPr>
            </w:pPr>
          </w:p>
        </w:tc>
        <w:tc>
          <w:tcPr>
            <w:tcW w:w="1765" w:type="dxa"/>
            <w:vMerge w:val="continue"/>
            <w:vAlign w:val="center"/>
          </w:tcPr>
          <w:p w14:paraId="6B4D3ABB">
            <w:pPr>
              <w:widowControl/>
              <w:spacing w:line="240" w:lineRule="exact"/>
              <w:jc w:val="left"/>
              <w:rPr>
                <w:rFonts w:ascii="宋体"/>
              </w:rPr>
            </w:pPr>
          </w:p>
        </w:tc>
        <w:tc>
          <w:tcPr>
            <w:tcW w:w="2144" w:type="dxa"/>
            <w:vMerge w:val="continue"/>
            <w:vAlign w:val="center"/>
          </w:tcPr>
          <w:p w14:paraId="233DCE53">
            <w:pPr>
              <w:spacing w:line="240" w:lineRule="exact"/>
              <w:jc w:val="left"/>
              <w:rPr>
                <w:rFonts w:ascii="宋体"/>
              </w:rPr>
            </w:pPr>
          </w:p>
        </w:tc>
        <w:tc>
          <w:tcPr>
            <w:tcW w:w="1531" w:type="dxa"/>
            <w:vMerge w:val="restart"/>
            <w:vAlign w:val="center"/>
          </w:tcPr>
          <w:p w14:paraId="64856092">
            <w:pPr>
              <w:spacing w:line="240" w:lineRule="exact"/>
              <w:jc w:val="center"/>
              <w:rPr>
                <w:rFonts w:ascii="宋体"/>
              </w:rPr>
            </w:pPr>
            <w:r>
              <w:rPr>
                <w:rFonts w:hint="eastAsia" w:ascii="宋体"/>
              </w:rPr>
              <w:t>一般</w:t>
            </w:r>
          </w:p>
        </w:tc>
        <w:tc>
          <w:tcPr>
            <w:tcW w:w="4230" w:type="dxa"/>
            <w:tcBorders>
              <w:top w:val="single" w:color="auto" w:sz="4" w:space="0"/>
              <w:bottom w:val="single" w:color="auto" w:sz="4" w:space="0"/>
            </w:tcBorders>
            <w:vAlign w:val="center"/>
          </w:tcPr>
          <w:p w14:paraId="78E2942F">
            <w:pPr>
              <w:widowControl/>
              <w:spacing w:line="240" w:lineRule="exact"/>
              <w:jc w:val="left"/>
              <w:rPr>
                <w:rFonts w:ascii="宋体"/>
                <w:kern w:val="0"/>
              </w:rPr>
            </w:pPr>
            <w:r>
              <w:rPr>
                <w:rFonts w:hint="eastAsia" w:ascii="宋体"/>
                <w:kern w:val="0"/>
              </w:rPr>
              <w:t>仅1次未编制作业方案、遵守相关操作规程、采取必要的防污染措施从事污染物接收作业的</w:t>
            </w:r>
          </w:p>
        </w:tc>
        <w:tc>
          <w:tcPr>
            <w:tcW w:w="8218" w:type="dxa"/>
            <w:tcBorders>
              <w:right w:val="single" w:color="auto" w:sz="4" w:space="0"/>
            </w:tcBorders>
            <w:vAlign w:val="center"/>
          </w:tcPr>
          <w:p w14:paraId="7DA92687">
            <w:pPr>
              <w:widowControl/>
              <w:spacing w:line="240" w:lineRule="exact"/>
              <w:jc w:val="center"/>
              <w:rPr>
                <w:rFonts w:ascii="宋体"/>
                <w:kern w:val="0"/>
              </w:rPr>
            </w:pPr>
            <w:r>
              <w:rPr>
                <w:rFonts w:hint="eastAsia" w:ascii="宋体"/>
                <w:kern w:val="0"/>
              </w:rPr>
              <w:t>2-3万元</w:t>
            </w:r>
          </w:p>
        </w:tc>
      </w:tr>
      <w:tr w14:paraId="10608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692" w:type="dxa"/>
            <w:vMerge w:val="continue"/>
            <w:vAlign w:val="center"/>
          </w:tcPr>
          <w:p w14:paraId="17D0D183">
            <w:pPr>
              <w:spacing w:line="240" w:lineRule="exact"/>
              <w:jc w:val="left"/>
              <w:rPr>
                <w:rFonts w:ascii="宋体"/>
              </w:rPr>
            </w:pPr>
          </w:p>
        </w:tc>
        <w:tc>
          <w:tcPr>
            <w:tcW w:w="1765" w:type="dxa"/>
            <w:vMerge w:val="continue"/>
            <w:vAlign w:val="center"/>
          </w:tcPr>
          <w:p w14:paraId="28C8978F">
            <w:pPr>
              <w:spacing w:line="240" w:lineRule="exact"/>
              <w:jc w:val="left"/>
              <w:rPr>
                <w:rFonts w:ascii="宋体"/>
              </w:rPr>
            </w:pPr>
          </w:p>
        </w:tc>
        <w:tc>
          <w:tcPr>
            <w:tcW w:w="2144" w:type="dxa"/>
            <w:vMerge w:val="continue"/>
            <w:vAlign w:val="center"/>
          </w:tcPr>
          <w:p w14:paraId="270E3D74">
            <w:pPr>
              <w:spacing w:line="240" w:lineRule="exact"/>
              <w:jc w:val="left"/>
              <w:rPr>
                <w:rFonts w:ascii="宋体"/>
              </w:rPr>
            </w:pPr>
          </w:p>
        </w:tc>
        <w:tc>
          <w:tcPr>
            <w:tcW w:w="1531" w:type="dxa"/>
            <w:vMerge w:val="continue"/>
            <w:vAlign w:val="center"/>
          </w:tcPr>
          <w:p w14:paraId="3E2EEF98">
            <w:pPr>
              <w:spacing w:line="240" w:lineRule="exact"/>
              <w:jc w:val="center"/>
              <w:rPr>
                <w:rFonts w:ascii="宋体"/>
              </w:rPr>
            </w:pPr>
          </w:p>
        </w:tc>
        <w:tc>
          <w:tcPr>
            <w:tcW w:w="4230" w:type="dxa"/>
            <w:tcBorders>
              <w:top w:val="single" w:color="auto" w:sz="4" w:space="0"/>
            </w:tcBorders>
            <w:vAlign w:val="center"/>
          </w:tcPr>
          <w:p w14:paraId="5973A13D">
            <w:pPr>
              <w:widowControl/>
              <w:spacing w:line="240" w:lineRule="exact"/>
              <w:jc w:val="left"/>
              <w:rPr>
                <w:rFonts w:ascii="宋体"/>
                <w:kern w:val="0"/>
              </w:rPr>
            </w:pPr>
            <w:r>
              <w:rPr>
                <w:rFonts w:hint="eastAsia" w:ascii="宋体"/>
                <w:kern w:val="0"/>
              </w:rPr>
              <w:t>2次以上未编制作业方案、遵守相关操作规程、采取必要的防污染措施从事污染物接收作业的</w:t>
            </w:r>
          </w:p>
        </w:tc>
        <w:tc>
          <w:tcPr>
            <w:tcW w:w="8218" w:type="dxa"/>
            <w:vMerge w:val="restart"/>
            <w:tcBorders>
              <w:top w:val="single" w:color="auto" w:sz="4" w:space="0"/>
              <w:right w:val="single" w:color="auto" w:sz="4" w:space="0"/>
            </w:tcBorders>
            <w:vAlign w:val="center"/>
          </w:tcPr>
          <w:p w14:paraId="1E721946">
            <w:pPr>
              <w:widowControl/>
              <w:spacing w:line="240" w:lineRule="exact"/>
              <w:jc w:val="center"/>
              <w:rPr>
                <w:rFonts w:ascii="宋体"/>
                <w:kern w:val="0"/>
              </w:rPr>
            </w:pPr>
            <w:r>
              <w:rPr>
                <w:rFonts w:hint="eastAsia" w:ascii="宋体"/>
                <w:kern w:val="0"/>
              </w:rPr>
              <w:t>3-5万元</w:t>
            </w:r>
          </w:p>
        </w:tc>
      </w:tr>
      <w:tr w14:paraId="0742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692" w:type="dxa"/>
            <w:vMerge w:val="continue"/>
            <w:vAlign w:val="center"/>
          </w:tcPr>
          <w:p w14:paraId="6703935D">
            <w:pPr>
              <w:spacing w:line="240" w:lineRule="exact"/>
              <w:jc w:val="left"/>
              <w:rPr>
                <w:rFonts w:ascii="宋体"/>
              </w:rPr>
            </w:pPr>
          </w:p>
        </w:tc>
        <w:tc>
          <w:tcPr>
            <w:tcW w:w="1765" w:type="dxa"/>
            <w:vMerge w:val="continue"/>
            <w:vAlign w:val="center"/>
          </w:tcPr>
          <w:p w14:paraId="4AD5536A">
            <w:pPr>
              <w:spacing w:line="240" w:lineRule="exact"/>
              <w:jc w:val="left"/>
              <w:rPr>
                <w:rFonts w:ascii="宋体"/>
              </w:rPr>
            </w:pPr>
          </w:p>
        </w:tc>
        <w:tc>
          <w:tcPr>
            <w:tcW w:w="2144" w:type="dxa"/>
            <w:vMerge w:val="continue"/>
            <w:vAlign w:val="center"/>
          </w:tcPr>
          <w:p w14:paraId="553A462C">
            <w:pPr>
              <w:spacing w:line="240" w:lineRule="exact"/>
              <w:jc w:val="left"/>
              <w:rPr>
                <w:rFonts w:ascii="宋体"/>
              </w:rPr>
            </w:pPr>
          </w:p>
        </w:tc>
        <w:tc>
          <w:tcPr>
            <w:tcW w:w="1531" w:type="dxa"/>
            <w:vMerge w:val="continue"/>
            <w:vAlign w:val="center"/>
          </w:tcPr>
          <w:p w14:paraId="7E157210">
            <w:pPr>
              <w:spacing w:line="240" w:lineRule="exact"/>
              <w:jc w:val="left"/>
              <w:rPr>
                <w:rFonts w:ascii="宋体"/>
              </w:rPr>
            </w:pPr>
          </w:p>
        </w:tc>
        <w:tc>
          <w:tcPr>
            <w:tcW w:w="4230" w:type="dxa"/>
            <w:tcBorders>
              <w:top w:val="single" w:color="auto" w:sz="4" w:space="0"/>
            </w:tcBorders>
            <w:vAlign w:val="center"/>
          </w:tcPr>
          <w:p w14:paraId="392CA12D">
            <w:pPr>
              <w:widowControl/>
              <w:spacing w:line="240" w:lineRule="exact"/>
              <w:jc w:val="left"/>
              <w:rPr>
                <w:rFonts w:ascii="宋体"/>
                <w:kern w:val="0"/>
              </w:rPr>
            </w:pPr>
            <w:r>
              <w:rPr>
                <w:rFonts w:hint="eastAsia" w:ascii="宋体"/>
                <w:kern w:val="0"/>
              </w:rPr>
              <w:t>具有其他较重情节的</w:t>
            </w:r>
          </w:p>
        </w:tc>
        <w:tc>
          <w:tcPr>
            <w:tcW w:w="8218" w:type="dxa"/>
            <w:vMerge w:val="continue"/>
            <w:tcBorders>
              <w:right w:val="single" w:color="auto" w:sz="4" w:space="0"/>
            </w:tcBorders>
            <w:vAlign w:val="center"/>
          </w:tcPr>
          <w:p w14:paraId="1FE27995">
            <w:pPr>
              <w:widowControl/>
              <w:spacing w:line="240" w:lineRule="exact"/>
              <w:jc w:val="center"/>
              <w:rPr>
                <w:rFonts w:ascii="宋体"/>
                <w:kern w:val="0"/>
              </w:rPr>
            </w:pPr>
          </w:p>
        </w:tc>
      </w:tr>
      <w:tr w14:paraId="73970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1692" w:type="dxa"/>
            <w:vMerge w:val="continue"/>
            <w:vAlign w:val="center"/>
          </w:tcPr>
          <w:p w14:paraId="56FD2D0C">
            <w:pPr>
              <w:spacing w:line="240" w:lineRule="exact"/>
              <w:jc w:val="left"/>
              <w:rPr>
                <w:rFonts w:ascii="宋体"/>
              </w:rPr>
            </w:pPr>
          </w:p>
        </w:tc>
        <w:tc>
          <w:tcPr>
            <w:tcW w:w="1765" w:type="dxa"/>
            <w:vMerge w:val="continue"/>
            <w:vAlign w:val="center"/>
          </w:tcPr>
          <w:p w14:paraId="21B2429E">
            <w:pPr>
              <w:spacing w:line="240" w:lineRule="exact"/>
              <w:jc w:val="left"/>
              <w:rPr>
                <w:rFonts w:ascii="宋体"/>
              </w:rPr>
            </w:pPr>
          </w:p>
        </w:tc>
        <w:tc>
          <w:tcPr>
            <w:tcW w:w="2144" w:type="dxa"/>
            <w:vMerge w:val="continue"/>
            <w:vAlign w:val="center"/>
          </w:tcPr>
          <w:p w14:paraId="0B4D9D37">
            <w:pPr>
              <w:spacing w:line="240" w:lineRule="exact"/>
              <w:jc w:val="left"/>
              <w:rPr>
                <w:rFonts w:ascii="宋体"/>
              </w:rPr>
            </w:pPr>
          </w:p>
        </w:tc>
        <w:tc>
          <w:tcPr>
            <w:tcW w:w="1531" w:type="dxa"/>
            <w:vMerge w:val="continue"/>
            <w:vAlign w:val="center"/>
          </w:tcPr>
          <w:p w14:paraId="05B5E9C7">
            <w:pPr>
              <w:spacing w:line="240" w:lineRule="exact"/>
              <w:jc w:val="left"/>
              <w:rPr>
                <w:rFonts w:ascii="宋体"/>
              </w:rPr>
            </w:pPr>
          </w:p>
        </w:tc>
        <w:tc>
          <w:tcPr>
            <w:tcW w:w="4230" w:type="dxa"/>
            <w:tcBorders>
              <w:top w:val="single" w:color="auto" w:sz="4" w:space="0"/>
              <w:right w:val="single" w:color="auto" w:sz="4" w:space="0"/>
            </w:tcBorders>
            <w:vAlign w:val="center"/>
          </w:tcPr>
          <w:p w14:paraId="3440678D">
            <w:pPr>
              <w:widowControl/>
              <w:spacing w:line="240" w:lineRule="exact"/>
              <w:jc w:val="left"/>
              <w:rPr>
                <w:rFonts w:ascii="宋体"/>
                <w:kern w:val="0"/>
              </w:rPr>
            </w:pPr>
            <w:r>
              <w:rPr>
                <w:rFonts w:hint="eastAsia" w:ascii="宋体"/>
                <w:kern w:val="0"/>
              </w:rPr>
              <w:t>造成海洋环境污染的</w:t>
            </w:r>
          </w:p>
        </w:tc>
        <w:tc>
          <w:tcPr>
            <w:tcW w:w="8218" w:type="dxa"/>
            <w:tcBorders>
              <w:top w:val="single" w:color="auto" w:sz="4" w:space="0"/>
              <w:left w:val="single" w:color="auto" w:sz="4" w:space="0"/>
              <w:right w:val="single" w:color="auto" w:sz="4" w:space="0"/>
            </w:tcBorders>
            <w:vAlign w:val="center"/>
          </w:tcPr>
          <w:p w14:paraId="4B1165A5">
            <w:pPr>
              <w:widowControl/>
              <w:spacing w:line="240" w:lineRule="exact"/>
              <w:jc w:val="left"/>
              <w:rPr>
                <w:rFonts w:ascii="宋体"/>
                <w:kern w:val="0"/>
              </w:rPr>
            </w:pPr>
            <w:r>
              <w:rPr>
                <w:rFonts w:hint="eastAsia" w:ascii="宋体"/>
                <w:kern w:val="0"/>
              </w:rPr>
              <w:t>在5万元的基数上加上“污染造成的直接经济损失的30%”，最高不超过25万元。</w:t>
            </w:r>
          </w:p>
        </w:tc>
      </w:tr>
    </w:tbl>
    <w:p w14:paraId="09DA2CBE">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468"/>
        <w:gridCol w:w="2847"/>
        <w:gridCol w:w="1140"/>
        <w:gridCol w:w="3876"/>
        <w:gridCol w:w="7655"/>
      </w:tblGrid>
      <w:tr w14:paraId="5BF7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14:paraId="4F1FCA41">
            <w:pPr>
              <w:spacing w:line="240" w:lineRule="exact"/>
              <w:jc w:val="center"/>
              <w:rPr>
                <w:rFonts w:ascii="宋体"/>
                <w:b/>
              </w:rPr>
            </w:pPr>
            <w:r>
              <w:rPr>
                <w:rFonts w:hint="eastAsia" w:ascii="宋体"/>
                <w:b/>
              </w:rPr>
              <w:t>案由79</w:t>
            </w:r>
          </w:p>
        </w:tc>
        <w:tc>
          <w:tcPr>
            <w:tcW w:w="4315" w:type="dxa"/>
            <w:gridSpan w:val="2"/>
            <w:vAlign w:val="center"/>
          </w:tcPr>
          <w:p w14:paraId="484B5F17">
            <w:pPr>
              <w:spacing w:line="240" w:lineRule="exact"/>
              <w:jc w:val="center"/>
              <w:rPr>
                <w:rFonts w:ascii="宋体"/>
                <w:b/>
              </w:rPr>
            </w:pPr>
            <w:r>
              <w:rPr>
                <w:rFonts w:hint="eastAsia" w:ascii="宋体"/>
                <w:b/>
              </w:rPr>
              <w:t>法律依据</w:t>
            </w:r>
          </w:p>
        </w:tc>
        <w:tc>
          <w:tcPr>
            <w:tcW w:w="1140" w:type="dxa"/>
            <w:vMerge w:val="restart"/>
            <w:vAlign w:val="center"/>
          </w:tcPr>
          <w:p w14:paraId="54C9C2A9">
            <w:pPr>
              <w:spacing w:line="240" w:lineRule="exact"/>
              <w:jc w:val="center"/>
              <w:rPr>
                <w:rFonts w:ascii="宋体"/>
                <w:b/>
              </w:rPr>
            </w:pPr>
            <w:r>
              <w:rPr>
                <w:rFonts w:hint="eastAsia" w:ascii="宋体"/>
                <w:b/>
              </w:rPr>
              <w:t>违法情节</w:t>
            </w:r>
          </w:p>
        </w:tc>
        <w:tc>
          <w:tcPr>
            <w:tcW w:w="3876" w:type="dxa"/>
            <w:vMerge w:val="restart"/>
            <w:vAlign w:val="center"/>
          </w:tcPr>
          <w:p w14:paraId="2C0237B4">
            <w:pPr>
              <w:spacing w:line="240" w:lineRule="exact"/>
              <w:jc w:val="center"/>
              <w:rPr>
                <w:rFonts w:ascii="宋体"/>
                <w:b/>
              </w:rPr>
            </w:pPr>
            <w:r>
              <w:rPr>
                <w:rFonts w:hint="eastAsia" w:ascii="宋体"/>
                <w:b/>
              </w:rPr>
              <w:t>主要考虑因素（事实、性质、情节、危害程度和实际后果等）</w:t>
            </w:r>
          </w:p>
        </w:tc>
        <w:tc>
          <w:tcPr>
            <w:tcW w:w="7655" w:type="dxa"/>
            <w:tcBorders>
              <w:right w:val="single" w:color="auto" w:sz="4" w:space="0"/>
            </w:tcBorders>
            <w:vAlign w:val="center"/>
          </w:tcPr>
          <w:p w14:paraId="4B9167B0">
            <w:pPr>
              <w:spacing w:line="240" w:lineRule="exact"/>
              <w:jc w:val="left"/>
              <w:rPr>
                <w:rFonts w:ascii="宋体"/>
                <w:b/>
              </w:rPr>
            </w:pPr>
            <w:r>
              <w:rPr>
                <w:rFonts w:hint="eastAsia" w:ascii="宋体"/>
                <w:b/>
              </w:rPr>
              <w:t>【法定幅度和种类】</w:t>
            </w:r>
            <w:r>
              <w:rPr>
                <w:rFonts w:hint="eastAsia" w:ascii="宋体"/>
                <w:bCs/>
              </w:rPr>
              <w:t>处2000元以上1万元以下的罚款。</w:t>
            </w:r>
          </w:p>
        </w:tc>
      </w:tr>
      <w:tr w14:paraId="45845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141B0FF3">
            <w:pPr>
              <w:spacing w:line="240" w:lineRule="exact"/>
              <w:jc w:val="center"/>
              <w:rPr>
                <w:rFonts w:ascii="宋体"/>
                <w:b/>
              </w:rPr>
            </w:pPr>
          </w:p>
        </w:tc>
        <w:tc>
          <w:tcPr>
            <w:tcW w:w="1468" w:type="dxa"/>
            <w:vAlign w:val="center"/>
          </w:tcPr>
          <w:p w14:paraId="7DC28C9C">
            <w:pPr>
              <w:spacing w:line="240" w:lineRule="exact"/>
              <w:jc w:val="center"/>
              <w:rPr>
                <w:rFonts w:ascii="宋体"/>
                <w:b/>
              </w:rPr>
            </w:pPr>
            <w:r>
              <w:rPr>
                <w:rFonts w:hint="eastAsia" w:ascii="宋体"/>
                <w:b/>
              </w:rPr>
              <w:t>违反条款</w:t>
            </w:r>
          </w:p>
        </w:tc>
        <w:tc>
          <w:tcPr>
            <w:tcW w:w="2847" w:type="dxa"/>
            <w:vAlign w:val="center"/>
          </w:tcPr>
          <w:p w14:paraId="58F3ED15">
            <w:pPr>
              <w:spacing w:line="240" w:lineRule="exact"/>
              <w:jc w:val="center"/>
              <w:rPr>
                <w:rFonts w:ascii="宋体"/>
                <w:b/>
              </w:rPr>
            </w:pPr>
            <w:r>
              <w:rPr>
                <w:rFonts w:hint="eastAsia" w:ascii="宋体"/>
                <w:b/>
              </w:rPr>
              <w:t>处罚依据</w:t>
            </w:r>
          </w:p>
        </w:tc>
        <w:tc>
          <w:tcPr>
            <w:tcW w:w="1140" w:type="dxa"/>
            <w:vMerge w:val="continue"/>
            <w:vAlign w:val="center"/>
          </w:tcPr>
          <w:p w14:paraId="32166596">
            <w:pPr>
              <w:spacing w:line="240" w:lineRule="exact"/>
              <w:jc w:val="center"/>
              <w:rPr>
                <w:rFonts w:ascii="宋体"/>
                <w:b/>
              </w:rPr>
            </w:pPr>
          </w:p>
        </w:tc>
        <w:tc>
          <w:tcPr>
            <w:tcW w:w="3876" w:type="dxa"/>
            <w:vMerge w:val="continue"/>
            <w:vAlign w:val="center"/>
          </w:tcPr>
          <w:p w14:paraId="5F70B383">
            <w:pPr>
              <w:spacing w:line="240" w:lineRule="exact"/>
              <w:jc w:val="center"/>
              <w:rPr>
                <w:rFonts w:ascii="宋体"/>
                <w:b/>
              </w:rPr>
            </w:pPr>
          </w:p>
        </w:tc>
        <w:tc>
          <w:tcPr>
            <w:tcW w:w="7655" w:type="dxa"/>
            <w:tcBorders>
              <w:top w:val="single" w:color="auto" w:sz="4" w:space="0"/>
              <w:bottom w:val="single" w:color="auto" w:sz="4" w:space="0"/>
              <w:right w:val="single" w:color="auto" w:sz="4" w:space="0"/>
            </w:tcBorders>
            <w:vAlign w:val="center"/>
          </w:tcPr>
          <w:p w14:paraId="7F7330BE">
            <w:pPr>
              <w:spacing w:line="240" w:lineRule="exact"/>
              <w:jc w:val="center"/>
              <w:rPr>
                <w:rFonts w:ascii="宋体"/>
                <w:b/>
              </w:rPr>
            </w:pPr>
            <w:r>
              <w:rPr>
                <w:rFonts w:hint="eastAsia" w:ascii="宋体"/>
                <w:b/>
              </w:rPr>
              <w:t>【对象】船舶所有人或经营人</w:t>
            </w:r>
          </w:p>
        </w:tc>
      </w:tr>
      <w:tr w14:paraId="7253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4" w:hRule="atLeast"/>
        </w:trPr>
        <w:tc>
          <w:tcPr>
            <w:tcW w:w="1692" w:type="dxa"/>
            <w:vMerge w:val="restart"/>
            <w:vAlign w:val="center"/>
          </w:tcPr>
          <w:p w14:paraId="69603446">
            <w:pPr>
              <w:spacing w:line="240" w:lineRule="exact"/>
              <w:jc w:val="left"/>
              <w:rPr>
                <w:rFonts w:ascii="宋体"/>
              </w:rPr>
            </w:pPr>
            <w:r>
              <w:rPr>
                <w:rFonts w:hint="eastAsia" w:ascii="宋体"/>
              </w:rPr>
              <w:t>船舶未按照规定保存污染物接收单证</w:t>
            </w:r>
          </w:p>
        </w:tc>
        <w:tc>
          <w:tcPr>
            <w:tcW w:w="1468" w:type="dxa"/>
            <w:vMerge w:val="restart"/>
            <w:vAlign w:val="center"/>
          </w:tcPr>
          <w:p w14:paraId="20B620CC">
            <w:pPr>
              <w:widowControl/>
              <w:spacing w:line="240" w:lineRule="exact"/>
              <w:jc w:val="left"/>
              <w:rPr>
                <w:rFonts w:ascii="宋体"/>
                <w:kern w:val="0"/>
              </w:rPr>
            </w:pPr>
            <w:r>
              <w:rPr>
                <w:rFonts w:hint="eastAsia" w:ascii="宋体"/>
                <w:kern w:val="0"/>
              </w:rPr>
              <w:t>1.《防治船舶污染海洋环境管理条例》第十八条。</w:t>
            </w:r>
          </w:p>
        </w:tc>
        <w:tc>
          <w:tcPr>
            <w:tcW w:w="2847" w:type="dxa"/>
            <w:vMerge w:val="restart"/>
            <w:vAlign w:val="center"/>
          </w:tcPr>
          <w:p w14:paraId="75D8B5B0">
            <w:pPr>
              <w:widowControl/>
              <w:spacing w:line="240" w:lineRule="exact"/>
              <w:jc w:val="left"/>
              <w:rPr>
                <w:rFonts w:ascii="宋体"/>
                <w:kern w:val="0"/>
              </w:rPr>
            </w:pPr>
            <w:r>
              <w:rPr>
                <w:rFonts w:hint="eastAsia" w:ascii="宋体"/>
                <w:kern w:val="0"/>
              </w:rPr>
              <w:t>1. 《防治船舶污染海洋环境管理条例》第六十二条第（一）项；</w:t>
            </w:r>
          </w:p>
          <w:p w14:paraId="5A436D2F">
            <w:pPr>
              <w:spacing w:line="240" w:lineRule="exact"/>
              <w:jc w:val="left"/>
              <w:rPr>
                <w:rFonts w:ascii="宋体"/>
              </w:rPr>
            </w:pPr>
            <w:r>
              <w:rPr>
                <w:rFonts w:hint="eastAsia" w:ascii="宋体"/>
                <w:kern w:val="0"/>
              </w:rPr>
              <w:t>2. 《中华人民共和国海上海事行政处罚规定》第七条</w:t>
            </w:r>
          </w:p>
        </w:tc>
        <w:tc>
          <w:tcPr>
            <w:tcW w:w="1140" w:type="dxa"/>
            <w:vAlign w:val="center"/>
          </w:tcPr>
          <w:p w14:paraId="162618CF">
            <w:pPr>
              <w:spacing w:line="240" w:lineRule="exact"/>
              <w:jc w:val="center"/>
              <w:rPr>
                <w:rFonts w:ascii="宋体"/>
              </w:rPr>
            </w:pPr>
            <w:r>
              <w:rPr>
                <w:rFonts w:hint="eastAsia" w:ascii="宋体"/>
              </w:rPr>
              <w:t>从轻</w:t>
            </w:r>
          </w:p>
        </w:tc>
        <w:tc>
          <w:tcPr>
            <w:tcW w:w="3876" w:type="dxa"/>
            <w:vAlign w:val="center"/>
          </w:tcPr>
          <w:p w14:paraId="308D31C1">
            <w:pPr>
              <w:spacing w:line="240" w:lineRule="exact"/>
              <w:rPr>
                <w:rFonts w:ascii="宋体"/>
              </w:rPr>
            </w:pPr>
            <w:r>
              <w:rPr>
                <w:rFonts w:hint="eastAsia" w:ascii="宋体"/>
              </w:rPr>
              <w:t>具有法定从轻处罚情节的。</w:t>
            </w:r>
          </w:p>
        </w:tc>
        <w:tc>
          <w:tcPr>
            <w:tcW w:w="7655" w:type="dxa"/>
            <w:tcBorders>
              <w:bottom w:val="single" w:color="auto" w:sz="4" w:space="0"/>
              <w:right w:val="single" w:color="auto" w:sz="4" w:space="0"/>
            </w:tcBorders>
            <w:vAlign w:val="center"/>
          </w:tcPr>
          <w:p w14:paraId="073DB421">
            <w:pPr>
              <w:widowControl/>
              <w:spacing w:line="240" w:lineRule="exact"/>
              <w:jc w:val="center"/>
              <w:rPr>
                <w:rFonts w:ascii="宋体"/>
                <w:kern w:val="0"/>
              </w:rPr>
            </w:pPr>
            <w:r>
              <w:rPr>
                <w:rFonts w:hint="eastAsia" w:ascii="宋体"/>
                <w:kern w:val="0"/>
              </w:rPr>
              <w:t>2000-3000元</w:t>
            </w:r>
          </w:p>
        </w:tc>
      </w:tr>
      <w:tr w14:paraId="65E03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591CE713">
            <w:pPr>
              <w:spacing w:line="240" w:lineRule="exact"/>
              <w:jc w:val="left"/>
              <w:rPr>
                <w:rFonts w:ascii="宋体"/>
              </w:rPr>
            </w:pPr>
          </w:p>
        </w:tc>
        <w:tc>
          <w:tcPr>
            <w:tcW w:w="1468" w:type="dxa"/>
            <w:vMerge w:val="continue"/>
            <w:vAlign w:val="center"/>
          </w:tcPr>
          <w:p w14:paraId="0955A5BF">
            <w:pPr>
              <w:widowControl/>
              <w:spacing w:line="240" w:lineRule="exact"/>
              <w:jc w:val="left"/>
              <w:rPr>
                <w:rFonts w:ascii="宋体"/>
              </w:rPr>
            </w:pPr>
          </w:p>
        </w:tc>
        <w:tc>
          <w:tcPr>
            <w:tcW w:w="2847" w:type="dxa"/>
            <w:vMerge w:val="continue"/>
            <w:vAlign w:val="center"/>
          </w:tcPr>
          <w:p w14:paraId="72EAD3C4">
            <w:pPr>
              <w:spacing w:line="240" w:lineRule="exact"/>
              <w:jc w:val="left"/>
              <w:rPr>
                <w:rFonts w:ascii="宋体"/>
              </w:rPr>
            </w:pPr>
          </w:p>
        </w:tc>
        <w:tc>
          <w:tcPr>
            <w:tcW w:w="1140" w:type="dxa"/>
            <w:vMerge w:val="restart"/>
            <w:vAlign w:val="center"/>
          </w:tcPr>
          <w:p w14:paraId="199CF544">
            <w:pPr>
              <w:spacing w:line="240" w:lineRule="exact"/>
              <w:jc w:val="center"/>
              <w:rPr>
                <w:rFonts w:ascii="宋体"/>
              </w:rPr>
            </w:pPr>
            <w:r>
              <w:rPr>
                <w:rFonts w:hint="eastAsia" w:ascii="宋体"/>
              </w:rPr>
              <w:t>一般</w:t>
            </w:r>
          </w:p>
        </w:tc>
        <w:tc>
          <w:tcPr>
            <w:tcW w:w="3876" w:type="dxa"/>
            <w:tcBorders>
              <w:top w:val="single" w:color="auto" w:sz="4" w:space="0"/>
              <w:bottom w:val="single" w:color="auto" w:sz="4" w:space="0"/>
            </w:tcBorders>
            <w:vAlign w:val="center"/>
          </w:tcPr>
          <w:p w14:paraId="27CDD4DB">
            <w:pPr>
              <w:widowControl/>
              <w:spacing w:line="240" w:lineRule="exact"/>
              <w:jc w:val="left"/>
              <w:rPr>
                <w:rFonts w:ascii="宋体"/>
                <w:kern w:val="0"/>
              </w:rPr>
            </w:pPr>
            <w:r>
              <w:rPr>
                <w:rFonts w:hint="eastAsia" w:ascii="宋体"/>
                <w:kern w:val="0"/>
              </w:rPr>
              <w:t>1.仅1份污染物接收单证未保存的，但有证据表明将污染物交由接收单位进行接收的；</w:t>
            </w:r>
          </w:p>
        </w:tc>
        <w:tc>
          <w:tcPr>
            <w:tcW w:w="7655" w:type="dxa"/>
            <w:tcBorders>
              <w:right w:val="single" w:color="auto" w:sz="4" w:space="0"/>
            </w:tcBorders>
            <w:vAlign w:val="center"/>
          </w:tcPr>
          <w:p w14:paraId="061EF391">
            <w:pPr>
              <w:widowControl/>
              <w:spacing w:line="240" w:lineRule="exact"/>
              <w:jc w:val="center"/>
              <w:rPr>
                <w:rFonts w:ascii="宋体"/>
                <w:kern w:val="0"/>
              </w:rPr>
            </w:pPr>
            <w:r>
              <w:rPr>
                <w:rFonts w:hint="eastAsia" w:ascii="宋体"/>
                <w:kern w:val="0"/>
              </w:rPr>
              <w:t>3000-4000元</w:t>
            </w:r>
          </w:p>
        </w:tc>
      </w:tr>
      <w:tr w14:paraId="0863C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trPr>
        <w:tc>
          <w:tcPr>
            <w:tcW w:w="1692" w:type="dxa"/>
            <w:vMerge w:val="continue"/>
            <w:vAlign w:val="center"/>
          </w:tcPr>
          <w:p w14:paraId="100588CA">
            <w:pPr>
              <w:spacing w:line="240" w:lineRule="exact"/>
              <w:jc w:val="left"/>
              <w:rPr>
                <w:rFonts w:ascii="宋体"/>
              </w:rPr>
            </w:pPr>
          </w:p>
        </w:tc>
        <w:tc>
          <w:tcPr>
            <w:tcW w:w="1468" w:type="dxa"/>
            <w:vMerge w:val="continue"/>
            <w:vAlign w:val="center"/>
          </w:tcPr>
          <w:p w14:paraId="27AA415F">
            <w:pPr>
              <w:spacing w:line="240" w:lineRule="exact"/>
              <w:jc w:val="left"/>
              <w:rPr>
                <w:rFonts w:ascii="宋体"/>
              </w:rPr>
            </w:pPr>
          </w:p>
        </w:tc>
        <w:tc>
          <w:tcPr>
            <w:tcW w:w="2847" w:type="dxa"/>
            <w:vMerge w:val="continue"/>
            <w:vAlign w:val="center"/>
          </w:tcPr>
          <w:p w14:paraId="0FB2449A">
            <w:pPr>
              <w:spacing w:line="240" w:lineRule="exact"/>
              <w:jc w:val="left"/>
              <w:rPr>
                <w:rFonts w:ascii="宋体"/>
              </w:rPr>
            </w:pPr>
          </w:p>
        </w:tc>
        <w:tc>
          <w:tcPr>
            <w:tcW w:w="1140" w:type="dxa"/>
            <w:vMerge w:val="continue"/>
            <w:vAlign w:val="center"/>
          </w:tcPr>
          <w:p w14:paraId="426586C1">
            <w:pPr>
              <w:spacing w:line="240" w:lineRule="exact"/>
              <w:jc w:val="center"/>
              <w:rPr>
                <w:rFonts w:ascii="宋体"/>
              </w:rPr>
            </w:pPr>
          </w:p>
        </w:tc>
        <w:tc>
          <w:tcPr>
            <w:tcW w:w="3876" w:type="dxa"/>
            <w:tcBorders>
              <w:top w:val="single" w:color="auto" w:sz="4" w:space="0"/>
              <w:right w:val="single" w:color="auto" w:sz="4" w:space="0"/>
            </w:tcBorders>
            <w:vAlign w:val="center"/>
          </w:tcPr>
          <w:p w14:paraId="3E2C8D73">
            <w:pPr>
              <w:widowControl/>
              <w:spacing w:line="240" w:lineRule="exact"/>
              <w:jc w:val="left"/>
              <w:rPr>
                <w:rFonts w:ascii="宋体"/>
                <w:kern w:val="0"/>
              </w:rPr>
            </w:pPr>
            <w:r>
              <w:rPr>
                <w:rFonts w:hint="eastAsia" w:ascii="宋体"/>
                <w:kern w:val="0"/>
              </w:rPr>
              <w:t>2.多份污染物接收单证未保存的，但有证据表明将污染物交由接收单位进行接收的；</w:t>
            </w:r>
          </w:p>
        </w:tc>
        <w:tc>
          <w:tcPr>
            <w:tcW w:w="7655" w:type="dxa"/>
            <w:tcBorders>
              <w:top w:val="single" w:color="auto" w:sz="4" w:space="0"/>
              <w:right w:val="single" w:color="auto" w:sz="4" w:space="0"/>
            </w:tcBorders>
            <w:vAlign w:val="center"/>
          </w:tcPr>
          <w:p w14:paraId="76639D24">
            <w:pPr>
              <w:widowControl/>
              <w:spacing w:line="240" w:lineRule="exact"/>
              <w:jc w:val="center"/>
              <w:rPr>
                <w:rFonts w:ascii="宋体"/>
                <w:kern w:val="0"/>
              </w:rPr>
            </w:pPr>
            <w:r>
              <w:rPr>
                <w:rFonts w:hint="eastAsia" w:ascii="宋体"/>
                <w:kern w:val="0"/>
              </w:rPr>
              <w:t>4000-5000元</w:t>
            </w:r>
          </w:p>
        </w:tc>
      </w:tr>
      <w:tr w14:paraId="69CCB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1692" w:type="dxa"/>
            <w:vMerge w:val="continue"/>
            <w:vAlign w:val="center"/>
          </w:tcPr>
          <w:p w14:paraId="5C4A1ACF">
            <w:pPr>
              <w:spacing w:line="240" w:lineRule="exact"/>
              <w:jc w:val="left"/>
              <w:rPr>
                <w:rFonts w:ascii="宋体"/>
              </w:rPr>
            </w:pPr>
          </w:p>
        </w:tc>
        <w:tc>
          <w:tcPr>
            <w:tcW w:w="1468" w:type="dxa"/>
            <w:vMerge w:val="continue"/>
            <w:vAlign w:val="center"/>
          </w:tcPr>
          <w:p w14:paraId="27C9A972">
            <w:pPr>
              <w:spacing w:line="240" w:lineRule="exact"/>
              <w:jc w:val="left"/>
              <w:rPr>
                <w:rFonts w:ascii="宋体"/>
              </w:rPr>
            </w:pPr>
          </w:p>
        </w:tc>
        <w:tc>
          <w:tcPr>
            <w:tcW w:w="2847" w:type="dxa"/>
            <w:vMerge w:val="continue"/>
            <w:vAlign w:val="center"/>
          </w:tcPr>
          <w:p w14:paraId="092CD2E0">
            <w:pPr>
              <w:spacing w:line="240" w:lineRule="exact"/>
              <w:jc w:val="left"/>
              <w:rPr>
                <w:rFonts w:ascii="宋体"/>
              </w:rPr>
            </w:pPr>
          </w:p>
        </w:tc>
        <w:tc>
          <w:tcPr>
            <w:tcW w:w="1140" w:type="dxa"/>
            <w:vMerge w:val="continue"/>
            <w:vAlign w:val="center"/>
          </w:tcPr>
          <w:p w14:paraId="09F940DF">
            <w:pPr>
              <w:spacing w:line="240" w:lineRule="exact"/>
              <w:jc w:val="center"/>
              <w:rPr>
                <w:rFonts w:ascii="宋体"/>
              </w:rPr>
            </w:pPr>
          </w:p>
        </w:tc>
        <w:tc>
          <w:tcPr>
            <w:tcW w:w="3876" w:type="dxa"/>
            <w:tcBorders>
              <w:top w:val="single" w:color="auto" w:sz="4" w:space="0"/>
              <w:left w:val="single" w:color="auto" w:sz="4" w:space="0"/>
              <w:bottom w:val="single" w:color="auto" w:sz="4" w:space="0"/>
              <w:right w:val="single" w:color="auto" w:sz="4" w:space="0"/>
            </w:tcBorders>
            <w:vAlign w:val="center"/>
          </w:tcPr>
          <w:p w14:paraId="10A0899A">
            <w:pPr>
              <w:widowControl/>
              <w:spacing w:line="240" w:lineRule="exact"/>
              <w:jc w:val="left"/>
              <w:rPr>
                <w:rFonts w:ascii="宋体"/>
                <w:kern w:val="0"/>
              </w:rPr>
            </w:pPr>
            <w:r>
              <w:rPr>
                <w:rFonts w:hint="eastAsia" w:ascii="宋体"/>
                <w:kern w:val="0"/>
              </w:rPr>
              <w:t>3.未按规定保存污染物接收单证，且无证据表明将污染物交由接收单位进行接收的。</w:t>
            </w:r>
          </w:p>
        </w:tc>
        <w:tc>
          <w:tcPr>
            <w:tcW w:w="7655" w:type="dxa"/>
            <w:tcBorders>
              <w:top w:val="single" w:color="auto" w:sz="4" w:space="0"/>
              <w:left w:val="single" w:color="auto" w:sz="4" w:space="0"/>
              <w:bottom w:val="single" w:color="auto" w:sz="4" w:space="0"/>
              <w:right w:val="single" w:color="auto" w:sz="4" w:space="0"/>
            </w:tcBorders>
            <w:vAlign w:val="center"/>
          </w:tcPr>
          <w:p w14:paraId="7A76696D">
            <w:pPr>
              <w:widowControl/>
              <w:spacing w:line="240" w:lineRule="exact"/>
              <w:jc w:val="center"/>
              <w:rPr>
                <w:rFonts w:ascii="宋体"/>
                <w:kern w:val="0"/>
              </w:rPr>
            </w:pPr>
            <w:r>
              <w:rPr>
                <w:rFonts w:hint="eastAsia" w:ascii="宋体"/>
                <w:kern w:val="0"/>
              </w:rPr>
              <w:t>5000-6000元</w:t>
            </w:r>
          </w:p>
        </w:tc>
      </w:tr>
      <w:tr w14:paraId="73DB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692" w:type="dxa"/>
            <w:vMerge w:val="continue"/>
            <w:vAlign w:val="center"/>
          </w:tcPr>
          <w:p w14:paraId="44F7D772">
            <w:pPr>
              <w:spacing w:line="240" w:lineRule="exact"/>
              <w:jc w:val="left"/>
              <w:rPr>
                <w:rFonts w:ascii="宋体"/>
              </w:rPr>
            </w:pPr>
          </w:p>
        </w:tc>
        <w:tc>
          <w:tcPr>
            <w:tcW w:w="1468" w:type="dxa"/>
            <w:vMerge w:val="continue"/>
            <w:vAlign w:val="center"/>
          </w:tcPr>
          <w:p w14:paraId="5800B6D9">
            <w:pPr>
              <w:spacing w:line="240" w:lineRule="exact"/>
              <w:jc w:val="left"/>
              <w:rPr>
                <w:rFonts w:ascii="宋体"/>
              </w:rPr>
            </w:pPr>
          </w:p>
        </w:tc>
        <w:tc>
          <w:tcPr>
            <w:tcW w:w="2847" w:type="dxa"/>
            <w:vMerge w:val="continue"/>
            <w:vAlign w:val="center"/>
          </w:tcPr>
          <w:p w14:paraId="435C3B93">
            <w:pPr>
              <w:spacing w:line="240" w:lineRule="exact"/>
              <w:jc w:val="left"/>
              <w:rPr>
                <w:rFonts w:ascii="宋体"/>
              </w:rPr>
            </w:pPr>
          </w:p>
        </w:tc>
        <w:tc>
          <w:tcPr>
            <w:tcW w:w="1140" w:type="dxa"/>
            <w:vMerge w:val="continue"/>
            <w:vAlign w:val="center"/>
          </w:tcPr>
          <w:p w14:paraId="5AA5ECF4">
            <w:pPr>
              <w:spacing w:line="240" w:lineRule="exact"/>
              <w:jc w:val="center"/>
              <w:rPr>
                <w:rFonts w:ascii="宋体"/>
              </w:rPr>
            </w:pPr>
          </w:p>
        </w:tc>
        <w:tc>
          <w:tcPr>
            <w:tcW w:w="3876" w:type="dxa"/>
            <w:tcBorders>
              <w:top w:val="single" w:color="auto" w:sz="4" w:space="0"/>
              <w:bottom w:val="single" w:color="auto" w:sz="4" w:space="0"/>
              <w:right w:val="single" w:color="auto" w:sz="4" w:space="0"/>
            </w:tcBorders>
            <w:vAlign w:val="center"/>
          </w:tcPr>
          <w:p w14:paraId="63E9CB23">
            <w:pPr>
              <w:widowControl/>
              <w:spacing w:line="240" w:lineRule="exact"/>
              <w:jc w:val="left"/>
              <w:rPr>
                <w:rFonts w:ascii="宋体"/>
                <w:kern w:val="0"/>
              </w:rPr>
            </w:pPr>
            <w:r>
              <w:rPr>
                <w:rFonts w:hint="eastAsia" w:ascii="宋体"/>
                <w:kern w:val="0"/>
              </w:rPr>
              <w:t>具有其他较重情节的</w:t>
            </w:r>
          </w:p>
        </w:tc>
        <w:tc>
          <w:tcPr>
            <w:tcW w:w="7655" w:type="dxa"/>
            <w:tcBorders>
              <w:top w:val="single" w:color="auto" w:sz="4" w:space="0"/>
              <w:left w:val="single" w:color="auto" w:sz="4" w:space="0"/>
              <w:bottom w:val="single" w:color="auto" w:sz="4" w:space="0"/>
              <w:right w:val="single" w:color="auto" w:sz="4" w:space="0"/>
            </w:tcBorders>
            <w:vAlign w:val="center"/>
          </w:tcPr>
          <w:p w14:paraId="1804B3CC">
            <w:pPr>
              <w:widowControl/>
              <w:spacing w:line="240" w:lineRule="exact"/>
              <w:jc w:val="center"/>
              <w:rPr>
                <w:rFonts w:ascii="宋体"/>
                <w:kern w:val="0"/>
              </w:rPr>
            </w:pPr>
            <w:r>
              <w:rPr>
                <w:rFonts w:hint="eastAsia" w:ascii="宋体"/>
                <w:kern w:val="0"/>
              </w:rPr>
              <w:t>6000元-1万元</w:t>
            </w:r>
          </w:p>
        </w:tc>
      </w:tr>
    </w:tbl>
    <w:p w14:paraId="0FF051FD">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975"/>
        <w:gridCol w:w="2445"/>
        <w:gridCol w:w="1515"/>
        <w:gridCol w:w="5806"/>
        <w:gridCol w:w="5386"/>
      </w:tblGrid>
      <w:tr w14:paraId="336C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14:paraId="218FB0CA">
            <w:pPr>
              <w:spacing w:line="240" w:lineRule="exact"/>
              <w:jc w:val="center"/>
              <w:rPr>
                <w:rFonts w:ascii="宋体"/>
                <w:b/>
              </w:rPr>
            </w:pPr>
            <w:r>
              <w:rPr>
                <w:rFonts w:hint="eastAsia" w:ascii="宋体"/>
                <w:b/>
              </w:rPr>
              <w:t>案由80</w:t>
            </w:r>
          </w:p>
        </w:tc>
        <w:tc>
          <w:tcPr>
            <w:tcW w:w="4420" w:type="dxa"/>
            <w:gridSpan w:val="2"/>
            <w:vAlign w:val="center"/>
          </w:tcPr>
          <w:p w14:paraId="5D457680">
            <w:pPr>
              <w:spacing w:line="240" w:lineRule="exact"/>
              <w:jc w:val="center"/>
              <w:rPr>
                <w:rFonts w:ascii="宋体"/>
                <w:b/>
              </w:rPr>
            </w:pPr>
            <w:r>
              <w:rPr>
                <w:rFonts w:hint="eastAsia" w:ascii="宋体"/>
                <w:b/>
              </w:rPr>
              <w:t>法律依据</w:t>
            </w:r>
          </w:p>
        </w:tc>
        <w:tc>
          <w:tcPr>
            <w:tcW w:w="1515" w:type="dxa"/>
            <w:vMerge w:val="restart"/>
            <w:vAlign w:val="center"/>
          </w:tcPr>
          <w:p w14:paraId="3372B831">
            <w:pPr>
              <w:spacing w:line="240" w:lineRule="exact"/>
              <w:jc w:val="center"/>
              <w:rPr>
                <w:rFonts w:ascii="宋体"/>
                <w:b/>
              </w:rPr>
            </w:pPr>
            <w:r>
              <w:rPr>
                <w:rFonts w:hint="eastAsia" w:ascii="宋体"/>
                <w:b/>
              </w:rPr>
              <w:t>违法情节</w:t>
            </w:r>
          </w:p>
        </w:tc>
        <w:tc>
          <w:tcPr>
            <w:tcW w:w="5806" w:type="dxa"/>
            <w:vMerge w:val="restart"/>
            <w:vAlign w:val="center"/>
          </w:tcPr>
          <w:p w14:paraId="3203A9E2">
            <w:pPr>
              <w:spacing w:line="240" w:lineRule="exact"/>
              <w:jc w:val="center"/>
              <w:rPr>
                <w:rFonts w:ascii="宋体"/>
                <w:b/>
              </w:rPr>
            </w:pPr>
            <w:r>
              <w:rPr>
                <w:rFonts w:hint="eastAsia" w:ascii="宋体"/>
                <w:b/>
              </w:rPr>
              <w:t>主要考虑因素（事实、性质、情节、危害程度和实际后果等）</w:t>
            </w:r>
          </w:p>
        </w:tc>
        <w:tc>
          <w:tcPr>
            <w:tcW w:w="5386" w:type="dxa"/>
            <w:tcBorders>
              <w:right w:val="single" w:color="auto" w:sz="4" w:space="0"/>
            </w:tcBorders>
            <w:vAlign w:val="center"/>
          </w:tcPr>
          <w:p w14:paraId="20CA77E3">
            <w:pPr>
              <w:spacing w:line="240" w:lineRule="exact"/>
              <w:jc w:val="left"/>
              <w:rPr>
                <w:rFonts w:ascii="宋体"/>
                <w:b/>
              </w:rPr>
            </w:pPr>
            <w:r>
              <w:rPr>
                <w:rFonts w:hint="eastAsia" w:ascii="宋体"/>
                <w:b/>
              </w:rPr>
              <w:t>【法定幅度和种类】</w:t>
            </w:r>
            <w:r>
              <w:rPr>
                <w:rFonts w:hint="eastAsia" w:ascii="宋体"/>
                <w:bCs/>
              </w:rPr>
              <w:t>2万元以下的罚款。</w:t>
            </w:r>
          </w:p>
        </w:tc>
      </w:tr>
      <w:tr w14:paraId="53D0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77C795FB">
            <w:pPr>
              <w:spacing w:line="240" w:lineRule="exact"/>
              <w:jc w:val="center"/>
              <w:rPr>
                <w:rFonts w:ascii="宋体"/>
                <w:b/>
              </w:rPr>
            </w:pPr>
          </w:p>
        </w:tc>
        <w:tc>
          <w:tcPr>
            <w:tcW w:w="1975" w:type="dxa"/>
            <w:vAlign w:val="center"/>
          </w:tcPr>
          <w:p w14:paraId="475EE722">
            <w:pPr>
              <w:spacing w:line="240" w:lineRule="exact"/>
              <w:jc w:val="center"/>
              <w:rPr>
                <w:rFonts w:ascii="宋体"/>
                <w:b/>
              </w:rPr>
            </w:pPr>
            <w:r>
              <w:rPr>
                <w:rFonts w:hint="eastAsia" w:ascii="宋体"/>
                <w:b/>
              </w:rPr>
              <w:t>违反条款</w:t>
            </w:r>
          </w:p>
        </w:tc>
        <w:tc>
          <w:tcPr>
            <w:tcW w:w="2445" w:type="dxa"/>
            <w:vAlign w:val="center"/>
          </w:tcPr>
          <w:p w14:paraId="02E6FE4A">
            <w:pPr>
              <w:spacing w:line="240" w:lineRule="exact"/>
              <w:jc w:val="center"/>
              <w:rPr>
                <w:rFonts w:ascii="宋体"/>
                <w:b/>
              </w:rPr>
            </w:pPr>
            <w:r>
              <w:rPr>
                <w:rFonts w:hint="eastAsia" w:ascii="宋体"/>
                <w:b/>
              </w:rPr>
              <w:t>处罚依据</w:t>
            </w:r>
          </w:p>
        </w:tc>
        <w:tc>
          <w:tcPr>
            <w:tcW w:w="1515" w:type="dxa"/>
            <w:vMerge w:val="continue"/>
            <w:vAlign w:val="center"/>
          </w:tcPr>
          <w:p w14:paraId="6715EDC6">
            <w:pPr>
              <w:spacing w:line="240" w:lineRule="exact"/>
              <w:jc w:val="center"/>
              <w:rPr>
                <w:rFonts w:ascii="宋体"/>
                <w:b/>
              </w:rPr>
            </w:pPr>
          </w:p>
        </w:tc>
        <w:tc>
          <w:tcPr>
            <w:tcW w:w="5806" w:type="dxa"/>
            <w:vMerge w:val="continue"/>
            <w:vAlign w:val="center"/>
          </w:tcPr>
          <w:p w14:paraId="787DBB65">
            <w:pPr>
              <w:spacing w:line="240" w:lineRule="exact"/>
              <w:jc w:val="center"/>
              <w:rPr>
                <w:rFonts w:ascii="宋体"/>
                <w:b/>
              </w:rPr>
            </w:pPr>
          </w:p>
        </w:tc>
        <w:tc>
          <w:tcPr>
            <w:tcW w:w="5386" w:type="dxa"/>
            <w:tcBorders>
              <w:top w:val="single" w:color="auto" w:sz="4" w:space="0"/>
              <w:bottom w:val="single" w:color="auto" w:sz="4" w:space="0"/>
              <w:right w:val="single" w:color="auto" w:sz="4" w:space="0"/>
            </w:tcBorders>
            <w:vAlign w:val="center"/>
          </w:tcPr>
          <w:p w14:paraId="74EF436E">
            <w:pPr>
              <w:spacing w:line="240" w:lineRule="exact"/>
              <w:jc w:val="center"/>
              <w:rPr>
                <w:rFonts w:ascii="宋体"/>
                <w:b/>
              </w:rPr>
            </w:pPr>
            <w:r>
              <w:rPr>
                <w:rFonts w:hint="eastAsia" w:ascii="宋体"/>
                <w:b/>
              </w:rPr>
              <w:t>【对象】船舶污染物接收单位</w:t>
            </w:r>
          </w:p>
        </w:tc>
      </w:tr>
      <w:tr w14:paraId="5D103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14:paraId="03B20048">
            <w:pPr>
              <w:spacing w:line="240" w:lineRule="exact"/>
              <w:jc w:val="left"/>
              <w:rPr>
                <w:rFonts w:ascii="宋体"/>
              </w:rPr>
            </w:pPr>
            <w:r>
              <w:rPr>
                <w:rFonts w:hint="eastAsia" w:ascii="宋体"/>
              </w:rPr>
              <w:t>船舶污染物接收单位未按照规定将船舶污染物的接收和处理情况报海事管理机构备案的</w:t>
            </w:r>
          </w:p>
        </w:tc>
        <w:tc>
          <w:tcPr>
            <w:tcW w:w="1975" w:type="dxa"/>
            <w:vMerge w:val="restart"/>
            <w:vAlign w:val="center"/>
          </w:tcPr>
          <w:p w14:paraId="0B3D91B6">
            <w:pPr>
              <w:widowControl/>
              <w:spacing w:line="240" w:lineRule="exact"/>
              <w:jc w:val="left"/>
              <w:rPr>
                <w:rFonts w:ascii="宋体"/>
                <w:kern w:val="0"/>
              </w:rPr>
            </w:pPr>
            <w:r>
              <w:rPr>
                <w:rFonts w:hint="eastAsia" w:ascii="宋体"/>
                <w:kern w:val="0"/>
              </w:rPr>
              <w:t>1.《防治船舶污染海洋环境管理条例》第十九条。</w:t>
            </w:r>
          </w:p>
        </w:tc>
        <w:tc>
          <w:tcPr>
            <w:tcW w:w="2445" w:type="dxa"/>
            <w:vMerge w:val="restart"/>
            <w:vAlign w:val="center"/>
          </w:tcPr>
          <w:p w14:paraId="1DCE2779">
            <w:pPr>
              <w:widowControl/>
              <w:spacing w:line="240" w:lineRule="exact"/>
              <w:jc w:val="left"/>
              <w:rPr>
                <w:rFonts w:ascii="宋体"/>
                <w:kern w:val="0"/>
              </w:rPr>
            </w:pPr>
            <w:r>
              <w:rPr>
                <w:rFonts w:hint="eastAsia" w:ascii="宋体"/>
                <w:kern w:val="0"/>
              </w:rPr>
              <w:t>1. 《防治船舶污染海洋环境管理条例》第六十一条；</w:t>
            </w:r>
          </w:p>
          <w:p w14:paraId="1F72D423">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515" w:type="dxa"/>
            <w:vAlign w:val="center"/>
          </w:tcPr>
          <w:p w14:paraId="2D43DC4A">
            <w:pPr>
              <w:spacing w:line="240" w:lineRule="exact"/>
              <w:jc w:val="center"/>
              <w:rPr>
                <w:rFonts w:ascii="宋体"/>
              </w:rPr>
            </w:pPr>
            <w:r>
              <w:rPr>
                <w:rFonts w:hint="eastAsia" w:ascii="宋体"/>
              </w:rPr>
              <w:t>从轻</w:t>
            </w:r>
          </w:p>
        </w:tc>
        <w:tc>
          <w:tcPr>
            <w:tcW w:w="5806" w:type="dxa"/>
            <w:vAlign w:val="center"/>
          </w:tcPr>
          <w:p w14:paraId="5B8F34E9">
            <w:pPr>
              <w:widowControl/>
              <w:spacing w:line="240" w:lineRule="exact"/>
              <w:jc w:val="left"/>
              <w:rPr>
                <w:rFonts w:ascii="宋体"/>
                <w:kern w:val="0"/>
              </w:rPr>
            </w:pPr>
            <w:r>
              <w:rPr>
                <w:rFonts w:hint="eastAsia" w:ascii="宋体"/>
                <w:kern w:val="0"/>
              </w:rPr>
              <w:t>具有法定从轻处罚情节的</w:t>
            </w:r>
          </w:p>
        </w:tc>
        <w:tc>
          <w:tcPr>
            <w:tcW w:w="5386" w:type="dxa"/>
            <w:tcBorders>
              <w:bottom w:val="single" w:color="auto" w:sz="4" w:space="0"/>
              <w:right w:val="single" w:color="auto" w:sz="4" w:space="0"/>
            </w:tcBorders>
            <w:vAlign w:val="center"/>
          </w:tcPr>
          <w:p w14:paraId="57019031">
            <w:pPr>
              <w:widowControl/>
              <w:spacing w:line="240" w:lineRule="exact"/>
              <w:jc w:val="center"/>
              <w:rPr>
                <w:rFonts w:ascii="宋体"/>
                <w:kern w:val="0"/>
              </w:rPr>
            </w:pPr>
            <w:r>
              <w:rPr>
                <w:rFonts w:hint="eastAsia" w:ascii="宋体"/>
                <w:kern w:val="0"/>
              </w:rPr>
              <w:t>2000-3000元</w:t>
            </w:r>
          </w:p>
        </w:tc>
      </w:tr>
      <w:tr w14:paraId="4DAF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4CA8642F">
            <w:pPr>
              <w:spacing w:line="240" w:lineRule="exact"/>
              <w:jc w:val="left"/>
              <w:rPr>
                <w:rFonts w:ascii="宋体"/>
              </w:rPr>
            </w:pPr>
          </w:p>
        </w:tc>
        <w:tc>
          <w:tcPr>
            <w:tcW w:w="1975" w:type="dxa"/>
            <w:vMerge w:val="continue"/>
            <w:vAlign w:val="center"/>
          </w:tcPr>
          <w:p w14:paraId="748B1252">
            <w:pPr>
              <w:widowControl/>
              <w:spacing w:line="240" w:lineRule="exact"/>
              <w:jc w:val="left"/>
              <w:rPr>
                <w:rFonts w:ascii="宋体"/>
              </w:rPr>
            </w:pPr>
          </w:p>
        </w:tc>
        <w:tc>
          <w:tcPr>
            <w:tcW w:w="2445" w:type="dxa"/>
            <w:vMerge w:val="continue"/>
            <w:vAlign w:val="center"/>
          </w:tcPr>
          <w:p w14:paraId="4F85A318">
            <w:pPr>
              <w:spacing w:line="240" w:lineRule="exact"/>
              <w:jc w:val="left"/>
              <w:rPr>
                <w:rFonts w:ascii="宋体"/>
              </w:rPr>
            </w:pPr>
          </w:p>
        </w:tc>
        <w:tc>
          <w:tcPr>
            <w:tcW w:w="1515" w:type="dxa"/>
            <w:vMerge w:val="restart"/>
            <w:vAlign w:val="center"/>
          </w:tcPr>
          <w:p w14:paraId="3B2FCD76">
            <w:pPr>
              <w:spacing w:line="240" w:lineRule="exact"/>
              <w:jc w:val="center"/>
              <w:rPr>
                <w:rFonts w:ascii="宋体"/>
              </w:rPr>
            </w:pPr>
            <w:r>
              <w:rPr>
                <w:rFonts w:hint="eastAsia" w:ascii="宋体"/>
              </w:rPr>
              <w:t>一般</w:t>
            </w:r>
          </w:p>
        </w:tc>
        <w:tc>
          <w:tcPr>
            <w:tcW w:w="5806" w:type="dxa"/>
            <w:tcBorders>
              <w:top w:val="single" w:color="auto" w:sz="4" w:space="0"/>
              <w:bottom w:val="single" w:color="auto" w:sz="4" w:space="0"/>
            </w:tcBorders>
            <w:vAlign w:val="center"/>
          </w:tcPr>
          <w:p w14:paraId="3863317B">
            <w:pPr>
              <w:widowControl/>
              <w:spacing w:line="240" w:lineRule="exact"/>
              <w:jc w:val="left"/>
              <w:rPr>
                <w:rFonts w:ascii="宋体"/>
                <w:kern w:val="0"/>
              </w:rPr>
            </w:pPr>
            <w:r>
              <w:rPr>
                <w:rFonts w:hint="eastAsia" w:ascii="宋体"/>
                <w:kern w:val="0"/>
              </w:rPr>
              <w:t>仅1个月的污染物接收和处理情况未报备的；</w:t>
            </w:r>
          </w:p>
        </w:tc>
        <w:tc>
          <w:tcPr>
            <w:tcW w:w="5386" w:type="dxa"/>
            <w:tcBorders>
              <w:right w:val="single" w:color="auto" w:sz="4" w:space="0"/>
            </w:tcBorders>
            <w:vAlign w:val="center"/>
          </w:tcPr>
          <w:p w14:paraId="5729E763">
            <w:pPr>
              <w:widowControl/>
              <w:spacing w:line="240" w:lineRule="exact"/>
              <w:jc w:val="center"/>
              <w:rPr>
                <w:rFonts w:ascii="宋体"/>
                <w:kern w:val="0"/>
              </w:rPr>
            </w:pPr>
            <w:r>
              <w:rPr>
                <w:rFonts w:hint="eastAsia" w:ascii="宋体"/>
                <w:kern w:val="0"/>
              </w:rPr>
              <w:t>3000-5000元</w:t>
            </w:r>
          </w:p>
        </w:tc>
      </w:tr>
      <w:tr w14:paraId="606CA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14:paraId="64921EDF">
            <w:pPr>
              <w:spacing w:line="240" w:lineRule="exact"/>
              <w:jc w:val="left"/>
              <w:rPr>
                <w:rFonts w:ascii="宋体"/>
              </w:rPr>
            </w:pPr>
          </w:p>
        </w:tc>
        <w:tc>
          <w:tcPr>
            <w:tcW w:w="1975" w:type="dxa"/>
            <w:vMerge w:val="continue"/>
            <w:vAlign w:val="center"/>
          </w:tcPr>
          <w:p w14:paraId="66550E98">
            <w:pPr>
              <w:spacing w:line="240" w:lineRule="exact"/>
              <w:jc w:val="left"/>
              <w:rPr>
                <w:rFonts w:ascii="宋体"/>
              </w:rPr>
            </w:pPr>
          </w:p>
        </w:tc>
        <w:tc>
          <w:tcPr>
            <w:tcW w:w="2445" w:type="dxa"/>
            <w:vMerge w:val="continue"/>
            <w:vAlign w:val="center"/>
          </w:tcPr>
          <w:p w14:paraId="310F068A">
            <w:pPr>
              <w:spacing w:line="240" w:lineRule="exact"/>
              <w:jc w:val="left"/>
              <w:rPr>
                <w:rFonts w:ascii="宋体"/>
              </w:rPr>
            </w:pPr>
          </w:p>
        </w:tc>
        <w:tc>
          <w:tcPr>
            <w:tcW w:w="1515" w:type="dxa"/>
            <w:vMerge w:val="continue"/>
            <w:vAlign w:val="center"/>
          </w:tcPr>
          <w:p w14:paraId="7A487F51">
            <w:pPr>
              <w:spacing w:line="240" w:lineRule="exact"/>
              <w:jc w:val="center"/>
              <w:rPr>
                <w:rFonts w:ascii="宋体"/>
              </w:rPr>
            </w:pPr>
          </w:p>
        </w:tc>
        <w:tc>
          <w:tcPr>
            <w:tcW w:w="5806" w:type="dxa"/>
            <w:tcBorders>
              <w:top w:val="single" w:color="auto" w:sz="4" w:space="0"/>
            </w:tcBorders>
            <w:vAlign w:val="center"/>
          </w:tcPr>
          <w:p w14:paraId="05CC2AC4">
            <w:pPr>
              <w:widowControl/>
              <w:spacing w:line="240" w:lineRule="exact"/>
              <w:jc w:val="left"/>
              <w:rPr>
                <w:rFonts w:ascii="宋体"/>
                <w:kern w:val="0"/>
              </w:rPr>
            </w:pPr>
            <w:r>
              <w:rPr>
                <w:rFonts w:hint="eastAsia" w:ascii="宋体"/>
                <w:kern w:val="0"/>
              </w:rPr>
              <w:t>超过1个月的污染物接收和处理情况未报备的。</w:t>
            </w:r>
          </w:p>
        </w:tc>
        <w:tc>
          <w:tcPr>
            <w:tcW w:w="5386" w:type="dxa"/>
            <w:tcBorders>
              <w:top w:val="single" w:color="auto" w:sz="4" w:space="0"/>
              <w:right w:val="single" w:color="auto" w:sz="4" w:space="0"/>
            </w:tcBorders>
            <w:vAlign w:val="center"/>
          </w:tcPr>
          <w:p w14:paraId="7192BE27">
            <w:pPr>
              <w:widowControl/>
              <w:spacing w:line="240" w:lineRule="exact"/>
              <w:jc w:val="center"/>
              <w:rPr>
                <w:rFonts w:ascii="宋体"/>
                <w:kern w:val="0"/>
              </w:rPr>
            </w:pPr>
            <w:r>
              <w:rPr>
                <w:rFonts w:hint="eastAsia" w:ascii="宋体"/>
                <w:kern w:val="0"/>
              </w:rPr>
              <w:t>5000元-1万元</w:t>
            </w:r>
          </w:p>
        </w:tc>
      </w:tr>
      <w:tr w14:paraId="6FD6E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14:paraId="47F6095D">
            <w:pPr>
              <w:spacing w:line="240" w:lineRule="exact"/>
              <w:jc w:val="left"/>
              <w:rPr>
                <w:rFonts w:ascii="宋体"/>
              </w:rPr>
            </w:pPr>
          </w:p>
        </w:tc>
        <w:tc>
          <w:tcPr>
            <w:tcW w:w="1975" w:type="dxa"/>
            <w:vMerge w:val="continue"/>
            <w:vAlign w:val="center"/>
          </w:tcPr>
          <w:p w14:paraId="1A4B39CF">
            <w:pPr>
              <w:spacing w:line="240" w:lineRule="exact"/>
              <w:jc w:val="left"/>
              <w:rPr>
                <w:rFonts w:ascii="宋体"/>
              </w:rPr>
            </w:pPr>
          </w:p>
        </w:tc>
        <w:tc>
          <w:tcPr>
            <w:tcW w:w="2445" w:type="dxa"/>
            <w:vMerge w:val="continue"/>
            <w:vAlign w:val="center"/>
          </w:tcPr>
          <w:p w14:paraId="79344235">
            <w:pPr>
              <w:spacing w:line="240" w:lineRule="exact"/>
              <w:jc w:val="left"/>
              <w:rPr>
                <w:rFonts w:ascii="宋体"/>
              </w:rPr>
            </w:pPr>
          </w:p>
        </w:tc>
        <w:tc>
          <w:tcPr>
            <w:tcW w:w="1515" w:type="dxa"/>
            <w:vMerge w:val="continue"/>
            <w:tcBorders>
              <w:bottom w:val="single" w:color="auto" w:sz="4" w:space="0"/>
            </w:tcBorders>
            <w:vAlign w:val="center"/>
          </w:tcPr>
          <w:p w14:paraId="688AE531">
            <w:pPr>
              <w:spacing w:line="240" w:lineRule="exact"/>
              <w:jc w:val="center"/>
              <w:rPr>
                <w:rFonts w:ascii="宋体"/>
              </w:rPr>
            </w:pPr>
          </w:p>
        </w:tc>
        <w:tc>
          <w:tcPr>
            <w:tcW w:w="5806" w:type="dxa"/>
            <w:tcBorders>
              <w:top w:val="single" w:color="auto" w:sz="4" w:space="0"/>
              <w:bottom w:val="single" w:color="auto" w:sz="4" w:space="0"/>
            </w:tcBorders>
            <w:vAlign w:val="center"/>
          </w:tcPr>
          <w:p w14:paraId="55247AE0">
            <w:pPr>
              <w:widowControl/>
              <w:spacing w:line="240" w:lineRule="exact"/>
              <w:jc w:val="left"/>
              <w:rPr>
                <w:rFonts w:ascii="宋体"/>
                <w:kern w:val="0"/>
              </w:rPr>
            </w:pPr>
            <w:r>
              <w:rPr>
                <w:rFonts w:hint="eastAsia" w:ascii="宋体"/>
                <w:kern w:val="0"/>
              </w:rPr>
              <w:t>具有其他较重情节的</w:t>
            </w:r>
          </w:p>
        </w:tc>
        <w:tc>
          <w:tcPr>
            <w:tcW w:w="5386" w:type="dxa"/>
            <w:tcBorders>
              <w:top w:val="single" w:color="auto" w:sz="4" w:space="0"/>
              <w:bottom w:val="single" w:color="auto" w:sz="4" w:space="0"/>
              <w:right w:val="single" w:color="auto" w:sz="4" w:space="0"/>
            </w:tcBorders>
            <w:vAlign w:val="center"/>
          </w:tcPr>
          <w:p w14:paraId="1B4CA94D">
            <w:pPr>
              <w:widowControl/>
              <w:spacing w:line="240" w:lineRule="exact"/>
              <w:jc w:val="center"/>
              <w:rPr>
                <w:rFonts w:ascii="宋体"/>
                <w:kern w:val="0"/>
              </w:rPr>
            </w:pPr>
            <w:r>
              <w:rPr>
                <w:rFonts w:hint="eastAsia" w:ascii="宋体"/>
                <w:kern w:val="0"/>
              </w:rPr>
              <w:t>1-2万元</w:t>
            </w:r>
          </w:p>
        </w:tc>
      </w:tr>
    </w:tbl>
    <w:p w14:paraId="01319CD3">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275"/>
        <w:gridCol w:w="1843"/>
        <w:gridCol w:w="1102"/>
        <w:gridCol w:w="5148"/>
        <w:gridCol w:w="2506"/>
        <w:gridCol w:w="2268"/>
        <w:gridCol w:w="2410"/>
        <w:gridCol w:w="2126"/>
      </w:tblGrid>
      <w:tr w14:paraId="7D03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275" w:type="dxa"/>
            <w:vMerge w:val="restart"/>
            <w:vAlign w:val="center"/>
          </w:tcPr>
          <w:p w14:paraId="7F7ABB6F">
            <w:pPr>
              <w:spacing w:line="240" w:lineRule="exact"/>
              <w:jc w:val="center"/>
              <w:rPr>
                <w:rFonts w:ascii="宋体"/>
                <w:b/>
              </w:rPr>
            </w:pPr>
            <w:r>
              <w:rPr>
                <w:rFonts w:hint="eastAsia" w:ascii="宋体"/>
                <w:b/>
              </w:rPr>
              <w:t>案由81</w:t>
            </w:r>
          </w:p>
        </w:tc>
        <w:tc>
          <w:tcPr>
            <w:tcW w:w="3118" w:type="dxa"/>
            <w:gridSpan w:val="2"/>
            <w:vAlign w:val="center"/>
          </w:tcPr>
          <w:p w14:paraId="24E9E82F">
            <w:pPr>
              <w:spacing w:line="240" w:lineRule="exact"/>
              <w:jc w:val="center"/>
              <w:rPr>
                <w:rFonts w:ascii="宋体"/>
                <w:b/>
              </w:rPr>
            </w:pPr>
            <w:r>
              <w:rPr>
                <w:rFonts w:hint="eastAsia" w:ascii="宋体"/>
                <w:b/>
              </w:rPr>
              <w:t>法律依据</w:t>
            </w:r>
          </w:p>
        </w:tc>
        <w:tc>
          <w:tcPr>
            <w:tcW w:w="1102" w:type="dxa"/>
            <w:vMerge w:val="restart"/>
            <w:vAlign w:val="center"/>
          </w:tcPr>
          <w:p w14:paraId="3CFBFC67">
            <w:pPr>
              <w:spacing w:line="240" w:lineRule="exact"/>
              <w:jc w:val="center"/>
              <w:rPr>
                <w:rFonts w:ascii="宋体"/>
                <w:b/>
              </w:rPr>
            </w:pPr>
            <w:r>
              <w:rPr>
                <w:rFonts w:hint="eastAsia" w:ascii="宋体"/>
                <w:b/>
              </w:rPr>
              <w:t>违法情节</w:t>
            </w:r>
          </w:p>
        </w:tc>
        <w:tc>
          <w:tcPr>
            <w:tcW w:w="5148" w:type="dxa"/>
            <w:vMerge w:val="restart"/>
            <w:vAlign w:val="center"/>
          </w:tcPr>
          <w:p w14:paraId="03DF9834">
            <w:pPr>
              <w:spacing w:line="240" w:lineRule="exact"/>
              <w:jc w:val="center"/>
              <w:rPr>
                <w:rFonts w:ascii="宋体"/>
                <w:b/>
              </w:rPr>
            </w:pPr>
            <w:r>
              <w:rPr>
                <w:rFonts w:hint="eastAsia" w:ascii="宋体"/>
                <w:b/>
              </w:rPr>
              <w:t>主要考虑因素（事实、性质、情节、危害程度和实际后果等）</w:t>
            </w:r>
          </w:p>
        </w:tc>
        <w:tc>
          <w:tcPr>
            <w:tcW w:w="9310" w:type="dxa"/>
            <w:gridSpan w:val="4"/>
            <w:tcBorders>
              <w:right w:val="single" w:color="auto" w:sz="4" w:space="0"/>
            </w:tcBorders>
            <w:vAlign w:val="center"/>
          </w:tcPr>
          <w:p w14:paraId="2133F183">
            <w:pPr>
              <w:spacing w:line="240" w:lineRule="exact"/>
              <w:jc w:val="left"/>
              <w:rPr>
                <w:rFonts w:ascii="宋体"/>
                <w:b/>
              </w:rPr>
            </w:pPr>
            <w:r>
              <w:rPr>
                <w:rFonts w:hint="eastAsia" w:ascii="宋体"/>
                <w:b/>
              </w:rPr>
              <w:t>【法定幅度和种类】</w:t>
            </w:r>
            <w:r>
              <w:rPr>
                <w:rFonts w:hint="eastAsia" w:ascii="宋体"/>
              </w:rPr>
              <w:t>责令停止违法行为、限期改正，处3万元以上20万元以下的罚款</w:t>
            </w:r>
          </w:p>
        </w:tc>
      </w:tr>
      <w:tr w14:paraId="56E8E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275" w:type="dxa"/>
            <w:vMerge w:val="continue"/>
            <w:vAlign w:val="center"/>
          </w:tcPr>
          <w:p w14:paraId="7EBCA2A6">
            <w:pPr>
              <w:spacing w:line="240" w:lineRule="exact"/>
              <w:jc w:val="center"/>
              <w:rPr>
                <w:rFonts w:ascii="宋体"/>
                <w:b/>
              </w:rPr>
            </w:pPr>
          </w:p>
        </w:tc>
        <w:tc>
          <w:tcPr>
            <w:tcW w:w="1275" w:type="dxa"/>
            <w:vMerge w:val="restart"/>
            <w:vAlign w:val="center"/>
          </w:tcPr>
          <w:p w14:paraId="0259EC7E">
            <w:pPr>
              <w:spacing w:line="240" w:lineRule="exact"/>
              <w:jc w:val="center"/>
              <w:rPr>
                <w:rFonts w:ascii="宋体"/>
                <w:b/>
              </w:rPr>
            </w:pPr>
            <w:r>
              <w:rPr>
                <w:rFonts w:hint="eastAsia" w:ascii="宋体"/>
                <w:b/>
              </w:rPr>
              <w:t>违反条款</w:t>
            </w:r>
          </w:p>
        </w:tc>
        <w:tc>
          <w:tcPr>
            <w:tcW w:w="1843" w:type="dxa"/>
            <w:vMerge w:val="restart"/>
            <w:vAlign w:val="center"/>
          </w:tcPr>
          <w:p w14:paraId="44469DB3">
            <w:pPr>
              <w:spacing w:line="240" w:lineRule="exact"/>
              <w:jc w:val="center"/>
              <w:rPr>
                <w:rFonts w:ascii="宋体"/>
                <w:b/>
              </w:rPr>
            </w:pPr>
            <w:r>
              <w:rPr>
                <w:rFonts w:hint="eastAsia" w:ascii="宋体"/>
                <w:b/>
              </w:rPr>
              <w:t>处罚依据</w:t>
            </w:r>
          </w:p>
        </w:tc>
        <w:tc>
          <w:tcPr>
            <w:tcW w:w="1102" w:type="dxa"/>
            <w:vMerge w:val="continue"/>
            <w:vAlign w:val="center"/>
          </w:tcPr>
          <w:p w14:paraId="41D2ECB8">
            <w:pPr>
              <w:spacing w:line="240" w:lineRule="exact"/>
              <w:jc w:val="center"/>
              <w:rPr>
                <w:rFonts w:ascii="宋体"/>
                <w:b/>
              </w:rPr>
            </w:pPr>
          </w:p>
        </w:tc>
        <w:tc>
          <w:tcPr>
            <w:tcW w:w="5148" w:type="dxa"/>
            <w:vMerge w:val="continue"/>
            <w:vAlign w:val="center"/>
          </w:tcPr>
          <w:p w14:paraId="6A32A2FE">
            <w:pPr>
              <w:spacing w:line="240" w:lineRule="exact"/>
              <w:jc w:val="center"/>
              <w:rPr>
                <w:rFonts w:ascii="宋体"/>
                <w:b/>
              </w:rPr>
            </w:pPr>
          </w:p>
        </w:tc>
        <w:tc>
          <w:tcPr>
            <w:tcW w:w="9310" w:type="dxa"/>
            <w:gridSpan w:val="4"/>
            <w:tcBorders>
              <w:top w:val="single" w:color="auto" w:sz="4" w:space="0"/>
              <w:bottom w:val="single" w:color="auto" w:sz="4" w:space="0"/>
              <w:right w:val="single" w:color="auto" w:sz="4" w:space="0"/>
            </w:tcBorders>
            <w:vAlign w:val="center"/>
          </w:tcPr>
          <w:p w14:paraId="28A5ED1A">
            <w:pPr>
              <w:spacing w:line="240" w:lineRule="exact"/>
              <w:jc w:val="center"/>
              <w:rPr>
                <w:rFonts w:ascii="宋体"/>
                <w:b/>
              </w:rPr>
            </w:pPr>
            <w:r>
              <w:rPr>
                <w:rFonts w:hint="eastAsia" w:ascii="宋体"/>
                <w:b/>
              </w:rPr>
              <w:t>【对象】船舶所有人或经营人</w:t>
            </w:r>
          </w:p>
        </w:tc>
      </w:tr>
      <w:tr w14:paraId="1E74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275" w:type="dxa"/>
            <w:vMerge w:val="continue"/>
            <w:vAlign w:val="center"/>
          </w:tcPr>
          <w:p w14:paraId="302C26C1">
            <w:pPr>
              <w:spacing w:line="240" w:lineRule="exact"/>
              <w:jc w:val="center"/>
              <w:rPr>
                <w:rFonts w:ascii="宋体"/>
                <w:b/>
              </w:rPr>
            </w:pPr>
          </w:p>
        </w:tc>
        <w:tc>
          <w:tcPr>
            <w:tcW w:w="1275" w:type="dxa"/>
            <w:vMerge w:val="continue"/>
            <w:vAlign w:val="center"/>
          </w:tcPr>
          <w:p w14:paraId="166E8543">
            <w:pPr>
              <w:spacing w:line="240" w:lineRule="exact"/>
              <w:jc w:val="center"/>
              <w:rPr>
                <w:rFonts w:ascii="宋体"/>
                <w:b/>
              </w:rPr>
            </w:pPr>
          </w:p>
        </w:tc>
        <w:tc>
          <w:tcPr>
            <w:tcW w:w="1843" w:type="dxa"/>
            <w:vMerge w:val="continue"/>
            <w:vAlign w:val="center"/>
          </w:tcPr>
          <w:p w14:paraId="6AC9DD7D">
            <w:pPr>
              <w:spacing w:line="240" w:lineRule="exact"/>
              <w:jc w:val="center"/>
              <w:rPr>
                <w:rFonts w:ascii="宋体"/>
                <w:b/>
              </w:rPr>
            </w:pPr>
          </w:p>
        </w:tc>
        <w:tc>
          <w:tcPr>
            <w:tcW w:w="1102" w:type="dxa"/>
            <w:vMerge w:val="continue"/>
            <w:vAlign w:val="center"/>
          </w:tcPr>
          <w:p w14:paraId="7A2C2607">
            <w:pPr>
              <w:spacing w:line="240" w:lineRule="exact"/>
              <w:jc w:val="center"/>
              <w:rPr>
                <w:rFonts w:ascii="宋体"/>
                <w:b/>
              </w:rPr>
            </w:pPr>
          </w:p>
        </w:tc>
        <w:tc>
          <w:tcPr>
            <w:tcW w:w="5148" w:type="dxa"/>
            <w:vMerge w:val="continue"/>
            <w:vAlign w:val="center"/>
          </w:tcPr>
          <w:p w14:paraId="66128C4F">
            <w:pPr>
              <w:spacing w:line="240" w:lineRule="exact"/>
              <w:jc w:val="center"/>
              <w:rPr>
                <w:rFonts w:ascii="宋体"/>
                <w:b/>
              </w:rPr>
            </w:pPr>
          </w:p>
        </w:tc>
        <w:tc>
          <w:tcPr>
            <w:tcW w:w="7184" w:type="dxa"/>
            <w:gridSpan w:val="3"/>
            <w:tcBorders>
              <w:top w:val="single" w:color="auto" w:sz="4" w:space="0"/>
              <w:bottom w:val="single" w:color="auto" w:sz="4" w:space="0"/>
              <w:right w:val="single" w:color="auto" w:sz="4" w:space="0"/>
            </w:tcBorders>
            <w:vAlign w:val="center"/>
          </w:tcPr>
          <w:p w14:paraId="0384E5A4">
            <w:pPr>
              <w:spacing w:line="240" w:lineRule="exact"/>
              <w:jc w:val="center"/>
              <w:rPr>
                <w:rFonts w:ascii="宋体"/>
                <w:b/>
              </w:rPr>
            </w:pPr>
            <w:r>
              <w:rPr>
                <w:rFonts w:hint="eastAsia" w:ascii="宋体"/>
                <w:b/>
              </w:rPr>
              <w:t>船舶垃圾</w:t>
            </w:r>
          </w:p>
        </w:tc>
        <w:tc>
          <w:tcPr>
            <w:tcW w:w="2126" w:type="dxa"/>
            <w:vMerge w:val="restart"/>
            <w:tcBorders>
              <w:right w:val="single" w:color="auto" w:sz="4" w:space="0"/>
            </w:tcBorders>
            <w:vAlign w:val="center"/>
          </w:tcPr>
          <w:p w14:paraId="49F57D1D">
            <w:pPr>
              <w:spacing w:line="240" w:lineRule="exact"/>
              <w:jc w:val="center"/>
              <w:rPr>
                <w:rFonts w:ascii="宋体"/>
                <w:b/>
              </w:rPr>
            </w:pPr>
            <w:r>
              <w:rPr>
                <w:rFonts w:hint="eastAsia" w:ascii="宋体"/>
                <w:b/>
              </w:rPr>
              <w:t>船舶垃圾以外的禁排污染物</w:t>
            </w:r>
          </w:p>
        </w:tc>
      </w:tr>
      <w:tr w14:paraId="31FF6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1275" w:type="dxa"/>
            <w:vMerge w:val="continue"/>
            <w:vAlign w:val="center"/>
          </w:tcPr>
          <w:p w14:paraId="49D25A9E">
            <w:pPr>
              <w:spacing w:line="240" w:lineRule="exact"/>
              <w:jc w:val="center"/>
              <w:rPr>
                <w:rFonts w:ascii="宋体"/>
                <w:b/>
              </w:rPr>
            </w:pPr>
          </w:p>
        </w:tc>
        <w:tc>
          <w:tcPr>
            <w:tcW w:w="1275" w:type="dxa"/>
            <w:vMerge w:val="continue"/>
            <w:vAlign w:val="center"/>
          </w:tcPr>
          <w:p w14:paraId="5ACA6C7A">
            <w:pPr>
              <w:spacing w:line="240" w:lineRule="exact"/>
              <w:jc w:val="center"/>
              <w:rPr>
                <w:rFonts w:ascii="宋体"/>
                <w:b/>
              </w:rPr>
            </w:pPr>
          </w:p>
        </w:tc>
        <w:tc>
          <w:tcPr>
            <w:tcW w:w="1843" w:type="dxa"/>
            <w:vMerge w:val="continue"/>
            <w:vAlign w:val="center"/>
          </w:tcPr>
          <w:p w14:paraId="52B6F559">
            <w:pPr>
              <w:spacing w:line="240" w:lineRule="exact"/>
              <w:jc w:val="center"/>
              <w:rPr>
                <w:rFonts w:ascii="宋体"/>
                <w:b/>
              </w:rPr>
            </w:pPr>
          </w:p>
        </w:tc>
        <w:tc>
          <w:tcPr>
            <w:tcW w:w="1102" w:type="dxa"/>
            <w:vMerge w:val="continue"/>
            <w:vAlign w:val="center"/>
          </w:tcPr>
          <w:p w14:paraId="36E8A30D">
            <w:pPr>
              <w:spacing w:line="240" w:lineRule="exact"/>
              <w:jc w:val="center"/>
              <w:rPr>
                <w:rFonts w:ascii="宋体"/>
                <w:b/>
              </w:rPr>
            </w:pPr>
          </w:p>
        </w:tc>
        <w:tc>
          <w:tcPr>
            <w:tcW w:w="5148" w:type="dxa"/>
            <w:vMerge w:val="continue"/>
            <w:vAlign w:val="center"/>
          </w:tcPr>
          <w:p w14:paraId="50C323CD">
            <w:pPr>
              <w:spacing w:line="240" w:lineRule="exact"/>
              <w:jc w:val="center"/>
              <w:rPr>
                <w:rFonts w:ascii="宋体"/>
                <w:b/>
              </w:rPr>
            </w:pPr>
          </w:p>
        </w:tc>
        <w:tc>
          <w:tcPr>
            <w:tcW w:w="2506" w:type="dxa"/>
            <w:tcBorders>
              <w:top w:val="single" w:color="auto" w:sz="4" w:space="0"/>
              <w:bottom w:val="single" w:color="auto" w:sz="4" w:space="0"/>
              <w:right w:val="single" w:color="auto" w:sz="4" w:space="0"/>
            </w:tcBorders>
            <w:vAlign w:val="center"/>
          </w:tcPr>
          <w:p w14:paraId="4A108B24">
            <w:pPr>
              <w:spacing w:line="240" w:lineRule="exact"/>
              <w:jc w:val="center"/>
              <w:rPr>
                <w:rFonts w:ascii="宋体"/>
                <w:b/>
              </w:rPr>
            </w:pPr>
            <w:r>
              <w:rPr>
                <w:rFonts w:hint="eastAsia" w:ascii="宋体"/>
                <w:b/>
              </w:rPr>
              <w:t>塑料、有害海洋环境的货物残余物、食用油</w:t>
            </w:r>
          </w:p>
        </w:tc>
        <w:tc>
          <w:tcPr>
            <w:tcW w:w="2268" w:type="dxa"/>
            <w:tcBorders>
              <w:top w:val="single" w:color="auto" w:sz="4" w:space="0"/>
              <w:bottom w:val="single" w:color="auto" w:sz="4" w:space="0"/>
              <w:right w:val="single" w:color="auto" w:sz="4" w:space="0"/>
            </w:tcBorders>
            <w:vAlign w:val="center"/>
          </w:tcPr>
          <w:p w14:paraId="48B0000D">
            <w:pPr>
              <w:spacing w:line="240" w:lineRule="exact"/>
              <w:jc w:val="center"/>
              <w:rPr>
                <w:rFonts w:ascii="宋体"/>
                <w:b/>
              </w:rPr>
            </w:pPr>
            <w:r>
              <w:rPr>
                <w:rFonts w:hint="eastAsia" w:ascii="宋体"/>
                <w:b/>
              </w:rPr>
              <w:t>食品废弃物</w:t>
            </w:r>
          </w:p>
        </w:tc>
        <w:tc>
          <w:tcPr>
            <w:tcW w:w="2410" w:type="dxa"/>
            <w:tcBorders>
              <w:top w:val="single" w:color="auto" w:sz="4" w:space="0"/>
              <w:bottom w:val="single" w:color="auto" w:sz="4" w:space="0"/>
              <w:right w:val="single" w:color="auto" w:sz="4" w:space="0"/>
            </w:tcBorders>
            <w:vAlign w:val="center"/>
          </w:tcPr>
          <w:p w14:paraId="00C6600F">
            <w:pPr>
              <w:spacing w:line="240" w:lineRule="exact"/>
              <w:jc w:val="center"/>
              <w:rPr>
                <w:rFonts w:ascii="宋体"/>
                <w:b/>
              </w:rPr>
            </w:pPr>
            <w:r>
              <w:rPr>
                <w:rFonts w:hint="eastAsia" w:ascii="宋体"/>
                <w:b/>
              </w:rPr>
              <w:t>其他垃圾</w:t>
            </w:r>
          </w:p>
        </w:tc>
        <w:tc>
          <w:tcPr>
            <w:tcW w:w="2126" w:type="dxa"/>
            <w:vMerge w:val="continue"/>
            <w:tcBorders>
              <w:bottom w:val="single" w:color="auto" w:sz="4" w:space="0"/>
              <w:right w:val="single" w:color="auto" w:sz="4" w:space="0"/>
            </w:tcBorders>
            <w:vAlign w:val="center"/>
          </w:tcPr>
          <w:p w14:paraId="35D91245">
            <w:pPr>
              <w:spacing w:line="240" w:lineRule="exact"/>
              <w:jc w:val="center"/>
              <w:rPr>
                <w:rFonts w:ascii="宋体"/>
                <w:b/>
              </w:rPr>
            </w:pPr>
          </w:p>
        </w:tc>
      </w:tr>
      <w:tr w14:paraId="556B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75" w:type="dxa"/>
            <w:vMerge w:val="restart"/>
            <w:vAlign w:val="center"/>
          </w:tcPr>
          <w:p w14:paraId="6683A3E0">
            <w:pPr>
              <w:spacing w:line="240" w:lineRule="exact"/>
              <w:jc w:val="center"/>
              <w:rPr>
                <w:rFonts w:ascii="宋体"/>
              </w:rPr>
            </w:pPr>
            <w:r>
              <w:rPr>
                <w:rFonts w:hint="eastAsia" w:ascii="宋体"/>
              </w:rPr>
              <w:t>船舶向海域排放禁止排放的污染物的</w:t>
            </w:r>
          </w:p>
        </w:tc>
        <w:tc>
          <w:tcPr>
            <w:tcW w:w="1275" w:type="dxa"/>
            <w:vMerge w:val="restart"/>
            <w:vAlign w:val="center"/>
          </w:tcPr>
          <w:p w14:paraId="534D13D0">
            <w:pPr>
              <w:widowControl/>
              <w:spacing w:line="240" w:lineRule="exact"/>
              <w:jc w:val="center"/>
              <w:rPr>
                <w:rFonts w:ascii="宋体"/>
                <w:kern w:val="0"/>
              </w:rPr>
            </w:pPr>
            <w:r>
              <w:rPr>
                <w:rFonts w:hint="eastAsia" w:ascii="宋体"/>
                <w:kern w:val="0"/>
              </w:rPr>
              <w:t>1.《中华人民共和国海洋环境保护法》第六十二条第一款；</w:t>
            </w:r>
          </w:p>
          <w:p w14:paraId="53EB8A12">
            <w:pPr>
              <w:widowControl/>
              <w:spacing w:line="240" w:lineRule="exact"/>
              <w:jc w:val="center"/>
              <w:rPr>
                <w:rFonts w:ascii="宋体"/>
                <w:kern w:val="0"/>
              </w:rPr>
            </w:pPr>
            <w:r>
              <w:rPr>
                <w:rFonts w:hint="eastAsia" w:ascii="宋体"/>
                <w:kern w:val="0"/>
              </w:rPr>
              <w:t>2.法律、行政法规、国际条约以及相关标准的规定。</w:t>
            </w:r>
          </w:p>
        </w:tc>
        <w:tc>
          <w:tcPr>
            <w:tcW w:w="1843" w:type="dxa"/>
            <w:vMerge w:val="restart"/>
            <w:vAlign w:val="center"/>
          </w:tcPr>
          <w:p w14:paraId="2DFA92D0">
            <w:pPr>
              <w:widowControl/>
              <w:spacing w:line="240" w:lineRule="exact"/>
              <w:jc w:val="left"/>
              <w:rPr>
                <w:rFonts w:ascii="宋体"/>
                <w:kern w:val="0"/>
              </w:rPr>
            </w:pPr>
            <w:r>
              <w:rPr>
                <w:rFonts w:hint="eastAsia" w:ascii="宋体"/>
                <w:kern w:val="0"/>
              </w:rPr>
              <w:t>1.《中华人民共和国海洋环境保护法》第七十三条第一款第（一）项及第二款；</w:t>
            </w:r>
          </w:p>
          <w:p w14:paraId="29E0E2DD">
            <w:pPr>
              <w:widowControl/>
              <w:spacing w:line="240" w:lineRule="exact"/>
              <w:jc w:val="center"/>
              <w:rPr>
                <w:rFonts w:ascii="宋体"/>
                <w:kern w:val="0"/>
              </w:rPr>
            </w:pPr>
            <w:r>
              <w:rPr>
                <w:rFonts w:hint="eastAsia" w:ascii="宋体"/>
                <w:kern w:val="0"/>
              </w:rPr>
              <w:t>2. 《防治船舶污染海洋环境管理条例》第五十八条第（三）项；</w:t>
            </w:r>
          </w:p>
          <w:p w14:paraId="758EC3DF">
            <w:pPr>
              <w:spacing w:line="240" w:lineRule="exact"/>
              <w:jc w:val="center"/>
              <w:rPr>
                <w:rFonts w:ascii="宋体"/>
              </w:rPr>
            </w:pPr>
            <w:r>
              <w:rPr>
                <w:rFonts w:hint="eastAsia" w:ascii="宋体"/>
                <w:kern w:val="0"/>
              </w:rPr>
              <w:t>3. 《中华人民共和国海上海事行政处罚规定》第七条。</w:t>
            </w:r>
          </w:p>
        </w:tc>
        <w:tc>
          <w:tcPr>
            <w:tcW w:w="1102" w:type="dxa"/>
            <w:vAlign w:val="center"/>
          </w:tcPr>
          <w:p w14:paraId="5A8E5212">
            <w:pPr>
              <w:spacing w:line="240" w:lineRule="exact"/>
              <w:jc w:val="center"/>
              <w:rPr>
                <w:rFonts w:ascii="宋体"/>
              </w:rPr>
            </w:pPr>
            <w:r>
              <w:rPr>
                <w:rFonts w:hint="eastAsia" w:ascii="宋体"/>
              </w:rPr>
              <w:t>从轻</w:t>
            </w:r>
          </w:p>
        </w:tc>
        <w:tc>
          <w:tcPr>
            <w:tcW w:w="5148" w:type="dxa"/>
            <w:vAlign w:val="center"/>
          </w:tcPr>
          <w:p w14:paraId="0CD168B9">
            <w:pPr>
              <w:spacing w:line="240" w:lineRule="exact"/>
              <w:jc w:val="left"/>
              <w:rPr>
                <w:rFonts w:ascii="宋体"/>
              </w:rPr>
            </w:pPr>
            <w:r>
              <w:rPr>
                <w:rFonts w:hint="eastAsia" w:ascii="宋体"/>
              </w:rPr>
              <w:t>具有法定从轻处罚情节的</w:t>
            </w:r>
          </w:p>
        </w:tc>
        <w:tc>
          <w:tcPr>
            <w:tcW w:w="2506" w:type="dxa"/>
            <w:tcBorders>
              <w:right w:val="single" w:color="auto" w:sz="4" w:space="0"/>
            </w:tcBorders>
            <w:vAlign w:val="center"/>
          </w:tcPr>
          <w:p w14:paraId="6B21AAE2">
            <w:pPr>
              <w:widowControl/>
              <w:spacing w:line="240" w:lineRule="exact"/>
              <w:jc w:val="center"/>
              <w:rPr>
                <w:rFonts w:ascii="宋体"/>
                <w:kern w:val="0"/>
              </w:rPr>
            </w:pPr>
            <w:r>
              <w:rPr>
                <w:rFonts w:hint="eastAsia" w:ascii="宋体"/>
                <w:kern w:val="0"/>
              </w:rPr>
              <w:t>3-4万元</w:t>
            </w:r>
          </w:p>
        </w:tc>
        <w:tc>
          <w:tcPr>
            <w:tcW w:w="2268" w:type="dxa"/>
            <w:tcBorders>
              <w:right w:val="single" w:color="auto" w:sz="4" w:space="0"/>
            </w:tcBorders>
            <w:vAlign w:val="center"/>
          </w:tcPr>
          <w:p w14:paraId="29518DA4">
            <w:pPr>
              <w:widowControl/>
              <w:spacing w:line="240" w:lineRule="exact"/>
              <w:jc w:val="center"/>
              <w:rPr>
                <w:rFonts w:ascii="宋体"/>
                <w:kern w:val="0"/>
              </w:rPr>
            </w:pPr>
            <w:r>
              <w:rPr>
                <w:rFonts w:hint="eastAsia" w:ascii="宋体"/>
                <w:kern w:val="0"/>
              </w:rPr>
              <w:t>3-3.5万元</w:t>
            </w:r>
          </w:p>
        </w:tc>
        <w:tc>
          <w:tcPr>
            <w:tcW w:w="2410" w:type="dxa"/>
            <w:tcBorders>
              <w:right w:val="single" w:color="auto" w:sz="4" w:space="0"/>
            </w:tcBorders>
            <w:vAlign w:val="center"/>
          </w:tcPr>
          <w:p w14:paraId="04E6280E">
            <w:pPr>
              <w:widowControl/>
              <w:spacing w:line="240" w:lineRule="exact"/>
              <w:jc w:val="center"/>
              <w:rPr>
                <w:rFonts w:ascii="宋体"/>
                <w:kern w:val="0"/>
              </w:rPr>
            </w:pPr>
            <w:r>
              <w:rPr>
                <w:rFonts w:hint="eastAsia" w:ascii="宋体"/>
                <w:kern w:val="0"/>
              </w:rPr>
              <w:t>3-4万元</w:t>
            </w:r>
          </w:p>
        </w:tc>
        <w:tc>
          <w:tcPr>
            <w:tcW w:w="2126" w:type="dxa"/>
            <w:tcBorders>
              <w:right w:val="single" w:color="auto" w:sz="4" w:space="0"/>
            </w:tcBorders>
            <w:vAlign w:val="center"/>
          </w:tcPr>
          <w:p w14:paraId="44322D59">
            <w:pPr>
              <w:widowControl/>
              <w:spacing w:line="240" w:lineRule="exact"/>
              <w:jc w:val="center"/>
              <w:rPr>
                <w:rFonts w:ascii="宋体"/>
                <w:kern w:val="0"/>
              </w:rPr>
            </w:pPr>
            <w:r>
              <w:rPr>
                <w:rFonts w:hint="eastAsia" w:ascii="宋体"/>
                <w:kern w:val="0"/>
              </w:rPr>
              <w:t>3-4万元</w:t>
            </w:r>
          </w:p>
        </w:tc>
      </w:tr>
      <w:tr w14:paraId="31F29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275" w:type="dxa"/>
            <w:vMerge w:val="continue"/>
            <w:vAlign w:val="center"/>
          </w:tcPr>
          <w:p w14:paraId="5F605C13">
            <w:pPr>
              <w:spacing w:line="240" w:lineRule="exact"/>
              <w:jc w:val="center"/>
              <w:rPr>
                <w:rFonts w:ascii="宋体"/>
              </w:rPr>
            </w:pPr>
          </w:p>
        </w:tc>
        <w:tc>
          <w:tcPr>
            <w:tcW w:w="1275" w:type="dxa"/>
            <w:vMerge w:val="continue"/>
            <w:vAlign w:val="center"/>
          </w:tcPr>
          <w:p w14:paraId="0A6F9540">
            <w:pPr>
              <w:widowControl/>
              <w:spacing w:line="240" w:lineRule="exact"/>
              <w:jc w:val="center"/>
              <w:rPr>
                <w:rFonts w:ascii="宋体"/>
              </w:rPr>
            </w:pPr>
          </w:p>
        </w:tc>
        <w:tc>
          <w:tcPr>
            <w:tcW w:w="1843" w:type="dxa"/>
            <w:vMerge w:val="continue"/>
            <w:vAlign w:val="center"/>
          </w:tcPr>
          <w:p w14:paraId="519E8639">
            <w:pPr>
              <w:spacing w:line="240" w:lineRule="exact"/>
              <w:jc w:val="center"/>
              <w:rPr>
                <w:rFonts w:ascii="宋体"/>
              </w:rPr>
            </w:pPr>
          </w:p>
        </w:tc>
        <w:tc>
          <w:tcPr>
            <w:tcW w:w="1102" w:type="dxa"/>
            <w:vMerge w:val="restart"/>
            <w:vAlign w:val="center"/>
          </w:tcPr>
          <w:p w14:paraId="31689793">
            <w:pPr>
              <w:spacing w:line="240" w:lineRule="exact"/>
              <w:ind w:firstLine="210" w:firstLineChars="100"/>
              <w:rPr>
                <w:rFonts w:ascii="宋体"/>
              </w:rPr>
            </w:pPr>
            <w:r>
              <w:rPr>
                <w:rFonts w:hint="eastAsia" w:ascii="宋体"/>
              </w:rPr>
              <w:t>一般</w:t>
            </w:r>
          </w:p>
        </w:tc>
        <w:tc>
          <w:tcPr>
            <w:tcW w:w="5148" w:type="dxa"/>
            <w:tcBorders>
              <w:top w:val="single" w:color="auto" w:sz="4" w:space="0"/>
              <w:bottom w:val="single" w:color="auto" w:sz="4" w:space="0"/>
              <w:right w:val="single" w:color="auto" w:sz="4" w:space="0"/>
            </w:tcBorders>
            <w:vAlign w:val="center"/>
          </w:tcPr>
          <w:p w14:paraId="13B128C8">
            <w:pPr>
              <w:widowControl/>
              <w:spacing w:line="240" w:lineRule="exact"/>
              <w:jc w:val="left"/>
              <w:rPr>
                <w:rFonts w:ascii="宋体"/>
                <w:kern w:val="0"/>
              </w:rPr>
            </w:pPr>
            <w:r>
              <w:rPr>
                <w:rFonts w:hint="eastAsia" w:ascii="宋体"/>
                <w:kern w:val="0"/>
              </w:rPr>
              <w:t>1.排放量0.05T(或M³）及以下；</w:t>
            </w:r>
          </w:p>
        </w:tc>
        <w:tc>
          <w:tcPr>
            <w:tcW w:w="2506" w:type="dxa"/>
            <w:tcBorders>
              <w:top w:val="single" w:color="auto" w:sz="4" w:space="0"/>
              <w:bottom w:val="single" w:color="auto" w:sz="4" w:space="0"/>
              <w:right w:val="single" w:color="auto" w:sz="4" w:space="0"/>
            </w:tcBorders>
            <w:vAlign w:val="center"/>
          </w:tcPr>
          <w:p w14:paraId="37FF29A5">
            <w:pPr>
              <w:widowControl/>
              <w:spacing w:line="240" w:lineRule="exact"/>
              <w:jc w:val="center"/>
              <w:rPr>
                <w:rFonts w:ascii="宋体"/>
                <w:kern w:val="0"/>
              </w:rPr>
            </w:pPr>
            <w:r>
              <w:rPr>
                <w:rFonts w:hint="eastAsia" w:ascii="宋体"/>
                <w:kern w:val="0"/>
              </w:rPr>
              <w:t>4-5万元</w:t>
            </w:r>
          </w:p>
        </w:tc>
        <w:tc>
          <w:tcPr>
            <w:tcW w:w="2268" w:type="dxa"/>
            <w:tcBorders>
              <w:top w:val="single" w:color="auto" w:sz="4" w:space="0"/>
              <w:bottom w:val="single" w:color="auto" w:sz="4" w:space="0"/>
              <w:right w:val="single" w:color="auto" w:sz="4" w:space="0"/>
            </w:tcBorders>
            <w:vAlign w:val="center"/>
          </w:tcPr>
          <w:p w14:paraId="2EA65255">
            <w:pPr>
              <w:widowControl/>
              <w:spacing w:line="240" w:lineRule="exact"/>
              <w:jc w:val="center"/>
              <w:rPr>
                <w:rFonts w:ascii="宋体"/>
                <w:kern w:val="0"/>
              </w:rPr>
            </w:pPr>
            <w:r>
              <w:rPr>
                <w:rFonts w:hint="eastAsia" w:ascii="宋体"/>
                <w:kern w:val="0"/>
              </w:rPr>
              <w:t>3.5-4万元</w:t>
            </w:r>
          </w:p>
        </w:tc>
        <w:tc>
          <w:tcPr>
            <w:tcW w:w="2410" w:type="dxa"/>
            <w:tcBorders>
              <w:top w:val="single" w:color="auto" w:sz="4" w:space="0"/>
              <w:bottom w:val="single" w:color="auto" w:sz="4" w:space="0"/>
              <w:right w:val="single" w:color="auto" w:sz="4" w:space="0"/>
            </w:tcBorders>
            <w:vAlign w:val="center"/>
          </w:tcPr>
          <w:p w14:paraId="74867D6D">
            <w:pPr>
              <w:widowControl/>
              <w:spacing w:line="240" w:lineRule="exact"/>
              <w:jc w:val="center"/>
              <w:rPr>
                <w:rFonts w:ascii="宋体"/>
                <w:kern w:val="0"/>
              </w:rPr>
            </w:pPr>
            <w:r>
              <w:rPr>
                <w:rFonts w:hint="eastAsia" w:ascii="宋体"/>
                <w:kern w:val="0"/>
              </w:rPr>
              <w:t>4-4.5万元</w:t>
            </w:r>
          </w:p>
        </w:tc>
        <w:tc>
          <w:tcPr>
            <w:tcW w:w="2126" w:type="dxa"/>
            <w:tcBorders>
              <w:top w:val="single" w:color="auto" w:sz="4" w:space="0"/>
              <w:bottom w:val="single" w:color="auto" w:sz="4" w:space="0"/>
              <w:right w:val="single" w:color="auto" w:sz="4" w:space="0"/>
            </w:tcBorders>
            <w:vAlign w:val="center"/>
          </w:tcPr>
          <w:p w14:paraId="44904DF7">
            <w:pPr>
              <w:widowControl/>
              <w:spacing w:line="240" w:lineRule="exact"/>
              <w:jc w:val="center"/>
              <w:rPr>
                <w:rFonts w:ascii="宋体"/>
                <w:kern w:val="0"/>
              </w:rPr>
            </w:pPr>
            <w:r>
              <w:rPr>
                <w:rFonts w:hint="eastAsia" w:ascii="宋体"/>
                <w:kern w:val="0"/>
              </w:rPr>
              <w:t>4-6万元</w:t>
            </w:r>
          </w:p>
        </w:tc>
      </w:tr>
      <w:tr w14:paraId="094DF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275" w:type="dxa"/>
            <w:vMerge w:val="continue"/>
            <w:vAlign w:val="center"/>
          </w:tcPr>
          <w:p w14:paraId="454979EE">
            <w:pPr>
              <w:spacing w:line="240" w:lineRule="exact"/>
              <w:jc w:val="center"/>
              <w:rPr>
                <w:rFonts w:ascii="宋体"/>
              </w:rPr>
            </w:pPr>
          </w:p>
        </w:tc>
        <w:tc>
          <w:tcPr>
            <w:tcW w:w="1275" w:type="dxa"/>
            <w:vMerge w:val="continue"/>
            <w:vAlign w:val="center"/>
          </w:tcPr>
          <w:p w14:paraId="27B31600">
            <w:pPr>
              <w:widowControl/>
              <w:spacing w:line="240" w:lineRule="exact"/>
              <w:jc w:val="center"/>
              <w:rPr>
                <w:rFonts w:ascii="宋体"/>
              </w:rPr>
            </w:pPr>
          </w:p>
        </w:tc>
        <w:tc>
          <w:tcPr>
            <w:tcW w:w="1843" w:type="dxa"/>
            <w:vMerge w:val="continue"/>
            <w:vAlign w:val="center"/>
          </w:tcPr>
          <w:p w14:paraId="1C2CFA08">
            <w:pPr>
              <w:spacing w:line="240" w:lineRule="exact"/>
              <w:jc w:val="center"/>
              <w:rPr>
                <w:rFonts w:ascii="宋体"/>
              </w:rPr>
            </w:pPr>
          </w:p>
        </w:tc>
        <w:tc>
          <w:tcPr>
            <w:tcW w:w="1102" w:type="dxa"/>
            <w:vMerge w:val="continue"/>
            <w:vAlign w:val="center"/>
          </w:tcPr>
          <w:p w14:paraId="66224A18">
            <w:pPr>
              <w:spacing w:line="240" w:lineRule="exact"/>
              <w:jc w:val="center"/>
              <w:rPr>
                <w:rFonts w:ascii="宋体"/>
              </w:rPr>
            </w:pPr>
          </w:p>
        </w:tc>
        <w:tc>
          <w:tcPr>
            <w:tcW w:w="5148" w:type="dxa"/>
            <w:tcBorders>
              <w:top w:val="single" w:color="auto" w:sz="4" w:space="0"/>
              <w:bottom w:val="single" w:color="auto" w:sz="4" w:space="0"/>
              <w:right w:val="single" w:color="auto" w:sz="4" w:space="0"/>
            </w:tcBorders>
            <w:vAlign w:val="center"/>
          </w:tcPr>
          <w:p w14:paraId="168A7E5C">
            <w:pPr>
              <w:widowControl/>
              <w:spacing w:line="240" w:lineRule="exact"/>
              <w:jc w:val="left"/>
              <w:rPr>
                <w:rFonts w:ascii="宋体"/>
                <w:kern w:val="0"/>
              </w:rPr>
            </w:pPr>
            <w:r>
              <w:rPr>
                <w:rFonts w:hint="eastAsia" w:ascii="宋体"/>
                <w:kern w:val="0"/>
              </w:rPr>
              <w:t>2.排放量0.05T(或M³）以上0.1T(或M³）及以下；</w:t>
            </w:r>
          </w:p>
        </w:tc>
        <w:tc>
          <w:tcPr>
            <w:tcW w:w="2506" w:type="dxa"/>
            <w:tcBorders>
              <w:top w:val="single" w:color="auto" w:sz="4" w:space="0"/>
              <w:bottom w:val="single" w:color="auto" w:sz="4" w:space="0"/>
              <w:right w:val="single" w:color="auto" w:sz="4" w:space="0"/>
            </w:tcBorders>
            <w:vAlign w:val="center"/>
          </w:tcPr>
          <w:p w14:paraId="34E7A9A6">
            <w:pPr>
              <w:widowControl/>
              <w:spacing w:line="240" w:lineRule="exact"/>
              <w:jc w:val="center"/>
              <w:rPr>
                <w:rFonts w:ascii="宋体"/>
                <w:kern w:val="0"/>
              </w:rPr>
            </w:pPr>
            <w:r>
              <w:rPr>
                <w:rFonts w:hint="eastAsia" w:ascii="宋体"/>
                <w:kern w:val="0"/>
              </w:rPr>
              <w:t>5-6万元</w:t>
            </w:r>
          </w:p>
        </w:tc>
        <w:tc>
          <w:tcPr>
            <w:tcW w:w="2268" w:type="dxa"/>
            <w:tcBorders>
              <w:top w:val="single" w:color="auto" w:sz="4" w:space="0"/>
              <w:bottom w:val="single" w:color="auto" w:sz="4" w:space="0"/>
              <w:right w:val="single" w:color="auto" w:sz="4" w:space="0"/>
            </w:tcBorders>
            <w:vAlign w:val="center"/>
          </w:tcPr>
          <w:p w14:paraId="1F9F37DF">
            <w:pPr>
              <w:widowControl/>
              <w:spacing w:line="240" w:lineRule="exact"/>
              <w:jc w:val="center"/>
              <w:rPr>
                <w:rFonts w:ascii="宋体"/>
                <w:kern w:val="0"/>
              </w:rPr>
            </w:pPr>
            <w:r>
              <w:rPr>
                <w:rFonts w:hint="eastAsia" w:ascii="宋体"/>
                <w:kern w:val="0"/>
              </w:rPr>
              <w:t>4-5万元</w:t>
            </w:r>
          </w:p>
        </w:tc>
        <w:tc>
          <w:tcPr>
            <w:tcW w:w="2410" w:type="dxa"/>
            <w:tcBorders>
              <w:top w:val="single" w:color="auto" w:sz="4" w:space="0"/>
              <w:bottom w:val="single" w:color="auto" w:sz="4" w:space="0"/>
              <w:right w:val="single" w:color="auto" w:sz="4" w:space="0"/>
            </w:tcBorders>
            <w:vAlign w:val="center"/>
          </w:tcPr>
          <w:p w14:paraId="377DA096">
            <w:pPr>
              <w:widowControl/>
              <w:spacing w:line="240" w:lineRule="exact"/>
              <w:jc w:val="center"/>
              <w:rPr>
                <w:rFonts w:ascii="宋体"/>
                <w:kern w:val="0"/>
              </w:rPr>
            </w:pPr>
            <w:r>
              <w:rPr>
                <w:rFonts w:hint="eastAsia" w:ascii="宋体"/>
                <w:kern w:val="0"/>
              </w:rPr>
              <w:t>4.5-5.5万元</w:t>
            </w:r>
          </w:p>
        </w:tc>
        <w:tc>
          <w:tcPr>
            <w:tcW w:w="2126" w:type="dxa"/>
            <w:tcBorders>
              <w:top w:val="single" w:color="auto" w:sz="4" w:space="0"/>
              <w:bottom w:val="single" w:color="auto" w:sz="4" w:space="0"/>
              <w:right w:val="single" w:color="auto" w:sz="4" w:space="0"/>
            </w:tcBorders>
            <w:vAlign w:val="center"/>
          </w:tcPr>
          <w:p w14:paraId="6181B3AA">
            <w:pPr>
              <w:widowControl/>
              <w:spacing w:line="240" w:lineRule="exact"/>
              <w:jc w:val="center"/>
              <w:rPr>
                <w:rFonts w:ascii="宋体"/>
                <w:kern w:val="0"/>
              </w:rPr>
            </w:pPr>
            <w:r>
              <w:rPr>
                <w:rFonts w:hint="eastAsia" w:ascii="宋体"/>
                <w:kern w:val="0"/>
              </w:rPr>
              <w:t>6-8万元</w:t>
            </w:r>
          </w:p>
        </w:tc>
      </w:tr>
      <w:tr w14:paraId="3ABC1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275" w:type="dxa"/>
            <w:vMerge w:val="continue"/>
            <w:vAlign w:val="center"/>
          </w:tcPr>
          <w:p w14:paraId="07FB6125">
            <w:pPr>
              <w:spacing w:line="240" w:lineRule="exact"/>
              <w:jc w:val="center"/>
              <w:rPr>
                <w:rFonts w:ascii="宋体"/>
              </w:rPr>
            </w:pPr>
          </w:p>
        </w:tc>
        <w:tc>
          <w:tcPr>
            <w:tcW w:w="1275" w:type="dxa"/>
            <w:vMerge w:val="continue"/>
            <w:vAlign w:val="center"/>
          </w:tcPr>
          <w:p w14:paraId="1E222EE4">
            <w:pPr>
              <w:widowControl/>
              <w:spacing w:line="240" w:lineRule="exact"/>
              <w:jc w:val="center"/>
              <w:rPr>
                <w:rFonts w:ascii="宋体"/>
              </w:rPr>
            </w:pPr>
          </w:p>
        </w:tc>
        <w:tc>
          <w:tcPr>
            <w:tcW w:w="1843" w:type="dxa"/>
            <w:vMerge w:val="continue"/>
            <w:vAlign w:val="center"/>
          </w:tcPr>
          <w:p w14:paraId="56BA0176">
            <w:pPr>
              <w:spacing w:line="240" w:lineRule="exact"/>
              <w:jc w:val="center"/>
              <w:rPr>
                <w:rFonts w:ascii="宋体"/>
              </w:rPr>
            </w:pPr>
          </w:p>
        </w:tc>
        <w:tc>
          <w:tcPr>
            <w:tcW w:w="1102" w:type="dxa"/>
            <w:vMerge w:val="continue"/>
            <w:vAlign w:val="center"/>
          </w:tcPr>
          <w:p w14:paraId="2D7A5434">
            <w:pPr>
              <w:spacing w:line="240" w:lineRule="exact"/>
              <w:jc w:val="center"/>
              <w:rPr>
                <w:rFonts w:ascii="宋体"/>
              </w:rPr>
            </w:pPr>
          </w:p>
        </w:tc>
        <w:tc>
          <w:tcPr>
            <w:tcW w:w="5148" w:type="dxa"/>
            <w:tcBorders>
              <w:top w:val="single" w:color="auto" w:sz="4" w:space="0"/>
              <w:bottom w:val="single" w:color="auto" w:sz="4" w:space="0"/>
              <w:right w:val="single" w:color="auto" w:sz="4" w:space="0"/>
            </w:tcBorders>
            <w:vAlign w:val="center"/>
          </w:tcPr>
          <w:p w14:paraId="788331E7">
            <w:pPr>
              <w:widowControl/>
              <w:spacing w:line="240" w:lineRule="exact"/>
              <w:jc w:val="left"/>
              <w:rPr>
                <w:rFonts w:ascii="宋体"/>
                <w:kern w:val="0"/>
              </w:rPr>
            </w:pPr>
            <w:r>
              <w:rPr>
                <w:rFonts w:hint="eastAsia" w:ascii="宋体"/>
                <w:kern w:val="0"/>
              </w:rPr>
              <w:t>3.排放量0.1T(或M³）以上0.5T(或M³）及以下；</w:t>
            </w:r>
          </w:p>
        </w:tc>
        <w:tc>
          <w:tcPr>
            <w:tcW w:w="2506" w:type="dxa"/>
            <w:tcBorders>
              <w:top w:val="single" w:color="auto" w:sz="4" w:space="0"/>
              <w:bottom w:val="single" w:color="auto" w:sz="4" w:space="0"/>
              <w:right w:val="single" w:color="auto" w:sz="4" w:space="0"/>
            </w:tcBorders>
            <w:vAlign w:val="center"/>
          </w:tcPr>
          <w:p w14:paraId="60680996">
            <w:pPr>
              <w:widowControl/>
              <w:spacing w:line="240" w:lineRule="exact"/>
              <w:jc w:val="center"/>
              <w:rPr>
                <w:rFonts w:ascii="宋体"/>
                <w:kern w:val="0"/>
              </w:rPr>
            </w:pPr>
            <w:r>
              <w:rPr>
                <w:rFonts w:hint="eastAsia" w:ascii="宋体"/>
                <w:kern w:val="0"/>
              </w:rPr>
              <w:t>6-7万元</w:t>
            </w:r>
          </w:p>
        </w:tc>
        <w:tc>
          <w:tcPr>
            <w:tcW w:w="2268" w:type="dxa"/>
            <w:tcBorders>
              <w:top w:val="single" w:color="auto" w:sz="4" w:space="0"/>
              <w:bottom w:val="single" w:color="auto" w:sz="4" w:space="0"/>
              <w:right w:val="single" w:color="auto" w:sz="4" w:space="0"/>
            </w:tcBorders>
            <w:vAlign w:val="center"/>
          </w:tcPr>
          <w:p w14:paraId="43EB50C6">
            <w:pPr>
              <w:widowControl/>
              <w:spacing w:line="240" w:lineRule="exact"/>
              <w:jc w:val="center"/>
              <w:rPr>
                <w:rFonts w:ascii="宋体"/>
                <w:kern w:val="0"/>
              </w:rPr>
            </w:pPr>
            <w:r>
              <w:rPr>
                <w:rFonts w:hint="eastAsia" w:ascii="宋体"/>
                <w:kern w:val="0"/>
              </w:rPr>
              <w:t>5-6万元</w:t>
            </w:r>
          </w:p>
        </w:tc>
        <w:tc>
          <w:tcPr>
            <w:tcW w:w="2410" w:type="dxa"/>
            <w:tcBorders>
              <w:top w:val="single" w:color="auto" w:sz="4" w:space="0"/>
              <w:bottom w:val="single" w:color="auto" w:sz="4" w:space="0"/>
              <w:right w:val="single" w:color="auto" w:sz="4" w:space="0"/>
            </w:tcBorders>
            <w:vAlign w:val="center"/>
          </w:tcPr>
          <w:p w14:paraId="24DDBDF2">
            <w:pPr>
              <w:widowControl/>
              <w:spacing w:line="240" w:lineRule="exact"/>
              <w:jc w:val="center"/>
              <w:rPr>
                <w:rFonts w:ascii="宋体"/>
                <w:kern w:val="0"/>
              </w:rPr>
            </w:pPr>
            <w:r>
              <w:rPr>
                <w:rFonts w:hint="eastAsia" w:ascii="宋体"/>
                <w:kern w:val="0"/>
              </w:rPr>
              <w:t>5.5-6.5万元</w:t>
            </w:r>
          </w:p>
        </w:tc>
        <w:tc>
          <w:tcPr>
            <w:tcW w:w="2126" w:type="dxa"/>
            <w:tcBorders>
              <w:top w:val="single" w:color="auto" w:sz="4" w:space="0"/>
              <w:bottom w:val="single" w:color="auto" w:sz="4" w:space="0"/>
              <w:right w:val="single" w:color="auto" w:sz="4" w:space="0"/>
            </w:tcBorders>
            <w:vAlign w:val="center"/>
          </w:tcPr>
          <w:p w14:paraId="334BE30C">
            <w:pPr>
              <w:widowControl/>
              <w:spacing w:line="240" w:lineRule="exact"/>
              <w:jc w:val="center"/>
              <w:rPr>
                <w:rFonts w:ascii="宋体"/>
                <w:kern w:val="0"/>
              </w:rPr>
            </w:pPr>
            <w:r>
              <w:rPr>
                <w:rFonts w:hint="eastAsia" w:ascii="宋体"/>
                <w:kern w:val="0"/>
              </w:rPr>
              <w:t>8-10万元</w:t>
            </w:r>
          </w:p>
        </w:tc>
      </w:tr>
      <w:tr w14:paraId="79D88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14:paraId="31501D41">
            <w:pPr>
              <w:spacing w:line="240" w:lineRule="exact"/>
              <w:jc w:val="center"/>
              <w:rPr>
                <w:rFonts w:ascii="宋体"/>
              </w:rPr>
            </w:pPr>
          </w:p>
        </w:tc>
        <w:tc>
          <w:tcPr>
            <w:tcW w:w="1275" w:type="dxa"/>
            <w:vMerge w:val="continue"/>
            <w:vAlign w:val="center"/>
          </w:tcPr>
          <w:p w14:paraId="46E4DBEE">
            <w:pPr>
              <w:spacing w:line="240" w:lineRule="exact"/>
              <w:jc w:val="center"/>
              <w:rPr>
                <w:rFonts w:ascii="宋体"/>
              </w:rPr>
            </w:pPr>
          </w:p>
        </w:tc>
        <w:tc>
          <w:tcPr>
            <w:tcW w:w="1843" w:type="dxa"/>
            <w:vMerge w:val="continue"/>
            <w:vAlign w:val="center"/>
          </w:tcPr>
          <w:p w14:paraId="00895589">
            <w:pPr>
              <w:spacing w:line="240" w:lineRule="exact"/>
              <w:jc w:val="center"/>
              <w:rPr>
                <w:rFonts w:ascii="宋体"/>
              </w:rPr>
            </w:pPr>
          </w:p>
        </w:tc>
        <w:tc>
          <w:tcPr>
            <w:tcW w:w="1102" w:type="dxa"/>
            <w:vMerge w:val="continue"/>
            <w:vAlign w:val="center"/>
          </w:tcPr>
          <w:p w14:paraId="052CE547">
            <w:pPr>
              <w:spacing w:line="240" w:lineRule="exact"/>
              <w:jc w:val="center"/>
              <w:rPr>
                <w:rFonts w:ascii="宋体"/>
              </w:rPr>
            </w:pPr>
          </w:p>
        </w:tc>
        <w:tc>
          <w:tcPr>
            <w:tcW w:w="5148" w:type="dxa"/>
            <w:tcBorders>
              <w:top w:val="single" w:color="auto" w:sz="4" w:space="0"/>
              <w:right w:val="single" w:color="auto" w:sz="4" w:space="0"/>
            </w:tcBorders>
            <w:vAlign w:val="center"/>
          </w:tcPr>
          <w:p w14:paraId="75627045">
            <w:pPr>
              <w:widowControl/>
              <w:spacing w:line="240" w:lineRule="exact"/>
              <w:jc w:val="left"/>
              <w:rPr>
                <w:rFonts w:ascii="宋体"/>
                <w:kern w:val="0"/>
              </w:rPr>
            </w:pPr>
            <w:r>
              <w:rPr>
                <w:rFonts w:hint="eastAsia" w:ascii="宋体"/>
                <w:kern w:val="0"/>
              </w:rPr>
              <w:t>4.排放量0.5T(或M³）以上1T(或M³）及以下；</w:t>
            </w:r>
          </w:p>
        </w:tc>
        <w:tc>
          <w:tcPr>
            <w:tcW w:w="2506" w:type="dxa"/>
            <w:tcBorders>
              <w:top w:val="single" w:color="auto" w:sz="4" w:space="0"/>
              <w:right w:val="single" w:color="auto" w:sz="4" w:space="0"/>
            </w:tcBorders>
            <w:vAlign w:val="center"/>
          </w:tcPr>
          <w:p w14:paraId="29478A83">
            <w:pPr>
              <w:widowControl/>
              <w:spacing w:line="240" w:lineRule="exact"/>
              <w:jc w:val="center"/>
              <w:rPr>
                <w:rFonts w:ascii="宋体"/>
                <w:kern w:val="0"/>
              </w:rPr>
            </w:pPr>
            <w:r>
              <w:rPr>
                <w:rFonts w:hint="eastAsia" w:ascii="宋体"/>
                <w:kern w:val="0"/>
              </w:rPr>
              <w:t>7-10万元</w:t>
            </w:r>
          </w:p>
        </w:tc>
        <w:tc>
          <w:tcPr>
            <w:tcW w:w="2268" w:type="dxa"/>
            <w:tcBorders>
              <w:top w:val="single" w:color="auto" w:sz="4" w:space="0"/>
              <w:right w:val="single" w:color="auto" w:sz="4" w:space="0"/>
            </w:tcBorders>
            <w:vAlign w:val="center"/>
          </w:tcPr>
          <w:p w14:paraId="6EC63DC2">
            <w:pPr>
              <w:widowControl/>
              <w:spacing w:line="240" w:lineRule="exact"/>
              <w:jc w:val="center"/>
              <w:rPr>
                <w:rFonts w:ascii="宋体"/>
                <w:kern w:val="0"/>
              </w:rPr>
            </w:pPr>
            <w:r>
              <w:rPr>
                <w:rFonts w:hint="eastAsia" w:ascii="宋体"/>
                <w:kern w:val="0"/>
              </w:rPr>
              <w:t>6-7万元</w:t>
            </w:r>
          </w:p>
        </w:tc>
        <w:tc>
          <w:tcPr>
            <w:tcW w:w="2410" w:type="dxa"/>
            <w:tcBorders>
              <w:top w:val="single" w:color="auto" w:sz="4" w:space="0"/>
              <w:right w:val="single" w:color="auto" w:sz="4" w:space="0"/>
            </w:tcBorders>
            <w:vAlign w:val="center"/>
          </w:tcPr>
          <w:p w14:paraId="1B0F5682">
            <w:pPr>
              <w:widowControl/>
              <w:spacing w:line="240" w:lineRule="exact"/>
              <w:jc w:val="center"/>
              <w:rPr>
                <w:rFonts w:ascii="宋体"/>
                <w:kern w:val="0"/>
              </w:rPr>
            </w:pPr>
            <w:r>
              <w:rPr>
                <w:rFonts w:hint="eastAsia" w:ascii="宋体"/>
                <w:kern w:val="0"/>
              </w:rPr>
              <w:t>6.5-9万元</w:t>
            </w:r>
          </w:p>
        </w:tc>
        <w:tc>
          <w:tcPr>
            <w:tcW w:w="2126" w:type="dxa"/>
            <w:tcBorders>
              <w:top w:val="single" w:color="auto" w:sz="4" w:space="0"/>
              <w:right w:val="single" w:color="auto" w:sz="4" w:space="0"/>
            </w:tcBorders>
            <w:vAlign w:val="center"/>
          </w:tcPr>
          <w:p w14:paraId="4A8ADF99">
            <w:pPr>
              <w:widowControl/>
              <w:spacing w:line="240" w:lineRule="exact"/>
              <w:jc w:val="center"/>
              <w:rPr>
                <w:rFonts w:ascii="宋体"/>
                <w:kern w:val="0"/>
              </w:rPr>
            </w:pPr>
            <w:r>
              <w:rPr>
                <w:rFonts w:hint="eastAsia" w:ascii="宋体"/>
                <w:kern w:val="0"/>
              </w:rPr>
              <w:t>10-15万元</w:t>
            </w:r>
          </w:p>
        </w:tc>
      </w:tr>
      <w:tr w14:paraId="57506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14:paraId="22C67204">
            <w:pPr>
              <w:spacing w:line="240" w:lineRule="exact"/>
              <w:jc w:val="center"/>
              <w:rPr>
                <w:rFonts w:ascii="宋体"/>
              </w:rPr>
            </w:pPr>
          </w:p>
        </w:tc>
        <w:tc>
          <w:tcPr>
            <w:tcW w:w="1275" w:type="dxa"/>
            <w:vMerge w:val="continue"/>
            <w:vAlign w:val="center"/>
          </w:tcPr>
          <w:p w14:paraId="1A8AB284">
            <w:pPr>
              <w:spacing w:line="240" w:lineRule="exact"/>
              <w:jc w:val="center"/>
              <w:rPr>
                <w:rFonts w:ascii="宋体"/>
              </w:rPr>
            </w:pPr>
          </w:p>
        </w:tc>
        <w:tc>
          <w:tcPr>
            <w:tcW w:w="1843" w:type="dxa"/>
            <w:vMerge w:val="continue"/>
            <w:vAlign w:val="center"/>
          </w:tcPr>
          <w:p w14:paraId="5360EC9F">
            <w:pPr>
              <w:spacing w:line="240" w:lineRule="exact"/>
              <w:jc w:val="center"/>
              <w:rPr>
                <w:rFonts w:ascii="宋体"/>
              </w:rPr>
            </w:pPr>
          </w:p>
        </w:tc>
        <w:tc>
          <w:tcPr>
            <w:tcW w:w="1102" w:type="dxa"/>
            <w:vMerge w:val="continue"/>
            <w:vAlign w:val="center"/>
          </w:tcPr>
          <w:p w14:paraId="7FE725DD">
            <w:pPr>
              <w:spacing w:line="240" w:lineRule="exact"/>
              <w:jc w:val="center"/>
              <w:rPr>
                <w:rFonts w:ascii="宋体"/>
              </w:rPr>
            </w:pPr>
          </w:p>
        </w:tc>
        <w:tc>
          <w:tcPr>
            <w:tcW w:w="5148" w:type="dxa"/>
            <w:tcBorders>
              <w:top w:val="single" w:color="auto" w:sz="4" w:space="0"/>
              <w:right w:val="single" w:color="auto" w:sz="4" w:space="0"/>
            </w:tcBorders>
            <w:vAlign w:val="center"/>
          </w:tcPr>
          <w:p w14:paraId="43901DBD">
            <w:pPr>
              <w:widowControl/>
              <w:spacing w:line="240" w:lineRule="exact"/>
              <w:jc w:val="left"/>
              <w:rPr>
                <w:rFonts w:ascii="宋体"/>
                <w:kern w:val="0"/>
              </w:rPr>
            </w:pPr>
            <w:r>
              <w:rPr>
                <w:rFonts w:hint="eastAsia" w:ascii="宋体"/>
                <w:kern w:val="0"/>
              </w:rPr>
              <w:t>5.排放量1T(或M³）以上2T (或M³）及以下。</w:t>
            </w:r>
          </w:p>
        </w:tc>
        <w:tc>
          <w:tcPr>
            <w:tcW w:w="2506" w:type="dxa"/>
            <w:tcBorders>
              <w:top w:val="single" w:color="auto" w:sz="4" w:space="0"/>
              <w:right w:val="single" w:color="auto" w:sz="4" w:space="0"/>
            </w:tcBorders>
            <w:vAlign w:val="center"/>
          </w:tcPr>
          <w:p w14:paraId="15342E36">
            <w:pPr>
              <w:widowControl/>
              <w:spacing w:line="240" w:lineRule="exact"/>
              <w:jc w:val="center"/>
              <w:rPr>
                <w:rFonts w:ascii="宋体"/>
                <w:kern w:val="0"/>
              </w:rPr>
            </w:pPr>
            <w:r>
              <w:rPr>
                <w:rFonts w:hint="eastAsia" w:ascii="宋体"/>
                <w:kern w:val="0"/>
              </w:rPr>
              <w:t>10-15万元</w:t>
            </w:r>
          </w:p>
        </w:tc>
        <w:tc>
          <w:tcPr>
            <w:tcW w:w="2268" w:type="dxa"/>
            <w:tcBorders>
              <w:top w:val="single" w:color="auto" w:sz="4" w:space="0"/>
              <w:right w:val="single" w:color="auto" w:sz="4" w:space="0"/>
            </w:tcBorders>
            <w:vAlign w:val="center"/>
          </w:tcPr>
          <w:p w14:paraId="5D5D3CD0">
            <w:pPr>
              <w:widowControl/>
              <w:spacing w:line="240" w:lineRule="exact"/>
              <w:jc w:val="center"/>
              <w:rPr>
                <w:rFonts w:ascii="宋体"/>
                <w:kern w:val="0"/>
              </w:rPr>
            </w:pPr>
            <w:r>
              <w:rPr>
                <w:rFonts w:hint="eastAsia" w:ascii="宋体"/>
                <w:kern w:val="0"/>
              </w:rPr>
              <w:t>7-10万元</w:t>
            </w:r>
          </w:p>
        </w:tc>
        <w:tc>
          <w:tcPr>
            <w:tcW w:w="2410" w:type="dxa"/>
            <w:tcBorders>
              <w:top w:val="single" w:color="auto" w:sz="4" w:space="0"/>
              <w:right w:val="single" w:color="auto" w:sz="4" w:space="0"/>
            </w:tcBorders>
            <w:vAlign w:val="center"/>
          </w:tcPr>
          <w:p w14:paraId="02133DAB">
            <w:pPr>
              <w:widowControl/>
              <w:spacing w:line="240" w:lineRule="exact"/>
              <w:jc w:val="center"/>
              <w:rPr>
                <w:rFonts w:ascii="宋体"/>
                <w:kern w:val="0"/>
              </w:rPr>
            </w:pPr>
            <w:r>
              <w:rPr>
                <w:rFonts w:hint="eastAsia" w:ascii="宋体"/>
                <w:kern w:val="0"/>
              </w:rPr>
              <w:t>9-10万元</w:t>
            </w:r>
          </w:p>
        </w:tc>
        <w:tc>
          <w:tcPr>
            <w:tcW w:w="2126" w:type="dxa"/>
            <w:tcBorders>
              <w:top w:val="single" w:color="auto" w:sz="4" w:space="0"/>
              <w:right w:val="single" w:color="auto" w:sz="4" w:space="0"/>
            </w:tcBorders>
            <w:vAlign w:val="center"/>
          </w:tcPr>
          <w:p w14:paraId="1880B9DE">
            <w:pPr>
              <w:widowControl/>
              <w:spacing w:line="240" w:lineRule="exact"/>
              <w:jc w:val="center"/>
              <w:rPr>
                <w:rFonts w:ascii="宋体"/>
                <w:kern w:val="0"/>
              </w:rPr>
            </w:pPr>
            <w:r>
              <w:rPr>
                <w:rFonts w:hint="eastAsia" w:ascii="宋体"/>
                <w:kern w:val="0"/>
              </w:rPr>
              <w:t>15-16万元</w:t>
            </w:r>
          </w:p>
        </w:tc>
      </w:tr>
      <w:tr w14:paraId="3124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75" w:type="dxa"/>
            <w:vMerge w:val="continue"/>
            <w:vAlign w:val="center"/>
          </w:tcPr>
          <w:p w14:paraId="51FFE951">
            <w:pPr>
              <w:spacing w:line="240" w:lineRule="exact"/>
              <w:jc w:val="center"/>
              <w:rPr>
                <w:rFonts w:ascii="宋体"/>
              </w:rPr>
            </w:pPr>
          </w:p>
        </w:tc>
        <w:tc>
          <w:tcPr>
            <w:tcW w:w="1275" w:type="dxa"/>
            <w:vMerge w:val="continue"/>
            <w:vAlign w:val="center"/>
          </w:tcPr>
          <w:p w14:paraId="75C409EE">
            <w:pPr>
              <w:spacing w:line="240" w:lineRule="exact"/>
              <w:jc w:val="center"/>
              <w:rPr>
                <w:rFonts w:ascii="宋体"/>
              </w:rPr>
            </w:pPr>
          </w:p>
        </w:tc>
        <w:tc>
          <w:tcPr>
            <w:tcW w:w="1843" w:type="dxa"/>
            <w:vMerge w:val="continue"/>
            <w:vAlign w:val="center"/>
          </w:tcPr>
          <w:p w14:paraId="634E7B84">
            <w:pPr>
              <w:spacing w:line="240" w:lineRule="exact"/>
              <w:jc w:val="center"/>
              <w:rPr>
                <w:rFonts w:ascii="宋体"/>
              </w:rPr>
            </w:pPr>
          </w:p>
        </w:tc>
        <w:tc>
          <w:tcPr>
            <w:tcW w:w="1102" w:type="dxa"/>
            <w:vMerge w:val="continue"/>
            <w:tcBorders>
              <w:bottom w:val="single" w:color="auto" w:sz="4" w:space="0"/>
            </w:tcBorders>
            <w:vAlign w:val="center"/>
          </w:tcPr>
          <w:p w14:paraId="2E69965C">
            <w:pPr>
              <w:spacing w:line="240" w:lineRule="exact"/>
              <w:jc w:val="center"/>
              <w:rPr>
                <w:rFonts w:ascii="宋体"/>
              </w:rPr>
            </w:pPr>
          </w:p>
        </w:tc>
        <w:tc>
          <w:tcPr>
            <w:tcW w:w="5148" w:type="dxa"/>
            <w:tcBorders>
              <w:top w:val="single" w:color="auto" w:sz="4" w:space="0"/>
              <w:bottom w:val="single" w:color="auto" w:sz="4" w:space="0"/>
            </w:tcBorders>
            <w:vAlign w:val="center"/>
          </w:tcPr>
          <w:p w14:paraId="08BB6BBC">
            <w:pPr>
              <w:widowControl/>
              <w:spacing w:line="240" w:lineRule="exact"/>
              <w:jc w:val="left"/>
              <w:rPr>
                <w:rFonts w:ascii="宋体"/>
                <w:kern w:val="0"/>
              </w:rPr>
            </w:pPr>
            <w:r>
              <w:rPr>
                <w:rFonts w:hint="eastAsia" w:ascii="宋体"/>
                <w:kern w:val="0"/>
              </w:rPr>
              <w:t>1.排放量2T(或M³）以上；</w:t>
            </w:r>
          </w:p>
          <w:p w14:paraId="4205FD2D">
            <w:pPr>
              <w:widowControl/>
              <w:spacing w:line="240" w:lineRule="exact"/>
              <w:jc w:val="left"/>
              <w:rPr>
                <w:rFonts w:ascii="宋体"/>
                <w:kern w:val="0"/>
              </w:rPr>
            </w:pPr>
            <w:r>
              <w:rPr>
                <w:rFonts w:hint="eastAsia" w:ascii="宋体"/>
                <w:kern w:val="0"/>
              </w:rPr>
              <w:t>2.具有其他较重情节的。</w:t>
            </w:r>
          </w:p>
        </w:tc>
        <w:tc>
          <w:tcPr>
            <w:tcW w:w="2506" w:type="dxa"/>
            <w:tcBorders>
              <w:right w:val="single" w:color="auto" w:sz="4" w:space="0"/>
            </w:tcBorders>
            <w:vAlign w:val="center"/>
          </w:tcPr>
          <w:p w14:paraId="7A8DCBFF">
            <w:pPr>
              <w:widowControl/>
              <w:spacing w:line="240" w:lineRule="exact"/>
              <w:jc w:val="center"/>
              <w:rPr>
                <w:rFonts w:ascii="宋体"/>
                <w:kern w:val="0"/>
              </w:rPr>
            </w:pPr>
            <w:r>
              <w:rPr>
                <w:rFonts w:hint="eastAsia" w:ascii="宋体"/>
                <w:kern w:val="0"/>
              </w:rPr>
              <w:t>15-20万元</w:t>
            </w:r>
          </w:p>
        </w:tc>
        <w:tc>
          <w:tcPr>
            <w:tcW w:w="2268" w:type="dxa"/>
            <w:tcBorders>
              <w:right w:val="single" w:color="auto" w:sz="4" w:space="0"/>
            </w:tcBorders>
            <w:vAlign w:val="center"/>
          </w:tcPr>
          <w:p w14:paraId="2986E467">
            <w:pPr>
              <w:widowControl/>
              <w:spacing w:line="240" w:lineRule="exact"/>
              <w:jc w:val="center"/>
              <w:rPr>
                <w:rFonts w:ascii="宋体"/>
                <w:kern w:val="0"/>
              </w:rPr>
            </w:pPr>
            <w:r>
              <w:rPr>
                <w:rFonts w:hint="eastAsia" w:ascii="宋体"/>
                <w:kern w:val="0"/>
              </w:rPr>
              <w:t>10-18万元</w:t>
            </w:r>
          </w:p>
        </w:tc>
        <w:tc>
          <w:tcPr>
            <w:tcW w:w="2410" w:type="dxa"/>
            <w:tcBorders>
              <w:right w:val="single" w:color="auto" w:sz="4" w:space="0"/>
            </w:tcBorders>
            <w:vAlign w:val="center"/>
          </w:tcPr>
          <w:p w14:paraId="7EB00F98">
            <w:pPr>
              <w:widowControl/>
              <w:spacing w:line="240" w:lineRule="exact"/>
              <w:jc w:val="center"/>
              <w:rPr>
                <w:rFonts w:ascii="宋体"/>
                <w:kern w:val="0"/>
              </w:rPr>
            </w:pPr>
            <w:r>
              <w:rPr>
                <w:rFonts w:hint="eastAsia" w:ascii="宋体"/>
                <w:kern w:val="0"/>
              </w:rPr>
              <w:t>10-20万元</w:t>
            </w:r>
          </w:p>
        </w:tc>
        <w:tc>
          <w:tcPr>
            <w:tcW w:w="2126" w:type="dxa"/>
            <w:tcBorders>
              <w:top w:val="single" w:color="auto" w:sz="4" w:space="0"/>
              <w:bottom w:val="single" w:color="auto" w:sz="4" w:space="0"/>
              <w:right w:val="single" w:color="auto" w:sz="4" w:space="0"/>
            </w:tcBorders>
            <w:vAlign w:val="center"/>
          </w:tcPr>
          <w:p w14:paraId="74F09B49">
            <w:pPr>
              <w:widowControl/>
              <w:spacing w:line="240" w:lineRule="exact"/>
              <w:jc w:val="center"/>
              <w:rPr>
                <w:rFonts w:ascii="宋体"/>
                <w:kern w:val="0"/>
              </w:rPr>
            </w:pPr>
            <w:r>
              <w:rPr>
                <w:rFonts w:hint="eastAsia" w:ascii="宋体"/>
                <w:kern w:val="0"/>
              </w:rPr>
              <w:t>16-20万元</w:t>
            </w:r>
          </w:p>
        </w:tc>
      </w:tr>
      <w:tr w14:paraId="605C3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9953" w:type="dxa"/>
            <w:gridSpan w:val="9"/>
            <w:tcBorders>
              <w:right w:val="single" w:color="auto" w:sz="4" w:space="0"/>
            </w:tcBorders>
            <w:vAlign w:val="center"/>
          </w:tcPr>
          <w:p w14:paraId="052BD7B1">
            <w:pPr>
              <w:widowControl/>
              <w:spacing w:line="240" w:lineRule="exact"/>
              <w:jc w:val="left"/>
              <w:rPr>
                <w:rFonts w:ascii="宋体"/>
                <w:bCs/>
                <w:kern w:val="0"/>
              </w:rPr>
            </w:pPr>
            <w:r>
              <w:rPr>
                <w:rFonts w:hint="eastAsia" w:ascii="宋体"/>
                <w:bCs/>
                <w:kern w:val="0"/>
              </w:rPr>
              <w:t>注：</w:t>
            </w:r>
          </w:p>
          <w:p w14:paraId="6943DA5A">
            <w:pPr>
              <w:widowControl/>
              <w:spacing w:line="240" w:lineRule="exact"/>
              <w:jc w:val="left"/>
              <w:rPr>
                <w:rFonts w:ascii="宋体"/>
                <w:bCs/>
                <w:kern w:val="0"/>
              </w:rPr>
            </w:pPr>
            <w:r>
              <w:rPr>
                <w:rFonts w:hint="eastAsia" w:ascii="宋体"/>
                <w:bCs/>
                <w:kern w:val="0"/>
              </w:rPr>
              <w:t>1、对污染物中含有大量水分的含水混合物（如洗舱水、舱底水等含水混合物），裁量时污染物的实际排放量按含水混合物排放量除以100计算。</w:t>
            </w:r>
          </w:p>
          <w:p w14:paraId="67C62FE2">
            <w:pPr>
              <w:widowControl/>
              <w:spacing w:line="240" w:lineRule="exact"/>
              <w:jc w:val="left"/>
              <w:rPr>
                <w:rFonts w:ascii="宋体"/>
                <w:kern w:val="0"/>
              </w:rPr>
            </w:pPr>
            <w:r>
              <w:rPr>
                <w:rFonts w:hint="eastAsia" w:ascii="宋体"/>
                <w:bCs/>
                <w:kern w:val="0"/>
              </w:rPr>
              <w:t>2、排放污染物属于液态混合物的，按“M³”计，属于固态物质的，按“T”计。</w:t>
            </w:r>
          </w:p>
        </w:tc>
      </w:tr>
    </w:tbl>
    <w:p w14:paraId="21358C17">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1275"/>
        <w:gridCol w:w="1843"/>
        <w:gridCol w:w="1244"/>
        <w:gridCol w:w="5006"/>
        <w:gridCol w:w="8602"/>
      </w:tblGrid>
      <w:tr w14:paraId="56327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275" w:type="dxa"/>
            <w:vMerge w:val="restart"/>
            <w:vAlign w:val="center"/>
          </w:tcPr>
          <w:p w14:paraId="5CEF6654">
            <w:pPr>
              <w:spacing w:line="240" w:lineRule="exact"/>
              <w:jc w:val="center"/>
              <w:rPr>
                <w:rFonts w:ascii="宋体"/>
                <w:b/>
              </w:rPr>
            </w:pPr>
            <w:r>
              <w:rPr>
                <w:rFonts w:hint="eastAsia" w:ascii="宋体"/>
                <w:b/>
              </w:rPr>
              <w:t>案由82</w:t>
            </w:r>
          </w:p>
        </w:tc>
        <w:tc>
          <w:tcPr>
            <w:tcW w:w="3118" w:type="dxa"/>
            <w:gridSpan w:val="2"/>
            <w:vAlign w:val="center"/>
          </w:tcPr>
          <w:p w14:paraId="77A96D20">
            <w:pPr>
              <w:spacing w:line="240" w:lineRule="exact"/>
              <w:jc w:val="center"/>
              <w:rPr>
                <w:rFonts w:ascii="宋体"/>
                <w:b/>
              </w:rPr>
            </w:pPr>
            <w:r>
              <w:rPr>
                <w:rFonts w:hint="eastAsia" w:ascii="宋体"/>
                <w:b/>
              </w:rPr>
              <w:t>法律依据</w:t>
            </w:r>
          </w:p>
        </w:tc>
        <w:tc>
          <w:tcPr>
            <w:tcW w:w="1244" w:type="dxa"/>
            <w:vMerge w:val="restart"/>
            <w:vAlign w:val="center"/>
          </w:tcPr>
          <w:p w14:paraId="0D9642AA">
            <w:pPr>
              <w:spacing w:line="240" w:lineRule="exact"/>
              <w:jc w:val="center"/>
              <w:rPr>
                <w:rFonts w:ascii="宋体"/>
                <w:b/>
              </w:rPr>
            </w:pPr>
            <w:r>
              <w:rPr>
                <w:rFonts w:hint="eastAsia" w:ascii="宋体"/>
                <w:b/>
              </w:rPr>
              <w:t>违法情节</w:t>
            </w:r>
          </w:p>
        </w:tc>
        <w:tc>
          <w:tcPr>
            <w:tcW w:w="5006" w:type="dxa"/>
            <w:vMerge w:val="restart"/>
            <w:vAlign w:val="center"/>
          </w:tcPr>
          <w:p w14:paraId="195DD41E">
            <w:pPr>
              <w:spacing w:line="240" w:lineRule="exact"/>
              <w:jc w:val="center"/>
              <w:rPr>
                <w:rFonts w:ascii="宋体"/>
                <w:b/>
              </w:rPr>
            </w:pPr>
            <w:r>
              <w:rPr>
                <w:rFonts w:hint="eastAsia" w:ascii="宋体"/>
                <w:b/>
              </w:rPr>
              <w:t>主要考虑因素（事实、性质、情节、危害程度和实际后果等）</w:t>
            </w:r>
          </w:p>
        </w:tc>
        <w:tc>
          <w:tcPr>
            <w:tcW w:w="8602" w:type="dxa"/>
            <w:tcBorders>
              <w:right w:val="single" w:color="auto" w:sz="4" w:space="0"/>
            </w:tcBorders>
            <w:vAlign w:val="center"/>
          </w:tcPr>
          <w:p w14:paraId="4C4F8454">
            <w:pPr>
              <w:spacing w:line="240" w:lineRule="exact"/>
              <w:jc w:val="left"/>
              <w:rPr>
                <w:rFonts w:ascii="宋体"/>
                <w:b/>
              </w:rPr>
            </w:pPr>
            <w:r>
              <w:rPr>
                <w:rFonts w:hint="eastAsia" w:ascii="宋体"/>
                <w:b/>
              </w:rPr>
              <w:t>【法定幅度和种类】</w:t>
            </w:r>
            <w:r>
              <w:rPr>
                <w:rFonts w:hint="eastAsia" w:ascii="宋体"/>
                <w:bCs/>
              </w:rPr>
              <w:t>责令停止违法行为、限期改正，处2万元以上10万元以下的罚款。</w:t>
            </w:r>
          </w:p>
        </w:tc>
      </w:tr>
      <w:tr w14:paraId="73A36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1275" w:type="dxa"/>
            <w:vMerge w:val="continue"/>
            <w:vAlign w:val="center"/>
          </w:tcPr>
          <w:p w14:paraId="025A28B3">
            <w:pPr>
              <w:spacing w:line="240" w:lineRule="exact"/>
              <w:jc w:val="center"/>
              <w:rPr>
                <w:rFonts w:ascii="宋体"/>
                <w:b/>
              </w:rPr>
            </w:pPr>
          </w:p>
        </w:tc>
        <w:tc>
          <w:tcPr>
            <w:tcW w:w="1275" w:type="dxa"/>
            <w:vAlign w:val="center"/>
          </w:tcPr>
          <w:p w14:paraId="73A347D9">
            <w:pPr>
              <w:spacing w:line="240" w:lineRule="exact"/>
              <w:jc w:val="center"/>
              <w:rPr>
                <w:rFonts w:ascii="宋体"/>
                <w:b/>
              </w:rPr>
            </w:pPr>
            <w:r>
              <w:rPr>
                <w:rFonts w:hint="eastAsia" w:ascii="宋体"/>
                <w:b/>
              </w:rPr>
              <w:t>违反条款</w:t>
            </w:r>
          </w:p>
        </w:tc>
        <w:tc>
          <w:tcPr>
            <w:tcW w:w="1843" w:type="dxa"/>
            <w:vAlign w:val="center"/>
          </w:tcPr>
          <w:p w14:paraId="56E4477D">
            <w:pPr>
              <w:spacing w:line="240" w:lineRule="exact"/>
              <w:jc w:val="center"/>
              <w:rPr>
                <w:rFonts w:ascii="宋体"/>
                <w:b/>
              </w:rPr>
            </w:pPr>
            <w:r>
              <w:rPr>
                <w:rFonts w:hint="eastAsia" w:ascii="宋体"/>
                <w:b/>
              </w:rPr>
              <w:t>处罚依据</w:t>
            </w:r>
          </w:p>
        </w:tc>
        <w:tc>
          <w:tcPr>
            <w:tcW w:w="1244" w:type="dxa"/>
            <w:vMerge w:val="continue"/>
            <w:vAlign w:val="center"/>
          </w:tcPr>
          <w:p w14:paraId="382B7B2D">
            <w:pPr>
              <w:spacing w:line="240" w:lineRule="exact"/>
              <w:jc w:val="center"/>
              <w:rPr>
                <w:rFonts w:ascii="宋体"/>
                <w:b/>
              </w:rPr>
            </w:pPr>
          </w:p>
        </w:tc>
        <w:tc>
          <w:tcPr>
            <w:tcW w:w="5006" w:type="dxa"/>
            <w:vMerge w:val="continue"/>
            <w:vAlign w:val="center"/>
          </w:tcPr>
          <w:p w14:paraId="4CB9A597">
            <w:pPr>
              <w:spacing w:line="240" w:lineRule="exact"/>
              <w:jc w:val="center"/>
              <w:rPr>
                <w:rFonts w:ascii="宋体"/>
                <w:b/>
              </w:rPr>
            </w:pPr>
          </w:p>
        </w:tc>
        <w:tc>
          <w:tcPr>
            <w:tcW w:w="8602" w:type="dxa"/>
            <w:tcBorders>
              <w:top w:val="single" w:color="auto" w:sz="4" w:space="0"/>
              <w:right w:val="single" w:color="auto" w:sz="4" w:space="0"/>
            </w:tcBorders>
            <w:vAlign w:val="center"/>
          </w:tcPr>
          <w:p w14:paraId="2B0DC344">
            <w:pPr>
              <w:spacing w:line="240" w:lineRule="exact"/>
              <w:jc w:val="center"/>
              <w:rPr>
                <w:rFonts w:ascii="宋体"/>
                <w:b/>
              </w:rPr>
            </w:pPr>
            <w:r>
              <w:rPr>
                <w:rFonts w:hint="eastAsia" w:ascii="宋体"/>
                <w:b/>
              </w:rPr>
              <w:t>【对象】船舶所有人或经营人</w:t>
            </w:r>
          </w:p>
        </w:tc>
      </w:tr>
      <w:tr w14:paraId="6F0B3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275" w:type="dxa"/>
            <w:vMerge w:val="restart"/>
            <w:vAlign w:val="center"/>
          </w:tcPr>
          <w:p w14:paraId="339D9028">
            <w:pPr>
              <w:spacing w:line="240" w:lineRule="exact"/>
              <w:jc w:val="left"/>
              <w:rPr>
                <w:rFonts w:ascii="宋体"/>
              </w:rPr>
            </w:pPr>
            <w:r>
              <w:rPr>
                <w:rFonts w:hint="eastAsia" w:ascii="宋体"/>
              </w:rPr>
              <w:t>船舶不按照规定向海洋排放污染物，或者超过标准排放污染物的</w:t>
            </w:r>
          </w:p>
        </w:tc>
        <w:tc>
          <w:tcPr>
            <w:tcW w:w="1275" w:type="dxa"/>
            <w:vMerge w:val="restart"/>
            <w:vAlign w:val="center"/>
          </w:tcPr>
          <w:p w14:paraId="1D1B57C7">
            <w:pPr>
              <w:widowControl/>
              <w:spacing w:line="240" w:lineRule="exact"/>
              <w:jc w:val="center"/>
              <w:rPr>
                <w:rFonts w:ascii="宋体"/>
                <w:kern w:val="0"/>
              </w:rPr>
            </w:pPr>
            <w:r>
              <w:rPr>
                <w:rFonts w:hint="eastAsia" w:ascii="宋体"/>
                <w:kern w:val="0"/>
              </w:rPr>
              <w:t>1.1.《中华人民共和国海洋环境保护法》第六十二条；</w:t>
            </w:r>
          </w:p>
          <w:p w14:paraId="4D11359B">
            <w:pPr>
              <w:widowControl/>
              <w:spacing w:line="240" w:lineRule="exact"/>
              <w:jc w:val="left"/>
              <w:rPr>
                <w:rFonts w:ascii="宋体"/>
                <w:kern w:val="0"/>
              </w:rPr>
            </w:pPr>
            <w:r>
              <w:rPr>
                <w:rFonts w:hint="eastAsia" w:ascii="宋体"/>
                <w:kern w:val="0"/>
              </w:rPr>
              <w:t>2.法律、行政法规、国际条约以及相关标准的规定。</w:t>
            </w:r>
          </w:p>
        </w:tc>
        <w:tc>
          <w:tcPr>
            <w:tcW w:w="1843" w:type="dxa"/>
            <w:vMerge w:val="restart"/>
            <w:vAlign w:val="center"/>
          </w:tcPr>
          <w:p w14:paraId="52F3FB5E">
            <w:pPr>
              <w:widowControl/>
              <w:spacing w:line="240" w:lineRule="exact"/>
              <w:jc w:val="left"/>
              <w:rPr>
                <w:rFonts w:ascii="宋体"/>
                <w:kern w:val="0"/>
              </w:rPr>
            </w:pPr>
            <w:r>
              <w:rPr>
                <w:rFonts w:hint="eastAsia" w:ascii="宋体"/>
                <w:kern w:val="0"/>
              </w:rPr>
              <w:t>1.《中华人民共和国海洋环境保护法》第七十三条第一款第（二）项及第二款；</w:t>
            </w:r>
          </w:p>
          <w:p w14:paraId="6D954649">
            <w:pPr>
              <w:spacing w:line="240" w:lineRule="exact"/>
              <w:jc w:val="left"/>
              <w:rPr>
                <w:rFonts w:ascii="宋体"/>
              </w:rPr>
            </w:pPr>
            <w:r>
              <w:rPr>
                <w:rFonts w:hint="eastAsia" w:ascii="宋体"/>
              </w:rPr>
              <w:t>2.</w:t>
            </w:r>
            <w:r>
              <w:rPr>
                <w:rFonts w:hint="eastAsia" w:ascii="宋体"/>
                <w:kern w:val="0"/>
              </w:rPr>
              <w:t>《中华人民共和国海上海事行政处罚规定》第七条。</w:t>
            </w:r>
          </w:p>
        </w:tc>
        <w:tc>
          <w:tcPr>
            <w:tcW w:w="1244" w:type="dxa"/>
            <w:vAlign w:val="center"/>
          </w:tcPr>
          <w:p w14:paraId="644A2FBD">
            <w:pPr>
              <w:spacing w:line="240" w:lineRule="exact"/>
              <w:jc w:val="center"/>
              <w:rPr>
                <w:rFonts w:ascii="宋体"/>
              </w:rPr>
            </w:pPr>
            <w:r>
              <w:rPr>
                <w:rFonts w:hint="eastAsia" w:ascii="宋体"/>
              </w:rPr>
              <w:t>从轻</w:t>
            </w:r>
          </w:p>
        </w:tc>
        <w:tc>
          <w:tcPr>
            <w:tcW w:w="5006" w:type="dxa"/>
            <w:vAlign w:val="center"/>
          </w:tcPr>
          <w:p w14:paraId="13EA5B2D">
            <w:pPr>
              <w:spacing w:line="240" w:lineRule="exact"/>
              <w:jc w:val="left"/>
              <w:rPr>
                <w:rFonts w:ascii="宋体"/>
              </w:rPr>
            </w:pPr>
            <w:r>
              <w:rPr>
                <w:rFonts w:hint="eastAsia" w:ascii="宋体"/>
              </w:rPr>
              <w:t>具有法定从轻处罚情节的。</w:t>
            </w:r>
          </w:p>
        </w:tc>
        <w:tc>
          <w:tcPr>
            <w:tcW w:w="8602" w:type="dxa"/>
            <w:tcBorders>
              <w:right w:val="single" w:color="auto" w:sz="4" w:space="0"/>
            </w:tcBorders>
            <w:vAlign w:val="center"/>
          </w:tcPr>
          <w:p w14:paraId="2EEAD218">
            <w:pPr>
              <w:widowControl/>
              <w:spacing w:line="240" w:lineRule="exact"/>
              <w:jc w:val="center"/>
              <w:rPr>
                <w:rFonts w:ascii="宋体"/>
                <w:kern w:val="0"/>
              </w:rPr>
            </w:pPr>
            <w:r>
              <w:rPr>
                <w:rFonts w:hint="eastAsia" w:ascii="宋体"/>
                <w:kern w:val="0"/>
              </w:rPr>
              <w:t>2-3万元</w:t>
            </w:r>
          </w:p>
        </w:tc>
      </w:tr>
      <w:tr w14:paraId="5B3C2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1275" w:type="dxa"/>
            <w:vMerge w:val="continue"/>
            <w:vAlign w:val="center"/>
          </w:tcPr>
          <w:p w14:paraId="74AF20E6">
            <w:pPr>
              <w:spacing w:line="240" w:lineRule="exact"/>
              <w:jc w:val="center"/>
              <w:rPr>
                <w:rFonts w:ascii="宋体"/>
              </w:rPr>
            </w:pPr>
          </w:p>
        </w:tc>
        <w:tc>
          <w:tcPr>
            <w:tcW w:w="1275" w:type="dxa"/>
            <w:vMerge w:val="continue"/>
            <w:vAlign w:val="center"/>
          </w:tcPr>
          <w:p w14:paraId="3AC35602">
            <w:pPr>
              <w:widowControl/>
              <w:spacing w:line="240" w:lineRule="exact"/>
              <w:jc w:val="center"/>
              <w:rPr>
                <w:rFonts w:ascii="宋体"/>
              </w:rPr>
            </w:pPr>
          </w:p>
        </w:tc>
        <w:tc>
          <w:tcPr>
            <w:tcW w:w="1843" w:type="dxa"/>
            <w:vMerge w:val="continue"/>
            <w:vAlign w:val="center"/>
          </w:tcPr>
          <w:p w14:paraId="7DD4671F">
            <w:pPr>
              <w:spacing w:line="240" w:lineRule="exact"/>
              <w:jc w:val="center"/>
              <w:rPr>
                <w:rFonts w:ascii="宋体"/>
              </w:rPr>
            </w:pPr>
          </w:p>
        </w:tc>
        <w:tc>
          <w:tcPr>
            <w:tcW w:w="1244" w:type="dxa"/>
            <w:vMerge w:val="restart"/>
            <w:vAlign w:val="center"/>
          </w:tcPr>
          <w:p w14:paraId="2E6B8508">
            <w:pPr>
              <w:spacing w:line="240" w:lineRule="exact"/>
              <w:ind w:firstLine="210" w:firstLineChars="100"/>
              <w:rPr>
                <w:rFonts w:ascii="宋体"/>
              </w:rPr>
            </w:pPr>
            <w:r>
              <w:rPr>
                <w:rFonts w:hint="eastAsia" w:ascii="宋体"/>
              </w:rPr>
              <w:t>一般</w:t>
            </w:r>
          </w:p>
        </w:tc>
        <w:tc>
          <w:tcPr>
            <w:tcW w:w="5006" w:type="dxa"/>
            <w:tcBorders>
              <w:top w:val="single" w:color="auto" w:sz="4" w:space="0"/>
              <w:bottom w:val="single" w:color="auto" w:sz="4" w:space="0"/>
              <w:right w:val="single" w:color="auto" w:sz="4" w:space="0"/>
            </w:tcBorders>
            <w:vAlign w:val="center"/>
          </w:tcPr>
          <w:p w14:paraId="47E4A138">
            <w:pPr>
              <w:widowControl/>
              <w:spacing w:line="240" w:lineRule="exact"/>
              <w:jc w:val="left"/>
              <w:rPr>
                <w:rFonts w:ascii="宋体"/>
                <w:kern w:val="0"/>
              </w:rPr>
            </w:pPr>
            <w:r>
              <w:rPr>
                <w:rFonts w:hint="eastAsia" w:ascii="宋体"/>
                <w:kern w:val="0"/>
              </w:rPr>
              <w:t>1.排放量0.05T(或M³）及以下；</w:t>
            </w:r>
          </w:p>
          <w:p w14:paraId="58481D4F">
            <w:pPr>
              <w:widowControl/>
              <w:spacing w:line="240" w:lineRule="exact"/>
              <w:jc w:val="left"/>
              <w:rPr>
                <w:rFonts w:ascii="宋体"/>
                <w:kern w:val="0"/>
              </w:rPr>
            </w:pPr>
            <w:r>
              <w:rPr>
                <w:rFonts w:hint="eastAsia" w:ascii="宋体"/>
                <w:kern w:val="0"/>
              </w:rPr>
              <w:t>2.排放方式不符合规定要求。</w:t>
            </w:r>
          </w:p>
        </w:tc>
        <w:tc>
          <w:tcPr>
            <w:tcW w:w="8602" w:type="dxa"/>
            <w:tcBorders>
              <w:top w:val="single" w:color="auto" w:sz="4" w:space="0"/>
              <w:bottom w:val="single" w:color="auto" w:sz="4" w:space="0"/>
              <w:right w:val="single" w:color="auto" w:sz="4" w:space="0"/>
            </w:tcBorders>
            <w:vAlign w:val="center"/>
          </w:tcPr>
          <w:p w14:paraId="1B95514A">
            <w:pPr>
              <w:widowControl/>
              <w:spacing w:line="240" w:lineRule="exact"/>
              <w:jc w:val="center"/>
              <w:rPr>
                <w:rFonts w:ascii="宋体"/>
                <w:kern w:val="0"/>
              </w:rPr>
            </w:pPr>
            <w:r>
              <w:rPr>
                <w:rFonts w:hint="eastAsia" w:ascii="宋体"/>
                <w:kern w:val="0"/>
              </w:rPr>
              <w:t>3-4万元</w:t>
            </w:r>
          </w:p>
        </w:tc>
      </w:tr>
      <w:tr w14:paraId="5DF92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275" w:type="dxa"/>
            <w:vMerge w:val="continue"/>
            <w:vAlign w:val="center"/>
          </w:tcPr>
          <w:p w14:paraId="265FD613">
            <w:pPr>
              <w:spacing w:line="240" w:lineRule="exact"/>
              <w:jc w:val="center"/>
              <w:rPr>
                <w:rFonts w:ascii="宋体"/>
              </w:rPr>
            </w:pPr>
          </w:p>
        </w:tc>
        <w:tc>
          <w:tcPr>
            <w:tcW w:w="1275" w:type="dxa"/>
            <w:vMerge w:val="continue"/>
            <w:vAlign w:val="center"/>
          </w:tcPr>
          <w:p w14:paraId="1812D976">
            <w:pPr>
              <w:widowControl/>
              <w:spacing w:line="240" w:lineRule="exact"/>
              <w:jc w:val="center"/>
              <w:rPr>
                <w:rFonts w:ascii="宋体"/>
              </w:rPr>
            </w:pPr>
          </w:p>
        </w:tc>
        <w:tc>
          <w:tcPr>
            <w:tcW w:w="1843" w:type="dxa"/>
            <w:vMerge w:val="continue"/>
            <w:vAlign w:val="center"/>
          </w:tcPr>
          <w:p w14:paraId="6A46D52C">
            <w:pPr>
              <w:spacing w:line="240" w:lineRule="exact"/>
              <w:jc w:val="center"/>
              <w:rPr>
                <w:rFonts w:ascii="宋体"/>
              </w:rPr>
            </w:pPr>
          </w:p>
        </w:tc>
        <w:tc>
          <w:tcPr>
            <w:tcW w:w="1244" w:type="dxa"/>
            <w:vMerge w:val="continue"/>
            <w:vAlign w:val="center"/>
          </w:tcPr>
          <w:p w14:paraId="3522BB74">
            <w:pPr>
              <w:spacing w:line="240" w:lineRule="exact"/>
              <w:jc w:val="center"/>
              <w:rPr>
                <w:rFonts w:ascii="宋体"/>
              </w:rPr>
            </w:pPr>
          </w:p>
        </w:tc>
        <w:tc>
          <w:tcPr>
            <w:tcW w:w="5006" w:type="dxa"/>
            <w:tcBorders>
              <w:top w:val="single" w:color="auto" w:sz="4" w:space="0"/>
              <w:bottom w:val="single" w:color="auto" w:sz="4" w:space="0"/>
              <w:right w:val="single" w:color="auto" w:sz="4" w:space="0"/>
            </w:tcBorders>
            <w:vAlign w:val="center"/>
          </w:tcPr>
          <w:p w14:paraId="4B37FB5F">
            <w:pPr>
              <w:widowControl/>
              <w:spacing w:line="240" w:lineRule="exact"/>
              <w:jc w:val="left"/>
              <w:rPr>
                <w:rFonts w:ascii="宋体"/>
                <w:kern w:val="0"/>
              </w:rPr>
            </w:pPr>
            <w:r>
              <w:rPr>
                <w:rFonts w:hint="eastAsia" w:ascii="宋体"/>
                <w:kern w:val="0"/>
              </w:rPr>
              <w:t>排放量0.05T(或M³）以上0.1T(或M³）及以下</w:t>
            </w:r>
          </w:p>
        </w:tc>
        <w:tc>
          <w:tcPr>
            <w:tcW w:w="8602" w:type="dxa"/>
            <w:tcBorders>
              <w:top w:val="single" w:color="auto" w:sz="4" w:space="0"/>
              <w:bottom w:val="single" w:color="auto" w:sz="4" w:space="0"/>
              <w:right w:val="single" w:color="auto" w:sz="4" w:space="0"/>
            </w:tcBorders>
            <w:vAlign w:val="center"/>
          </w:tcPr>
          <w:p w14:paraId="190586B0">
            <w:pPr>
              <w:widowControl/>
              <w:spacing w:line="240" w:lineRule="exact"/>
              <w:jc w:val="center"/>
              <w:rPr>
                <w:rFonts w:ascii="宋体"/>
                <w:kern w:val="0"/>
              </w:rPr>
            </w:pPr>
            <w:r>
              <w:rPr>
                <w:rFonts w:hint="eastAsia" w:ascii="宋体"/>
                <w:kern w:val="0"/>
              </w:rPr>
              <w:t>4-5万元</w:t>
            </w:r>
          </w:p>
        </w:tc>
      </w:tr>
      <w:tr w14:paraId="31A8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275" w:type="dxa"/>
            <w:vMerge w:val="continue"/>
            <w:vAlign w:val="center"/>
          </w:tcPr>
          <w:p w14:paraId="55256D7F">
            <w:pPr>
              <w:spacing w:line="240" w:lineRule="exact"/>
              <w:jc w:val="center"/>
              <w:rPr>
                <w:rFonts w:ascii="宋体"/>
              </w:rPr>
            </w:pPr>
          </w:p>
        </w:tc>
        <w:tc>
          <w:tcPr>
            <w:tcW w:w="1275" w:type="dxa"/>
            <w:vMerge w:val="continue"/>
            <w:vAlign w:val="center"/>
          </w:tcPr>
          <w:p w14:paraId="11F5DB70">
            <w:pPr>
              <w:widowControl/>
              <w:spacing w:line="240" w:lineRule="exact"/>
              <w:jc w:val="center"/>
              <w:rPr>
                <w:rFonts w:ascii="宋体"/>
              </w:rPr>
            </w:pPr>
          </w:p>
        </w:tc>
        <w:tc>
          <w:tcPr>
            <w:tcW w:w="1843" w:type="dxa"/>
            <w:vMerge w:val="continue"/>
            <w:vAlign w:val="center"/>
          </w:tcPr>
          <w:p w14:paraId="77C84648">
            <w:pPr>
              <w:spacing w:line="240" w:lineRule="exact"/>
              <w:jc w:val="center"/>
              <w:rPr>
                <w:rFonts w:ascii="宋体"/>
              </w:rPr>
            </w:pPr>
          </w:p>
        </w:tc>
        <w:tc>
          <w:tcPr>
            <w:tcW w:w="1244" w:type="dxa"/>
            <w:vMerge w:val="continue"/>
            <w:vAlign w:val="center"/>
          </w:tcPr>
          <w:p w14:paraId="3406961C">
            <w:pPr>
              <w:spacing w:line="240" w:lineRule="exact"/>
              <w:jc w:val="center"/>
              <w:rPr>
                <w:rFonts w:ascii="宋体"/>
              </w:rPr>
            </w:pPr>
          </w:p>
        </w:tc>
        <w:tc>
          <w:tcPr>
            <w:tcW w:w="5006" w:type="dxa"/>
            <w:tcBorders>
              <w:top w:val="single" w:color="auto" w:sz="4" w:space="0"/>
              <w:bottom w:val="single" w:color="auto" w:sz="4" w:space="0"/>
              <w:right w:val="single" w:color="auto" w:sz="4" w:space="0"/>
            </w:tcBorders>
            <w:vAlign w:val="center"/>
          </w:tcPr>
          <w:p w14:paraId="019D9827">
            <w:pPr>
              <w:widowControl/>
              <w:spacing w:line="240" w:lineRule="exact"/>
              <w:jc w:val="left"/>
              <w:rPr>
                <w:rFonts w:ascii="宋体"/>
                <w:kern w:val="0"/>
              </w:rPr>
            </w:pPr>
            <w:r>
              <w:rPr>
                <w:rFonts w:hint="eastAsia" w:ascii="宋体"/>
                <w:kern w:val="0"/>
              </w:rPr>
              <w:t>排放量0.1T(或M³）以上0.5T(或M³）及以下</w:t>
            </w:r>
          </w:p>
        </w:tc>
        <w:tc>
          <w:tcPr>
            <w:tcW w:w="8602" w:type="dxa"/>
            <w:tcBorders>
              <w:top w:val="single" w:color="auto" w:sz="4" w:space="0"/>
              <w:bottom w:val="single" w:color="auto" w:sz="4" w:space="0"/>
              <w:right w:val="single" w:color="auto" w:sz="4" w:space="0"/>
            </w:tcBorders>
            <w:vAlign w:val="center"/>
          </w:tcPr>
          <w:p w14:paraId="0A355C04">
            <w:pPr>
              <w:widowControl/>
              <w:spacing w:line="240" w:lineRule="exact"/>
              <w:jc w:val="center"/>
              <w:rPr>
                <w:rFonts w:ascii="宋体"/>
                <w:kern w:val="0"/>
              </w:rPr>
            </w:pPr>
            <w:r>
              <w:rPr>
                <w:rFonts w:hint="eastAsia" w:ascii="宋体"/>
                <w:kern w:val="0"/>
              </w:rPr>
              <w:t>5-6万元</w:t>
            </w:r>
          </w:p>
        </w:tc>
      </w:tr>
      <w:tr w14:paraId="46BE3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14:paraId="35A541C5">
            <w:pPr>
              <w:spacing w:line="240" w:lineRule="exact"/>
              <w:jc w:val="center"/>
              <w:rPr>
                <w:rFonts w:ascii="宋体"/>
              </w:rPr>
            </w:pPr>
          </w:p>
        </w:tc>
        <w:tc>
          <w:tcPr>
            <w:tcW w:w="1275" w:type="dxa"/>
            <w:vMerge w:val="continue"/>
            <w:vAlign w:val="center"/>
          </w:tcPr>
          <w:p w14:paraId="39542FE3">
            <w:pPr>
              <w:spacing w:line="240" w:lineRule="exact"/>
              <w:jc w:val="center"/>
              <w:rPr>
                <w:rFonts w:ascii="宋体"/>
              </w:rPr>
            </w:pPr>
          </w:p>
        </w:tc>
        <w:tc>
          <w:tcPr>
            <w:tcW w:w="1843" w:type="dxa"/>
            <w:vMerge w:val="continue"/>
            <w:vAlign w:val="center"/>
          </w:tcPr>
          <w:p w14:paraId="29BBC46E">
            <w:pPr>
              <w:spacing w:line="240" w:lineRule="exact"/>
              <w:jc w:val="center"/>
              <w:rPr>
                <w:rFonts w:ascii="宋体"/>
              </w:rPr>
            </w:pPr>
          </w:p>
        </w:tc>
        <w:tc>
          <w:tcPr>
            <w:tcW w:w="1244" w:type="dxa"/>
            <w:vMerge w:val="continue"/>
            <w:vAlign w:val="center"/>
          </w:tcPr>
          <w:p w14:paraId="4298A4DF">
            <w:pPr>
              <w:spacing w:line="240" w:lineRule="exact"/>
              <w:jc w:val="center"/>
              <w:rPr>
                <w:rFonts w:ascii="宋体"/>
              </w:rPr>
            </w:pPr>
          </w:p>
        </w:tc>
        <w:tc>
          <w:tcPr>
            <w:tcW w:w="5006" w:type="dxa"/>
            <w:tcBorders>
              <w:top w:val="single" w:color="auto" w:sz="4" w:space="0"/>
              <w:right w:val="single" w:color="auto" w:sz="4" w:space="0"/>
            </w:tcBorders>
            <w:vAlign w:val="center"/>
          </w:tcPr>
          <w:p w14:paraId="1335E1F0">
            <w:pPr>
              <w:widowControl/>
              <w:spacing w:line="240" w:lineRule="exact"/>
              <w:jc w:val="left"/>
              <w:rPr>
                <w:rFonts w:ascii="宋体"/>
                <w:kern w:val="0"/>
              </w:rPr>
            </w:pPr>
            <w:r>
              <w:rPr>
                <w:rFonts w:hint="eastAsia" w:ascii="宋体"/>
                <w:kern w:val="0"/>
              </w:rPr>
              <w:t>排放量0.5T(或M³）以上1T(或M³）及以下</w:t>
            </w:r>
          </w:p>
        </w:tc>
        <w:tc>
          <w:tcPr>
            <w:tcW w:w="8602" w:type="dxa"/>
            <w:tcBorders>
              <w:top w:val="single" w:color="auto" w:sz="4" w:space="0"/>
              <w:right w:val="single" w:color="auto" w:sz="4" w:space="0"/>
            </w:tcBorders>
            <w:vAlign w:val="center"/>
          </w:tcPr>
          <w:p w14:paraId="192FF7DF">
            <w:pPr>
              <w:widowControl/>
              <w:spacing w:line="240" w:lineRule="exact"/>
              <w:jc w:val="center"/>
              <w:rPr>
                <w:rFonts w:ascii="宋体"/>
                <w:kern w:val="0"/>
              </w:rPr>
            </w:pPr>
            <w:r>
              <w:rPr>
                <w:rFonts w:hint="eastAsia" w:ascii="宋体"/>
                <w:kern w:val="0"/>
              </w:rPr>
              <w:t>6-7万元</w:t>
            </w:r>
          </w:p>
        </w:tc>
      </w:tr>
      <w:tr w14:paraId="25CB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1275" w:type="dxa"/>
            <w:vMerge w:val="continue"/>
            <w:vAlign w:val="center"/>
          </w:tcPr>
          <w:p w14:paraId="5F9B91FA">
            <w:pPr>
              <w:spacing w:line="240" w:lineRule="exact"/>
              <w:jc w:val="center"/>
              <w:rPr>
                <w:rFonts w:ascii="宋体"/>
              </w:rPr>
            </w:pPr>
          </w:p>
        </w:tc>
        <w:tc>
          <w:tcPr>
            <w:tcW w:w="1275" w:type="dxa"/>
            <w:vMerge w:val="continue"/>
            <w:vAlign w:val="center"/>
          </w:tcPr>
          <w:p w14:paraId="673DBC30">
            <w:pPr>
              <w:spacing w:line="240" w:lineRule="exact"/>
              <w:jc w:val="center"/>
              <w:rPr>
                <w:rFonts w:ascii="宋体"/>
              </w:rPr>
            </w:pPr>
          </w:p>
        </w:tc>
        <w:tc>
          <w:tcPr>
            <w:tcW w:w="1843" w:type="dxa"/>
            <w:vMerge w:val="continue"/>
            <w:vAlign w:val="center"/>
          </w:tcPr>
          <w:p w14:paraId="21127D4D">
            <w:pPr>
              <w:spacing w:line="240" w:lineRule="exact"/>
              <w:jc w:val="center"/>
              <w:rPr>
                <w:rFonts w:ascii="宋体"/>
              </w:rPr>
            </w:pPr>
          </w:p>
        </w:tc>
        <w:tc>
          <w:tcPr>
            <w:tcW w:w="1244" w:type="dxa"/>
            <w:vMerge w:val="continue"/>
            <w:vAlign w:val="center"/>
          </w:tcPr>
          <w:p w14:paraId="50C95CE0">
            <w:pPr>
              <w:spacing w:line="240" w:lineRule="exact"/>
              <w:jc w:val="center"/>
              <w:rPr>
                <w:rFonts w:ascii="宋体"/>
              </w:rPr>
            </w:pPr>
          </w:p>
        </w:tc>
        <w:tc>
          <w:tcPr>
            <w:tcW w:w="5006" w:type="dxa"/>
            <w:tcBorders>
              <w:top w:val="single" w:color="auto" w:sz="4" w:space="0"/>
              <w:right w:val="single" w:color="auto" w:sz="4" w:space="0"/>
            </w:tcBorders>
            <w:vAlign w:val="center"/>
          </w:tcPr>
          <w:p w14:paraId="1FAFBC74">
            <w:pPr>
              <w:widowControl/>
              <w:spacing w:line="240" w:lineRule="exact"/>
              <w:jc w:val="left"/>
              <w:rPr>
                <w:rFonts w:ascii="宋体"/>
                <w:kern w:val="0"/>
              </w:rPr>
            </w:pPr>
            <w:r>
              <w:rPr>
                <w:rFonts w:hint="eastAsia" w:ascii="宋体"/>
                <w:kern w:val="0"/>
              </w:rPr>
              <w:t>排放量1T(或M³）以上2T (或M³）及以下</w:t>
            </w:r>
          </w:p>
        </w:tc>
        <w:tc>
          <w:tcPr>
            <w:tcW w:w="8602" w:type="dxa"/>
            <w:tcBorders>
              <w:top w:val="single" w:color="auto" w:sz="4" w:space="0"/>
              <w:right w:val="single" w:color="auto" w:sz="4" w:space="0"/>
            </w:tcBorders>
            <w:vAlign w:val="center"/>
          </w:tcPr>
          <w:p w14:paraId="0D040B28">
            <w:pPr>
              <w:widowControl/>
              <w:spacing w:line="240" w:lineRule="exact"/>
              <w:jc w:val="center"/>
              <w:rPr>
                <w:rFonts w:ascii="宋体"/>
                <w:kern w:val="0"/>
              </w:rPr>
            </w:pPr>
            <w:r>
              <w:rPr>
                <w:rFonts w:hint="eastAsia" w:ascii="宋体"/>
                <w:kern w:val="0"/>
              </w:rPr>
              <w:t>7-8万元</w:t>
            </w:r>
          </w:p>
        </w:tc>
      </w:tr>
      <w:tr w14:paraId="0354A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275" w:type="dxa"/>
            <w:vMerge w:val="continue"/>
            <w:vAlign w:val="center"/>
          </w:tcPr>
          <w:p w14:paraId="50FF87E4">
            <w:pPr>
              <w:spacing w:line="240" w:lineRule="exact"/>
              <w:jc w:val="center"/>
              <w:rPr>
                <w:rFonts w:ascii="宋体"/>
              </w:rPr>
            </w:pPr>
          </w:p>
        </w:tc>
        <w:tc>
          <w:tcPr>
            <w:tcW w:w="1275" w:type="dxa"/>
            <w:vMerge w:val="continue"/>
            <w:vAlign w:val="center"/>
          </w:tcPr>
          <w:p w14:paraId="7BB5EB7F">
            <w:pPr>
              <w:spacing w:line="240" w:lineRule="exact"/>
              <w:jc w:val="center"/>
              <w:rPr>
                <w:rFonts w:ascii="宋体"/>
              </w:rPr>
            </w:pPr>
          </w:p>
        </w:tc>
        <w:tc>
          <w:tcPr>
            <w:tcW w:w="1843" w:type="dxa"/>
            <w:vMerge w:val="continue"/>
            <w:vAlign w:val="center"/>
          </w:tcPr>
          <w:p w14:paraId="66B8552E">
            <w:pPr>
              <w:spacing w:line="240" w:lineRule="exact"/>
              <w:jc w:val="center"/>
              <w:rPr>
                <w:rFonts w:ascii="宋体"/>
              </w:rPr>
            </w:pPr>
          </w:p>
        </w:tc>
        <w:tc>
          <w:tcPr>
            <w:tcW w:w="1244" w:type="dxa"/>
            <w:vMerge w:val="continue"/>
            <w:tcBorders>
              <w:bottom w:val="single" w:color="auto" w:sz="4" w:space="0"/>
            </w:tcBorders>
            <w:vAlign w:val="center"/>
          </w:tcPr>
          <w:p w14:paraId="0A4841D7">
            <w:pPr>
              <w:spacing w:line="240" w:lineRule="exact"/>
              <w:jc w:val="center"/>
              <w:rPr>
                <w:rFonts w:ascii="宋体"/>
              </w:rPr>
            </w:pPr>
          </w:p>
        </w:tc>
        <w:tc>
          <w:tcPr>
            <w:tcW w:w="5006" w:type="dxa"/>
            <w:tcBorders>
              <w:top w:val="single" w:color="auto" w:sz="4" w:space="0"/>
              <w:bottom w:val="single" w:color="auto" w:sz="4" w:space="0"/>
            </w:tcBorders>
            <w:vAlign w:val="center"/>
          </w:tcPr>
          <w:p w14:paraId="5B652C78">
            <w:pPr>
              <w:widowControl/>
              <w:spacing w:line="240" w:lineRule="exact"/>
              <w:jc w:val="left"/>
              <w:rPr>
                <w:rFonts w:ascii="宋体"/>
                <w:kern w:val="0"/>
              </w:rPr>
            </w:pPr>
            <w:r>
              <w:rPr>
                <w:rFonts w:hint="eastAsia" w:ascii="宋体"/>
                <w:kern w:val="0"/>
              </w:rPr>
              <w:t>1.排放量2T(或M³）以上；</w:t>
            </w:r>
          </w:p>
          <w:p w14:paraId="1FD5E033">
            <w:pPr>
              <w:widowControl/>
              <w:spacing w:line="240" w:lineRule="exact"/>
              <w:jc w:val="left"/>
              <w:rPr>
                <w:rFonts w:ascii="宋体"/>
                <w:kern w:val="0"/>
              </w:rPr>
            </w:pPr>
            <w:r>
              <w:rPr>
                <w:rFonts w:hint="eastAsia" w:ascii="宋体"/>
                <w:kern w:val="0"/>
              </w:rPr>
              <w:t>2.具有其他较重情节的。</w:t>
            </w:r>
          </w:p>
        </w:tc>
        <w:tc>
          <w:tcPr>
            <w:tcW w:w="8602" w:type="dxa"/>
            <w:tcBorders>
              <w:right w:val="single" w:color="auto" w:sz="4" w:space="0"/>
            </w:tcBorders>
            <w:vAlign w:val="center"/>
          </w:tcPr>
          <w:p w14:paraId="663979C6">
            <w:pPr>
              <w:widowControl/>
              <w:spacing w:line="240" w:lineRule="exact"/>
              <w:jc w:val="center"/>
              <w:rPr>
                <w:rFonts w:ascii="宋体"/>
                <w:kern w:val="0"/>
              </w:rPr>
            </w:pPr>
            <w:r>
              <w:rPr>
                <w:rFonts w:hint="eastAsia" w:ascii="宋体"/>
                <w:kern w:val="0"/>
              </w:rPr>
              <w:t>8-10万元</w:t>
            </w:r>
          </w:p>
        </w:tc>
      </w:tr>
      <w:tr w14:paraId="4E64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atLeast"/>
        </w:trPr>
        <w:tc>
          <w:tcPr>
            <w:tcW w:w="19245" w:type="dxa"/>
            <w:gridSpan w:val="6"/>
            <w:tcBorders>
              <w:right w:val="single" w:color="auto" w:sz="4" w:space="0"/>
            </w:tcBorders>
            <w:vAlign w:val="center"/>
          </w:tcPr>
          <w:p w14:paraId="775FDD72">
            <w:pPr>
              <w:widowControl/>
              <w:spacing w:line="240" w:lineRule="exact"/>
              <w:jc w:val="left"/>
              <w:rPr>
                <w:rFonts w:ascii="宋体"/>
                <w:bCs/>
                <w:kern w:val="0"/>
              </w:rPr>
            </w:pPr>
            <w:r>
              <w:rPr>
                <w:rFonts w:hint="eastAsia" w:ascii="宋体"/>
                <w:bCs/>
                <w:kern w:val="0"/>
              </w:rPr>
              <w:t>注：</w:t>
            </w:r>
          </w:p>
          <w:p w14:paraId="64F21F61">
            <w:pPr>
              <w:widowControl/>
              <w:spacing w:line="240" w:lineRule="exact"/>
              <w:jc w:val="left"/>
              <w:rPr>
                <w:rFonts w:ascii="宋体"/>
                <w:bCs/>
                <w:kern w:val="0"/>
              </w:rPr>
            </w:pPr>
            <w:r>
              <w:rPr>
                <w:rFonts w:hint="eastAsia" w:ascii="宋体"/>
                <w:bCs/>
                <w:kern w:val="0"/>
              </w:rPr>
              <w:t>1、对污染物中含有大量水分的含水混合物（如洗舱水、舱底水等含水混合物），裁量时污染物的实际排放量按含水混合物排放量除以100计算。</w:t>
            </w:r>
          </w:p>
          <w:p w14:paraId="46BA65CA">
            <w:pPr>
              <w:widowControl/>
              <w:spacing w:line="240" w:lineRule="exact"/>
              <w:jc w:val="left"/>
              <w:rPr>
                <w:rFonts w:ascii="宋体"/>
                <w:kern w:val="0"/>
              </w:rPr>
            </w:pPr>
            <w:r>
              <w:rPr>
                <w:rFonts w:hint="eastAsia" w:ascii="宋体"/>
                <w:bCs/>
                <w:kern w:val="0"/>
              </w:rPr>
              <w:t>2、排放污染物属于液态混合物的，按“M³”计，属于固态物质的，按“T”计。</w:t>
            </w:r>
          </w:p>
        </w:tc>
      </w:tr>
    </w:tbl>
    <w:p w14:paraId="39615879">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2"/>
        <w:gridCol w:w="1770"/>
        <w:gridCol w:w="1995"/>
        <w:gridCol w:w="1890"/>
        <w:gridCol w:w="4215"/>
        <w:gridCol w:w="8450"/>
      </w:tblGrid>
      <w:tr w14:paraId="7503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2" w:type="dxa"/>
            <w:vMerge w:val="restart"/>
            <w:vAlign w:val="center"/>
          </w:tcPr>
          <w:p w14:paraId="2873BCB5">
            <w:pPr>
              <w:spacing w:line="240" w:lineRule="exact"/>
              <w:jc w:val="center"/>
              <w:rPr>
                <w:rFonts w:ascii="宋体"/>
                <w:b/>
              </w:rPr>
            </w:pPr>
            <w:r>
              <w:rPr>
                <w:rFonts w:hint="eastAsia" w:ascii="宋体"/>
                <w:b/>
              </w:rPr>
              <w:t>案由83</w:t>
            </w:r>
          </w:p>
        </w:tc>
        <w:tc>
          <w:tcPr>
            <w:tcW w:w="3765" w:type="dxa"/>
            <w:gridSpan w:val="2"/>
            <w:vAlign w:val="center"/>
          </w:tcPr>
          <w:p w14:paraId="5FD4E377">
            <w:pPr>
              <w:spacing w:line="240" w:lineRule="exact"/>
              <w:jc w:val="center"/>
              <w:rPr>
                <w:rFonts w:ascii="宋体"/>
                <w:b/>
              </w:rPr>
            </w:pPr>
            <w:r>
              <w:rPr>
                <w:rFonts w:hint="eastAsia" w:ascii="宋体"/>
                <w:b/>
              </w:rPr>
              <w:t>法律依据</w:t>
            </w:r>
          </w:p>
        </w:tc>
        <w:tc>
          <w:tcPr>
            <w:tcW w:w="1890" w:type="dxa"/>
            <w:vMerge w:val="restart"/>
            <w:vAlign w:val="center"/>
          </w:tcPr>
          <w:p w14:paraId="13F4F7D3">
            <w:pPr>
              <w:spacing w:line="240" w:lineRule="exact"/>
              <w:jc w:val="center"/>
              <w:rPr>
                <w:rFonts w:ascii="宋体"/>
                <w:b/>
              </w:rPr>
            </w:pPr>
            <w:r>
              <w:rPr>
                <w:rFonts w:hint="eastAsia" w:ascii="宋体"/>
                <w:b/>
              </w:rPr>
              <w:t>违法情节</w:t>
            </w:r>
          </w:p>
        </w:tc>
        <w:tc>
          <w:tcPr>
            <w:tcW w:w="4215" w:type="dxa"/>
            <w:vMerge w:val="restart"/>
            <w:vAlign w:val="center"/>
          </w:tcPr>
          <w:p w14:paraId="1F412B99">
            <w:pPr>
              <w:spacing w:line="240" w:lineRule="exact"/>
              <w:jc w:val="center"/>
              <w:rPr>
                <w:rFonts w:ascii="宋体"/>
                <w:b/>
              </w:rPr>
            </w:pPr>
            <w:r>
              <w:rPr>
                <w:rFonts w:hint="eastAsia" w:ascii="宋体"/>
                <w:b/>
              </w:rPr>
              <w:t>主要考虑因素（事实、性质、情节、危害程度和实际后果等）</w:t>
            </w:r>
          </w:p>
        </w:tc>
        <w:tc>
          <w:tcPr>
            <w:tcW w:w="8450" w:type="dxa"/>
            <w:tcBorders>
              <w:right w:val="single" w:color="auto" w:sz="4" w:space="0"/>
            </w:tcBorders>
            <w:vAlign w:val="center"/>
          </w:tcPr>
          <w:p w14:paraId="003E5E30">
            <w:pPr>
              <w:spacing w:line="240" w:lineRule="exact"/>
              <w:jc w:val="left"/>
              <w:rPr>
                <w:rFonts w:ascii="宋体"/>
                <w:b/>
              </w:rPr>
            </w:pPr>
            <w:r>
              <w:rPr>
                <w:rFonts w:hint="eastAsia" w:ascii="宋体"/>
                <w:b/>
              </w:rPr>
              <w:t>【法定幅度和种类】</w:t>
            </w:r>
            <w:r>
              <w:rPr>
                <w:rFonts w:hint="eastAsia" w:ascii="宋体"/>
                <w:bCs/>
              </w:rPr>
              <w:t>予以警告，情节严重的，处2万元以下的罚款。</w:t>
            </w:r>
          </w:p>
        </w:tc>
      </w:tr>
      <w:tr w14:paraId="2E44C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492" w:type="dxa"/>
            <w:vMerge w:val="continue"/>
            <w:vAlign w:val="center"/>
          </w:tcPr>
          <w:p w14:paraId="78B41806">
            <w:pPr>
              <w:spacing w:line="240" w:lineRule="exact"/>
              <w:jc w:val="center"/>
              <w:rPr>
                <w:rFonts w:ascii="宋体"/>
                <w:b/>
              </w:rPr>
            </w:pPr>
          </w:p>
        </w:tc>
        <w:tc>
          <w:tcPr>
            <w:tcW w:w="1770" w:type="dxa"/>
            <w:vAlign w:val="center"/>
          </w:tcPr>
          <w:p w14:paraId="20754C7D">
            <w:pPr>
              <w:spacing w:line="240" w:lineRule="exact"/>
              <w:jc w:val="center"/>
              <w:rPr>
                <w:rFonts w:ascii="宋体"/>
                <w:b/>
              </w:rPr>
            </w:pPr>
            <w:r>
              <w:rPr>
                <w:rFonts w:hint="eastAsia" w:ascii="宋体"/>
                <w:b/>
              </w:rPr>
              <w:t>违反条款</w:t>
            </w:r>
          </w:p>
        </w:tc>
        <w:tc>
          <w:tcPr>
            <w:tcW w:w="1995" w:type="dxa"/>
            <w:vAlign w:val="center"/>
          </w:tcPr>
          <w:p w14:paraId="20D25AB1">
            <w:pPr>
              <w:spacing w:line="240" w:lineRule="exact"/>
              <w:jc w:val="center"/>
              <w:rPr>
                <w:rFonts w:ascii="宋体"/>
                <w:b/>
              </w:rPr>
            </w:pPr>
            <w:r>
              <w:rPr>
                <w:rFonts w:hint="eastAsia" w:ascii="宋体"/>
                <w:b/>
              </w:rPr>
              <w:t>处罚依据</w:t>
            </w:r>
          </w:p>
        </w:tc>
        <w:tc>
          <w:tcPr>
            <w:tcW w:w="1890" w:type="dxa"/>
            <w:vMerge w:val="continue"/>
            <w:vAlign w:val="center"/>
          </w:tcPr>
          <w:p w14:paraId="3CC955FD">
            <w:pPr>
              <w:spacing w:line="240" w:lineRule="exact"/>
              <w:jc w:val="center"/>
              <w:rPr>
                <w:rFonts w:ascii="宋体"/>
                <w:b/>
              </w:rPr>
            </w:pPr>
          </w:p>
        </w:tc>
        <w:tc>
          <w:tcPr>
            <w:tcW w:w="4215" w:type="dxa"/>
            <w:vMerge w:val="continue"/>
            <w:vAlign w:val="center"/>
          </w:tcPr>
          <w:p w14:paraId="072D768C">
            <w:pPr>
              <w:spacing w:line="240" w:lineRule="exact"/>
              <w:jc w:val="center"/>
              <w:rPr>
                <w:rFonts w:ascii="宋体"/>
                <w:b/>
              </w:rPr>
            </w:pPr>
          </w:p>
        </w:tc>
        <w:tc>
          <w:tcPr>
            <w:tcW w:w="8450" w:type="dxa"/>
            <w:tcBorders>
              <w:top w:val="single" w:color="auto" w:sz="4" w:space="0"/>
              <w:bottom w:val="single" w:color="auto" w:sz="4" w:space="0"/>
              <w:right w:val="single" w:color="auto" w:sz="4" w:space="0"/>
            </w:tcBorders>
            <w:vAlign w:val="center"/>
          </w:tcPr>
          <w:p w14:paraId="6B7F8C48">
            <w:pPr>
              <w:spacing w:line="240" w:lineRule="exact"/>
              <w:jc w:val="center"/>
              <w:rPr>
                <w:rFonts w:ascii="宋体"/>
                <w:b/>
              </w:rPr>
            </w:pPr>
            <w:r>
              <w:rPr>
                <w:rFonts w:hint="eastAsia" w:ascii="宋体"/>
                <w:b/>
              </w:rPr>
              <w:t>【对象】船舶所有人或经营人</w:t>
            </w:r>
          </w:p>
        </w:tc>
      </w:tr>
      <w:tr w14:paraId="44A3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1492" w:type="dxa"/>
            <w:vMerge w:val="restart"/>
            <w:vAlign w:val="center"/>
          </w:tcPr>
          <w:p w14:paraId="1CB40259">
            <w:pPr>
              <w:spacing w:line="240" w:lineRule="exact"/>
              <w:jc w:val="left"/>
              <w:rPr>
                <w:rFonts w:ascii="宋体"/>
              </w:rPr>
            </w:pPr>
            <w:r>
              <w:rPr>
                <w:rFonts w:hint="eastAsia" w:ascii="宋体"/>
              </w:rPr>
              <w:t>船舶从事作业活动，未按照规定将有关情况向海事管理机构报告的</w:t>
            </w:r>
          </w:p>
        </w:tc>
        <w:tc>
          <w:tcPr>
            <w:tcW w:w="1770" w:type="dxa"/>
            <w:vMerge w:val="restart"/>
            <w:vAlign w:val="center"/>
          </w:tcPr>
          <w:p w14:paraId="6BCB7437">
            <w:pPr>
              <w:widowControl/>
              <w:spacing w:line="240" w:lineRule="exact"/>
              <w:jc w:val="left"/>
              <w:rPr>
                <w:rFonts w:ascii="宋体"/>
                <w:kern w:val="0"/>
              </w:rPr>
            </w:pPr>
            <w:r>
              <w:rPr>
                <w:rFonts w:hint="eastAsia" w:ascii="宋体"/>
              </w:rPr>
              <w:t>1.《中华人民共和国船舶及其有关作业活动污染海洋环境防治管理规定》第九条。</w:t>
            </w:r>
          </w:p>
        </w:tc>
        <w:tc>
          <w:tcPr>
            <w:tcW w:w="1995" w:type="dxa"/>
            <w:vMerge w:val="restart"/>
            <w:vAlign w:val="center"/>
          </w:tcPr>
          <w:p w14:paraId="19D20496">
            <w:pPr>
              <w:widowControl/>
              <w:numPr>
                <w:ilvl w:val="0"/>
                <w:numId w:val="15"/>
              </w:numPr>
              <w:spacing w:line="240" w:lineRule="exact"/>
              <w:jc w:val="left"/>
              <w:rPr>
                <w:rFonts w:ascii="宋体"/>
              </w:rPr>
            </w:pPr>
            <w:r>
              <w:rPr>
                <w:rFonts w:hint="eastAsia" w:ascii="宋体"/>
              </w:rPr>
              <w:t>《中华人民共和国船舶及其有关作业活动污染海洋环境防治管理规定》第五十二条。</w:t>
            </w:r>
          </w:p>
          <w:p w14:paraId="04C54445">
            <w:pPr>
              <w:spacing w:line="240" w:lineRule="exact"/>
              <w:jc w:val="left"/>
              <w:rPr>
                <w:rFonts w:ascii="宋体"/>
              </w:rPr>
            </w:pPr>
            <w:r>
              <w:rPr>
                <w:rFonts w:hint="eastAsia" w:ascii="宋体"/>
              </w:rPr>
              <w:t>2. 《中华人民共和国海上海事行政处罚规定》第七条</w:t>
            </w:r>
          </w:p>
        </w:tc>
        <w:tc>
          <w:tcPr>
            <w:tcW w:w="1890" w:type="dxa"/>
            <w:vAlign w:val="center"/>
          </w:tcPr>
          <w:p w14:paraId="45CD0FDA">
            <w:pPr>
              <w:spacing w:line="240" w:lineRule="exact"/>
              <w:jc w:val="center"/>
              <w:rPr>
                <w:rFonts w:ascii="宋体"/>
              </w:rPr>
            </w:pPr>
            <w:r>
              <w:rPr>
                <w:rFonts w:hint="eastAsia" w:ascii="宋体"/>
              </w:rPr>
              <w:t>一般</w:t>
            </w:r>
          </w:p>
        </w:tc>
        <w:tc>
          <w:tcPr>
            <w:tcW w:w="4215" w:type="dxa"/>
            <w:vAlign w:val="center"/>
          </w:tcPr>
          <w:p w14:paraId="42CC28DE">
            <w:pPr>
              <w:widowControl/>
              <w:spacing w:line="240" w:lineRule="exact"/>
              <w:jc w:val="left"/>
              <w:rPr>
                <w:rFonts w:ascii="宋体"/>
                <w:kern w:val="0"/>
              </w:rPr>
            </w:pPr>
            <w:r>
              <w:rPr>
                <w:rFonts w:hint="eastAsia" w:ascii="宋体"/>
                <w:kern w:val="0"/>
              </w:rPr>
              <w:t>不存在严重情节的</w:t>
            </w:r>
          </w:p>
        </w:tc>
        <w:tc>
          <w:tcPr>
            <w:tcW w:w="8450" w:type="dxa"/>
            <w:tcBorders>
              <w:bottom w:val="single" w:color="auto" w:sz="4" w:space="0"/>
              <w:right w:val="single" w:color="auto" w:sz="4" w:space="0"/>
            </w:tcBorders>
            <w:vAlign w:val="center"/>
          </w:tcPr>
          <w:p w14:paraId="35655ECA">
            <w:pPr>
              <w:widowControl/>
              <w:spacing w:line="240" w:lineRule="exact"/>
              <w:jc w:val="center"/>
              <w:rPr>
                <w:rFonts w:ascii="宋体"/>
                <w:kern w:val="0"/>
              </w:rPr>
            </w:pPr>
            <w:r>
              <w:rPr>
                <w:rFonts w:hint="eastAsia" w:ascii="宋体"/>
                <w:kern w:val="0"/>
              </w:rPr>
              <w:t>警告</w:t>
            </w:r>
          </w:p>
        </w:tc>
      </w:tr>
      <w:tr w14:paraId="4713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492" w:type="dxa"/>
            <w:vMerge w:val="continue"/>
            <w:vAlign w:val="center"/>
          </w:tcPr>
          <w:p w14:paraId="2E42C765">
            <w:pPr>
              <w:spacing w:line="240" w:lineRule="exact"/>
              <w:jc w:val="left"/>
              <w:rPr>
                <w:rFonts w:ascii="宋体"/>
              </w:rPr>
            </w:pPr>
          </w:p>
        </w:tc>
        <w:tc>
          <w:tcPr>
            <w:tcW w:w="1770" w:type="dxa"/>
            <w:vMerge w:val="continue"/>
            <w:vAlign w:val="center"/>
          </w:tcPr>
          <w:p w14:paraId="67F41F6A">
            <w:pPr>
              <w:widowControl/>
              <w:spacing w:line="240" w:lineRule="exact"/>
              <w:jc w:val="left"/>
              <w:rPr>
                <w:rFonts w:ascii="宋体"/>
              </w:rPr>
            </w:pPr>
          </w:p>
        </w:tc>
        <w:tc>
          <w:tcPr>
            <w:tcW w:w="1995" w:type="dxa"/>
            <w:vMerge w:val="continue"/>
            <w:vAlign w:val="center"/>
          </w:tcPr>
          <w:p w14:paraId="05036335">
            <w:pPr>
              <w:spacing w:line="240" w:lineRule="exact"/>
              <w:jc w:val="left"/>
              <w:rPr>
                <w:rFonts w:ascii="宋体"/>
              </w:rPr>
            </w:pPr>
          </w:p>
        </w:tc>
        <w:tc>
          <w:tcPr>
            <w:tcW w:w="1890" w:type="dxa"/>
            <w:vMerge w:val="restart"/>
            <w:vAlign w:val="center"/>
          </w:tcPr>
          <w:p w14:paraId="7EA90718">
            <w:pPr>
              <w:spacing w:line="240" w:lineRule="exact"/>
              <w:jc w:val="center"/>
              <w:rPr>
                <w:rFonts w:ascii="宋体"/>
              </w:rPr>
            </w:pPr>
            <w:r>
              <w:rPr>
                <w:rFonts w:hint="eastAsia" w:ascii="宋体"/>
              </w:rPr>
              <w:t>情节严重</w:t>
            </w:r>
          </w:p>
        </w:tc>
        <w:tc>
          <w:tcPr>
            <w:tcW w:w="4215" w:type="dxa"/>
            <w:tcBorders>
              <w:top w:val="single" w:color="auto" w:sz="4" w:space="0"/>
              <w:bottom w:val="single" w:color="auto" w:sz="4" w:space="0"/>
            </w:tcBorders>
            <w:vAlign w:val="center"/>
          </w:tcPr>
          <w:p w14:paraId="03007DAD">
            <w:pPr>
              <w:widowControl/>
              <w:spacing w:line="240" w:lineRule="exact"/>
              <w:jc w:val="left"/>
              <w:rPr>
                <w:rFonts w:ascii="宋体"/>
                <w:kern w:val="0"/>
              </w:rPr>
            </w:pPr>
            <w:r>
              <w:rPr>
                <w:rFonts w:hint="eastAsia" w:ascii="宋体"/>
                <w:kern w:val="0"/>
              </w:rPr>
              <w:t>1次未报告且作业或排放不涉及污染物的；</w:t>
            </w:r>
          </w:p>
        </w:tc>
        <w:tc>
          <w:tcPr>
            <w:tcW w:w="8450" w:type="dxa"/>
            <w:tcBorders>
              <w:right w:val="single" w:color="auto" w:sz="4" w:space="0"/>
            </w:tcBorders>
            <w:vAlign w:val="center"/>
          </w:tcPr>
          <w:p w14:paraId="3D5F4926">
            <w:pPr>
              <w:widowControl/>
              <w:spacing w:line="240" w:lineRule="exact"/>
              <w:jc w:val="center"/>
              <w:rPr>
                <w:rFonts w:ascii="宋体"/>
                <w:kern w:val="0"/>
              </w:rPr>
            </w:pPr>
            <w:r>
              <w:rPr>
                <w:rFonts w:hint="eastAsia" w:ascii="宋体"/>
                <w:kern w:val="0"/>
              </w:rPr>
              <w:t>1000-5000元</w:t>
            </w:r>
          </w:p>
        </w:tc>
      </w:tr>
      <w:tr w14:paraId="5559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492" w:type="dxa"/>
            <w:vMerge w:val="continue"/>
            <w:vAlign w:val="center"/>
          </w:tcPr>
          <w:p w14:paraId="779CDA60">
            <w:pPr>
              <w:spacing w:line="240" w:lineRule="exact"/>
              <w:jc w:val="left"/>
              <w:rPr>
                <w:rFonts w:ascii="宋体"/>
              </w:rPr>
            </w:pPr>
          </w:p>
        </w:tc>
        <w:tc>
          <w:tcPr>
            <w:tcW w:w="1770" w:type="dxa"/>
            <w:vMerge w:val="continue"/>
            <w:vAlign w:val="center"/>
          </w:tcPr>
          <w:p w14:paraId="0B404BFA">
            <w:pPr>
              <w:spacing w:line="240" w:lineRule="exact"/>
              <w:jc w:val="left"/>
              <w:rPr>
                <w:rFonts w:ascii="宋体"/>
              </w:rPr>
            </w:pPr>
          </w:p>
        </w:tc>
        <w:tc>
          <w:tcPr>
            <w:tcW w:w="1995" w:type="dxa"/>
            <w:vMerge w:val="continue"/>
            <w:vAlign w:val="center"/>
          </w:tcPr>
          <w:p w14:paraId="04C1BD54">
            <w:pPr>
              <w:spacing w:line="240" w:lineRule="exact"/>
              <w:jc w:val="left"/>
              <w:rPr>
                <w:rFonts w:ascii="宋体"/>
              </w:rPr>
            </w:pPr>
          </w:p>
        </w:tc>
        <w:tc>
          <w:tcPr>
            <w:tcW w:w="1890" w:type="dxa"/>
            <w:vMerge w:val="continue"/>
            <w:vAlign w:val="center"/>
          </w:tcPr>
          <w:p w14:paraId="11271C3C">
            <w:pPr>
              <w:spacing w:line="240" w:lineRule="exact"/>
              <w:jc w:val="center"/>
              <w:rPr>
                <w:rFonts w:ascii="宋体"/>
              </w:rPr>
            </w:pPr>
          </w:p>
        </w:tc>
        <w:tc>
          <w:tcPr>
            <w:tcW w:w="4215" w:type="dxa"/>
            <w:tcBorders>
              <w:top w:val="single" w:color="auto" w:sz="4" w:space="0"/>
            </w:tcBorders>
            <w:vAlign w:val="center"/>
          </w:tcPr>
          <w:p w14:paraId="743F49F0">
            <w:pPr>
              <w:widowControl/>
              <w:spacing w:line="240" w:lineRule="exact"/>
              <w:jc w:val="left"/>
              <w:rPr>
                <w:rFonts w:ascii="宋体"/>
                <w:kern w:val="0"/>
              </w:rPr>
            </w:pPr>
            <w:r>
              <w:rPr>
                <w:rFonts w:hint="eastAsia" w:ascii="宋体"/>
                <w:kern w:val="0"/>
              </w:rPr>
              <w:t>2次未报告，或排放涉及污染物，但未造成污染的。</w:t>
            </w:r>
          </w:p>
        </w:tc>
        <w:tc>
          <w:tcPr>
            <w:tcW w:w="8450" w:type="dxa"/>
            <w:tcBorders>
              <w:top w:val="single" w:color="auto" w:sz="4" w:space="0"/>
              <w:right w:val="single" w:color="auto" w:sz="4" w:space="0"/>
            </w:tcBorders>
            <w:vAlign w:val="center"/>
          </w:tcPr>
          <w:p w14:paraId="55C17BF7">
            <w:pPr>
              <w:widowControl/>
              <w:spacing w:line="240" w:lineRule="exact"/>
              <w:jc w:val="center"/>
              <w:rPr>
                <w:rFonts w:ascii="宋体"/>
                <w:kern w:val="0"/>
              </w:rPr>
            </w:pPr>
            <w:r>
              <w:rPr>
                <w:rFonts w:hint="eastAsia" w:ascii="宋体"/>
                <w:kern w:val="0"/>
              </w:rPr>
              <w:t>5000元-1万元</w:t>
            </w:r>
          </w:p>
        </w:tc>
      </w:tr>
      <w:tr w14:paraId="09B5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492" w:type="dxa"/>
            <w:vMerge w:val="continue"/>
            <w:vAlign w:val="center"/>
          </w:tcPr>
          <w:p w14:paraId="628C5D62">
            <w:pPr>
              <w:spacing w:line="240" w:lineRule="exact"/>
              <w:jc w:val="left"/>
              <w:rPr>
                <w:rFonts w:ascii="宋体"/>
              </w:rPr>
            </w:pPr>
          </w:p>
        </w:tc>
        <w:tc>
          <w:tcPr>
            <w:tcW w:w="1770" w:type="dxa"/>
            <w:vMerge w:val="continue"/>
            <w:vAlign w:val="center"/>
          </w:tcPr>
          <w:p w14:paraId="5C8645D2">
            <w:pPr>
              <w:spacing w:line="240" w:lineRule="exact"/>
              <w:jc w:val="left"/>
              <w:rPr>
                <w:rFonts w:ascii="宋体"/>
              </w:rPr>
            </w:pPr>
          </w:p>
        </w:tc>
        <w:tc>
          <w:tcPr>
            <w:tcW w:w="1995" w:type="dxa"/>
            <w:vMerge w:val="continue"/>
            <w:vAlign w:val="center"/>
          </w:tcPr>
          <w:p w14:paraId="562F83A7">
            <w:pPr>
              <w:spacing w:line="240" w:lineRule="exact"/>
              <w:jc w:val="left"/>
              <w:rPr>
                <w:rFonts w:ascii="宋体"/>
              </w:rPr>
            </w:pPr>
          </w:p>
        </w:tc>
        <w:tc>
          <w:tcPr>
            <w:tcW w:w="1890" w:type="dxa"/>
            <w:vMerge w:val="continue"/>
            <w:tcBorders>
              <w:bottom w:val="single" w:color="auto" w:sz="4" w:space="0"/>
            </w:tcBorders>
            <w:vAlign w:val="center"/>
          </w:tcPr>
          <w:p w14:paraId="310ED151">
            <w:pPr>
              <w:spacing w:line="240" w:lineRule="exact"/>
              <w:jc w:val="center"/>
              <w:rPr>
                <w:rFonts w:ascii="宋体"/>
              </w:rPr>
            </w:pPr>
          </w:p>
        </w:tc>
        <w:tc>
          <w:tcPr>
            <w:tcW w:w="4215" w:type="dxa"/>
            <w:tcBorders>
              <w:top w:val="single" w:color="auto" w:sz="4" w:space="0"/>
              <w:bottom w:val="single" w:color="auto" w:sz="4" w:space="0"/>
            </w:tcBorders>
            <w:vAlign w:val="center"/>
          </w:tcPr>
          <w:p w14:paraId="24B6984A">
            <w:pPr>
              <w:widowControl/>
              <w:spacing w:line="240" w:lineRule="exact"/>
              <w:jc w:val="left"/>
              <w:rPr>
                <w:rFonts w:ascii="宋体"/>
                <w:kern w:val="0"/>
              </w:rPr>
            </w:pPr>
            <w:r>
              <w:rPr>
                <w:rFonts w:hint="eastAsia" w:ascii="宋体"/>
                <w:kern w:val="0"/>
              </w:rPr>
              <w:t>1.3次及以上未报告；</w:t>
            </w:r>
          </w:p>
          <w:p w14:paraId="1F951998">
            <w:pPr>
              <w:widowControl/>
              <w:spacing w:line="240" w:lineRule="exact"/>
              <w:jc w:val="left"/>
              <w:rPr>
                <w:rFonts w:ascii="宋体"/>
                <w:kern w:val="0"/>
              </w:rPr>
            </w:pPr>
            <w:r>
              <w:rPr>
                <w:rFonts w:hint="eastAsia" w:ascii="宋体"/>
                <w:kern w:val="0"/>
              </w:rPr>
              <w:t xml:space="preserve">2.造成污染的； </w:t>
            </w:r>
          </w:p>
          <w:p w14:paraId="37B25CDC">
            <w:pPr>
              <w:widowControl/>
              <w:spacing w:line="240" w:lineRule="exact"/>
              <w:jc w:val="left"/>
              <w:rPr>
                <w:rFonts w:ascii="宋体"/>
                <w:kern w:val="0"/>
              </w:rPr>
            </w:pPr>
            <w:r>
              <w:rPr>
                <w:rFonts w:hint="eastAsia" w:ascii="宋体"/>
                <w:kern w:val="0"/>
              </w:rPr>
              <w:t>3.具有其他严重情节的。</w:t>
            </w:r>
          </w:p>
        </w:tc>
        <w:tc>
          <w:tcPr>
            <w:tcW w:w="8450" w:type="dxa"/>
            <w:tcBorders>
              <w:top w:val="single" w:color="auto" w:sz="4" w:space="0"/>
              <w:bottom w:val="single" w:color="auto" w:sz="4" w:space="0"/>
              <w:right w:val="single" w:color="auto" w:sz="4" w:space="0"/>
            </w:tcBorders>
            <w:vAlign w:val="center"/>
          </w:tcPr>
          <w:p w14:paraId="40F93878">
            <w:pPr>
              <w:widowControl/>
              <w:spacing w:line="240" w:lineRule="exact"/>
              <w:jc w:val="center"/>
              <w:rPr>
                <w:rFonts w:ascii="宋体"/>
                <w:kern w:val="0"/>
              </w:rPr>
            </w:pPr>
            <w:r>
              <w:rPr>
                <w:rFonts w:hint="eastAsia" w:ascii="宋体"/>
                <w:kern w:val="0"/>
              </w:rPr>
              <w:t>1-2万元</w:t>
            </w:r>
          </w:p>
        </w:tc>
      </w:tr>
    </w:tbl>
    <w:p w14:paraId="275EF1BC">
      <w:pPr>
        <w:widowControl/>
        <w:spacing w:line="240" w:lineRule="exact"/>
        <w:jc w:val="left"/>
        <w:rPr>
          <w:rFonts w:ascii="宋体"/>
          <w:b/>
        </w:rPr>
      </w:pPr>
      <w:r>
        <w:rPr>
          <w:rFonts w:hint="eastAsia"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2050"/>
        <w:gridCol w:w="2160"/>
        <w:gridCol w:w="1425"/>
        <w:gridCol w:w="4170"/>
        <w:gridCol w:w="6330"/>
      </w:tblGrid>
      <w:tr w14:paraId="62AB0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14:paraId="4C49CB7A">
            <w:pPr>
              <w:spacing w:line="240" w:lineRule="exact"/>
              <w:jc w:val="center"/>
              <w:rPr>
                <w:rFonts w:ascii="宋体"/>
                <w:b/>
              </w:rPr>
            </w:pPr>
            <w:r>
              <w:rPr>
                <w:rFonts w:hint="eastAsia" w:ascii="宋体"/>
                <w:b/>
              </w:rPr>
              <w:t>案由84</w:t>
            </w:r>
          </w:p>
        </w:tc>
        <w:tc>
          <w:tcPr>
            <w:tcW w:w="4210" w:type="dxa"/>
            <w:gridSpan w:val="2"/>
            <w:vAlign w:val="center"/>
          </w:tcPr>
          <w:p w14:paraId="31A8854E">
            <w:pPr>
              <w:spacing w:line="240" w:lineRule="exact"/>
              <w:jc w:val="center"/>
              <w:rPr>
                <w:rFonts w:ascii="宋体"/>
                <w:b/>
              </w:rPr>
            </w:pPr>
            <w:r>
              <w:rPr>
                <w:rFonts w:hint="eastAsia" w:ascii="宋体"/>
                <w:b/>
              </w:rPr>
              <w:t>法律依据</w:t>
            </w:r>
          </w:p>
        </w:tc>
        <w:tc>
          <w:tcPr>
            <w:tcW w:w="1425" w:type="dxa"/>
            <w:vMerge w:val="restart"/>
            <w:vAlign w:val="center"/>
          </w:tcPr>
          <w:p w14:paraId="57CE6DA2">
            <w:pPr>
              <w:spacing w:line="240" w:lineRule="exact"/>
              <w:jc w:val="center"/>
              <w:rPr>
                <w:rFonts w:ascii="宋体"/>
                <w:b/>
              </w:rPr>
            </w:pPr>
            <w:r>
              <w:rPr>
                <w:rFonts w:hint="eastAsia" w:ascii="宋体"/>
                <w:b/>
              </w:rPr>
              <w:t>违法情节</w:t>
            </w:r>
          </w:p>
        </w:tc>
        <w:tc>
          <w:tcPr>
            <w:tcW w:w="4170" w:type="dxa"/>
            <w:vMerge w:val="restart"/>
            <w:vAlign w:val="center"/>
          </w:tcPr>
          <w:p w14:paraId="0E8A8407">
            <w:pPr>
              <w:spacing w:line="240" w:lineRule="exact"/>
              <w:jc w:val="center"/>
              <w:rPr>
                <w:rFonts w:ascii="宋体"/>
                <w:b/>
              </w:rPr>
            </w:pPr>
            <w:r>
              <w:rPr>
                <w:rFonts w:hint="eastAsia" w:ascii="宋体"/>
                <w:b/>
              </w:rPr>
              <w:t>主要考虑因素（事实、性质、情节、危害程度和实际后果等）</w:t>
            </w:r>
          </w:p>
        </w:tc>
        <w:tc>
          <w:tcPr>
            <w:tcW w:w="6330" w:type="dxa"/>
            <w:tcBorders>
              <w:right w:val="single" w:color="auto" w:sz="4" w:space="0"/>
            </w:tcBorders>
            <w:vAlign w:val="center"/>
          </w:tcPr>
          <w:p w14:paraId="7AA3DDA7">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14:paraId="0BD4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4D8A592B">
            <w:pPr>
              <w:spacing w:line="240" w:lineRule="exact"/>
              <w:jc w:val="center"/>
              <w:rPr>
                <w:rFonts w:ascii="宋体"/>
                <w:b/>
              </w:rPr>
            </w:pPr>
          </w:p>
        </w:tc>
        <w:tc>
          <w:tcPr>
            <w:tcW w:w="2050" w:type="dxa"/>
            <w:vAlign w:val="center"/>
          </w:tcPr>
          <w:p w14:paraId="1AACE5C2">
            <w:pPr>
              <w:spacing w:line="240" w:lineRule="exact"/>
              <w:jc w:val="center"/>
              <w:rPr>
                <w:rFonts w:ascii="宋体"/>
                <w:b/>
              </w:rPr>
            </w:pPr>
            <w:r>
              <w:rPr>
                <w:rFonts w:hint="eastAsia" w:ascii="宋体"/>
                <w:b/>
              </w:rPr>
              <w:t>违反条款</w:t>
            </w:r>
          </w:p>
        </w:tc>
        <w:tc>
          <w:tcPr>
            <w:tcW w:w="2160" w:type="dxa"/>
            <w:vAlign w:val="center"/>
          </w:tcPr>
          <w:p w14:paraId="1D28438B">
            <w:pPr>
              <w:spacing w:line="240" w:lineRule="exact"/>
              <w:jc w:val="center"/>
              <w:rPr>
                <w:rFonts w:ascii="宋体"/>
                <w:b/>
              </w:rPr>
            </w:pPr>
            <w:r>
              <w:rPr>
                <w:rFonts w:hint="eastAsia" w:ascii="宋体"/>
                <w:b/>
              </w:rPr>
              <w:t>处罚依据</w:t>
            </w:r>
          </w:p>
        </w:tc>
        <w:tc>
          <w:tcPr>
            <w:tcW w:w="1425" w:type="dxa"/>
            <w:vMerge w:val="continue"/>
            <w:vAlign w:val="center"/>
          </w:tcPr>
          <w:p w14:paraId="65F7D5E0">
            <w:pPr>
              <w:spacing w:line="240" w:lineRule="exact"/>
              <w:jc w:val="center"/>
              <w:rPr>
                <w:rFonts w:ascii="宋体"/>
                <w:b/>
              </w:rPr>
            </w:pPr>
          </w:p>
        </w:tc>
        <w:tc>
          <w:tcPr>
            <w:tcW w:w="4170" w:type="dxa"/>
            <w:vMerge w:val="continue"/>
            <w:vAlign w:val="center"/>
          </w:tcPr>
          <w:p w14:paraId="3E314136">
            <w:pPr>
              <w:spacing w:line="240" w:lineRule="exact"/>
              <w:jc w:val="center"/>
              <w:rPr>
                <w:rFonts w:ascii="宋体"/>
                <w:b/>
              </w:rPr>
            </w:pPr>
          </w:p>
        </w:tc>
        <w:tc>
          <w:tcPr>
            <w:tcW w:w="6330" w:type="dxa"/>
            <w:tcBorders>
              <w:top w:val="single" w:color="auto" w:sz="4" w:space="0"/>
              <w:bottom w:val="single" w:color="auto" w:sz="4" w:space="0"/>
              <w:right w:val="single" w:color="auto" w:sz="4" w:space="0"/>
            </w:tcBorders>
            <w:vAlign w:val="center"/>
          </w:tcPr>
          <w:p w14:paraId="70547F27">
            <w:pPr>
              <w:spacing w:line="240" w:lineRule="exact"/>
              <w:jc w:val="center"/>
              <w:rPr>
                <w:rFonts w:ascii="宋体"/>
                <w:b/>
              </w:rPr>
            </w:pPr>
            <w:r>
              <w:rPr>
                <w:rFonts w:hint="eastAsia" w:ascii="宋体"/>
                <w:b/>
              </w:rPr>
              <w:t>【对象】船舶燃油供给单位</w:t>
            </w:r>
          </w:p>
        </w:tc>
      </w:tr>
      <w:tr w14:paraId="0C2F5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14:paraId="659569C0">
            <w:pPr>
              <w:spacing w:line="240" w:lineRule="exact"/>
              <w:jc w:val="left"/>
              <w:rPr>
                <w:rFonts w:ascii="宋体"/>
              </w:rPr>
            </w:pPr>
            <w:r>
              <w:rPr>
                <w:rFonts w:hint="eastAsia" w:ascii="宋体"/>
              </w:rPr>
              <w:t>船舶燃油供给单位未如实填写燃油供受单证的</w:t>
            </w:r>
          </w:p>
        </w:tc>
        <w:tc>
          <w:tcPr>
            <w:tcW w:w="2050" w:type="dxa"/>
            <w:vMerge w:val="restart"/>
            <w:vAlign w:val="center"/>
          </w:tcPr>
          <w:p w14:paraId="2155AED4">
            <w:pPr>
              <w:widowControl/>
              <w:spacing w:line="240" w:lineRule="exact"/>
              <w:jc w:val="left"/>
              <w:rPr>
                <w:rFonts w:ascii="宋体"/>
                <w:kern w:val="0"/>
              </w:rPr>
            </w:pPr>
            <w:r>
              <w:rPr>
                <w:rFonts w:hint="eastAsia" w:ascii="宋体"/>
                <w:kern w:val="0"/>
              </w:rPr>
              <w:t>1.《防治船舶污染海洋环境管理条例》第二十八条第一款</w:t>
            </w:r>
          </w:p>
        </w:tc>
        <w:tc>
          <w:tcPr>
            <w:tcW w:w="2160" w:type="dxa"/>
            <w:vMerge w:val="restart"/>
            <w:vAlign w:val="center"/>
          </w:tcPr>
          <w:p w14:paraId="0AA37B97">
            <w:pPr>
              <w:widowControl/>
              <w:spacing w:line="240" w:lineRule="exact"/>
              <w:jc w:val="left"/>
              <w:rPr>
                <w:rFonts w:ascii="宋体"/>
                <w:kern w:val="0"/>
              </w:rPr>
            </w:pPr>
            <w:r>
              <w:rPr>
                <w:rFonts w:hint="eastAsia" w:ascii="宋体"/>
                <w:kern w:val="0"/>
              </w:rPr>
              <w:t>1. 《防治船舶污染海洋环境管理条例》第六十二条第（二）项。</w:t>
            </w:r>
          </w:p>
          <w:p w14:paraId="656C5A8D">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425" w:type="dxa"/>
            <w:vAlign w:val="center"/>
          </w:tcPr>
          <w:p w14:paraId="21DD7D53">
            <w:pPr>
              <w:spacing w:line="240" w:lineRule="exact"/>
              <w:jc w:val="center"/>
              <w:rPr>
                <w:rFonts w:ascii="宋体"/>
              </w:rPr>
            </w:pPr>
            <w:r>
              <w:rPr>
                <w:rFonts w:hint="eastAsia" w:ascii="宋体"/>
              </w:rPr>
              <w:t>从轻</w:t>
            </w:r>
          </w:p>
        </w:tc>
        <w:tc>
          <w:tcPr>
            <w:tcW w:w="4170" w:type="dxa"/>
            <w:vAlign w:val="center"/>
          </w:tcPr>
          <w:p w14:paraId="54ED77AA">
            <w:pPr>
              <w:widowControl/>
              <w:spacing w:line="240" w:lineRule="exact"/>
              <w:jc w:val="left"/>
              <w:rPr>
                <w:rFonts w:ascii="宋体"/>
                <w:kern w:val="0"/>
              </w:rPr>
            </w:pPr>
            <w:r>
              <w:rPr>
                <w:rFonts w:hint="eastAsia" w:ascii="宋体"/>
                <w:kern w:val="0"/>
              </w:rPr>
              <w:t>具有法定从轻处罚情节的</w:t>
            </w:r>
          </w:p>
        </w:tc>
        <w:tc>
          <w:tcPr>
            <w:tcW w:w="6330" w:type="dxa"/>
            <w:tcBorders>
              <w:bottom w:val="single" w:color="auto" w:sz="4" w:space="0"/>
              <w:right w:val="single" w:color="auto" w:sz="4" w:space="0"/>
            </w:tcBorders>
            <w:vAlign w:val="center"/>
          </w:tcPr>
          <w:p w14:paraId="07CCC7FB">
            <w:pPr>
              <w:widowControl/>
              <w:spacing w:line="240" w:lineRule="exact"/>
              <w:jc w:val="center"/>
              <w:rPr>
                <w:rFonts w:ascii="宋体"/>
                <w:kern w:val="0"/>
              </w:rPr>
            </w:pPr>
            <w:r>
              <w:rPr>
                <w:rFonts w:hint="eastAsia" w:ascii="宋体"/>
                <w:kern w:val="0"/>
              </w:rPr>
              <w:t>2000-3000元</w:t>
            </w:r>
          </w:p>
        </w:tc>
      </w:tr>
      <w:tr w14:paraId="5B27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24F16739">
            <w:pPr>
              <w:spacing w:line="240" w:lineRule="exact"/>
              <w:jc w:val="left"/>
              <w:rPr>
                <w:rFonts w:ascii="宋体"/>
              </w:rPr>
            </w:pPr>
          </w:p>
        </w:tc>
        <w:tc>
          <w:tcPr>
            <w:tcW w:w="2050" w:type="dxa"/>
            <w:vMerge w:val="continue"/>
            <w:vAlign w:val="center"/>
          </w:tcPr>
          <w:p w14:paraId="425F173A">
            <w:pPr>
              <w:widowControl/>
              <w:spacing w:line="240" w:lineRule="exact"/>
              <w:jc w:val="left"/>
              <w:rPr>
                <w:rFonts w:ascii="宋体"/>
              </w:rPr>
            </w:pPr>
          </w:p>
        </w:tc>
        <w:tc>
          <w:tcPr>
            <w:tcW w:w="2160" w:type="dxa"/>
            <w:vMerge w:val="continue"/>
            <w:vAlign w:val="center"/>
          </w:tcPr>
          <w:p w14:paraId="0A04A9CD">
            <w:pPr>
              <w:spacing w:line="240" w:lineRule="exact"/>
              <w:jc w:val="left"/>
              <w:rPr>
                <w:rFonts w:ascii="宋体"/>
              </w:rPr>
            </w:pPr>
          </w:p>
        </w:tc>
        <w:tc>
          <w:tcPr>
            <w:tcW w:w="1425" w:type="dxa"/>
            <w:vMerge w:val="restart"/>
            <w:vAlign w:val="center"/>
          </w:tcPr>
          <w:p w14:paraId="5478AEE1">
            <w:pPr>
              <w:spacing w:line="240" w:lineRule="exact"/>
              <w:jc w:val="center"/>
              <w:rPr>
                <w:rFonts w:ascii="宋体"/>
              </w:rPr>
            </w:pPr>
            <w:r>
              <w:rPr>
                <w:rFonts w:hint="eastAsia" w:ascii="宋体"/>
              </w:rPr>
              <w:t>一般</w:t>
            </w:r>
          </w:p>
        </w:tc>
        <w:tc>
          <w:tcPr>
            <w:tcW w:w="4170" w:type="dxa"/>
            <w:tcBorders>
              <w:top w:val="single" w:color="auto" w:sz="4" w:space="0"/>
              <w:bottom w:val="single" w:color="auto" w:sz="4" w:space="0"/>
            </w:tcBorders>
            <w:vAlign w:val="center"/>
          </w:tcPr>
          <w:p w14:paraId="0E4B6EFE">
            <w:pPr>
              <w:widowControl/>
              <w:spacing w:line="240" w:lineRule="exact"/>
              <w:jc w:val="left"/>
              <w:rPr>
                <w:rFonts w:ascii="宋体"/>
                <w:kern w:val="0"/>
              </w:rPr>
            </w:pPr>
            <w:r>
              <w:rPr>
                <w:rFonts w:hint="eastAsia" w:ascii="宋体"/>
                <w:kern w:val="0"/>
              </w:rPr>
              <w:t>仅1份燃油供受单证未如实填写的</w:t>
            </w:r>
          </w:p>
        </w:tc>
        <w:tc>
          <w:tcPr>
            <w:tcW w:w="6330" w:type="dxa"/>
            <w:tcBorders>
              <w:right w:val="single" w:color="auto" w:sz="4" w:space="0"/>
            </w:tcBorders>
            <w:vAlign w:val="center"/>
          </w:tcPr>
          <w:p w14:paraId="1C24422F">
            <w:pPr>
              <w:widowControl/>
              <w:spacing w:line="240" w:lineRule="exact"/>
              <w:jc w:val="center"/>
              <w:rPr>
                <w:rFonts w:ascii="宋体"/>
                <w:kern w:val="0"/>
              </w:rPr>
            </w:pPr>
            <w:r>
              <w:rPr>
                <w:rFonts w:hint="eastAsia" w:ascii="宋体"/>
                <w:kern w:val="0"/>
              </w:rPr>
              <w:t>3000-4000元</w:t>
            </w:r>
          </w:p>
        </w:tc>
      </w:tr>
      <w:tr w14:paraId="5842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14:paraId="5F873D97">
            <w:pPr>
              <w:spacing w:line="240" w:lineRule="exact"/>
              <w:jc w:val="left"/>
              <w:rPr>
                <w:rFonts w:ascii="宋体"/>
              </w:rPr>
            </w:pPr>
          </w:p>
        </w:tc>
        <w:tc>
          <w:tcPr>
            <w:tcW w:w="2050" w:type="dxa"/>
            <w:vMerge w:val="continue"/>
            <w:vAlign w:val="center"/>
          </w:tcPr>
          <w:p w14:paraId="1283750A">
            <w:pPr>
              <w:spacing w:line="240" w:lineRule="exact"/>
              <w:jc w:val="left"/>
              <w:rPr>
                <w:rFonts w:ascii="宋体"/>
              </w:rPr>
            </w:pPr>
          </w:p>
        </w:tc>
        <w:tc>
          <w:tcPr>
            <w:tcW w:w="2160" w:type="dxa"/>
            <w:vMerge w:val="continue"/>
            <w:vAlign w:val="center"/>
          </w:tcPr>
          <w:p w14:paraId="5C3D947E">
            <w:pPr>
              <w:spacing w:line="240" w:lineRule="exact"/>
              <w:jc w:val="left"/>
              <w:rPr>
                <w:rFonts w:ascii="宋体"/>
              </w:rPr>
            </w:pPr>
          </w:p>
        </w:tc>
        <w:tc>
          <w:tcPr>
            <w:tcW w:w="1425" w:type="dxa"/>
            <w:vMerge w:val="continue"/>
            <w:vAlign w:val="center"/>
          </w:tcPr>
          <w:p w14:paraId="332BDCA4">
            <w:pPr>
              <w:spacing w:line="240" w:lineRule="exact"/>
              <w:jc w:val="center"/>
              <w:rPr>
                <w:rFonts w:ascii="宋体"/>
              </w:rPr>
            </w:pPr>
          </w:p>
        </w:tc>
        <w:tc>
          <w:tcPr>
            <w:tcW w:w="4170" w:type="dxa"/>
            <w:tcBorders>
              <w:top w:val="single" w:color="auto" w:sz="4" w:space="0"/>
            </w:tcBorders>
            <w:vAlign w:val="center"/>
          </w:tcPr>
          <w:p w14:paraId="533FF632">
            <w:pPr>
              <w:widowControl/>
              <w:spacing w:line="240" w:lineRule="exact"/>
              <w:jc w:val="left"/>
              <w:rPr>
                <w:rFonts w:ascii="宋体"/>
                <w:kern w:val="0"/>
              </w:rPr>
            </w:pPr>
            <w:r>
              <w:rPr>
                <w:rFonts w:hint="eastAsia" w:ascii="宋体"/>
                <w:kern w:val="0"/>
              </w:rPr>
              <w:t>2份及以上燃油供受单证未如实填写的</w:t>
            </w:r>
          </w:p>
        </w:tc>
        <w:tc>
          <w:tcPr>
            <w:tcW w:w="6330" w:type="dxa"/>
            <w:tcBorders>
              <w:top w:val="single" w:color="auto" w:sz="4" w:space="0"/>
              <w:right w:val="single" w:color="auto" w:sz="4" w:space="0"/>
            </w:tcBorders>
            <w:vAlign w:val="center"/>
          </w:tcPr>
          <w:p w14:paraId="38C6D620">
            <w:pPr>
              <w:widowControl/>
              <w:spacing w:line="240" w:lineRule="exact"/>
              <w:jc w:val="left"/>
              <w:rPr>
                <w:rFonts w:ascii="宋体"/>
                <w:kern w:val="0"/>
              </w:rPr>
            </w:pPr>
            <w:r>
              <w:rPr>
                <w:rFonts w:hint="eastAsia" w:ascii="宋体"/>
                <w:kern w:val="0"/>
              </w:rPr>
              <w:t>在4000元的基础上，每多一份未如实填写的单证罚款增加1000元，最高不超过1万元。</w:t>
            </w:r>
          </w:p>
        </w:tc>
      </w:tr>
      <w:tr w14:paraId="076E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14:paraId="13E3AAE4">
            <w:pPr>
              <w:spacing w:line="240" w:lineRule="exact"/>
              <w:jc w:val="left"/>
              <w:rPr>
                <w:rFonts w:ascii="宋体"/>
              </w:rPr>
            </w:pPr>
          </w:p>
        </w:tc>
        <w:tc>
          <w:tcPr>
            <w:tcW w:w="2050" w:type="dxa"/>
            <w:vMerge w:val="continue"/>
            <w:vAlign w:val="center"/>
          </w:tcPr>
          <w:p w14:paraId="15EE15C3">
            <w:pPr>
              <w:spacing w:line="240" w:lineRule="exact"/>
              <w:jc w:val="left"/>
              <w:rPr>
                <w:rFonts w:ascii="宋体"/>
              </w:rPr>
            </w:pPr>
          </w:p>
        </w:tc>
        <w:tc>
          <w:tcPr>
            <w:tcW w:w="2160" w:type="dxa"/>
            <w:vMerge w:val="continue"/>
            <w:vAlign w:val="center"/>
          </w:tcPr>
          <w:p w14:paraId="39F09696">
            <w:pPr>
              <w:spacing w:line="240" w:lineRule="exact"/>
              <w:jc w:val="left"/>
              <w:rPr>
                <w:rFonts w:ascii="宋体"/>
              </w:rPr>
            </w:pPr>
          </w:p>
        </w:tc>
        <w:tc>
          <w:tcPr>
            <w:tcW w:w="1425" w:type="dxa"/>
            <w:vMerge w:val="continue"/>
            <w:tcBorders>
              <w:bottom w:val="single" w:color="auto" w:sz="4" w:space="0"/>
            </w:tcBorders>
            <w:vAlign w:val="center"/>
          </w:tcPr>
          <w:p w14:paraId="7C87E464">
            <w:pPr>
              <w:spacing w:line="240" w:lineRule="exact"/>
              <w:jc w:val="center"/>
              <w:rPr>
                <w:rFonts w:ascii="宋体"/>
              </w:rPr>
            </w:pPr>
          </w:p>
        </w:tc>
        <w:tc>
          <w:tcPr>
            <w:tcW w:w="4170" w:type="dxa"/>
            <w:tcBorders>
              <w:top w:val="single" w:color="auto" w:sz="4" w:space="0"/>
              <w:bottom w:val="single" w:color="auto" w:sz="4" w:space="0"/>
            </w:tcBorders>
            <w:vAlign w:val="center"/>
          </w:tcPr>
          <w:p w14:paraId="6983EE29">
            <w:pPr>
              <w:widowControl/>
              <w:spacing w:line="240" w:lineRule="exact"/>
              <w:jc w:val="left"/>
              <w:rPr>
                <w:rFonts w:ascii="宋体"/>
                <w:kern w:val="0"/>
              </w:rPr>
            </w:pPr>
            <w:r>
              <w:rPr>
                <w:rFonts w:hint="eastAsia" w:ascii="宋体"/>
                <w:kern w:val="0"/>
              </w:rPr>
              <w:t>具有其他较重情节的</w:t>
            </w:r>
          </w:p>
        </w:tc>
        <w:tc>
          <w:tcPr>
            <w:tcW w:w="6330" w:type="dxa"/>
            <w:tcBorders>
              <w:top w:val="single" w:color="auto" w:sz="4" w:space="0"/>
              <w:bottom w:val="single" w:color="auto" w:sz="4" w:space="0"/>
              <w:right w:val="single" w:color="auto" w:sz="4" w:space="0"/>
            </w:tcBorders>
            <w:vAlign w:val="center"/>
          </w:tcPr>
          <w:p w14:paraId="70A5B576">
            <w:pPr>
              <w:widowControl/>
              <w:spacing w:line="240" w:lineRule="exact"/>
              <w:jc w:val="center"/>
              <w:rPr>
                <w:rFonts w:ascii="宋体"/>
                <w:kern w:val="0"/>
              </w:rPr>
            </w:pPr>
            <w:r>
              <w:rPr>
                <w:rFonts w:hint="eastAsia" w:ascii="宋体"/>
                <w:kern w:val="0"/>
              </w:rPr>
              <w:t>8000元-1万元</w:t>
            </w:r>
          </w:p>
        </w:tc>
      </w:tr>
    </w:tbl>
    <w:p w14:paraId="67FA5109">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2170"/>
        <w:gridCol w:w="2250"/>
        <w:gridCol w:w="1395"/>
        <w:gridCol w:w="4815"/>
        <w:gridCol w:w="6497"/>
      </w:tblGrid>
      <w:tr w14:paraId="4E3D3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14:paraId="0D82211C">
            <w:pPr>
              <w:spacing w:line="240" w:lineRule="exact"/>
              <w:jc w:val="center"/>
              <w:rPr>
                <w:rFonts w:ascii="宋体"/>
                <w:b/>
              </w:rPr>
            </w:pPr>
            <w:r>
              <w:rPr>
                <w:rFonts w:hint="eastAsia" w:ascii="宋体"/>
                <w:b/>
              </w:rPr>
              <w:t>案由85</w:t>
            </w:r>
          </w:p>
        </w:tc>
        <w:tc>
          <w:tcPr>
            <w:tcW w:w="4420" w:type="dxa"/>
            <w:gridSpan w:val="2"/>
            <w:vAlign w:val="center"/>
          </w:tcPr>
          <w:p w14:paraId="67122FB1">
            <w:pPr>
              <w:spacing w:line="240" w:lineRule="exact"/>
              <w:jc w:val="center"/>
              <w:rPr>
                <w:rFonts w:ascii="宋体"/>
                <w:b/>
              </w:rPr>
            </w:pPr>
            <w:r>
              <w:rPr>
                <w:rFonts w:hint="eastAsia" w:ascii="宋体"/>
                <w:b/>
              </w:rPr>
              <w:t>法律依据</w:t>
            </w:r>
          </w:p>
        </w:tc>
        <w:tc>
          <w:tcPr>
            <w:tcW w:w="1395" w:type="dxa"/>
            <w:vMerge w:val="restart"/>
            <w:vAlign w:val="center"/>
          </w:tcPr>
          <w:p w14:paraId="70509357">
            <w:pPr>
              <w:spacing w:line="240" w:lineRule="exact"/>
              <w:jc w:val="center"/>
              <w:rPr>
                <w:rFonts w:ascii="宋体"/>
                <w:b/>
              </w:rPr>
            </w:pPr>
            <w:r>
              <w:rPr>
                <w:rFonts w:hint="eastAsia" w:ascii="宋体"/>
                <w:b/>
              </w:rPr>
              <w:t>违法情节</w:t>
            </w:r>
          </w:p>
        </w:tc>
        <w:tc>
          <w:tcPr>
            <w:tcW w:w="4815" w:type="dxa"/>
            <w:vMerge w:val="restart"/>
            <w:vAlign w:val="center"/>
          </w:tcPr>
          <w:p w14:paraId="71F358FA">
            <w:pPr>
              <w:spacing w:line="240" w:lineRule="exact"/>
              <w:jc w:val="center"/>
              <w:rPr>
                <w:rFonts w:ascii="宋体"/>
                <w:b/>
              </w:rPr>
            </w:pPr>
            <w:r>
              <w:rPr>
                <w:rFonts w:hint="eastAsia" w:ascii="宋体"/>
                <w:b/>
              </w:rPr>
              <w:t>主要考虑因素（事实、性质、情节、危害程度和实际后果等）</w:t>
            </w:r>
          </w:p>
        </w:tc>
        <w:tc>
          <w:tcPr>
            <w:tcW w:w="6497" w:type="dxa"/>
            <w:tcBorders>
              <w:right w:val="single" w:color="auto" w:sz="4" w:space="0"/>
            </w:tcBorders>
            <w:vAlign w:val="center"/>
          </w:tcPr>
          <w:p w14:paraId="42C2E3F5">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14:paraId="1E39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764CA371">
            <w:pPr>
              <w:spacing w:line="240" w:lineRule="exact"/>
              <w:jc w:val="center"/>
              <w:rPr>
                <w:rFonts w:ascii="宋体"/>
                <w:b/>
              </w:rPr>
            </w:pPr>
          </w:p>
        </w:tc>
        <w:tc>
          <w:tcPr>
            <w:tcW w:w="2170" w:type="dxa"/>
            <w:vAlign w:val="center"/>
          </w:tcPr>
          <w:p w14:paraId="501F8928">
            <w:pPr>
              <w:spacing w:line="240" w:lineRule="exact"/>
              <w:jc w:val="center"/>
              <w:rPr>
                <w:rFonts w:ascii="宋体"/>
                <w:b/>
              </w:rPr>
            </w:pPr>
            <w:r>
              <w:rPr>
                <w:rFonts w:hint="eastAsia" w:ascii="宋体"/>
                <w:b/>
              </w:rPr>
              <w:t>违反条款</w:t>
            </w:r>
          </w:p>
        </w:tc>
        <w:tc>
          <w:tcPr>
            <w:tcW w:w="2250" w:type="dxa"/>
            <w:vAlign w:val="center"/>
          </w:tcPr>
          <w:p w14:paraId="770C2B49">
            <w:pPr>
              <w:spacing w:line="240" w:lineRule="exact"/>
              <w:jc w:val="center"/>
              <w:rPr>
                <w:rFonts w:ascii="宋体"/>
                <w:b/>
              </w:rPr>
            </w:pPr>
            <w:r>
              <w:rPr>
                <w:rFonts w:hint="eastAsia" w:ascii="宋体"/>
                <w:b/>
              </w:rPr>
              <w:t>处罚依据</w:t>
            </w:r>
          </w:p>
        </w:tc>
        <w:tc>
          <w:tcPr>
            <w:tcW w:w="1395" w:type="dxa"/>
            <w:vMerge w:val="continue"/>
            <w:vAlign w:val="center"/>
          </w:tcPr>
          <w:p w14:paraId="63714991">
            <w:pPr>
              <w:spacing w:line="240" w:lineRule="exact"/>
              <w:jc w:val="center"/>
              <w:rPr>
                <w:rFonts w:ascii="宋体"/>
                <w:b/>
              </w:rPr>
            </w:pPr>
          </w:p>
        </w:tc>
        <w:tc>
          <w:tcPr>
            <w:tcW w:w="4815" w:type="dxa"/>
            <w:vMerge w:val="continue"/>
            <w:vAlign w:val="center"/>
          </w:tcPr>
          <w:p w14:paraId="4729DCCF">
            <w:pPr>
              <w:spacing w:line="240" w:lineRule="exact"/>
              <w:jc w:val="center"/>
              <w:rPr>
                <w:rFonts w:ascii="宋体"/>
                <w:b/>
              </w:rPr>
            </w:pPr>
          </w:p>
        </w:tc>
        <w:tc>
          <w:tcPr>
            <w:tcW w:w="6497" w:type="dxa"/>
            <w:tcBorders>
              <w:top w:val="single" w:color="auto" w:sz="4" w:space="0"/>
              <w:bottom w:val="single" w:color="auto" w:sz="4" w:space="0"/>
              <w:right w:val="single" w:color="auto" w:sz="4" w:space="0"/>
            </w:tcBorders>
            <w:vAlign w:val="center"/>
          </w:tcPr>
          <w:p w14:paraId="58AE5B99">
            <w:pPr>
              <w:spacing w:line="240" w:lineRule="exact"/>
              <w:jc w:val="center"/>
              <w:rPr>
                <w:rFonts w:ascii="宋体"/>
                <w:b/>
              </w:rPr>
            </w:pPr>
            <w:r>
              <w:rPr>
                <w:rFonts w:hint="eastAsia" w:ascii="宋体"/>
                <w:b/>
              </w:rPr>
              <w:t>【对象】船舶燃油供给单位</w:t>
            </w:r>
          </w:p>
        </w:tc>
      </w:tr>
      <w:tr w14:paraId="38E4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14:paraId="64593917">
            <w:pPr>
              <w:widowControl/>
              <w:spacing w:line="240" w:lineRule="exact"/>
              <w:jc w:val="left"/>
              <w:rPr>
                <w:rFonts w:ascii="宋体"/>
                <w:kern w:val="0"/>
              </w:rPr>
            </w:pPr>
            <w:r>
              <w:rPr>
                <w:rFonts w:hint="eastAsia" w:ascii="宋体"/>
                <w:kern w:val="0"/>
              </w:rPr>
              <w:t>船舶燃油供给单位未按照规定向船舶提供燃油供受单证和燃油样品的</w:t>
            </w:r>
          </w:p>
        </w:tc>
        <w:tc>
          <w:tcPr>
            <w:tcW w:w="2170" w:type="dxa"/>
            <w:vMerge w:val="restart"/>
            <w:vAlign w:val="center"/>
          </w:tcPr>
          <w:p w14:paraId="512BBB0C">
            <w:pPr>
              <w:widowControl/>
              <w:spacing w:line="240" w:lineRule="exact"/>
              <w:jc w:val="left"/>
              <w:rPr>
                <w:rFonts w:ascii="宋体"/>
                <w:kern w:val="0"/>
              </w:rPr>
            </w:pPr>
            <w:r>
              <w:rPr>
                <w:rFonts w:hint="eastAsia" w:ascii="宋体"/>
                <w:kern w:val="0"/>
              </w:rPr>
              <w:t>1.《防治船舶污染海洋环境管理条例》第二十八条第一款</w:t>
            </w:r>
          </w:p>
        </w:tc>
        <w:tc>
          <w:tcPr>
            <w:tcW w:w="2250" w:type="dxa"/>
            <w:vMerge w:val="restart"/>
            <w:vAlign w:val="center"/>
          </w:tcPr>
          <w:p w14:paraId="01586951">
            <w:pPr>
              <w:widowControl/>
              <w:spacing w:line="240" w:lineRule="exact"/>
              <w:jc w:val="left"/>
              <w:rPr>
                <w:rFonts w:ascii="宋体"/>
                <w:kern w:val="0"/>
              </w:rPr>
            </w:pPr>
            <w:r>
              <w:rPr>
                <w:rFonts w:hint="eastAsia" w:ascii="宋体"/>
                <w:kern w:val="0"/>
              </w:rPr>
              <w:t>1. 《防治船舶污染海洋环境管理条例》第六十二条第（三）项；</w:t>
            </w:r>
          </w:p>
          <w:p w14:paraId="3D4ECF60">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395" w:type="dxa"/>
            <w:vAlign w:val="center"/>
          </w:tcPr>
          <w:p w14:paraId="07553949">
            <w:pPr>
              <w:spacing w:line="240" w:lineRule="exact"/>
              <w:jc w:val="center"/>
              <w:rPr>
                <w:rFonts w:ascii="宋体"/>
              </w:rPr>
            </w:pPr>
            <w:r>
              <w:rPr>
                <w:rFonts w:hint="eastAsia" w:ascii="宋体"/>
              </w:rPr>
              <w:t>从轻</w:t>
            </w:r>
          </w:p>
        </w:tc>
        <w:tc>
          <w:tcPr>
            <w:tcW w:w="4815" w:type="dxa"/>
            <w:vAlign w:val="center"/>
          </w:tcPr>
          <w:p w14:paraId="2DA23F86">
            <w:pPr>
              <w:widowControl/>
              <w:spacing w:line="240" w:lineRule="exact"/>
              <w:jc w:val="left"/>
              <w:rPr>
                <w:rFonts w:ascii="宋体"/>
                <w:kern w:val="0"/>
              </w:rPr>
            </w:pPr>
            <w:r>
              <w:rPr>
                <w:rFonts w:hint="eastAsia" w:ascii="宋体"/>
                <w:kern w:val="0"/>
              </w:rPr>
              <w:t>具有法定从轻处罚情节的</w:t>
            </w:r>
          </w:p>
        </w:tc>
        <w:tc>
          <w:tcPr>
            <w:tcW w:w="6497" w:type="dxa"/>
            <w:tcBorders>
              <w:bottom w:val="single" w:color="auto" w:sz="4" w:space="0"/>
              <w:right w:val="single" w:color="auto" w:sz="4" w:space="0"/>
            </w:tcBorders>
            <w:vAlign w:val="center"/>
          </w:tcPr>
          <w:p w14:paraId="2D9CF4F2">
            <w:pPr>
              <w:widowControl/>
              <w:spacing w:line="240" w:lineRule="exact"/>
              <w:jc w:val="center"/>
              <w:rPr>
                <w:rFonts w:ascii="宋体"/>
                <w:kern w:val="0"/>
              </w:rPr>
            </w:pPr>
            <w:r>
              <w:rPr>
                <w:rFonts w:hint="eastAsia" w:ascii="宋体"/>
                <w:kern w:val="0"/>
              </w:rPr>
              <w:t>2000-4000元</w:t>
            </w:r>
          </w:p>
        </w:tc>
      </w:tr>
      <w:tr w14:paraId="01D5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778B496C">
            <w:pPr>
              <w:spacing w:line="240" w:lineRule="exact"/>
              <w:jc w:val="left"/>
              <w:rPr>
                <w:rFonts w:ascii="宋体"/>
              </w:rPr>
            </w:pPr>
          </w:p>
        </w:tc>
        <w:tc>
          <w:tcPr>
            <w:tcW w:w="2170" w:type="dxa"/>
            <w:vMerge w:val="continue"/>
            <w:vAlign w:val="center"/>
          </w:tcPr>
          <w:p w14:paraId="61E2B69A">
            <w:pPr>
              <w:widowControl/>
              <w:spacing w:line="240" w:lineRule="exact"/>
              <w:jc w:val="left"/>
              <w:rPr>
                <w:rFonts w:ascii="宋体"/>
              </w:rPr>
            </w:pPr>
          </w:p>
        </w:tc>
        <w:tc>
          <w:tcPr>
            <w:tcW w:w="2250" w:type="dxa"/>
            <w:vMerge w:val="continue"/>
            <w:vAlign w:val="center"/>
          </w:tcPr>
          <w:p w14:paraId="059EEF3D">
            <w:pPr>
              <w:spacing w:line="240" w:lineRule="exact"/>
              <w:jc w:val="left"/>
              <w:rPr>
                <w:rFonts w:ascii="宋体"/>
              </w:rPr>
            </w:pPr>
          </w:p>
        </w:tc>
        <w:tc>
          <w:tcPr>
            <w:tcW w:w="1395" w:type="dxa"/>
            <w:vMerge w:val="restart"/>
            <w:vAlign w:val="center"/>
          </w:tcPr>
          <w:p w14:paraId="18642399">
            <w:pPr>
              <w:spacing w:line="240" w:lineRule="exact"/>
              <w:jc w:val="center"/>
              <w:rPr>
                <w:rFonts w:ascii="宋体"/>
              </w:rPr>
            </w:pPr>
            <w:r>
              <w:rPr>
                <w:rFonts w:hint="eastAsia" w:ascii="宋体"/>
              </w:rPr>
              <w:t>一般</w:t>
            </w:r>
          </w:p>
        </w:tc>
        <w:tc>
          <w:tcPr>
            <w:tcW w:w="4815" w:type="dxa"/>
            <w:tcBorders>
              <w:top w:val="single" w:color="auto" w:sz="4" w:space="0"/>
              <w:bottom w:val="single" w:color="auto" w:sz="4" w:space="0"/>
            </w:tcBorders>
            <w:vAlign w:val="center"/>
          </w:tcPr>
          <w:p w14:paraId="17FC1817">
            <w:pPr>
              <w:widowControl/>
              <w:spacing w:line="240" w:lineRule="exact"/>
              <w:jc w:val="left"/>
              <w:rPr>
                <w:rFonts w:ascii="宋体"/>
                <w:kern w:val="0"/>
              </w:rPr>
            </w:pPr>
            <w:r>
              <w:rPr>
                <w:rFonts w:hint="eastAsia" w:ascii="宋体"/>
                <w:kern w:val="0"/>
              </w:rPr>
              <w:t>仅1次供油作业的单证和（或）燃油样品未提供的；</w:t>
            </w:r>
          </w:p>
        </w:tc>
        <w:tc>
          <w:tcPr>
            <w:tcW w:w="6497" w:type="dxa"/>
            <w:tcBorders>
              <w:right w:val="single" w:color="auto" w:sz="4" w:space="0"/>
            </w:tcBorders>
            <w:vAlign w:val="center"/>
          </w:tcPr>
          <w:p w14:paraId="28A45549">
            <w:pPr>
              <w:widowControl/>
              <w:spacing w:line="240" w:lineRule="exact"/>
              <w:jc w:val="center"/>
              <w:rPr>
                <w:rFonts w:ascii="宋体"/>
                <w:kern w:val="0"/>
              </w:rPr>
            </w:pPr>
            <w:r>
              <w:rPr>
                <w:rFonts w:hint="eastAsia" w:ascii="宋体"/>
                <w:kern w:val="0"/>
              </w:rPr>
              <w:t>4000-6000元</w:t>
            </w:r>
          </w:p>
        </w:tc>
      </w:tr>
      <w:tr w14:paraId="3510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14:paraId="596666FA">
            <w:pPr>
              <w:spacing w:line="240" w:lineRule="exact"/>
              <w:jc w:val="left"/>
              <w:rPr>
                <w:rFonts w:ascii="宋体"/>
              </w:rPr>
            </w:pPr>
          </w:p>
        </w:tc>
        <w:tc>
          <w:tcPr>
            <w:tcW w:w="2170" w:type="dxa"/>
            <w:vMerge w:val="continue"/>
            <w:vAlign w:val="center"/>
          </w:tcPr>
          <w:p w14:paraId="649A2FA3">
            <w:pPr>
              <w:spacing w:line="240" w:lineRule="exact"/>
              <w:jc w:val="left"/>
              <w:rPr>
                <w:rFonts w:ascii="宋体"/>
              </w:rPr>
            </w:pPr>
          </w:p>
        </w:tc>
        <w:tc>
          <w:tcPr>
            <w:tcW w:w="2250" w:type="dxa"/>
            <w:vMerge w:val="continue"/>
            <w:vAlign w:val="center"/>
          </w:tcPr>
          <w:p w14:paraId="4347C94F">
            <w:pPr>
              <w:spacing w:line="240" w:lineRule="exact"/>
              <w:jc w:val="left"/>
              <w:rPr>
                <w:rFonts w:ascii="宋体"/>
              </w:rPr>
            </w:pPr>
          </w:p>
        </w:tc>
        <w:tc>
          <w:tcPr>
            <w:tcW w:w="1395" w:type="dxa"/>
            <w:vMerge w:val="continue"/>
            <w:vAlign w:val="center"/>
          </w:tcPr>
          <w:p w14:paraId="6D70EBA0">
            <w:pPr>
              <w:spacing w:line="240" w:lineRule="exact"/>
              <w:jc w:val="center"/>
              <w:rPr>
                <w:rFonts w:ascii="宋体"/>
              </w:rPr>
            </w:pPr>
          </w:p>
        </w:tc>
        <w:tc>
          <w:tcPr>
            <w:tcW w:w="4815" w:type="dxa"/>
            <w:tcBorders>
              <w:top w:val="single" w:color="auto" w:sz="4" w:space="0"/>
            </w:tcBorders>
            <w:vAlign w:val="center"/>
          </w:tcPr>
          <w:p w14:paraId="00726BFE">
            <w:pPr>
              <w:widowControl/>
              <w:spacing w:line="240" w:lineRule="exact"/>
              <w:jc w:val="left"/>
              <w:rPr>
                <w:rFonts w:ascii="宋体"/>
                <w:kern w:val="0"/>
              </w:rPr>
            </w:pPr>
            <w:r>
              <w:rPr>
                <w:rFonts w:hint="eastAsia" w:ascii="宋体"/>
                <w:kern w:val="0"/>
              </w:rPr>
              <w:t>2次及以上供油作业的单证和（或）燃油样品未提供的；</w:t>
            </w:r>
          </w:p>
        </w:tc>
        <w:tc>
          <w:tcPr>
            <w:tcW w:w="6497" w:type="dxa"/>
            <w:tcBorders>
              <w:top w:val="single" w:color="auto" w:sz="4" w:space="0"/>
              <w:right w:val="single" w:color="auto" w:sz="4" w:space="0"/>
            </w:tcBorders>
            <w:vAlign w:val="center"/>
          </w:tcPr>
          <w:p w14:paraId="005F456B">
            <w:pPr>
              <w:widowControl/>
              <w:spacing w:line="240" w:lineRule="exact"/>
              <w:jc w:val="center"/>
              <w:rPr>
                <w:rFonts w:ascii="宋体"/>
                <w:kern w:val="0"/>
              </w:rPr>
            </w:pPr>
            <w:r>
              <w:rPr>
                <w:rFonts w:hint="eastAsia" w:ascii="宋体"/>
                <w:kern w:val="0"/>
              </w:rPr>
              <w:t>在6000元的基础上，每多一次罚款增加1000元，最高不超过1万元。</w:t>
            </w:r>
          </w:p>
        </w:tc>
      </w:tr>
      <w:tr w14:paraId="58420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14:paraId="2116296C">
            <w:pPr>
              <w:spacing w:line="240" w:lineRule="exact"/>
              <w:jc w:val="left"/>
              <w:rPr>
                <w:rFonts w:ascii="宋体"/>
              </w:rPr>
            </w:pPr>
          </w:p>
        </w:tc>
        <w:tc>
          <w:tcPr>
            <w:tcW w:w="2170" w:type="dxa"/>
            <w:vMerge w:val="continue"/>
            <w:vAlign w:val="center"/>
          </w:tcPr>
          <w:p w14:paraId="786EE83C">
            <w:pPr>
              <w:spacing w:line="240" w:lineRule="exact"/>
              <w:jc w:val="left"/>
              <w:rPr>
                <w:rFonts w:ascii="宋体"/>
              </w:rPr>
            </w:pPr>
          </w:p>
        </w:tc>
        <w:tc>
          <w:tcPr>
            <w:tcW w:w="2250" w:type="dxa"/>
            <w:vMerge w:val="continue"/>
            <w:vAlign w:val="center"/>
          </w:tcPr>
          <w:p w14:paraId="503F114E">
            <w:pPr>
              <w:spacing w:line="240" w:lineRule="exact"/>
              <w:jc w:val="left"/>
              <w:rPr>
                <w:rFonts w:ascii="宋体"/>
              </w:rPr>
            </w:pPr>
          </w:p>
        </w:tc>
        <w:tc>
          <w:tcPr>
            <w:tcW w:w="1395" w:type="dxa"/>
            <w:vMerge w:val="continue"/>
            <w:tcBorders>
              <w:bottom w:val="single" w:color="auto" w:sz="4" w:space="0"/>
            </w:tcBorders>
            <w:vAlign w:val="center"/>
          </w:tcPr>
          <w:p w14:paraId="12A2333E">
            <w:pPr>
              <w:spacing w:line="240" w:lineRule="exact"/>
              <w:jc w:val="center"/>
              <w:rPr>
                <w:rFonts w:ascii="宋体"/>
              </w:rPr>
            </w:pPr>
          </w:p>
        </w:tc>
        <w:tc>
          <w:tcPr>
            <w:tcW w:w="4815" w:type="dxa"/>
            <w:tcBorders>
              <w:top w:val="single" w:color="auto" w:sz="4" w:space="0"/>
              <w:bottom w:val="single" w:color="auto" w:sz="4" w:space="0"/>
            </w:tcBorders>
            <w:vAlign w:val="center"/>
          </w:tcPr>
          <w:p w14:paraId="52F3CBC8">
            <w:pPr>
              <w:widowControl/>
              <w:spacing w:line="240" w:lineRule="exact"/>
              <w:jc w:val="left"/>
              <w:rPr>
                <w:rFonts w:ascii="宋体"/>
                <w:kern w:val="0"/>
              </w:rPr>
            </w:pPr>
            <w:r>
              <w:rPr>
                <w:rFonts w:hint="eastAsia" w:ascii="宋体"/>
                <w:kern w:val="0"/>
              </w:rPr>
              <w:t>具有其他较重情节的</w:t>
            </w:r>
          </w:p>
        </w:tc>
        <w:tc>
          <w:tcPr>
            <w:tcW w:w="6497" w:type="dxa"/>
            <w:tcBorders>
              <w:top w:val="single" w:color="auto" w:sz="4" w:space="0"/>
              <w:bottom w:val="single" w:color="auto" w:sz="4" w:space="0"/>
              <w:right w:val="single" w:color="auto" w:sz="4" w:space="0"/>
            </w:tcBorders>
            <w:vAlign w:val="center"/>
          </w:tcPr>
          <w:p w14:paraId="54A066BE">
            <w:pPr>
              <w:widowControl/>
              <w:spacing w:line="240" w:lineRule="exact"/>
              <w:jc w:val="center"/>
              <w:rPr>
                <w:rFonts w:ascii="宋体"/>
                <w:kern w:val="0"/>
              </w:rPr>
            </w:pPr>
            <w:r>
              <w:rPr>
                <w:rFonts w:hint="eastAsia" w:ascii="宋体"/>
                <w:kern w:val="0"/>
              </w:rPr>
              <w:t>8000元-1万元</w:t>
            </w:r>
          </w:p>
        </w:tc>
      </w:tr>
    </w:tbl>
    <w:p w14:paraId="3CC3E907">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2"/>
        <w:gridCol w:w="1870"/>
        <w:gridCol w:w="2039"/>
        <w:gridCol w:w="1321"/>
        <w:gridCol w:w="3990"/>
        <w:gridCol w:w="8333"/>
      </w:tblGrid>
      <w:tr w14:paraId="40297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92" w:type="dxa"/>
            <w:vMerge w:val="restart"/>
            <w:vAlign w:val="center"/>
          </w:tcPr>
          <w:p w14:paraId="09419632">
            <w:pPr>
              <w:spacing w:line="240" w:lineRule="exact"/>
              <w:jc w:val="center"/>
              <w:rPr>
                <w:rFonts w:ascii="宋体"/>
                <w:b/>
              </w:rPr>
            </w:pPr>
            <w:r>
              <w:rPr>
                <w:rFonts w:hint="eastAsia" w:ascii="宋体"/>
                <w:b/>
              </w:rPr>
              <w:t>案由86</w:t>
            </w:r>
          </w:p>
        </w:tc>
        <w:tc>
          <w:tcPr>
            <w:tcW w:w="3909" w:type="dxa"/>
            <w:gridSpan w:val="2"/>
            <w:vAlign w:val="center"/>
          </w:tcPr>
          <w:p w14:paraId="7446C9EF">
            <w:pPr>
              <w:spacing w:line="240" w:lineRule="exact"/>
              <w:jc w:val="center"/>
              <w:rPr>
                <w:rFonts w:ascii="宋体"/>
                <w:b/>
              </w:rPr>
            </w:pPr>
            <w:r>
              <w:rPr>
                <w:rFonts w:hint="eastAsia" w:ascii="宋体"/>
                <w:b/>
              </w:rPr>
              <w:t>法律依据</w:t>
            </w:r>
          </w:p>
        </w:tc>
        <w:tc>
          <w:tcPr>
            <w:tcW w:w="1321" w:type="dxa"/>
            <w:vMerge w:val="restart"/>
            <w:vAlign w:val="center"/>
          </w:tcPr>
          <w:p w14:paraId="2F890E55">
            <w:pPr>
              <w:spacing w:line="240" w:lineRule="exact"/>
              <w:jc w:val="center"/>
              <w:rPr>
                <w:rFonts w:ascii="宋体"/>
                <w:b/>
              </w:rPr>
            </w:pPr>
            <w:r>
              <w:rPr>
                <w:rFonts w:hint="eastAsia" w:ascii="宋体"/>
                <w:b/>
              </w:rPr>
              <w:t>违法情节</w:t>
            </w:r>
          </w:p>
        </w:tc>
        <w:tc>
          <w:tcPr>
            <w:tcW w:w="3990" w:type="dxa"/>
            <w:vMerge w:val="restart"/>
            <w:vAlign w:val="center"/>
          </w:tcPr>
          <w:p w14:paraId="2409559B">
            <w:pPr>
              <w:spacing w:line="240" w:lineRule="exact"/>
              <w:jc w:val="center"/>
              <w:rPr>
                <w:rFonts w:ascii="宋体"/>
                <w:b/>
              </w:rPr>
            </w:pPr>
            <w:r>
              <w:rPr>
                <w:rFonts w:hint="eastAsia" w:ascii="宋体"/>
                <w:b/>
              </w:rPr>
              <w:t>主要考虑因素（事实、性质、情节、危害程度和实际后果等）</w:t>
            </w:r>
          </w:p>
        </w:tc>
        <w:tc>
          <w:tcPr>
            <w:tcW w:w="8333" w:type="dxa"/>
            <w:tcBorders>
              <w:right w:val="single" w:color="auto" w:sz="4" w:space="0"/>
            </w:tcBorders>
            <w:vAlign w:val="center"/>
          </w:tcPr>
          <w:p w14:paraId="2B5BC1A8">
            <w:pPr>
              <w:spacing w:line="240" w:lineRule="exact"/>
              <w:jc w:val="left"/>
              <w:rPr>
                <w:rFonts w:ascii="宋体"/>
                <w:b/>
              </w:rPr>
            </w:pPr>
            <w:r>
              <w:rPr>
                <w:rFonts w:hint="eastAsia" w:ascii="宋体"/>
                <w:b/>
              </w:rPr>
              <w:t>【法定幅度和种类】</w:t>
            </w:r>
            <w:r>
              <w:rPr>
                <w:rFonts w:hint="eastAsia" w:ascii="宋体"/>
                <w:bCs/>
              </w:rPr>
              <w:t>2000元以上1万元以下的罚款。</w:t>
            </w:r>
          </w:p>
        </w:tc>
      </w:tr>
      <w:tr w14:paraId="2C91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1692" w:type="dxa"/>
            <w:vMerge w:val="continue"/>
            <w:vAlign w:val="center"/>
          </w:tcPr>
          <w:p w14:paraId="25E10026">
            <w:pPr>
              <w:spacing w:line="240" w:lineRule="exact"/>
              <w:jc w:val="center"/>
              <w:rPr>
                <w:rFonts w:ascii="宋体"/>
                <w:b/>
              </w:rPr>
            </w:pPr>
          </w:p>
        </w:tc>
        <w:tc>
          <w:tcPr>
            <w:tcW w:w="1870" w:type="dxa"/>
            <w:vAlign w:val="center"/>
          </w:tcPr>
          <w:p w14:paraId="7A362A08">
            <w:pPr>
              <w:spacing w:line="240" w:lineRule="exact"/>
              <w:jc w:val="center"/>
              <w:rPr>
                <w:rFonts w:ascii="宋体"/>
                <w:b/>
              </w:rPr>
            </w:pPr>
            <w:r>
              <w:rPr>
                <w:rFonts w:hint="eastAsia" w:ascii="宋体"/>
                <w:b/>
              </w:rPr>
              <w:t>违反条款</w:t>
            </w:r>
          </w:p>
        </w:tc>
        <w:tc>
          <w:tcPr>
            <w:tcW w:w="2039" w:type="dxa"/>
            <w:vAlign w:val="center"/>
          </w:tcPr>
          <w:p w14:paraId="2612CFB8">
            <w:pPr>
              <w:spacing w:line="240" w:lineRule="exact"/>
              <w:jc w:val="center"/>
              <w:rPr>
                <w:rFonts w:ascii="宋体"/>
                <w:b/>
              </w:rPr>
            </w:pPr>
            <w:r>
              <w:rPr>
                <w:rFonts w:hint="eastAsia" w:ascii="宋体"/>
                <w:b/>
              </w:rPr>
              <w:t>处罚依据</w:t>
            </w:r>
          </w:p>
        </w:tc>
        <w:tc>
          <w:tcPr>
            <w:tcW w:w="1321" w:type="dxa"/>
            <w:vMerge w:val="continue"/>
            <w:vAlign w:val="center"/>
          </w:tcPr>
          <w:p w14:paraId="61BAB14C">
            <w:pPr>
              <w:spacing w:line="240" w:lineRule="exact"/>
              <w:jc w:val="center"/>
              <w:rPr>
                <w:rFonts w:ascii="宋体"/>
                <w:b/>
              </w:rPr>
            </w:pPr>
          </w:p>
        </w:tc>
        <w:tc>
          <w:tcPr>
            <w:tcW w:w="3990" w:type="dxa"/>
            <w:vMerge w:val="continue"/>
            <w:vAlign w:val="center"/>
          </w:tcPr>
          <w:p w14:paraId="1662B1F3">
            <w:pPr>
              <w:spacing w:line="240" w:lineRule="exact"/>
              <w:jc w:val="center"/>
              <w:rPr>
                <w:rFonts w:ascii="宋体"/>
                <w:b/>
              </w:rPr>
            </w:pPr>
          </w:p>
        </w:tc>
        <w:tc>
          <w:tcPr>
            <w:tcW w:w="8333" w:type="dxa"/>
            <w:tcBorders>
              <w:top w:val="single" w:color="auto" w:sz="4" w:space="0"/>
              <w:bottom w:val="single" w:color="auto" w:sz="4" w:space="0"/>
              <w:right w:val="single" w:color="auto" w:sz="4" w:space="0"/>
            </w:tcBorders>
            <w:vAlign w:val="center"/>
          </w:tcPr>
          <w:p w14:paraId="4602D3FA">
            <w:pPr>
              <w:spacing w:line="240" w:lineRule="exact"/>
              <w:jc w:val="center"/>
              <w:rPr>
                <w:rFonts w:ascii="宋体"/>
                <w:b/>
              </w:rPr>
            </w:pPr>
            <w:r>
              <w:rPr>
                <w:rFonts w:hint="eastAsia" w:ascii="宋体"/>
                <w:b/>
              </w:rPr>
              <w:t>【对象】船舶燃油供给单位／船舶所有人或经营人</w:t>
            </w:r>
          </w:p>
        </w:tc>
      </w:tr>
      <w:tr w14:paraId="6F29E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1692" w:type="dxa"/>
            <w:vMerge w:val="restart"/>
            <w:vAlign w:val="center"/>
          </w:tcPr>
          <w:p w14:paraId="1474AC7D">
            <w:pPr>
              <w:widowControl/>
              <w:spacing w:line="240" w:lineRule="exact"/>
              <w:jc w:val="left"/>
              <w:rPr>
                <w:rFonts w:ascii="宋体"/>
                <w:kern w:val="0"/>
              </w:rPr>
            </w:pPr>
            <w:r>
              <w:rPr>
                <w:rFonts w:hint="eastAsia" w:ascii="宋体"/>
                <w:kern w:val="0"/>
              </w:rPr>
              <w:t>船舶和船舶燃油供给单位未按照规定保存燃油供受单证和燃油样品的</w:t>
            </w:r>
          </w:p>
        </w:tc>
        <w:tc>
          <w:tcPr>
            <w:tcW w:w="1870" w:type="dxa"/>
            <w:vMerge w:val="restart"/>
            <w:vAlign w:val="center"/>
          </w:tcPr>
          <w:p w14:paraId="378D57F2">
            <w:pPr>
              <w:widowControl/>
              <w:spacing w:line="240" w:lineRule="exact"/>
              <w:jc w:val="left"/>
              <w:rPr>
                <w:rFonts w:ascii="宋体"/>
                <w:kern w:val="0"/>
              </w:rPr>
            </w:pPr>
            <w:r>
              <w:rPr>
                <w:rFonts w:hint="eastAsia" w:ascii="宋体"/>
                <w:kern w:val="0"/>
              </w:rPr>
              <w:t>1.《防治船舶污染海洋环境管理条例》第二十八条第二款。</w:t>
            </w:r>
          </w:p>
        </w:tc>
        <w:tc>
          <w:tcPr>
            <w:tcW w:w="2039" w:type="dxa"/>
            <w:vMerge w:val="restart"/>
            <w:vAlign w:val="center"/>
          </w:tcPr>
          <w:p w14:paraId="104C4D6C">
            <w:pPr>
              <w:widowControl/>
              <w:spacing w:line="240" w:lineRule="exact"/>
              <w:jc w:val="left"/>
              <w:rPr>
                <w:rFonts w:ascii="宋体"/>
                <w:kern w:val="0"/>
              </w:rPr>
            </w:pPr>
            <w:r>
              <w:rPr>
                <w:rFonts w:hint="eastAsia" w:ascii="宋体"/>
                <w:kern w:val="0"/>
              </w:rPr>
              <w:t>1. 《防治船舶污染海洋环境管理条例》第六十二条第（四）项；</w:t>
            </w:r>
          </w:p>
          <w:p w14:paraId="7499C5D1">
            <w:pPr>
              <w:spacing w:line="240" w:lineRule="exact"/>
              <w:jc w:val="left"/>
              <w:rPr>
                <w:rFonts w:ascii="宋体"/>
              </w:rPr>
            </w:pPr>
            <w:r>
              <w:rPr>
                <w:rFonts w:hint="eastAsia" w:ascii="宋体"/>
                <w:kern w:val="0"/>
              </w:rPr>
              <w:t>2. 《中华人民共和国海上海事行政处罚规定》第七条。</w:t>
            </w:r>
          </w:p>
        </w:tc>
        <w:tc>
          <w:tcPr>
            <w:tcW w:w="1321" w:type="dxa"/>
            <w:vAlign w:val="center"/>
          </w:tcPr>
          <w:p w14:paraId="1E19EE54">
            <w:pPr>
              <w:spacing w:line="240" w:lineRule="exact"/>
              <w:jc w:val="center"/>
              <w:rPr>
                <w:rFonts w:ascii="宋体"/>
              </w:rPr>
            </w:pPr>
            <w:r>
              <w:rPr>
                <w:rFonts w:hint="eastAsia" w:ascii="宋体"/>
              </w:rPr>
              <w:t>从轻</w:t>
            </w:r>
          </w:p>
        </w:tc>
        <w:tc>
          <w:tcPr>
            <w:tcW w:w="3990" w:type="dxa"/>
            <w:vAlign w:val="center"/>
          </w:tcPr>
          <w:p w14:paraId="5F91BD09">
            <w:pPr>
              <w:widowControl/>
              <w:spacing w:line="240" w:lineRule="exact"/>
              <w:jc w:val="left"/>
              <w:rPr>
                <w:rFonts w:ascii="宋体"/>
                <w:kern w:val="0"/>
              </w:rPr>
            </w:pPr>
            <w:r>
              <w:rPr>
                <w:rFonts w:hint="eastAsia" w:ascii="宋体"/>
                <w:kern w:val="0"/>
              </w:rPr>
              <w:t>具有法定从轻处罚情节的</w:t>
            </w:r>
          </w:p>
        </w:tc>
        <w:tc>
          <w:tcPr>
            <w:tcW w:w="8333" w:type="dxa"/>
            <w:tcBorders>
              <w:bottom w:val="single" w:color="auto" w:sz="4" w:space="0"/>
              <w:right w:val="single" w:color="auto" w:sz="4" w:space="0"/>
            </w:tcBorders>
            <w:vAlign w:val="center"/>
          </w:tcPr>
          <w:p w14:paraId="2BFAD14C">
            <w:pPr>
              <w:widowControl/>
              <w:spacing w:line="240" w:lineRule="exact"/>
              <w:jc w:val="center"/>
              <w:rPr>
                <w:rFonts w:ascii="宋体"/>
                <w:kern w:val="0"/>
              </w:rPr>
            </w:pPr>
            <w:r>
              <w:rPr>
                <w:rFonts w:hint="eastAsia" w:ascii="宋体"/>
                <w:kern w:val="0"/>
              </w:rPr>
              <w:t>2000-4000元</w:t>
            </w:r>
          </w:p>
        </w:tc>
      </w:tr>
      <w:tr w14:paraId="703A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1692" w:type="dxa"/>
            <w:vMerge w:val="continue"/>
            <w:vAlign w:val="center"/>
          </w:tcPr>
          <w:p w14:paraId="20AA272D">
            <w:pPr>
              <w:spacing w:line="240" w:lineRule="exact"/>
              <w:jc w:val="left"/>
              <w:rPr>
                <w:rFonts w:ascii="宋体"/>
              </w:rPr>
            </w:pPr>
          </w:p>
        </w:tc>
        <w:tc>
          <w:tcPr>
            <w:tcW w:w="1870" w:type="dxa"/>
            <w:vMerge w:val="continue"/>
            <w:vAlign w:val="center"/>
          </w:tcPr>
          <w:p w14:paraId="694F043D">
            <w:pPr>
              <w:widowControl/>
              <w:spacing w:line="240" w:lineRule="exact"/>
              <w:jc w:val="left"/>
              <w:rPr>
                <w:rFonts w:ascii="宋体"/>
              </w:rPr>
            </w:pPr>
          </w:p>
        </w:tc>
        <w:tc>
          <w:tcPr>
            <w:tcW w:w="2039" w:type="dxa"/>
            <w:vMerge w:val="continue"/>
            <w:vAlign w:val="center"/>
          </w:tcPr>
          <w:p w14:paraId="310B3B34">
            <w:pPr>
              <w:spacing w:line="240" w:lineRule="exact"/>
              <w:jc w:val="left"/>
              <w:rPr>
                <w:rFonts w:ascii="宋体"/>
              </w:rPr>
            </w:pPr>
          </w:p>
        </w:tc>
        <w:tc>
          <w:tcPr>
            <w:tcW w:w="1321" w:type="dxa"/>
            <w:vMerge w:val="restart"/>
            <w:vAlign w:val="center"/>
          </w:tcPr>
          <w:p w14:paraId="40E4E571">
            <w:pPr>
              <w:spacing w:line="240" w:lineRule="exact"/>
              <w:jc w:val="center"/>
              <w:rPr>
                <w:rFonts w:ascii="宋体"/>
              </w:rPr>
            </w:pPr>
            <w:r>
              <w:rPr>
                <w:rFonts w:hint="eastAsia" w:ascii="宋体"/>
              </w:rPr>
              <w:t>一般</w:t>
            </w:r>
          </w:p>
        </w:tc>
        <w:tc>
          <w:tcPr>
            <w:tcW w:w="3990" w:type="dxa"/>
            <w:tcBorders>
              <w:top w:val="single" w:color="auto" w:sz="4" w:space="0"/>
              <w:bottom w:val="single" w:color="auto" w:sz="4" w:space="0"/>
            </w:tcBorders>
            <w:vAlign w:val="center"/>
          </w:tcPr>
          <w:p w14:paraId="1FB4071C">
            <w:pPr>
              <w:widowControl/>
              <w:spacing w:line="240" w:lineRule="exact"/>
              <w:jc w:val="left"/>
              <w:rPr>
                <w:rFonts w:ascii="宋体"/>
                <w:kern w:val="0"/>
              </w:rPr>
            </w:pPr>
            <w:r>
              <w:rPr>
                <w:rFonts w:hint="eastAsia" w:ascii="宋体"/>
                <w:kern w:val="0"/>
              </w:rPr>
              <w:t>仅1次供受油作业的单证和（或）燃油样品未保存的</w:t>
            </w:r>
          </w:p>
        </w:tc>
        <w:tc>
          <w:tcPr>
            <w:tcW w:w="8333" w:type="dxa"/>
            <w:tcBorders>
              <w:right w:val="single" w:color="auto" w:sz="4" w:space="0"/>
            </w:tcBorders>
            <w:vAlign w:val="center"/>
          </w:tcPr>
          <w:p w14:paraId="7F216C6A">
            <w:pPr>
              <w:widowControl/>
              <w:spacing w:line="240" w:lineRule="exact"/>
              <w:jc w:val="center"/>
              <w:rPr>
                <w:rFonts w:ascii="宋体"/>
                <w:kern w:val="0"/>
              </w:rPr>
            </w:pPr>
            <w:r>
              <w:rPr>
                <w:rFonts w:hint="eastAsia" w:ascii="宋体"/>
                <w:kern w:val="0"/>
              </w:rPr>
              <w:t>4000-6000元</w:t>
            </w:r>
          </w:p>
        </w:tc>
      </w:tr>
      <w:tr w14:paraId="15D7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1692" w:type="dxa"/>
            <w:vMerge w:val="continue"/>
            <w:vAlign w:val="center"/>
          </w:tcPr>
          <w:p w14:paraId="4BB0C61A">
            <w:pPr>
              <w:spacing w:line="240" w:lineRule="exact"/>
              <w:jc w:val="left"/>
              <w:rPr>
                <w:rFonts w:ascii="宋体"/>
              </w:rPr>
            </w:pPr>
          </w:p>
        </w:tc>
        <w:tc>
          <w:tcPr>
            <w:tcW w:w="1870" w:type="dxa"/>
            <w:vMerge w:val="continue"/>
            <w:vAlign w:val="center"/>
          </w:tcPr>
          <w:p w14:paraId="69AAA142">
            <w:pPr>
              <w:spacing w:line="240" w:lineRule="exact"/>
              <w:jc w:val="left"/>
              <w:rPr>
                <w:rFonts w:ascii="宋体"/>
              </w:rPr>
            </w:pPr>
          </w:p>
        </w:tc>
        <w:tc>
          <w:tcPr>
            <w:tcW w:w="2039" w:type="dxa"/>
            <w:vMerge w:val="continue"/>
            <w:vAlign w:val="center"/>
          </w:tcPr>
          <w:p w14:paraId="68529973">
            <w:pPr>
              <w:spacing w:line="240" w:lineRule="exact"/>
              <w:jc w:val="left"/>
              <w:rPr>
                <w:rFonts w:ascii="宋体"/>
              </w:rPr>
            </w:pPr>
          </w:p>
        </w:tc>
        <w:tc>
          <w:tcPr>
            <w:tcW w:w="1321" w:type="dxa"/>
            <w:vMerge w:val="continue"/>
            <w:vAlign w:val="center"/>
          </w:tcPr>
          <w:p w14:paraId="2650AEEB">
            <w:pPr>
              <w:spacing w:line="240" w:lineRule="exact"/>
              <w:jc w:val="center"/>
              <w:rPr>
                <w:rFonts w:ascii="宋体"/>
              </w:rPr>
            </w:pPr>
          </w:p>
        </w:tc>
        <w:tc>
          <w:tcPr>
            <w:tcW w:w="3990" w:type="dxa"/>
            <w:tcBorders>
              <w:top w:val="single" w:color="auto" w:sz="4" w:space="0"/>
            </w:tcBorders>
            <w:vAlign w:val="center"/>
          </w:tcPr>
          <w:p w14:paraId="7E3E8AE3">
            <w:pPr>
              <w:widowControl/>
              <w:spacing w:line="240" w:lineRule="exact"/>
              <w:jc w:val="left"/>
              <w:rPr>
                <w:rFonts w:ascii="宋体"/>
                <w:kern w:val="0"/>
              </w:rPr>
            </w:pPr>
            <w:r>
              <w:rPr>
                <w:rFonts w:hint="eastAsia" w:ascii="宋体"/>
                <w:kern w:val="0"/>
              </w:rPr>
              <w:t>2次及以上供受油作业的单证和（或）燃油样品未保存的</w:t>
            </w:r>
          </w:p>
        </w:tc>
        <w:tc>
          <w:tcPr>
            <w:tcW w:w="8333" w:type="dxa"/>
            <w:tcBorders>
              <w:top w:val="single" w:color="auto" w:sz="4" w:space="0"/>
              <w:right w:val="single" w:color="auto" w:sz="4" w:space="0"/>
            </w:tcBorders>
            <w:vAlign w:val="center"/>
          </w:tcPr>
          <w:p w14:paraId="79BB961D">
            <w:pPr>
              <w:widowControl/>
              <w:spacing w:line="240" w:lineRule="exact"/>
              <w:jc w:val="left"/>
              <w:rPr>
                <w:rFonts w:ascii="宋体"/>
                <w:kern w:val="0"/>
              </w:rPr>
            </w:pPr>
            <w:r>
              <w:rPr>
                <w:rFonts w:hint="eastAsia" w:ascii="宋体"/>
                <w:kern w:val="0"/>
              </w:rPr>
              <w:t>在6000元的基础上，每多一次罚款增加1000元，最高不超过1万元。</w:t>
            </w:r>
          </w:p>
        </w:tc>
      </w:tr>
      <w:tr w14:paraId="3E0B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1692" w:type="dxa"/>
            <w:vMerge w:val="continue"/>
            <w:vAlign w:val="center"/>
          </w:tcPr>
          <w:p w14:paraId="4784325E">
            <w:pPr>
              <w:spacing w:line="240" w:lineRule="exact"/>
              <w:jc w:val="left"/>
              <w:rPr>
                <w:rFonts w:ascii="宋体"/>
              </w:rPr>
            </w:pPr>
          </w:p>
        </w:tc>
        <w:tc>
          <w:tcPr>
            <w:tcW w:w="1870" w:type="dxa"/>
            <w:vMerge w:val="continue"/>
            <w:vAlign w:val="center"/>
          </w:tcPr>
          <w:p w14:paraId="47EA8DAF">
            <w:pPr>
              <w:spacing w:line="240" w:lineRule="exact"/>
              <w:jc w:val="left"/>
              <w:rPr>
                <w:rFonts w:ascii="宋体"/>
              </w:rPr>
            </w:pPr>
          </w:p>
        </w:tc>
        <w:tc>
          <w:tcPr>
            <w:tcW w:w="2039" w:type="dxa"/>
            <w:vMerge w:val="continue"/>
            <w:vAlign w:val="center"/>
          </w:tcPr>
          <w:p w14:paraId="4B5F8DFA">
            <w:pPr>
              <w:spacing w:line="240" w:lineRule="exact"/>
              <w:jc w:val="left"/>
              <w:rPr>
                <w:rFonts w:ascii="宋体"/>
              </w:rPr>
            </w:pPr>
          </w:p>
        </w:tc>
        <w:tc>
          <w:tcPr>
            <w:tcW w:w="1321" w:type="dxa"/>
            <w:vMerge w:val="continue"/>
            <w:tcBorders>
              <w:bottom w:val="single" w:color="auto" w:sz="4" w:space="0"/>
            </w:tcBorders>
            <w:vAlign w:val="center"/>
          </w:tcPr>
          <w:p w14:paraId="4A338EA4">
            <w:pPr>
              <w:spacing w:line="240" w:lineRule="exact"/>
              <w:jc w:val="center"/>
              <w:rPr>
                <w:rFonts w:ascii="宋体"/>
              </w:rPr>
            </w:pPr>
          </w:p>
        </w:tc>
        <w:tc>
          <w:tcPr>
            <w:tcW w:w="3990" w:type="dxa"/>
            <w:tcBorders>
              <w:top w:val="single" w:color="auto" w:sz="4" w:space="0"/>
              <w:bottom w:val="single" w:color="auto" w:sz="4" w:space="0"/>
            </w:tcBorders>
            <w:vAlign w:val="center"/>
          </w:tcPr>
          <w:p w14:paraId="7B1C2D6E">
            <w:pPr>
              <w:widowControl/>
              <w:spacing w:line="240" w:lineRule="exact"/>
              <w:jc w:val="left"/>
              <w:rPr>
                <w:rFonts w:ascii="宋体"/>
                <w:kern w:val="0"/>
              </w:rPr>
            </w:pPr>
            <w:r>
              <w:rPr>
                <w:rFonts w:hint="eastAsia" w:ascii="宋体"/>
                <w:kern w:val="0"/>
              </w:rPr>
              <w:t>具有其他较重情节的</w:t>
            </w:r>
          </w:p>
        </w:tc>
        <w:tc>
          <w:tcPr>
            <w:tcW w:w="8333" w:type="dxa"/>
            <w:tcBorders>
              <w:top w:val="single" w:color="auto" w:sz="4" w:space="0"/>
              <w:bottom w:val="single" w:color="auto" w:sz="4" w:space="0"/>
              <w:right w:val="single" w:color="auto" w:sz="4" w:space="0"/>
            </w:tcBorders>
            <w:vAlign w:val="center"/>
          </w:tcPr>
          <w:p w14:paraId="2C40A2A4">
            <w:pPr>
              <w:widowControl/>
              <w:spacing w:line="240" w:lineRule="exact"/>
              <w:jc w:val="center"/>
              <w:rPr>
                <w:rFonts w:ascii="宋体"/>
                <w:kern w:val="0"/>
              </w:rPr>
            </w:pPr>
            <w:r>
              <w:rPr>
                <w:rFonts w:hint="eastAsia" w:ascii="宋体"/>
                <w:kern w:val="0"/>
              </w:rPr>
              <w:t>8000元-1万元</w:t>
            </w:r>
          </w:p>
        </w:tc>
      </w:tr>
    </w:tbl>
    <w:p w14:paraId="7994010D">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2288"/>
        <w:gridCol w:w="2505"/>
        <w:gridCol w:w="1320"/>
        <w:gridCol w:w="3975"/>
        <w:gridCol w:w="8188"/>
      </w:tblGrid>
      <w:tr w14:paraId="5355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1394" w:type="dxa"/>
            <w:vMerge w:val="restart"/>
            <w:vAlign w:val="center"/>
          </w:tcPr>
          <w:p w14:paraId="018DF8F3">
            <w:pPr>
              <w:spacing w:line="240" w:lineRule="exact"/>
              <w:jc w:val="center"/>
              <w:rPr>
                <w:rFonts w:ascii="宋体"/>
                <w:b/>
              </w:rPr>
            </w:pPr>
            <w:r>
              <w:rPr>
                <w:rFonts w:hint="eastAsia" w:ascii="宋体"/>
                <w:b/>
              </w:rPr>
              <w:t>案由87</w:t>
            </w:r>
          </w:p>
        </w:tc>
        <w:tc>
          <w:tcPr>
            <w:tcW w:w="4793" w:type="dxa"/>
            <w:gridSpan w:val="2"/>
            <w:vAlign w:val="center"/>
          </w:tcPr>
          <w:p w14:paraId="19BB7A3B">
            <w:pPr>
              <w:spacing w:line="240" w:lineRule="exact"/>
              <w:jc w:val="center"/>
              <w:rPr>
                <w:rFonts w:ascii="宋体"/>
                <w:b/>
              </w:rPr>
            </w:pPr>
            <w:r>
              <w:rPr>
                <w:rFonts w:hint="eastAsia" w:ascii="宋体"/>
                <w:b/>
              </w:rPr>
              <w:t>法律依据</w:t>
            </w:r>
          </w:p>
        </w:tc>
        <w:tc>
          <w:tcPr>
            <w:tcW w:w="1320" w:type="dxa"/>
            <w:vMerge w:val="restart"/>
            <w:vAlign w:val="center"/>
          </w:tcPr>
          <w:p w14:paraId="64B0A382">
            <w:pPr>
              <w:spacing w:line="240" w:lineRule="exact"/>
              <w:jc w:val="center"/>
              <w:rPr>
                <w:rFonts w:ascii="宋体"/>
                <w:b/>
              </w:rPr>
            </w:pPr>
            <w:r>
              <w:rPr>
                <w:rFonts w:hint="eastAsia" w:ascii="宋体"/>
                <w:b/>
              </w:rPr>
              <w:t>违法情节</w:t>
            </w:r>
          </w:p>
        </w:tc>
        <w:tc>
          <w:tcPr>
            <w:tcW w:w="3975" w:type="dxa"/>
            <w:vMerge w:val="restart"/>
            <w:vAlign w:val="center"/>
          </w:tcPr>
          <w:p w14:paraId="3F6F0CC5">
            <w:pPr>
              <w:spacing w:line="240" w:lineRule="exact"/>
              <w:jc w:val="center"/>
              <w:rPr>
                <w:rFonts w:ascii="宋体"/>
                <w:b/>
              </w:rPr>
            </w:pPr>
            <w:r>
              <w:rPr>
                <w:rFonts w:hint="eastAsia" w:ascii="宋体"/>
                <w:b/>
              </w:rPr>
              <w:t>主要考虑因素（事实、性质、情节、危害程度和实际后果等）</w:t>
            </w:r>
          </w:p>
        </w:tc>
        <w:tc>
          <w:tcPr>
            <w:tcW w:w="8188" w:type="dxa"/>
            <w:tcBorders>
              <w:left w:val="single" w:color="auto" w:sz="4" w:space="0"/>
            </w:tcBorders>
            <w:vAlign w:val="center"/>
          </w:tcPr>
          <w:p w14:paraId="5326E42A">
            <w:pPr>
              <w:spacing w:line="240" w:lineRule="exact"/>
              <w:jc w:val="left"/>
              <w:rPr>
                <w:rFonts w:ascii="宋体"/>
                <w:b/>
              </w:rPr>
            </w:pPr>
            <w:r>
              <w:rPr>
                <w:rFonts w:hint="eastAsia" w:ascii="宋体"/>
                <w:b/>
              </w:rPr>
              <w:t>【法定幅度和种类】</w:t>
            </w:r>
            <w:r>
              <w:rPr>
                <w:rFonts w:hint="eastAsia" w:ascii="宋体"/>
                <w:bCs/>
              </w:rPr>
              <w:t>处10万元以上30万元以下的罚款。</w:t>
            </w:r>
          </w:p>
        </w:tc>
      </w:tr>
      <w:tr w14:paraId="18CBA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394" w:type="dxa"/>
            <w:vMerge w:val="continue"/>
            <w:vAlign w:val="center"/>
          </w:tcPr>
          <w:p w14:paraId="0A4C641E">
            <w:pPr>
              <w:spacing w:line="240" w:lineRule="exact"/>
              <w:jc w:val="center"/>
              <w:rPr>
                <w:rFonts w:ascii="宋体"/>
                <w:b/>
              </w:rPr>
            </w:pPr>
          </w:p>
        </w:tc>
        <w:tc>
          <w:tcPr>
            <w:tcW w:w="2288" w:type="dxa"/>
            <w:vAlign w:val="center"/>
          </w:tcPr>
          <w:p w14:paraId="163266C9">
            <w:pPr>
              <w:spacing w:line="240" w:lineRule="exact"/>
              <w:jc w:val="center"/>
              <w:rPr>
                <w:rFonts w:ascii="宋体"/>
                <w:b/>
              </w:rPr>
            </w:pPr>
            <w:r>
              <w:rPr>
                <w:rFonts w:hint="eastAsia" w:ascii="宋体"/>
                <w:b/>
              </w:rPr>
              <w:t>违反条款</w:t>
            </w:r>
          </w:p>
        </w:tc>
        <w:tc>
          <w:tcPr>
            <w:tcW w:w="2505" w:type="dxa"/>
            <w:vAlign w:val="center"/>
          </w:tcPr>
          <w:p w14:paraId="2AB66356">
            <w:pPr>
              <w:spacing w:line="240" w:lineRule="exact"/>
              <w:jc w:val="center"/>
              <w:rPr>
                <w:rFonts w:ascii="宋体"/>
                <w:b/>
              </w:rPr>
            </w:pPr>
            <w:r>
              <w:rPr>
                <w:rFonts w:hint="eastAsia" w:ascii="宋体"/>
                <w:b/>
              </w:rPr>
              <w:t>处罚依据</w:t>
            </w:r>
          </w:p>
        </w:tc>
        <w:tc>
          <w:tcPr>
            <w:tcW w:w="1320" w:type="dxa"/>
            <w:vMerge w:val="continue"/>
            <w:vAlign w:val="center"/>
          </w:tcPr>
          <w:p w14:paraId="3C4B698F">
            <w:pPr>
              <w:spacing w:line="240" w:lineRule="exact"/>
              <w:jc w:val="center"/>
              <w:rPr>
                <w:rFonts w:ascii="宋体"/>
                <w:b/>
              </w:rPr>
            </w:pPr>
          </w:p>
        </w:tc>
        <w:tc>
          <w:tcPr>
            <w:tcW w:w="3975" w:type="dxa"/>
            <w:vMerge w:val="continue"/>
            <w:vAlign w:val="center"/>
          </w:tcPr>
          <w:p w14:paraId="0ECC2F27">
            <w:pPr>
              <w:spacing w:line="240" w:lineRule="exact"/>
              <w:jc w:val="center"/>
              <w:rPr>
                <w:rFonts w:ascii="宋体"/>
                <w:b/>
              </w:rPr>
            </w:pPr>
          </w:p>
        </w:tc>
        <w:tc>
          <w:tcPr>
            <w:tcW w:w="8188" w:type="dxa"/>
            <w:tcBorders>
              <w:top w:val="single" w:color="auto" w:sz="4" w:space="0"/>
              <w:left w:val="single" w:color="auto" w:sz="4" w:space="0"/>
            </w:tcBorders>
            <w:vAlign w:val="center"/>
          </w:tcPr>
          <w:p w14:paraId="64AFF381">
            <w:pPr>
              <w:spacing w:line="240" w:lineRule="exact"/>
              <w:jc w:val="center"/>
              <w:rPr>
                <w:rFonts w:ascii="宋体"/>
                <w:b/>
              </w:rPr>
            </w:pPr>
            <w:r>
              <w:rPr>
                <w:rFonts w:hint="eastAsia" w:ascii="宋体"/>
                <w:b/>
              </w:rPr>
              <w:t>【对象】船舶所有人或经营人</w:t>
            </w:r>
          </w:p>
        </w:tc>
      </w:tr>
      <w:tr w14:paraId="5793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394" w:type="dxa"/>
            <w:vMerge w:val="restart"/>
            <w:vAlign w:val="center"/>
          </w:tcPr>
          <w:p w14:paraId="27BC03E2">
            <w:pPr>
              <w:spacing w:line="240" w:lineRule="exact"/>
              <w:jc w:val="left"/>
              <w:rPr>
                <w:rFonts w:ascii="宋体"/>
              </w:rPr>
            </w:pPr>
            <w:r>
              <w:rPr>
                <w:rFonts w:hint="eastAsia" w:ascii="宋体"/>
              </w:rPr>
              <w:t>船舶的结构不符合国家有关防治船舶污染海洋环境的技术规范或者有关国际条约要求</w:t>
            </w:r>
          </w:p>
        </w:tc>
        <w:tc>
          <w:tcPr>
            <w:tcW w:w="2288" w:type="dxa"/>
            <w:vMerge w:val="restart"/>
            <w:vAlign w:val="center"/>
          </w:tcPr>
          <w:p w14:paraId="7713257A">
            <w:pPr>
              <w:widowControl/>
              <w:spacing w:line="240" w:lineRule="exact"/>
              <w:jc w:val="left"/>
              <w:rPr>
                <w:rFonts w:ascii="宋体"/>
              </w:rPr>
            </w:pPr>
            <w:r>
              <w:rPr>
                <w:rFonts w:hint="eastAsia" w:ascii="宋体"/>
              </w:rPr>
              <w:t>1.《防治船舶污染海洋环境管理条例》第十条第一款。</w:t>
            </w:r>
          </w:p>
        </w:tc>
        <w:tc>
          <w:tcPr>
            <w:tcW w:w="2505" w:type="dxa"/>
            <w:vMerge w:val="restart"/>
            <w:vAlign w:val="center"/>
          </w:tcPr>
          <w:p w14:paraId="1B499519">
            <w:pPr>
              <w:spacing w:line="240" w:lineRule="exact"/>
              <w:jc w:val="left"/>
              <w:rPr>
                <w:rFonts w:ascii="宋体"/>
              </w:rPr>
            </w:pPr>
            <w:r>
              <w:rPr>
                <w:rFonts w:hint="eastAsia" w:ascii="宋体"/>
              </w:rPr>
              <w:t>1.《防治船舶污染海洋环境管理条例》第五十七条。</w:t>
            </w:r>
          </w:p>
          <w:p w14:paraId="4699048B">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320" w:type="dxa"/>
            <w:vAlign w:val="center"/>
          </w:tcPr>
          <w:p w14:paraId="0F25CDB1">
            <w:pPr>
              <w:spacing w:line="240" w:lineRule="exact"/>
              <w:jc w:val="center"/>
              <w:rPr>
                <w:rFonts w:ascii="宋体"/>
              </w:rPr>
            </w:pPr>
            <w:r>
              <w:rPr>
                <w:rFonts w:hint="eastAsia" w:ascii="宋体"/>
              </w:rPr>
              <w:t>从轻</w:t>
            </w:r>
          </w:p>
        </w:tc>
        <w:tc>
          <w:tcPr>
            <w:tcW w:w="3975" w:type="dxa"/>
            <w:vAlign w:val="center"/>
          </w:tcPr>
          <w:p w14:paraId="60EC6374">
            <w:pPr>
              <w:spacing w:line="240" w:lineRule="exact"/>
              <w:rPr>
                <w:rFonts w:ascii="宋体"/>
              </w:rPr>
            </w:pPr>
            <w:r>
              <w:rPr>
                <w:rFonts w:hint="eastAsia" w:ascii="宋体"/>
              </w:rPr>
              <w:t>具有法定从轻处罚情节的</w:t>
            </w:r>
          </w:p>
        </w:tc>
        <w:tc>
          <w:tcPr>
            <w:tcW w:w="8188" w:type="dxa"/>
            <w:tcBorders>
              <w:left w:val="single" w:color="auto" w:sz="4" w:space="0"/>
              <w:bottom w:val="single" w:color="auto" w:sz="4" w:space="0"/>
            </w:tcBorders>
            <w:vAlign w:val="center"/>
          </w:tcPr>
          <w:p w14:paraId="580A2A47">
            <w:pPr>
              <w:spacing w:line="240" w:lineRule="exact"/>
              <w:jc w:val="center"/>
              <w:rPr>
                <w:rFonts w:ascii="宋体"/>
              </w:rPr>
            </w:pPr>
            <w:r>
              <w:rPr>
                <w:rFonts w:hint="eastAsia" w:ascii="宋体"/>
              </w:rPr>
              <w:t>10-15万元</w:t>
            </w:r>
          </w:p>
        </w:tc>
      </w:tr>
      <w:tr w14:paraId="25373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394" w:type="dxa"/>
            <w:vMerge w:val="continue"/>
            <w:vAlign w:val="center"/>
          </w:tcPr>
          <w:p w14:paraId="50C65352">
            <w:pPr>
              <w:spacing w:line="240" w:lineRule="exact"/>
              <w:jc w:val="left"/>
              <w:rPr>
                <w:rFonts w:ascii="宋体"/>
              </w:rPr>
            </w:pPr>
          </w:p>
        </w:tc>
        <w:tc>
          <w:tcPr>
            <w:tcW w:w="2288" w:type="dxa"/>
            <w:vMerge w:val="continue"/>
            <w:vAlign w:val="center"/>
          </w:tcPr>
          <w:p w14:paraId="68F6AFEC">
            <w:pPr>
              <w:widowControl/>
              <w:spacing w:line="240" w:lineRule="exact"/>
              <w:jc w:val="left"/>
              <w:rPr>
                <w:rFonts w:ascii="宋体"/>
              </w:rPr>
            </w:pPr>
          </w:p>
        </w:tc>
        <w:tc>
          <w:tcPr>
            <w:tcW w:w="2505" w:type="dxa"/>
            <w:vMerge w:val="continue"/>
            <w:vAlign w:val="center"/>
          </w:tcPr>
          <w:p w14:paraId="553842CD">
            <w:pPr>
              <w:spacing w:line="240" w:lineRule="exact"/>
              <w:jc w:val="left"/>
              <w:rPr>
                <w:rFonts w:ascii="宋体"/>
              </w:rPr>
            </w:pPr>
          </w:p>
        </w:tc>
        <w:tc>
          <w:tcPr>
            <w:tcW w:w="1320" w:type="dxa"/>
            <w:vMerge w:val="restart"/>
            <w:vAlign w:val="center"/>
          </w:tcPr>
          <w:p w14:paraId="549E7F23">
            <w:pPr>
              <w:spacing w:line="240" w:lineRule="exact"/>
              <w:jc w:val="center"/>
              <w:rPr>
                <w:rFonts w:ascii="宋体"/>
              </w:rPr>
            </w:pPr>
            <w:r>
              <w:rPr>
                <w:rFonts w:hint="eastAsia" w:ascii="宋体"/>
              </w:rPr>
              <w:t>一般</w:t>
            </w:r>
          </w:p>
        </w:tc>
        <w:tc>
          <w:tcPr>
            <w:tcW w:w="3975" w:type="dxa"/>
            <w:vAlign w:val="center"/>
          </w:tcPr>
          <w:p w14:paraId="6778155D">
            <w:pPr>
              <w:widowControl/>
              <w:spacing w:line="240" w:lineRule="exact"/>
              <w:jc w:val="left"/>
              <w:rPr>
                <w:rFonts w:ascii="宋体"/>
              </w:rPr>
            </w:pPr>
            <w:r>
              <w:rPr>
                <w:rFonts w:hint="eastAsia" w:ascii="宋体"/>
              </w:rPr>
              <w:t>结构不符合有关技术规范要求，未导致污染或其他不良后果的</w:t>
            </w:r>
          </w:p>
        </w:tc>
        <w:tc>
          <w:tcPr>
            <w:tcW w:w="8188" w:type="dxa"/>
            <w:tcBorders>
              <w:top w:val="single" w:color="auto" w:sz="4" w:space="0"/>
              <w:left w:val="single" w:color="auto" w:sz="4" w:space="0"/>
              <w:bottom w:val="single" w:color="auto" w:sz="4" w:space="0"/>
            </w:tcBorders>
            <w:vAlign w:val="center"/>
          </w:tcPr>
          <w:p w14:paraId="0B157418">
            <w:pPr>
              <w:spacing w:line="240" w:lineRule="exact"/>
              <w:jc w:val="center"/>
              <w:rPr>
                <w:rFonts w:ascii="宋体"/>
              </w:rPr>
            </w:pPr>
            <w:r>
              <w:rPr>
                <w:rFonts w:hint="eastAsia" w:ascii="宋体"/>
              </w:rPr>
              <w:t>15-20万元</w:t>
            </w:r>
          </w:p>
        </w:tc>
      </w:tr>
      <w:tr w14:paraId="22309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394" w:type="dxa"/>
            <w:vMerge w:val="continue"/>
            <w:vAlign w:val="center"/>
          </w:tcPr>
          <w:p w14:paraId="6FF67E41">
            <w:pPr>
              <w:spacing w:line="240" w:lineRule="exact"/>
              <w:jc w:val="left"/>
              <w:rPr>
                <w:rFonts w:ascii="宋体"/>
              </w:rPr>
            </w:pPr>
          </w:p>
        </w:tc>
        <w:tc>
          <w:tcPr>
            <w:tcW w:w="2288" w:type="dxa"/>
            <w:vMerge w:val="continue"/>
            <w:vAlign w:val="center"/>
          </w:tcPr>
          <w:p w14:paraId="76EF2AF4">
            <w:pPr>
              <w:spacing w:line="240" w:lineRule="exact"/>
              <w:jc w:val="left"/>
              <w:rPr>
                <w:rFonts w:ascii="宋体"/>
              </w:rPr>
            </w:pPr>
          </w:p>
        </w:tc>
        <w:tc>
          <w:tcPr>
            <w:tcW w:w="2505" w:type="dxa"/>
            <w:vMerge w:val="continue"/>
            <w:vAlign w:val="center"/>
          </w:tcPr>
          <w:p w14:paraId="784955E4">
            <w:pPr>
              <w:spacing w:line="240" w:lineRule="exact"/>
              <w:jc w:val="left"/>
              <w:rPr>
                <w:rFonts w:ascii="宋体"/>
              </w:rPr>
            </w:pPr>
          </w:p>
        </w:tc>
        <w:tc>
          <w:tcPr>
            <w:tcW w:w="1320" w:type="dxa"/>
            <w:vMerge w:val="continue"/>
            <w:vAlign w:val="center"/>
          </w:tcPr>
          <w:p w14:paraId="191DB53D">
            <w:pPr>
              <w:spacing w:line="240" w:lineRule="exact"/>
              <w:jc w:val="center"/>
              <w:rPr>
                <w:rFonts w:ascii="宋体"/>
              </w:rPr>
            </w:pPr>
          </w:p>
        </w:tc>
        <w:tc>
          <w:tcPr>
            <w:tcW w:w="3975" w:type="dxa"/>
            <w:tcBorders>
              <w:top w:val="single" w:color="auto" w:sz="4" w:space="0"/>
              <w:bottom w:val="single" w:color="auto" w:sz="4" w:space="0"/>
            </w:tcBorders>
            <w:vAlign w:val="center"/>
          </w:tcPr>
          <w:p w14:paraId="7D19A990">
            <w:pPr>
              <w:widowControl/>
              <w:spacing w:line="240" w:lineRule="exact"/>
              <w:jc w:val="left"/>
              <w:rPr>
                <w:rFonts w:ascii="宋体"/>
              </w:rPr>
            </w:pPr>
            <w:r>
              <w:rPr>
                <w:rFonts w:hint="eastAsia" w:ascii="宋体"/>
              </w:rPr>
              <w:t>因结构不符合有关技术规范要求，导致一般船舶污染事故或其他不良后果的</w:t>
            </w:r>
          </w:p>
        </w:tc>
        <w:tc>
          <w:tcPr>
            <w:tcW w:w="8188" w:type="dxa"/>
            <w:tcBorders>
              <w:top w:val="single" w:color="auto" w:sz="4" w:space="0"/>
              <w:left w:val="single" w:color="auto" w:sz="4" w:space="0"/>
              <w:bottom w:val="single" w:color="auto" w:sz="4" w:space="0"/>
            </w:tcBorders>
            <w:vAlign w:val="center"/>
          </w:tcPr>
          <w:p w14:paraId="2963193F">
            <w:pPr>
              <w:spacing w:line="240" w:lineRule="exact"/>
              <w:jc w:val="center"/>
              <w:rPr>
                <w:rFonts w:ascii="宋体"/>
              </w:rPr>
            </w:pPr>
            <w:r>
              <w:rPr>
                <w:rFonts w:hint="eastAsia" w:ascii="宋体"/>
              </w:rPr>
              <w:t>20-25万元</w:t>
            </w:r>
          </w:p>
        </w:tc>
      </w:tr>
      <w:tr w14:paraId="1D2D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trPr>
        <w:tc>
          <w:tcPr>
            <w:tcW w:w="1394" w:type="dxa"/>
            <w:vMerge w:val="continue"/>
            <w:vAlign w:val="center"/>
          </w:tcPr>
          <w:p w14:paraId="311F336D">
            <w:pPr>
              <w:spacing w:line="240" w:lineRule="exact"/>
              <w:jc w:val="left"/>
              <w:rPr>
                <w:rFonts w:ascii="宋体"/>
              </w:rPr>
            </w:pPr>
          </w:p>
        </w:tc>
        <w:tc>
          <w:tcPr>
            <w:tcW w:w="2288" w:type="dxa"/>
            <w:vMerge w:val="continue"/>
            <w:vAlign w:val="center"/>
          </w:tcPr>
          <w:p w14:paraId="1B3919F8">
            <w:pPr>
              <w:spacing w:line="240" w:lineRule="exact"/>
              <w:jc w:val="left"/>
              <w:rPr>
                <w:rFonts w:ascii="宋体"/>
              </w:rPr>
            </w:pPr>
          </w:p>
        </w:tc>
        <w:tc>
          <w:tcPr>
            <w:tcW w:w="2505" w:type="dxa"/>
            <w:vMerge w:val="continue"/>
            <w:vAlign w:val="center"/>
          </w:tcPr>
          <w:p w14:paraId="713E8F57">
            <w:pPr>
              <w:spacing w:line="240" w:lineRule="exact"/>
              <w:jc w:val="left"/>
              <w:rPr>
                <w:rFonts w:ascii="宋体"/>
              </w:rPr>
            </w:pPr>
          </w:p>
        </w:tc>
        <w:tc>
          <w:tcPr>
            <w:tcW w:w="1320" w:type="dxa"/>
            <w:vMerge w:val="continue"/>
            <w:vAlign w:val="center"/>
          </w:tcPr>
          <w:p w14:paraId="7058D766">
            <w:pPr>
              <w:spacing w:line="240" w:lineRule="exact"/>
              <w:jc w:val="left"/>
              <w:rPr>
                <w:rFonts w:ascii="宋体"/>
              </w:rPr>
            </w:pPr>
          </w:p>
        </w:tc>
        <w:tc>
          <w:tcPr>
            <w:tcW w:w="3975" w:type="dxa"/>
            <w:tcBorders>
              <w:top w:val="single" w:color="auto" w:sz="4" w:space="0"/>
              <w:left w:val="single" w:color="auto" w:sz="4" w:space="0"/>
              <w:bottom w:val="single" w:color="auto" w:sz="4" w:space="0"/>
            </w:tcBorders>
            <w:vAlign w:val="center"/>
          </w:tcPr>
          <w:p w14:paraId="54138C99">
            <w:pPr>
              <w:widowControl/>
              <w:spacing w:line="240" w:lineRule="exact"/>
              <w:jc w:val="left"/>
              <w:rPr>
                <w:rFonts w:ascii="宋体"/>
              </w:rPr>
            </w:pPr>
            <w:r>
              <w:rPr>
                <w:rFonts w:hint="eastAsia" w:ascii="宋体"/>
              </w:rPr>
              <w:t>1.因结构不符合有关技术规范要求，导致发生较大以上等级船舶污染事故的；</w:t>
            </w:r>
          </w:p>
          <w:p w14:paraId="14A1E69E">
            <w:pPr>
              <w:widowControl/>
              <w:spacing w:line="240" w:lineRule="exact"/>
              <w:jc w:val="left"/>
              <w:rPr>
                <w:rFonts w:ascii="宋体"/>
              </w:rPr>
            </w:pPr>
            <w:r>
              <w:rPr>
                <w:rFonts w:hint="eastAsia" w:ascii="宋体"/>
              </w:rPr>
              <w:t>2.</w:t>
            </w:r>
            <w:r>
              <w:rPr>
                <w:rFonts w:hint="eastAsia" w:ascii="宋体"/>
                <w:kern w:val="0"/>
              </w:rPr>
              <w:t>具有其他较重情节的</w:t>
            </w:r>
            <w:r>
              <w:rPr>
                <w:rFonts w:hint="eastAsia" w:ascii="宋体"/>
              </w:rPr>
              <w:t>。</w:t>
            </w:r>
          </w:p>
        </w:tc>
        <w:tc>
          <w:tcPr>
            <w:tcW w:w="8188" w:type="dxa"/>
            <w:tcBorders>
              <w:left w:val="single" w:color="auto" w:sz="4" w:space="0"/>
            </w:tcBorders>
            <w:vAlign w:val="center"/>
          </w:tcPr>
          <w:p w14:paraId="0D21D022">
            <w:pPr>
              <w:spacing w:line="240" w:lineRule="exact"/>
              <w:jc w:val="center"/>
              <w:rPr>
                <w:rFonts w:ascii="宋体"/>
              </w:rPr>
            </w:pPr>
            <w:r>
              <w:rPr>
                <w:rFonts w:hint="eastAsia" w:ascii="宋体"/>
              </w:rPr>
              <w:t>25-30万元</w:t>
            </w:r>
          </w:p>
        </w:tc>
      </w:tr>
    </w:tbl>
    <w:p w14:paraId="24C146C7">
      <w:pPr>
        <w:widowControl/>
        <w:jc w:val="left"/>
        <w:rPr>
          <w:rFonts w:ascii="宋体"/>
          <w:b/>
        </w:rPr>
      </w:pPr>
      <w:r>
        <w:rPr>
          <w:rFonts w:ascii="宋体"/>
          <w:b/>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1960"/>
        <w:gridCol w:w="2638"/>
        <w:gridCol w:w="1620"/>
        <w:gridCol w:w="3270"/>
        <w:gridCol w:w="9071"/>
      </w:tblGrid>
      <w:tr w14:paraId="72F7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1394" w:type="dxa"/>
            <w:vMerge w:val="restart"/>
            <w:vAlign w:val="center"/>
          </w:tcPr>
          <w:p w14:paraId="5B6A1A90">
            <w:pPr>
              <w:spacing w:line="240" w:lineRule="exact"/>
              <w:jc w:val="center"/>
              <w:rPr>
                <w:rFonts w:ascii="宋体"/>
                <w:b/>
              </w:rPr>
            </w:pPr>
            <w:r>
              <w:rPr>
                <w:rFonts w:hint="eastAsia" w:ascii="宋体"/>
                <w:b/>
              </w:rPr>
              <w:t>案由88</w:t>
            </w:r>
          </w:p>
        </w:tc>
        <w:tc>
          <w:tcPr>
            <w:tcW w:w="4598" w:type="dxa"/>
            <w:gridSpan w:val="2"/>
            <w:vAlign w:val="center"/>
          </w:tcPr>
          <w:p w14:paraId="2A11BF49">
            <w:pPr>
              <w:spacing w:line="240" w:lineRule="exact"/>
              <w:jc w:val="center"/>
              <w:rPr>
                <w:rFonts w:ascii="宋体"/>
                <w:b/>
              </w:rPr>
            </w:pPr>
            <w:r>
              <w:rPr>
                <w:rFonts w:hint="eastAsia" w:ascii="宋体"/>
                <w:b/>
              </w:rPr>
              <w:t>法律依据</w:t>
            </w:r>
          </w:p>
        </w:tc>
        <w:tc>
          <w:tcPr>
            <w:tcW w:w="1620" w:type="dxa"/>
            <w:vMerge w:val="restart"/>
            <w:vAlign w:val="center"/>
          </w:tcPr>
          <w:p w14:paraId="0EDD192C">
            <w:pPr>
              <w:spacing w:line="240" w:lineRule="exact"/>
              <w:jc w:val="center"/>
              <w:rPr>
                <w:rFonts w:ascii="宋体"/>
                <w:b/>
              </w:rPr>
            </w:pPr>
            <w:r>
              <w:rPr>
                <w:rFonts w:hint="eastAsia" w:ascii="宋体"/>
                <w:b/>
              </w:rPr>
              <w:t>违法情节</w:t>
            </w:r>
          </w:p>
        </w:tc>
        <w:tc>
          <w:tcPr>
            <w:tcW w:w="3270" w:type="dxa"/>
            <w:vMerge w:val="restart"/>
            <w:vAlign w:val="center"/>
          </w:tcPr>
          <w:p w14:paraId="4F8C9027">
            <w:pPr>
              <w:spacing w:line="240" w:lineRule="exact"/>
              <w:jc w:val="center"/>
              <w:rPr>
                <w:rFonts w:ascii="宋体"/>
                <w:b/>
              </w:rPr>
            </w:pPr>
            <w:r>
              <w:rPr>
                <w:rFonts w:hint="eastAsia" w:ascii="宋体"/>
                <w:b/>
              </w:rPr>
              <w:t>主要考虑因素（事实、性质、情节、危害程度和实际后果等）</w:t>
            </w:r>
          </w:p>
        </w:tc>
        <w:tc>
          <w:tcPr>
            <w:tcW w:w="9071" w:type="dxa"/>
            <w:tcBorders>
              <w:left w:val="single" w:color="auto" w:sz="4" w:space="0"/>
            </w:tcBorders>
            <w:vAlign w:val="center"/>
          </w:tcPr>
          <w:p w14:paraId="66616DA7">
            <w:pPr>
              <w:spacing w:line="240" w:lineRule="exact"/>
              <w:jc w:val="left"/>
              <w:rPr>
                <w:rFonts w:ascii="宋体"/>
                <w:b/>
              </w:rPr>
            </w:pPr>
            <w:r>
              <w:rPr>
                <w:rFonts w:hint="eastAsia" w:ascii="宋体"/>
                <w:b/>
              </w:rPr>
              <w:t>【法定幅度和种类】</w:t>
            </w:r>
            <w:r>
              <w:rPr>
                <w:rFonts w:hint="eastAsia" w:ascii="宋体"/>
                <w:bCs/>
              </w:rPr>
              <w:t>处2万元以上10万元以下的罚款。</w:t>
            </w:r>
          </w:p>
        </w:tc>
      </w:tr>
      <w:tr w14:paraId="5886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trPr>
        <w:tc>
          <w:tcPr>
            <w:tcW w:w="1394" w:type="dxa"/>
            <w:vMerge w:val="continue"/>
            <w:vAlign w:val="center"/>
          </w:tcPr>
          <w:p w14:paraId="4B09F049">
            <w:pPr>
              <w:spacing w:line="240" w:lineRule="exact"/>
              <w:jc w:val="center"/>
              <w:rPr>
                <w:rFonts w:ascii="宋体"/>
                <w:b/>
              </w:rPr>
            </w:pPr>
          </w:p>
        </w:tc>
        <w:tc>
          <w:tcPr>
            <w:tcW w:w="1960" w:type="dxa"/>
            <w:vAlign w:val="center"/>
          </w:tcPr>
          <w:p w14:paraId="2638A109">
            <w:pPr>
              <w:spacing w:line="240" w:lineRule="exact"/>
              <w:jc w:val="center"/>
              <w:rPr>
                <w:rFonts w:ascii="宋体"/>
                <w:b/>
              </w:rPr>
            </w:pPr>
            <w:r>
              <w:rPr>
                <w:rFonts w:hint="eastAsia" w:ascii="宋体"/>
                <w:b/>
              </w:rPr>
              <w:t>违反条款</w:t>
            </w:r>
          </w:p>
        </w:tc>
        <w:tc>
          <w:tcPr>
            <w:tcW w:w="2638" w:type="dxa"/>
            <w:vAlign w:val="center"/>
          </w:tcPr>
          <w:p w14:paraId="1945BB0A">
            <w:pPr>
              <w:spacing w:line="240" w:lineRule="exact"/>
              <w:jc w:val="center"/>
              <w:rPr>
                <w:rFonts w:ascii="宋体"/>
                <w:b/>
              </w:rPr>
            </w:pPr>
            <w:r>
              <w:rPr>
                <w:rFonts w:hint="eastAsia" w:ascii="宋体"/>
                <w:b/>
              </w:rPr>
              <w:t>处罚依据</w:t>
            </w:r>
          </w:p>
        </w:tc>
        <w:tc>
          <w:tcPr>
            <w:tcW w:w="1620" w:type="dxa"/>
            <w:vMerge w:val="continue"/>
            <w:vAlign w:val="center"/>
          </w:tcPr>
          <w:p w14:paraId="7B106849">
            <w:pPr>
              <w:spacing w:line="240" w:lineRule="exact"/>
              <w:jc w:val="center"/>
              <w:rPr>
                <w:rFonts w:ascii="宋体"/>
                <w:b/>
              </w:rPr>
            </w:pPr>
          </w:p>
        </w:tc>
        <w:tc>
          <w:tcPr>
            <w:tcW w:w="3270" w:type="dxa"/>
            <w:vMerge w:val="continue"/>
            <w:vAlign w:val="center"/>
          </w:tcPr>
          <w:p w14:paraId="590BCE38">
            <w:pPr>
              <w:spacing w:line="240" w:lineRule="exact"/>
              <w:jc w:val="center"/>
              <w:rPr>
                <w:rFonts w:ascii="宋体"/>
                <w:b/>
              </w:rPr>
            </w:pPr>
          </w:p>
        </w:tc>
        <w:tc>
          <w:tcPr>
            <w:tcW w:w="9071" w:type="dxa"/>
            <w:tcBorders>
              <w:top w:val="single" w:color="auto" w:sz="4" w:space="0"/>
              <w:left w:val="single" w:color="auto" w:sz="4" w:space="0"/>
            </w:tcBorders>
            <w:vAlign w:val="center"/>
          </w:tcPr>
          <w:p w14:paraId="3115E986">
            <w:pPr>
              <w:spacing w:line="240" w:lineRule="exact"/>
              <w:jc w:val="center"/>
              <w:rPr>
                <w:rFonts w:ascii="宋体"/>
                <w:b/>
              </w:rPr>
            </w:pPr>
            <w:r>
              <w:rPr>
                <w:rFonts w:hint="eastAsia" w:ascii="宋体"/>
                <w:b/>
              </w:rPr>
              <w:t>【对象】船舶所有人或者经营人</w:t>
            </w:r>
          </w:p>
        </w:tc>
      </w:tr>
      <w:tr w14:paraId="2313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trPr>
        <w:tc>
          <w:tcPr>
            <w:tcW w:w="1394" w:type="dxa"/>
            <w:vMerge w:val="restart"/>
            <w:vAlign w:val="center"/>
          </w:tcPr>
          <w:p w14:paraId="37657B2C">
            <w:pPr>
              <w:widowControl/>
              <w:spacing w:line="240" w:lineRule="exact"/>
              <w:jc w:val="left"/>
              <w:rPr>
                <w:rFonts w:ascii="宋体"/>
              </w:rPr>
            </w:pPr>
            <w:r>
              <w:rPr>
                <w:rFonts w:hint="eastAsia" w:ascii="宋体"/>
              </w:rPr>
              <w:t>船舶发生事故沉没，船舶所有人或者经营人未及时向海事管理机构报告船舶燃油、污染危害性货物以及其他污染物的性质、数量、种类、装载位置等情况的</w:t>
            </w:r>
          </w:p>
        </w:tc>
        <w:tc>
          <w:tcPr>
            <w:tcW w:w="1960" w:type="dxa"/>
            <w:vMerge w:val="restart"/>
            <w:vAlign w:val="center"/>
          </w:tcPr>
          <w:p w14:paraId="7CB3B166">
            <w:pPr>
              <w:widowControl/>
              <w:spacing w:line="240" w:lineRule="exact"/>
              <w:jc w:val="left"/>
              <w:rPr>
                <w:rFonts w:ascii="宋体"/>
              </w:rPr>
            </w:pPr>
            <w:r>
              <w:rPr>
                <w:rFonts w:hint="eastAsia" w:ascii="宋体"/>
              </w:rPr>
              <w:t>1.《防治船舶污染海洋环境管理条例》第三十九条第二款。</w:t>
            </w:r>
          </w:p>
        </w:tc>
        <w:tc>
          <w:tcPr>
            <w:tcW w:w="2638" w:type="dxa"/>
            <w:vMerge w:val="restart"/>
            <w:vAlign w:val="center"/>
          </w:tcPr>
          <w:p w14:paraId="05607A6D">
            <w:pPr>
              <w:widowControl/>
              <w:spacing w:line="240" w:lineRule="exact"/>
              <w:jc w:val="left"/>
              <w:rPr>
                <w:rFonts w:ascii="宋体"/>
              </w:rPr>
            </w:pPr>
            <w:r>
              <w:rPr>
                <w:rFonts w:hint="eastAsia" w:ascii="宋体"/>
              </w:rPr>
              <w:t>1. 《防治船舶污染海洋环境管理条例》第六十五条第（一）项；</w:t>
            </w:r>
          </w:p>
          <w:p w14:paraId="64DC4BD3">
            <w:pPr>
              <w:spacing w:line="240" w:lineRule="exact"/>
              <w:jc w:val="left"/>
              <w:rPr>
                <w:rFonts w:ascii="宋体"/>
              </w:rPr>
            </w:pPr>
            <w:r>
              <w:rPr>
                <w:rFonts w:hint="eastAsia" w:ascii="宋体"/>
                <w:kern w:val="0"/>
              </w:rPr>
              <w:t>2. 《中华人民共和国海上海事行政处罚规定》第七条</w:t>
            </w:r>
            <w:r>
              <w:rPr>
                <w:rFonts w:hint="eastAsia" w:ascii="宋体"/>
              </w:rPr>
              <w:t>。</w:t>
            </w:r>
          </w:p>
        </w:tc>
        <w:tc>
          <w:tcPr>
            <w:tcW w:w="1620" w:type="dxa"/>
            <w:vAlign w:val="center"/>
          </w:tcPr>
          <w:p w14:paraId="77A896AC">
            <w:pPr>
              <w:spacing w:line="240" w:lineRule="exact"/>
              <w:jc w:val="center"/>
              <w:rPr>
                <w:rFonts w:ascii="宋体"/>
              </w:rPr>
            </w:pPr>
            <w:r>
              <w:rPr>
                <w:rFonts w:hint="eastAsia" w:ascii="宋体"/>
              </w:rPr>
              <w:t>从轻</w:t>
            </w:r>
          </w:p>
        </w:tc>
        <w:tc>
          <w:tcPr>
            <w:tcW w:w="3270" w:type="dxa"/>
            <w:vAlign w:val="center"/>
          </w:tcPr>
          <w:p w14:paraId="1BB25228">
            <w:pPr>
              <w:widowControl/>
              <w:spacing w:line="240" w:lineRule="exact"/>
              <w:jc w:val="left"/>
              <w:rPr>
                <w:rFonts w:ascii="宋体"/>
              </w:rPr>
            </w:pPr>
            <w:r>
              <w:rPr>
                <w:rFonts w:hint="eastAsia" w:ascii="宋体"/>
              </w:rPr>
              <w:t>具有法定从轻处罚情节的。</w:t>
            </w:r>
          </w:p>
        </w:tc>
        <w:tc>
          <w:tcPr>
            <w:tcW w:w="9071" w:type="dxa"/>
            <w:tcBorders>
              <w:left w:val="single" w:color="auto" w:sz="4" w:space="0"/>
              <w:bottom w:val="single" w:color="auto" w:sz="4" w:space="0"/>
            </w:tcBorders>
            <w:vAlign w:val="center"/>
          </w:tcPr>
          <w:p w14:paraId="67273C8E">
            <w:pPr>
              <w:spacing w:line="240" w:lineRule="exact"/>
              <w:jc w:val="center"/>
              <w:rPr>
                <w:rFonts w:ascii="宋体"/>
              </w:rPr>
            </w:pPr>
            <w:r>
              <w:rPr>
                <w:rFonts w:hint="eastAsia" w:ascii="宋体"/>
              </w:rPr>
              <w:t>2-3万元</w:t>
            </w:r>
          </w:p>
        </w:tc>
      </w:tr>
      <w:tr w14:paraId="0EC93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1394" w:type="dxa"/>
            <w:vMerge w:val="continue"/>
            <w:vAlign w:val="center"/>
          </w:tcPr>
          <w:p w14:paraId="6340DDB6">
            <w:pPr>
              <w:spacing w:line="240" w:lineRule="exact"/>
              <w:jc w:val="left"/>
              <w:rPr>
                <w:rFonts w:ascii="宋体"/>
              </w:rPr>
            </w:pPr>
          </w:p>
        </w:tc>
        <w:tc>
          <w:tcPr>
            <w:tcW w:w="1960" w:type="dxa"/>
            <w:vMerge w:val="continue"/>
            <w:vAlign w:val="center"/>
          </w:tcPr>
          <w:p w14:paraId="230D6A28">
            <w:pPr>
              <w:widowControl/>
              <w:spacing w:line="240" w:lineRule="exact"/>
              <w:jc w:val="left"/>
              <w:rPr>
                <w:rFonts w:ascii="宋体"/>
              </w:rPr>
            </w:pPr>
          </w:p>
        </w:tc>
        <w:tc>
          <w:tcPr>
            <w:tcW w:w="2638" w:type="dxa"/>
            <w:vMerge w:val="continue"/>
            <w:vAlign w:val="center"/>
          </w:tcPr>
          <w:p w14:paraId="319B0060">
            <w:pPr>
              <w:spacing w:line="240" w:lineRule="exact"/>
              <w:jc w:val="left"/>
              <w:rPr>
                <w:rFonts w:ascii="宋体"/>
              </w:rPr>
            </w:pPr>
          </w:p>
        </w:tc>
        <w:tc>
          <w:tcPr>
            <w:tcW w:w="1620" w:type="dxa"/>
            <w:vMerge w:val="restart"/>
            <w:vAlign w:val="center"/>
          </w:tcPr>
          <w:p w14:paraId="412C6C85">
            <w:pPr>
              <w:spacing w:line="240" w:lineRule="exact"/>
              <w:jc w:val="center"/>
              <w:rPr>
                <w:rFonts w:ascii="宋体"/>
              </w:rPr>
            </w:pPr>
            <w:r>
              <w:rPr>
                <w:rFonts w:hint="eastAsia" w:ascii="宋体"/>
              </w:rPr>
              <w:t>一般</w:t>
            </w:r>
          </w:p>
        </w:tc>
        <w:tc>
          <w:tcPr>
            <w:tcW w:w="3270" w:type="dxa"/>
            <w:vAlign w:val="center"/>
          </w:tcPr>
          <w:p w14:paraId="37FF17F2">
            <w:pPr>
              <w:widowControl/>
              <w:spacing w:line="240" w:lineRule="exact"/>
              <w:jc w:val="left"/>
              <w:rPr>
                <w:rFonts w:ascii="宋体"/>
              </w:rPr>
            </w:pPr>
            <w:r>
              <w:rPr>
                <w:rFonts w:hint="eastAsia" w:ascii="宋体"/>
              </w:rPr>
              <w:t>不及时报告，未对后续污染物处置产生不良影响且未导致污染事故的。</w:t>
            </w:r>
          </w:p>
        </w:tc>
        <w:tc>
          <w:tcPr>
            <w:tcW w:w="9071" w:type="dxa"/>
            <w:tcBorders>
              <w:top w:val="single" w:color="auto" w:sz="4" w:space="0"/>
              <w:left w:val="single" w:color="auto" w:sz="4" w:space="0"/>
              <w:bottom w:val="single" w:color="auto" w:sz="4" w:space="0"/>
            </w:tcBorders>
            <w:vAlign w:val="center"/>
          </w:tcPr>
          <w:p w14:paraId="502F466D">
            <w:pPr>
              <w:spacing w:line="240" w:lineRule="exact"/>
              <w:jc w:val="center"/>
              <w:rPr>
                <w:rFonts w:ascii="宋体"/>
              </w:rPr>
            </w:pPr>
            <w:r>
              <w:rPr>
                <w:rFonts w:hint="eastAsia" w:ascii="宋体"/>
              </w:rPr>
              <w:t>3-4万元</w:t>
            </w:r>
          </w:p>
        </w:tc>
      </w:tr>
      <w:tr w14:paraId="5D8F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394" w:type="dxa"/>
            <w:vMerge w:val="continue"/>
            <w:vAlign w:val="center"/>
          </w:tcPr>
          <w:p w14:paraId="294B5C5D">
            <w:pPr>
              <w:spacing w:line="240" w:lineRule="exact"/>
              <w:jc w:val="left"/>
              <w:rPr>
                <w:rFonts w:ascii="宋体"/>
              </w:rPr>
            </w:pPr>
          </w:p>
        </w:tc>
        <w:tc>
          <w:tcPr>
            <w:tcW w:w="1960" w:type="dxa"/>
            <w:vMerge w:val="continue"/>
            <w:vAlign w:val="center"/>
          </w:tcPr>
          <w:p w14:paraId="563E27EC">
            <w:pPr>
              <w:spacing w:line="240" w:lineRule="exact"/>
              <w:jc w:val="left"/>
              <w:rPr>
                <w:rFonts w:ascii="宋体"/>
              </w:rPr>
            </w:pPr>
          </w:p>
        </w:tc>
        <w:tc>
          <w:tcPr>
            <w:tcW w:w="2638" w:type="dxa"/>
            <w:vMerge w:val="continue"/>
            <w:vAlign w:val="center"/>
          </w:tcPr>
          <w:p w14:paraId="3050237D">
            <w:pPr>
              <w:spacing w:line="240" w:lineRule="exact"/>
              <w:jc w:val="left"/>
              <w:rPr>
                <w:rFonts w:ascii="宋体"/>
              </w:rPr>
            </w:pPr>
          </w:p>
        </w:tc>
        <w:tc>
          <w:tcPr>
            <w:tcW w:w="1620" w:type="dxa"/>
            <w:vMerge w:val="continue"/>
            <w:vAlign w:val="center"/>
          </w:tcPr>
          <w:p w14:paraId="1A67501E">
            <w:pPr>
              <w:spacing w:line="240" w:lineRule="exact"/>
              <w:jc w:val="center"/>
              <w:rPr>
                <w:rFonts w:ascii="宋体"/>
              </w:rPr>
            </w:pPr>
          </w:p>
        </w:tc>
        <w:tc>
          <w:tcPr>
            <w:tcW w:w="3270" w:type="dxa"/>
            <w:tcBorders>
              <w:top w:val="single" w:color="auto" w:sz="4" w:space="0"/>
              <w:bottom w:val="single" w:color="auto" w:sz="4" w:space="0"/>
            </w:tcBorders>
            <w:vAlign w:val="center"/>
          </w:tcPr>
          <w:p w14:paraId="50004D2A">
            <w:pPr>
              <w:widowControl/>
              <w:spacing w:line="240" w:lineRule="exact"/>
              <w:jc w:val="left"/>
              <w:rPr>
                <w:rFonts w:ascii="宋体"/>
              </w:rPr>
            </w:pPr>
            <w:r>
              <w:rPr>
                <w:rFonts w:hint="eastAsia" w:ascii="宋体"/>
              </w:rPr>
              <w:t>因未及时报告，对后续污染物处置产生不良影响的；</w:t>
            </w:r>
          </w:p>
        </w:tc>
        <w:tc>
          <w:tcPr>
            <w:tcW w:w="9071" w:type="dxa"/>
            <w:tcBorders>
              <w:top w:val="single" w:color="auto" w:sz="4" w:space="0"/>
              <w:left w:val="single" w:color="auto" w:sz="4" w:space="0"/>
              <w:bottom w:val="single" w:color="auto" w:sz="4" w:space="0"/>
            </w:tcBorders>
            <w:vAlign w:val="center"/>
          </w:tcPr>
          <w:p w14:paraId="2B9E7C63">
            <w:pPr>
              <w:spacing w:line="240" w:lineRule="exact"/>
              <w:jc w:val="center"/>
              <w:rPr>
                <w:rFonts w:ascii="宋体"/>
              </w:rPr>
            </w:pPr>
            <w:r>
              <w:rPr>
                <w:rFonts w:hint="eastAsia" w:ascii="宋体"/>
              </w:rPr>
              <w:t>4-5万元</w:t>
            </w:r>
          </w:p>
        </w:tc>
      </w:tr>
      <w:tr w14:paraId="1619A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1394" w:type="dxa"/>
            <w:vMerge w:val="continue"/>
            <w:vAlign w:val="center"/>
          </w:tcPr>
          <w:p w14:paraId="31286A7B">
            <w:pPr>
              <w:spacing w:line="240" w:lineRule="exact"/>
              <w:jc w:val="left"/>
              <w:rPr>
                <w:rFonts w:ascii="宋体"/>
              </w:rPr>
            </w:pPr>
          </w:p>
        </w:tc>
        <w:tc>
          <w:tcPr>
            <w:tcW w:w="1960" w:type="dxa"/>
            <w:vMerge w:val="continue"/>
            <w:vAlign w:val="center"/>
          </w:tcPr>
          <w:p w14:paraId="31F5AB3C">
            <w:pPr>
              <w:spacing w:line="240" w:lineRule="exact"/>
              <w:jc w:val="left"/>
              <w:rPr>
                <w:rFonts w:ascii="宋体"/>
              </w:rPr>
            </w:pPr>
          </w:p>
        </w:tc>
        <w:tc>
          <w:tcPr>
            <w:tcW w:w="2638" w:type="dxa"/>
            <w:vMerge w:val="continue"/>
            <w:vAlign w:val="center"/>
          </w:tcPr>
          <w:p w14:paraId="67B724C6">
            <w:pPr>
              <w:spacing w:line="240" w:lineRule="exact"/>
              <w:jc w:val="left"/>
              <w:rPr>
                <w:rFonts w:ascii="宋体"/>
              </w:rPr>
            </w:pPr>
          </w:p>
        </w:tc>
        <w:tc>
          <w:tcPr>
            <w:tcW w:w="1620" w:type="dxa"/>
            <w:vMerge w:val="continue"/>
            <w:vAlign w:val="center"/>
          </w:tcPr>
          <w:p w14:paraId="3F38BE81">
            <w:pPr>
              <w:spacing w:line="240" w:lineRule="exact"/>
              <w:jc w:val="left"/>
              <w:rPr>
                <w:rFonts w:ascii="宋体"/>
              </w:rPr>
            </w:pPr>
          </w:p>
        </w:tc>
        <w:tc>
          <w:tcPr>
            <w:tcW w:w="3270" w:type="dxa"/>
            <w:tcBorders>
              <w:top w:val="single" w:color="auto" w:sz="4" w:space="0"/>
              <w:left w:val="single" w:color="auto" w:sz="4" w:space="0"/>
              <w:bottom w:val="single" w:color="auto" w:sz="4" w:space="0"/>
            </w:tcBorders>
            <w:vAlign w:val="center"/>
          </w:tcPr>
          <w:p w14:paraId="2C7C2D2C">
            <w:pPr>
              <w:spacing w:line="240" w:lineRule="exact"/>
              <w:jc w:val="left"/>
              <w:rPr>
                <w:rFonts w:ascii="宋体"/>
              </w:rPr>
            </w:pPr>
            <w:r>
              <w:rPr>
                <w:rFonts w:hint="eastAsia" w:ascii="宋体"/>
              </w:rPr>
              <w:t>1.因未及时报告，对后续污染物处置产生重大影响或有其他严重后果的；</w:t>
            </w:r>
          </w:p>
          <w:p w14:paraId="57522B4E">
            <w:pPr>
              <w:spacing w:line="240" w:lineRule="exact"/>
              <w:jc w:val="left"/>
              <w:rPr>
                <w:rFonts w:ascii="宋体"/>
              </w:rPr>
            </w:pPr>
            <w:r>
              <w:rPr>
                <w:rFonts w:hint="eastAsia" w:ascii="宋体"/>
              </w:rPr>
              <w:t>2.</w:t>
            </w:r>
            <w:r>
              <w:rPr>
                <w:rFonts w:hint="eastAsia" w:ascii="宋体"/>
                <w:kern w:val="0"/>
              </w:rPr>
              <w:t>具有其他较重情节的</w:t>
            </w:r>
            <w:r>
              <w:rPr>
                <w:rFonts w:hint="eastAsia" w:ascii="宋体"/>
              </w:rPr>
              <w:t>。</w:t>
            </w:r>
          </w:p>
        </w:tc>
        <w:tc>
          <w:tcPr>
            <w:tcW w:w="9071" w:type="dxa"/>
            <w:tcBorders>
              <w:top w:val="single" w:color="auto" w:sz="4" w:space="0"/>
              <w:left w:val="single" w:color="auto" w:sz="4" w:space="0"/>
              <w:bottom w:val="single" w:color="auto" w:sz="4" w:space="0"/>
            </w:tcBorders>
            <w:vAlign w:val="center"/>
          </w:tcPr>
          <w:p w14:paraId="2DE05B88">
            <w:pPr>
              <w:spacing w:line="240" w:lineRule="exact"/>
              <w:jc w:val="center"/>
              <w:rPr>
                <w:rFonts w:ascii="宋体"/>
              </w:rPr>
            </w:pPr>
            <w:r>
              <w:rPr>
                <w:rFonts w:hint="eastAsia" w:ascii="宋体"/>
              </w:rPr>
              <w:t>5-10万元</w:t>
            </w:r>
          </w:p>
        </w:tc>
      </w:tr>
    </w:tbl>
    <w:p w14:paraId="66870DC1">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3905"/>
        <w:gridCol w:w="9703"/>
      </w:tblGrid>
      <w:tr w14:paraId="6BB4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14:paraId="02ED5BBF">
            <w:pPr>
              <w:spacing w:line="240" w:lineRule="exact"/>
              <w:jc w:val="center"/>
              <w:rPr>
                <w:rFonts w:ascii="宋体"/>
                <w:b/>
                <w:kern w:val="0"/>
              </w:rPr>
            </w:pPr>
            <w:r>
              <w:rPr>
                <w:rFonts w:hint="eastAsia" w:ascii="宋体"/>
                <w:b/>
                <w:kern w:val="0"/>
              </w:rPr>
              <w:t>案由89</w:t>
            </w:r>
          </w:p>
        </w:tc>
        <w:tc>
          <w:tcPr>
            <w:tcW w:w="3260" w:type="dxa"/>
            <w:gridSpan w:val="2"/>
            <w:vAlign w:val="center"/>
          </w:tcPr>
          <w:p w14:paraId="7325AF65">
            <w:pPr>
              <w:spacing w:line="240" w:lineRule="exact"/>
              <w:jc w:val="center"/>
              <w:rPr>
                <w:rFonts w:ascii="宋体"/>
                <w:b/>
                <w:kern w:val="0"/>
              </w:rPr>
            </w:pPr>
            <w:r>
              <w:rPr>
                <w:rFonts w:hint="eastAsia" w:ascii="宋体"/>
                <w:b/>
                <w:kern w:val="0"/>
              </w:rPr>
              <w:t>法律依据</w:t>
            </w:r>
          </w:p>
        </w:tc>
        <w:tc>
          <w:tcPr>
            <w:tcW w:w="1276" w:type="dxa"/>
            <w:vMerge w:val="restart"/>
            <w:vAlign w:val="center"/>
          </w:tcPr>
          <w:p w14:paraId="3224BBFF">
            <w:pPr>
              <w:spacing w:line="240" w:lineRule="exact"/>
              <w:jc w:val="center"/>
              <w:rPr>
                <w:rFonts w:ascii="宋体"/>
                <w:b/>
                <w:kern w:val="0"/>
              </w:rPr>
            </w:pPr>
            <w:r>
              <w:rPr>
                <w:rFonts w:hint="eastAsia" w:ascii="宋体"/>
                <w:b/>
                <w:kern w:val="0"/>
              </w:rPr>
              <w:t>违法情节</w:t>
            </w:r>
          </w:p>
        </w:tc>
        <w:tc>
          <w:tcPr>
            <w:tcW w:w="3905" w:type="dxa"/>
            <w:vMerge w:val="restart"/>
            <w:vAlign w:val="center"/>
          </w:tcPr>
          <w:p w14:paraId="7E1F5D4B">
            <w:pPr>
              <w:spacing w:line="240" w:lineRule="exact"/>
              <w:jc w:val="center"/>
              <w:rPr>
                <w:rFonts w:ascii="宋体"/>
                <w:b/>
                <w:kern w:val="0"/>
              </w:rPr>
            </w:pPr>
            <w:r>
              <w:rPr>
                <w:rFonts w:hint="eastAsia" w:ascii="宋体"/>
                <w:b/>
                <w:kern w:val="0"/>
              </w:rPr>
              <w:t>主要考虑因素（事实、性质、情节、危害程度和实际后果等）</w:t>
            </w:r>
          </w:p>
        </w:tc>
        <w:tc>
          <w:tcPr>
            <w:tcW w:w="9703" w:type="dxa"/>
            <w:vAlign w:val="center"/>
          </w:tcPr>
          <w:p w14:paraId="573500E2">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由海事管理机构处2万元以上10万元以下的罚款。</w:t>
            </w:r>
          </w:p>
        </w:tc>
      </w:tr>
      <w:tr w14:paraId="20C6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14:paraId="4CFC69F8">
            <w:pPr>
              <w:spacing w:line="240" w:lineRule="exact"/>
              <w:jc w:val="center"/>
              <w:rPr>
                <w:rFonts w:ascii="宋体"/>
                <w:b/>
                <w:kern w:val="0"/>
              </w:rPr>
            </w:pPr>
          </w:p>
        </w:tc>
        <w:tc>
          <w:tcPr>
            <w:tcW w:w="1559" w:type="dxa"/>
            <w:tcBorders>
              <w:bottom w:val="single" w:color="000000" w:sz="4" w:space="0"/>
            </w:tcBorders>
            <w:vAlign w:val="center"/>
          </w:tcPr>
          <w:p w14:paraId="33DBC688">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5C336402">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14:paraId="0ED61A7A">
            <w:pPr>
              <w:spacing w:line="240" w:lineRule="exact"/>
              <w:jc w:val="center"/>
              <w:rPr>
                <w:rFonts w:ascii="宋体"/>
                <w:b/>
                <w:kern w:val="0"/>
              </w:rPr>
            </w:pPr>
          </w:p>
        </w:tc>
        <w:tc>
          <w:tcPr>
            <w:tcW w:w="3905" w:type="dxa"/>
            <w:vMerge w:val="continue"/>
            <w:tcBorders>
              <w:bottom w:val="single" w:color="000000" w:sz="4" w:space="0"/>
            </w:tcBorders>
            <w:vAlign w:val="center"/>
          </w:tcPr>
          <w:p w14:paraId="239A4DA7">
            <w:pPr>
              <w:spacing w:line="240" w:lineRule="exact"/>
              <w:jc w:val="center"/>
              <w:rPr>
                <w:rFonts w:ascii="宋体"/>
                <w:b/>
                <w:kern w:val="0"/>
              </w:rPr>
            </w:pPr>
          </w:p>
        </w:tc>
        <w:tc>
          <w:tcPr>
            <w:tcW w:w="9703" w:type="dxa"/>
            <w:tcBorders>
              <w:top w:val="single" w:color="auto" w:sz="4" w:space="0"/>
              <w:right w:val="single" w:color="auto" w:sz="4" w:space="0"/>
            </w:tcBorders>
            <w:vAlign w:val="center"/>
          </w:tcPr>
          <w:p w14:paraId="645B5E04">
            <w:pPr>
              <w:spacing w:line="240" w:lineRule="exact"/>
              <w:jc w:val="center"/>
              <w:rPr>
                <w:rFonts w:ascii="宋体"/>
                <w:b/>
                <w:kern w:val="0"/>
              </w:rPr>
            </w:pPr>
            <w:r>
              <w:rPr>
                <w:rFonts w:hint="eastAsia" w:ascii="宋体"/>
                <w:b/>
                <w:kern w:val="0"/>
              </w:rPr>
              <w:t>【对象】对船舶的所有人、经营人</w:t>
            </w:r>
          </w:p>
        </w:tc>
      </w:tr>
      <w:tr w14:paraId="0751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14:paraId="62AC2537">
            <w:pPr>
              <w:widowControl/>
              <w:spacing w:line="240" w:lineRule="exact"/>
              <w:jc w:val="left"/>
              <w:rPr>
                <w:rFonts w:ascii="宋体"/>
                <w:kern w:val="0"/>
              </w:rPr>
            </w:pPr>
            <w:r>
              <w:rPr>
                <w:rFonts w:hint="eastAsia" w:ascii="宋体"/>
                <w:kern w:val="0"/>
              </w:rPr>
              <w:t>船舶发生事故沉没，船舶所有人或者经营人未及时采取措施清除船舶燃油、污染危害性货物以及其他污染物的</w:t>
            </w:r>
          </w:p>
        </w:tc>
        <w:tc>
          <w:tcPr>
            <w:tcW w:w="1559" w:type="dxa"/>
            <w:vMerge w:val="restart"/>
            <w:vAlign w:val="center"/>
          </w:tcPr>
          <w:p w14:paraId="18A2BC79">
            <w:pPr>
              <w:widowControl/>
              <w:spacing w:line="240" w:lineRule="exact"/>
              <w:rPr>
                <w:rFonts w:ascii="宋体"/>
              </w:rPr>
            </w:pPr>
            <w:r>
              <w:rPr>
                <w:rFonts w:hint="eastAsia" w:ascii="宋体"/>
                <w:kern w:val="0"/>
              </w:rPr>
              <w:t>1.《防治船舶污染海洋环境管理条例》第三十九条第二款。</w:t>
            </w:r>
          </w:p>
        </w:tc>
        <w:tc>
          <w:tcPr>
            <w:tcW w:w="1701" w:type="dxa"/>
            <w:vMerge w:val="restart"/>
            <w:vAlign w:val="center"/>
          </w:tcPr>
          <w:p w14:paraId="2ADE4A15">
            <w:pPr>
              <w:spacing w:line="240" w:lineRule="exact"/>
              <w:jc w:val="left"/>
              <w:rPr>
                <w:rFonts w:ascii="宋体"/>
                <w:kern w:val="0"/>
              </w:rPr>
            </w:pPr>
            <w:r>
              <w:rPr>
                <w:rFonts w:hint="eastAsia" w:ascii="宋体"/>
                <w:kern w:val="0"/>
              </w:rPr>
              <w:t>1.《防治船舶污染海洋环境管理条例》第六十五条第（二）项；</w:t>
            </w:r>
          </w:p>
          <w:p w14:paraId="14B34C9B">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14:paraId="364F1C45">
            <w:pPr>
              <w:spacing w:line="240" w:lineRule="exact"/>
              <w:jc w:val="center"/>
              <w:rPr>
                <w:rFonts w:ascii="宋体"/>
                <w:kern w:val="0"/>
              </w:rPr>
            </w:pPr>
            <w:r>
              <w:rPr>
                <w:rFonts w:hint="eastAsia" w:ascii="宋体"/>
                <w:kern w:val="0"/>
              </w:rPr>
              <w:t>从轻</w:t>
            </w:r>
          </w:p>
        </w:tc>
        <w:tc>
          <w:tcPr>
            <w:tcW w:w="3905" w:type="dxa"/>
            <w:vAlign w:val="center"/>
          </w:tcPr>
          <w:p w14:paraId="763F5E71">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9703" w:type="dxa"/>
            <w:tcBorders>
              <w:right w:val="single" w:color="auto" w:sz="4" w:space="0"/>
            </w:tcBorders>
            <w:vAlign w:val="center"/>
          </w:tcPr>
          <w:p w14:paraId="61981F01">
            <w:pPr>
              <w:spacing w:line="240" w:lineRule="exact"/>
              <w:jc w:val="center"/>
              <w:rPr>
                <w:rFonts w:ascii="宋体"/>
                <w:kern w:val="0"/>
              </w:rPr>
            </w:pPr>
            <w:r>
              <w:rPr>
                <w:rFonts w:hint="eastAsia" w:ascii="宋体"/>
                <w:kern w:val="0"/>
              </w:rPr>
              <w:t>2-3万元</w:t>
            </w:r>
          </w:p>
        </w:tc>
      </w:tr>
      <w:tr w14:paraId="25FD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08" w:hRule="atLeast"/>
        </w:trPr>
        <w:tc>
          <w:tcPr>
            <w:tcW w:w="1333" w:type="dxa"/>
            <w:vMerge w:val="continue"/>
            <w:vAlign w:val="center"/>
          </w:tcPr>
          <w:p w14:paraId="4FAD2738">
            <w:pPr>
              <w:spacing w:line="240" w:lineRule="exact"/>
              <w:jc w:val="left"/>
              <w:rPr>
                <w:rFonts w:ascii="宋体"/>
                <w:kern w:val="0"/>
              </w:rPr>
            </w:pPr>
          </w:p>
        </w:tc>
        <w:tc>
          <w:tcPr>
            <w:tcW w:w="1559" w:type="dxa"/>
            <w:vMerge w:val="continue"/>
            <w:vAlign w:val="center"/>
          </w:tcPr>
          <w:p w14:paraId="06DEB4D5">
            <w:pPr>
              <w:widowControl/>
              <w:spacing w:line="240" w:lineRule="exact"/>
              <w:jc w:val="left"/>
              <w:rPr>
                <w:rFonts w:ascii="宋体"/>
                <w:kern w:val="0"/>
              </w:rPr>
            </w:pPr>
          </w:p>
        </w:tc>
        <w:tc>
          <w:tcPr>
            <w:tcW w:w="1701" w:type="dxa"/>
            <w:vMerge w:val="continue"/>
            <w:vAlign w:val="center"/>
          </w:tcPr>
          <w:p w14:paraId="2EAB42DF">
            <w:pPr>
              <w:spacing w:line="240" w:lineRule="exact"/>
              <w:jc w:val="left"/>
              <w:rPr>
                <w:rFonts w:ascii="宋体"/>
                <w:kern w:val="0"/>
              </w:rPr>
            </w:pPr>
          </w:p>
        </w:tc>
        <w:tc>
          <w:tcPr>
            <w:tcW w:w="1276" w:type="dxa"/>
            <w:vMerge w:val="restart"/>
            <w:vAlign w:val="center"/>
          </w:tcPr>
          <w:p w14:paraId="1BE53628">
            <w:pPr>
              <w:spacing w:line="240" w:lineRule="exact"/>
              <w:jc w:val="center"/>
              <w:rPr>
                <w:rFonts w:ascii="宋体"/>
                <w:kern w:val="0"/>
              </w:rPr>
            </w:pPr>
            <w:r>
              <w:rPr>
                <w:rFonts w:hint="eastAsia" w:ascii="宋体"/>
                <w:kern w:val="0"/>
              </w:rPr>
              <w:t>一般</w:t>
            </w:r>
          </w:p>
        </w:tc>
        <w:tc>
          <w:tcPr>
            <w:tcW w:w="3905" w:type="dxa"/>
            <w:vAlign w:val="center"/>
          </w:tcPr>
          <w:p w14:paraId="244B0FA8">
            <w:pPr>
              <w:pStyle w:val="13"/>
              <w:spacing w:line="240" w:lineRule="exact"/>
              <w:jc w:val="left"/>
              <w:rPr>
                <w:rFonts w:ascii="宋体"/>
              </w:rPr>
            </w:pPr>
            <w:r>
              <w:rPr>
                <w:rFonts w:hint="eastAsia" w:ascii="宋体"/>
              </w:rPr>
              <w:t>不及时采取措施的，但未造成不良后果的</w:t>
            </w:r>
          </w:p>
        </w:tc>
        <w:tc>
          <w:tcPr>
            <w:tcW w:w="9703" w:type="dxa"/>
            <w:tcBorders>
              <w:right w:val="single" w:color="auto" w:sz="4" w:space="0"/>
            </w:tcBorders>
            <w:vAlign w:val="center"/>
          </w:tcPr>
          <w:p w14:paraId="5BA5B4CF">
            <w:pPr>
              <w:spacing w:line="240" w:lineRule="exact"/>
              <w:jc w:val="center"/>
              <w:rPr>
                <w:rFonts w:ascii="宋体"/>
                <w:kern w:val="0"/>
              </w:rPr>
            </w:pPr>
            <w:r>
              <w:rPr>
                <w:rFonts w:hint="eastAsia" w:ascii="宋体"/>
                <w:kern w:val="0"/>
              </w:rPr>
              <w:t>3-4万元</w:t>
            </w:r>
          </w:p>
        </w:tc>
      </w:tr>
      <w:tr w14:paraId="5D49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9" w:hRule="atLeast"/>
        </w:trPr>
        <w:tc>
          <w:tcPr>
            <w:tcW w:w="1333" w:type="dxa"/>
            <w:vMerge w:val="continue"/>
            <w:vAlign w:val="center"/>
          </w:tcPr>
          <w:p w14:paraId="60B43143">
            <w:pPr>
              <w:spacing w:line="240" w:lineRule="exact"/>
              <w:jc w:val="left"/>
              <w:rPr>
                <w:rFonts w:ascii="宋体"/>
                <w:kern w:val="0"/>
              </w:rPr>
            </w:pPr>
          </w:p>
        </w:tc>
        <w:tc>
          <w:tcPr>
            <w:tcW w:w="1559" w:type="dxa"/>
            <w:vMerge w:val="continue"/>
            <w:vAlign w:val="center"/>
          </w:tcPr>
          <w:p w14:paraId="3F0C3873">
            <w:pPr>
              <w:spacing w:line="240" w:lineRule="exact"/>
              <w:jc w:val="left"/>
              <w:rPr>
                <w:rFonts w:ascii="宋体"/>
                <w:kern w:val="0"/>
              </w:rPr>
            </w:pPr>
          </w:p>
        </w:tc>
        <w:tc>
          <w:tcPr>
            <w:tcW w:w="1701" w:type="dxa"/>
            <w:vMerge w:val="continue"/>
            <w:vAlign w:val="center"/>
          </w:tcPr>
          <w:p w14:paraId="314A6F21">
            <w:pPr>
              <w:spacing w:line="240" w:lineRule="exact"/>
              <w:jc w:val="left"/>
              <w:rPr>
                <w:rFonts w:ascii="宋体"/>
                <w:kern w:val="0"/>
              </w:rPr>
            </w:pPr>
          </w:p>
        </w:tc>
        <w:tc>
          <w:tcPr>
            <w:tcW w:w="1276" w:type="dxa"/>
            <w:vMerge w:val="continue"/>
            <w:vAlign w:val="center"/>
          </w:tcPr>
          <w:p w14:paraId="4EBED095">
            <w:pPr>
              <w:spacing w:line="240" w:lineRule="exact"/>
              <w:jc w:val="center"/>
              <w:rPr>
                <w:rFonts w:ascii="宋体"/>
                <w:kern w:val="0"/>
              </w:rPr>
            </w:pPr>
          </w:p>
        </w:tc>
        <w:tc>
          <w:tcPr>
            <w:tcW w:w="3905" w:type="dxa"/>
            <w:tcBorders>
              <w:top w:val="single" w:color="auto" w:sz="4" w:space="0"/>
              <w:bottom w:val="single" w:color="auto" w:sz="4" w:space="0"/>
            </w:tcBorders>
            <w:vAlign w:val="center"/>
          </w:tcPr>
          <w:p w14:paraId="61DE558D">
            <w:pPr>
              <w:spacing w:line="240" w:lineRule="exact"/>
              <w:jc w:val="left"/>
              <w:rPr>
                <w:rFonts w:ascii="宋体"/>
                <w:kern w:val="0"/>
              </w:rPr>
            </w:pPr>
            <w:r>
              <w:rPr>
                <w:rFonts w:hint="eastAsia" w:ascii="宋体"/>
                <w:kern w:val="0"/>
              </w:rPr>
              <w:t>拒绝不采取措施，对事故的调查和处理产生不良影响的</w:t>
            </w:r>
          </w:p>
        </w:tc>
        <w:tc>
          <w:tcPr>
            <w:tcW w:w="9703" w:type="dxa"/>
            <w:tcBorders>
              <w:top w:val="single" w:color="auto" w:sz="4" w:space="0"/>
              <w:right w:val="single" w:color="auto" w:sz="4" w:space="0"/>
            </w:tcBorders>
            <w:vAlign w:val="center"/>
          </w:tcPr>
          <w:p w14:paraId="7032A8A4">
            <w:pPr>
              <w:spacing w:line="240" w:lineRule="exact"/>
              <w:jc w:val="center"/>
              <w:rPr>
                <w:rFonts w:ascii="宋体"/>
                <w:kern w:val="0"/>
              </w:rPr>
            </w:pPr>
            <w:r>
              <w:rPr>
                <w:rFonts w:hint="eastAsia" w:ascii="宋体"/>
                <w:kern w:val="0"/>
              </w:rPr>
              <w:t>4-5万元</w:t>
            </w:r>
          </w:p>
        </w:tc>
      </w:tr>
      <w:tr w14:paraId="3E618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4" w:hRule="atLeast"/>
        </w:trPr>
        <w:tc>
          <w:tcPr>
            <w:tcW w:w="1333" w:type="dxa"/>
            <w:vMerge w:val="continue"/>
            <w:vAlign w:val="center"/>
          </w:tcPr>
          <w:p w14:paraId="32378825">
            <w:pPr>
              <w:spacing w:line="240" w:lineRule="exact"/>
              <w:jc w:val="left"/>
              <w:rPr>
                <w:rFonts w:ascii="宋体"/>
                <w:kern w:val="0"/>
              </w:rPr>
            </w:pPr>
          </w:p>
        </w:tc>
        <w:tc>
          <w:tcPr>
            <w:tcW w:w="1559" w:type="dxa"/>
            <w:vMerge w:val="continue"/>
            <w:vAlign w:val="center"/>
          </w:tcPr>
          <w:p w14:paraId="5191CB58">
            <w:pPr>
              <w:spacing w:line="240" w:lineRule="exact"/>
              <w:jc w:val="left"/>
              <w:rPr>
                <w:rFonts w:ascii="宋体"/>
                <w:kern w:val="0"/>
              </w:rPr>
            </w:pPr>
          </w:p>
        </w:tc>
        <w:tc>
          <w:tcPr>
            <w:tcW w:w="1701" w:type="dxa"/>
            <w:vMerge w:val="continue"/>
            <w:vAlign w:val="center"/>
          </w:tcPr>
          <w:p w14:paraId="3A04237B">
            <w:pPr>
              <w:spacing w:line="240" w:lineRule="exact"/>
              <w:jc w:val="left"/>
              <w:rPr>
                <w:rFonts w:ascii="宋体"/>
                <w:kern w:val="0"/>
              </w:rPr>
            </w:pPr>
          </w:p>
        </w:tc>
        <w:tc>
          <w:tcPr>
            <w:tcW w:w="1276" w:type="dxa"/>
            <w:vMerge w:val="continue"/>
            <w:vAlign w:val="center"/>
          </w:tcPr>
          <w:p w14:paraId="646515F4">
            <w:pPr>
              <w:spacing w:line="240" w:lineRule="exact"/>
              <w:jc w:val="left"/>
              <w:rPr>
                <w:rFonts w:ascii="宋体"/>
                <w:kern w:val="0"/>
              </w:rPr>
            </w:pPr>
          </w:p>
        </w:tc>
        <w:tc>
          <w:tcPr>
            <w:tcW w:w="3905" w:type="dxa"/>
            <w:tcBorders>
              <w:top w:val="single" w:color="auto" w:sz="4" w:space="0"/>
              <w:bottom w:val="single" w:color="auto" w:sz="4" w:space="0"/>
            </w:tcBorders>
            <w:vAlign w:val="center"/>
          </w:tcPr>
          <w:p w14:paraId="19F7B8B9">
            <w:pPr>
              <w:spacing w:line="240" w:lineRule="exact"/>
              <w:jc w:val="left"/>
              <w:rPr>
                <w:rFonts w:ascii="宋体"/>
                <w:kern w:val="0"/>
              </w:rPr>
            </w:pPr>
            <w:r>
              <w:rPr>
                <w:rFonts w:hint="eastAsia" w:ascii="宋体"/>
                <w:kern w:val="0"/>
              </w:rPr>
              <w:t>1、因未及时采取措施，导致发生污染事故或导致污染进一步扩大的</w:t>
            </w:r>
          </w:p>
          <w:p w14:paraId="5E90E30D">
            <w:pPr>
              <w:spacing w:line="240" w:lineRule="exact"/>
              <w:jc w:val="left"/>
              <w:rPr>
                <w:rFonts w:ascii="宋体"/>
                <w:kern w:val="0"/>
              </w:rPr>
            </w:pPr>
            <w:r>
              <w:rPr>
                <w:rFonts w:hint="eastAsia" w:ascii="宋体"/>
                <w:kern w:val="0"/>
              </w:rPr>
              <w:t>2、具有其他较重情节的</w:t>
            </w:r>
          </w:p>
        </w:tc>
        <w:tc>
          <w:tcPr>
            <w:tcW w:w="9703" w:type="dxa"/>
            <w:tcBorders>
              <w:right w:val="single" w:color="auto" w:sz="4" w:space="0"/>
            </w:tcBorders>
            <w:vAlign w:val="center"/>
          </w:tcPr>
          <w:p w14:paraId="471B63B3">
            <w:pPr>
              <w:spacing w:line="240" w:lineRule="exact"/>
              <w:jc w:val="center"/>
              <w:rPr>
                <w:rFonts w:ascii="宋体"/>
                <w:kern w:val="0"/>
              </w:rPr>
            </w:pPr>
            <w:r>
              <w:rPr>
                <w:rFonts w:hint="eastAsia" w:ascii="宋体"/>
                <w:kern w:val="0"/>
              </w:rPr>
              <w:t>5-10万元</w:t>
            </w:r>
          </w:p>
        </w:tc>
      </w:tr>
    </w:tbl>
    <w:p w14:paraId="254F270D">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14:paraId="7D42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14:paraId="093733DD">
            <w:pPr>
              <w:spacing w:line="240" w:lineRule="exact"/>
              <w:jc w:val="center"/>
              <w:rPr>
                <w:rFonts w:ascii="宋体"/>
                <w:b/>
                <w:kern w:val="0"/>
              </w:rPr>
            </w:pPr>
            <w:r>
              <w:rPr>
                <w:rFonts w:hint="eastAsia" w:ascii="宋体"/>
                <w:b/>
                <w:kern w:val="0"/>
              </w:rPr>
              <w:t>案由90</w:t>
            </w:r>
          </w:p>
        </w:tc>
        <w:tc>
          <w:tcPr>
            <w:tcW w:w="3260" w:type="dxa"/>
            <w:gridSpan w:val="2"/>
            <w:vAlign w:val="center"/>
          </w:tcPr>
          <w:p w14:paraId="44533CFD">
            <w:pPr>
              <w:spacing w:line="240" w:lineRule="exact"/>
              <w:jc w:val="center"/>
              <w:rPr>
                <w:rFonts w:ascii="宋体"/>
                <w:b/>
                <w:kern w:val="0"/>
              </w:rPr>
            </w:pPr>
            <w:r>
              <w:rPr>
                <w:rFonts w:hint="eastAsia" w:ascii="宋体"/>
                <w:b/>
                <w:kern w:val="0"/>
              </w:rPr>
              <w:t>法律依据</w:t>
            </w:r>
          </w:p>
        </w:tc>
        <w:tc>
          <w:tcPr>
            <w:tcW w:w="1276" w:type="dxa"/>
            <w:vMerge w:val="restart"/>
            <w:vAlign w:val="center"/>
          </w:tcPr>
          <w:p w14:paraId="52825CE7">
            <w:pPr>
              <w:spacing w:line="240" w:lineRule="exact"/>
              <w:jc w:val="center"/>
              <w:rPr>
                <w:rFonts w:ascii="宋体"/>
                <w:b/>
                <w:kern w:val="0"/>
              </w:rPr>
            </w:pPr>
            <w:r>
              <w:rPr>
                <w:rFonts w:hint="eastAsia" w:ascii="宋体"/>
                <w:b/>
                <w:kern w:val="0"/>
              </w:rPr>
              <w:t>违法情节</w:t>
            </w:r>
          </w:p>
        </w:tc>
        <w:tc>
          <w:tcPr>
            <w:tcW w:w="4394" w:type="dxa"/>
            <w:vMerge w:val="restart"/>
            <w:vAlign w:val="center"/>
          </w:tcPr>
          <w:p w14:paraId="2728EB1B">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14:paraId="72B1DE6B">
            <w:pPr>
              <w:spacing w:line="240" w:lineRule="exact"/>
              <w:jc w:val="left"/>
              <w:rPr>
                <w:rFonts w:ascii="宋体"/>
                <w:b/>
                <w:kern w:val="0"/>
              </w:rPr>
            </w:pPr>
            <w:r>
              <w:rPr>
                <w:rFonts w:hint="eastAsia" w:ascii="宋体"/>
                <w:b/>
                <w:kern w:val="0"/>
              </w:rPr>
              <w:t>【法定幅度和种类】</w:t>
            </w:r>
            <w:r>
              <w:rPr>
                <w:rFonts w:hint="eastAsia" w:ascii="宋体"/>
                <w:kern w:val="0"/>
              </w:rPr>
              <w:t>由海事管理机构处5万元以上25万元以下的罚款；对直接负责的主管人员和其他直接责任人员，由海事管理机构处1万元以上5万元以下的罚款。直接负责的主管人员和其他直接责任人员属于船员的，并处给予暂扣适任证书或者其他有关证件3个月至6个月的处罚。</w:t>
            </w:r>
          </w:p>
        </w:tc>
      </w:tr>
      <w:tr w14:paraId="5FAD0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14:paraId="48FA2420">
            <w:pPr>
              <w:spacing w:line="240" w:lineRule="exact"/>
              <w:jc w:val="center"/>
              <w:rPr>
                <w:rFonts w:ascii="宋体"/>
                <w:b/>
                <w:kern w:val="0"/>
              </w:rPr>
            </w:pPr>
          </w:p>
        </w:tc>
        <w:tc>
          <w:tcPr>
            <w:tcW w:w="1559" w:type="dxa"/>
            <w:tcBorders>
              <w:bottom w:val="single" w:color="000000" w:sz="4" w:space="0"/>
            </w:tcBorders>
            <w:vAlign w:val="center"/>
          </w:tcPr>
          <w:p w14:paraId="43E588E0">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7DEA095B">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14:paraId="4ED6AF2C">
            <w:pPr>
              <w:spacing w:line="240" w:lineRule="exact"/>
              <w:jc w:val="center"/>
              <w:rPr>
                <w:rFonts w:ascii="宋体"/>
                <w:b/>
                <w:kern w:val="0"/>
              </w:rPr>
            </w:pPr>
          </w:p>
        </w:tc>
        <w:tc>
          <w:tcPr>
            <w:tcW w:w="4394" w:type="dxa"/>
            <w:vMerge w:val="continue"/>
            <w:tcBorders>
              <w:bottom w:val="single" w:color="000000" w:sz="4" w:space="0"/>
            </w:tcBorders>
            <w:vAlign w:val="center"/>
          </w:tcPr>
          <w:p w14:paraId="22B60114">
            <w:pPr>
              <w:spacing w:line="240" w:lineRule="exact"/>
              <w:jc w:val="center"/>
              <w:rPr>
                <w:rFonts w:ascii="宋体"/>
                <w:b/>
                <w:kern w:val="0"/>
              </w:rPr>
            </w:pPr>
          </w:p>
        </w:tc>
        <w:tc>
          <w:tcPr>
            <w:tcW w:w="4678" w:type="dxa"/>
            <w:tcBorders>
              <w:top w:val="single" w:color="auto" w:sz="4" w:space="0"/>
              <w:right w:val="single" w:color="auto" w:sz="4" w:space="0"/>
            </w:tcBorders>
            <w:vAlign w:val="center"/>
          </w:tcPr>
          <w:p w14:paraId="32A8B753">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14:paraId="31B521AC">
            <w:pPr>
              <w:spacing w:line="240" w:lineRule="exact"/>
              <w:jc w:val="center"/>
              <w:rPr>
                <w:rFonts w:ascii="宋体"/>
                <w:b/>
                <w:kern w:val="0"/>
              </w:rPr>
            </w:pPr>
            <w:r>
              <w:rPr>
                <w:rFonts w:hint="eastAsia" w:ascii="宋体"/>
                <w:b/>
                <w:kern w:val="0"/>
              </w:rPr>
              <w:t>【对象】直接负责的主管人员和其他直接责任人员</w:t>
            </w:r>
          </w:p>
        </w:tc>
      </w:tr>
      <w:tr w14:paraId="44F8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14:paraId="2438450B">
            <w:pPr>
              <w:widowControl/>
              <w:spacing w:line="240" w:lineRule="exact"/>
              <w:jc w:val="left"/>
              <w:rPr>
                <w:rFonts w:ascii="宋体"/>
                <w:kern w:val="0"/>
              </w:rPr>
            </w:pPr>
            <w:r>
              <w:rPr>
                <w:rFonts w:hint="eastAsia" w:ascii="宋体"/>
                <w:kern w:val="0"/>
              </w:rPr>
              <w:t>发生船舶污染事故，船舶、有关作业单位迟报、漏报事故的</w:t>
            </w:r>
          </w:p>
        </w:tc>
        <w:tc>
          <w:tcPr>
            <w:tcW w:w="1559" w:type="dxa"/>
            <w:vMerge w:val="restart"/>
            <w:vAlign w:val="center"/>
          </w:tcPr>
          <w:p w14:paraId="14AA9650">
            <w:pPr>
              <w:widowControl/>
              <w:spacing w:line="240" w:lineRule="exact"/>
              <w:rPr>
                <w:rFonts w:ascii="宋体"/>
              </w:rPr>
            </w:pPr>
            <w:r>
              <w:rPr>
                <w:rFonts w:hint="eastAsia" w:ascii="宋体"/>
                <w:kern w:val="0"/>
              </w:rPr>
              <w:t>1.《防治船舶污染海洋环境管理条例》第三十六条第一款／第二款。</w:t>
            </w:r>
          </w:p>
        </w:tc>
        <w:tc>
          <w:tcPr>
            <w:tcW w:w="1701" w:type="dxa"/>
            <w:vMerge w:val="restart"/>
            <w:vAlign w:val="center"/>
          </w:tcPr>
          <w:p w14:paraId="22C06EEE">
            <w:pPr>
              <w:spacing w:line="240" w:lineRule="exact"/>
              <w:jc w:val="left"/>
              <w:rPr>
                <w:rFonts w:ascii="宋体"/>
                <w:kern w:val="0"/>
              </w:rPr>
            </w:pPr>
            <w:r>
              <w:rPr>
                <w:rFonts w:hint="eastAsia" w:ascii="宋体"/>
                <w:kern w:val="0"/>
              </w:rPr>
              <w:t>1.《防治船舶污染海洋环境管理条例》第六十八条。</w:t>
            </w:r>
          </w:p>
          <w:p w14:paraId="5700507F">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14:paraId="2150B456">
            <w:pPr>
              <w:spacing w:line="240" w:lineRule="exact"/>
              <w:jc w:val="center"/>
              <w:rPr>
                <w:rFonts w:ascii="宋体"/>
                <w:kern w:val="0"/>
              </w:rPr>
            </w:pPr>
            <w:r>
              <w:rPr>
                <w:rFonts w:hint="eastAsia" w:ascii="宋体"/>
                <w:kern w:val="0"/>
              </w:rPr>
              <w:t>从轻</w:t>
            </w:r>
          </w:p>
        </w:tc>
        <w:tc>
          <w:tcPr>
            <w:tcW w:w="4394" w:type="dxa"/>
            <w:vAlign w:val="center"/>
          </w:tcPr>
          <w:p w14:paraId="68E63FBB">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4678" w:type="dxa"/>
            <w:tcBorders>
              <w:right w:val="single" w:color="auto" w:sz="4" w:space="0"/>
            </w:tcBorders>
            <w:vAlign w:val="center"/>
          </w:tcPr>
          <w:p w14:paraId="4C25F4FD">
            <w:pPr>
              <w:spacing w:line="240" w:lineRule="exact"/>
              <w:jc w:val="center"/>
              <w:rPr>
                <w:rFonts w:ascii="宋体"/>
                <w:kern w:val="0"/>
              </w:rPr>
            </w:pPr>
            <w:r>
              <w:rPr>
                <w:rFonts w:hint="eastAsia" w:ascii="宋体"/>
                <w:kern w:val="0"/>
              </w:rPr>
              <w:t>5-6万元</w:t>
            </w:r>
          </w:p>
        </w:tc>
        <w:tc>
          <w:tcPr>
            <w:tcW w:w="4961" w:type="dxa"/>
            <w:tcBorders>
              <w:right w:val="single" w:color="auto" w:sz="4" w:space="0"/>
            </w:tcBorders>
            <w:vAlign w:val="center"/>
          </w:tcPr>
          <w:p w14:paraId="01B5C4C5">
            <w:pPr>
              <w:spacing w:line="240" w:lineRule="exact"/>
              <w:jc w:val="center"/>
              <w:rPr>
                <w:rFonts w:ascii="宋体"/>
                <w:kern w:val="0"/>
              </w:rPr>
            </w:pPr>
            <w:r>
              <w:rPr>
                <w:rFonts w:hint="eastAsia" w:ascii="宋体"/>
                <w:kern w:val="0"/>
              </w:rPr>
              <w:t>1万元，责任人员属于船员的，扣证3个月</w:t>
            </w:r>
          </w:p>
        </w:tc>
      </w:tr>
      <w:tr w14:paraId="2D99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14:paraId="707778D5">
            <w:pPr>
              <w:spacing w:line="240" w:lineRule="exact"/>
              <w:jc w:val="left"/>
              <w:rPr>
                <w:rFonts w:ascii="宋体"/>
                <w:kern w:val="0"/>
              </w:rPr>
            </w:pPr>
          </w:p>
        </w:tc>
        <w:tc>
          <w:tcPr>
            <w:tcW w:w="1559" w:type="dxa"/>
            <w:vMerge w:val="continue"/>
            <w:vAlign w:val="center"/>
          </w:tcPr>
          <w:p w14:paraId="0C5E1279">
            <w:pPr>
              <w:widowControl/>
              <w:spacing w:line="240" w:lineRule="exact"/>
              <w:jc w:val="left"/>
              <w:rPr>
                <w:rFonts w:ascii="宋体"/>
                <w:kern w:val="0"/>
              </w:rPr>
            </w:pPr>
          </w:p>
        </w:tc>
        <w:tc>
          <w:tcPr>
            <w:tcW w:w="1701" w:type="dxa"/>
            <w:vMerge w:val="continue"/>
            <w:vAlign w:val="center"/>
          </w:tcPr>
          <w:p w14:paraId="08DAFBA0">
            <w:pPr>
              <w:spacing w:line="240" w:lineRule="exact"/>
              <w:jc w:val="left"/>
              <w:rPr>
                <w:rFonts w:ascii="宋体"/>
                <w:kern w:val="0"/>
              </w:rPr>
            </w:pPr>
          </w:p>
        </w:tc>
        <w:tc>
          <w:tcPr>
            <w:tcW w:w="1276" w:type="dxa"/>
            <w:vMerge w:val="restart"/>
            <w:vAlign w:val="center"/>
          </w:tcPr>
          <w:p w14:paraId="4CEB4E9F">
            <w:pPr>
              <w:spacing w:line="240" w:lineRule="exact"/>
              <w:jc w:val="center"/>
              <w:rPr>
                <w:rFonts w:ascii="宋体"/>
                <w:kern w:val="0"/>
              </w:rPr>
            </w:pPr>
            <w:r>
              <w:rPr>
                <w:rFonts w:hint="eastAsia" w:ascii="宋体"/>
                <w:kern w:val="0"/>
              </w:rPr>
              <w:t>一般</w:t>
            </w:r>
          </w:p>
        </w:tc>
        <w:tc>
          <w:tcPr>
            <w:tcW w:w="4394" w:type="dxa"/>
            <w:vAlign w:val="center"/>
          </w:tcPr>
          <w:p w14:paraId="13FC7E0A">
            <w:pPr>
              <w:widowControl/>
              <w:spacing w:line="240" w:lineRule="exact"/>
              <w:jc w:val="left"/>
              <w:rPr>
                <w:rFonts w:ascii="宋体"/>
                <w:kern w:val="0"/>
              </w:rPr>
            </w:pPr>
            <w:r>
              <w:rPr>
                <w:rFonts w:hint="eastAsia" w:ascii="宋体"/>
                <w:kern w:val="0"/>
              </w:rPr>
              <w:t>迟报、漏报一般船舶污染事故，未造成不良后果的</w:t>
            </w:r>
          </w:p>
        </w:tc>
        <w:tc>
          <w:tcPr>
            <w:tcW w:w="4678" w:type="dxa"/>
            <w:tcBorders>
              <w:right w:val="single" w:color="auto" w:sz="4" w:space="0"/>
            </w:tcBorders>
            <w:vAlign w:val="center"/>
          </w:tcPr>
          <w:p w14:paraId="0B16E120">
            <w:pPr>
              <w:spacing w:line="240" w:lineRule="exact"/>
              <w:jc w:val="center"/>
              <w:rPr>
                <w:rFonts w:ascii="宋体"/>
                <w:kern w:val="0"/>
              </w:rPr>
            </w:pPr>
            <w:r>
              <w:rPr>
                <w:rFonts w:hint="eastAsia" w:ascii="宋体"/>
                <w:kern w:val="0"/>
              </w:rPr>
              <w:t>6-8万元</w:t>
            </w:r>
          </w:p>
        </w:tc>
        <w:tc>
          <w:tcPr>
            <w:tcW w:w="4961" w:type="dxa"/>
            <w:tcBorders>
              <w:right w:val="single" w:color="auto" w:sz="4" w:space="0"/>
            </w:tcBorders>
            <w:vAlign w:val="center"/>
          </w:tcPr>
          <w:p w14:paraId="4EC46F6A">
            <w:pPr>
              <w:spacing w:line="240" w:lineRule="exact"/>
              <w:jc w:val="center"/>
              <w:rPr>
                <w:rFonts w:ascii="宋体"/>
                <w:kern w:val="0"/>
              </w:rPr>
            </w:pPr>
            <w:r>
              <w:rPr>
                <w:rFonts w:hint="eastAsia" w:ascii="宋体"/>
                <w:kern w:val="0"/>
              </w:rPr>
              <w:t>1-2万元，责任人员属于船员的，扣证4个月</w:t>
            </w:r>
          </w:p>
        </w:tc>
      </w:tr>
      <w:tr w14:paraId="3D43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3" w:hRule="atLeast"/>
        </w:trPr>
        <w:tc>
          <w:tcPr>
            <w:tcW w:w="1333" w:type="dxa"/>
            <w:vMerge w:val="continue"/>
            <w:vAlign w:val="center"/>
          </w:tcPr>
          <w:p w14:paraId="5AB46EE6">
            <w:pPr>
              <w:spacing w:line="240" w:lineRule="exact"/>
              <w:jc w:val="left"/>
              <w:rPr>
                <w:rFonts w:ascii="宋体"/>
                <w:kern w:val="0"/>
              </w:rPr>
            </w:pPr>
          </w:p>
        </w:tc>
        <w:tc>
          <w:tcPr>
            <w:tcW w:w="1559" w:type="dxa"/>
            <w:vMerge w:val="continue"/>
            <w:vAlign w:val="center"/>
          </w:tcPr>
          <w:p w14:paraId="1BBC117F">
            <w:pPr>
              <w:widowControl/>
              <w:spacing w:line="240" w:lineRule="exact"/>
              <w:jc w:val="left"/>
              <w:rPr>
                <w:rFonts w:ascii="宋体"/>
                <w:kern w:val="0"/>
              </w:rPr>
            </w:pPr>
          </w:p>
        </w:tc>
        <w:tc>
          <w:tcPr>
            <w:tcW w:w="1701" w:type="dxa"/>
            <w:vMerge w:val="continue"/>
            <w:vAlign w:val="center"/>
          </w:tcPr>
          <w:p w14:paraId="36962C41">
            <w:pPr>
              <w:spacing w:line="240" w:lineRule="exact"/>
              <w:jc w:val="left"/>
              <w:rPr>
                <w:rFonts w:ascii="宋体"/>
                <w:kern w:val="0"/>
              </w:rPr>
            </w:pPr>
          </w:p>
        </w:tc>
        <w:tc>
          <w:tcPr>
            <w:tcW w:w="1276" w:type="dxa"/>
            <w:vMerge w:val="continue"/>
            <w:vAlign w:val="center"/>
          </w:tcPr>
          <w:p w14:paraId="1A286C75">
            <w:pPr>
              <w:spacing w:line="240" w:lineRule="exact"/>
              <w:jc w:val="center"/>
              <w:rPr>
                <w:rFonts w:ascii="宋体"/>
                <w:kern w:val="0"/>
              </w:rPr>
            </w:pPr>
          </w:p>
        </w:tc>
        <w:tc>
          <w:tcPr>
            <w:tcW w:w="4394" w:type="dxa"/>
            <w:vAlign w:val="center"/>
          </w:tcPr>
          <w:p w14:paraId="0B01D212">
            <w:pPr>
              <w:widowControl/>
              <w:spacing w:line="240" w:lineRule="exact"/>
              <w:jc w:val="left"/>
              <w:rPr>
                <w:rFonts w:ascii="宋体"/>
                <w:kern w:val="0"/>
              </w:rPr>
            </w:pPr>
            <w:r>
              <w:rPr>
                <w:rFonts w:hint="eastAsia" w:ascii="宋体"/>
                <w:kern w:val="0"/>
              </w:rPr>
              <w:t>迟报、漏报较大船舶污染事故，未造成不良后果的</w:t>
            </w:r>
          </w:p>
        </w:tc>
        <w:tc>
          <w:tcPr>
            <w:tcW w:w="4678" w:type="dxa"/>
            <w:tcBorders>
              <w:right w:val="single" w:color="auto" w:sz="4" w:space="0"/>
            </w:tcBorders>
            <w:vAlign w:val="center"/>
          </w:tcPr>
          <w:p w14:paraId="68B776D4">
            <w:pPr>
              <w:spacing w:line="240" w:lineRule="exact"/>
              <w:jc w:val="center"/>
              <w:rPr>
                <w:rFonts w:ascii="宋体"/>
                <w:kern w:val="0"/>
              </w:rPr>
            </w:pPr>
            <w:r>
              <w:rPr>
                <w:rFonts w:hint="eastAsia" w:ascii="宋体"/>
                <w:kern w:val="0"/>
              </w:rPr>
              <w:t>8-10万元</w:t>
            </w:r>
          </w:p>
        </w:tc>
        <w:tc>
          <w:tcPr>
            <w:tcW w:w="4961" w:type="dxa"/>
            <w:tcBorders>
              <w:right w:val="single" w:color="auto" w:sz="4" w:space="0"/>
            </w:tcBorders>
            <w:vAlign w:val="center"/>
          </w:tcPr>
          <w:p w14:paraId="4AEE4A61">
            <w:pPr>
              <w:spacing w:line="240" w:lineRule="exact"/>
              <w:jc w:val="center"/>
              <w:rPr>
                <w:rFonts w:ascii="宋体"/>
                <w:kern w:val="0"/>
              </w:rPr>
            </w:pPr>
            <w:r>
              <w:rPr>
                <w:rFonts w:hint="eastAsia" w:ascii="宋体"/>
                <w:kern w:val="0"/>
              </w:rPr>
              <w:t>2-3万元，责任人员属于船员的，扣证5个月</w:t>
            </w:r>
          </w:p>
        </w:tc>
      </w:tr>
      <w:tr w14:paraId="28AC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14:paraId="23B6BCEC">
            <w:pPr>
              <w:spacing w:line="240" w:lineRule="exact"/>
              <w:jc w:val="left"/>
              <w:rPr>
                <w:rFonts w:ascii="宋体"/>
                <w:kern w:val="0"/>
              </w:rPr>
            </w:pPr>
          </w:p>
        </w:tc>
        <w:tc>
          <w:tcPr>
            <w:tcW w:w="1559" w:type="dxa"/>
            <w:vMerge w:val="continue"/>
            <w:vAlign w:val="center"/>
          </w:tcPr>
          <w:p w14:paraId="6FD44529">
            <w:pPr>
              <w:spacing w:line="240" w:lineRule="exact"/>
              <w:jc w:val="left"/>
              <w:rPr>
                <w:rFonts w:ascii="宋体"/>
                <w:kern w:val="0"/>
              </w:rPr>
            </w:pPr>
          </w:p>
        </w:tc>
        <w:tc>
          <w:tcPr>
            <w:tcW w:w="1701" w:type="dxa"/>
            <w:vMerge w:val="continue"/>
            <w:vAlign w:val="center"/>
          </w:tcPr>
          <w:p w14:paraId="4953395A">
            <w:pPr>
              <w:spacing w:line="240" w:lineRule="exact"/>
              <w:jc w:val="left"/>
              <w:rPr>
                <w:rFonts w:ascii="宋体"/>
                <w:kern w:val="0"/>
              </w:rPr>
            </w:pPr>
          </w:p>
        </w:tc>
        <w:tc>
          <w:tcPr>
            <w:tcW w:w="1276" w:type="dxa"/>
            <w:vMerge w:val="continue"/>
            <w:vAlign w:val="center"/>
          </w:tcPr>
          <w:p w14:paraId="7186F478">
            <w:pPr>
              <w:spacing w:line="240" w:lineRule="exact"/>
              <w:jc w:val="center"/>
              <w:rPr>
                <w:rFonts w:ascii="宋体"/>
                <w:kern w:val="0"/>
              </w:rPr>
            </w:pPr>
          </w:p>
        </w:tc>
        <w:tc>
          <w:tcPr>
            <w:tcW w:w="4394" w:type="dxa"/>
            <w:tcBorders>
              <w:top w:val="single" w:color="auto" w:sz="4" w:space="0"/>
              <w:bottom w:val="single" w:color="auto" w:sz="4" w:space="0"/>
            </w:tcBorders>
            <w:vAlign w:val="center"/>
          </w:tcPr>
          <w:p w14:paraId="422734B2">
            <w:pPr>
              <w:spacing w:line="240" w:lineRule="exact"/>
              <w:jc w:val="left"/>
              <w:rPr>
                <w:rFonts w:ascii="宋体"/>
                <w:kern w:val="0"/>
              </w:rPr>
            </w:pPr>
            <w:r>
              <w:rPr>
                <w:rFonts w:hint="eastAsia" w:ascii="宋体"/>
                <w:kern w:val="0"/>
              </w:rPr>
              <w:t>迟报、漏报重大船舶污染事故，未造成不良后果的</w:t>
            </w:r>
          </w:p>
        </w:tc>
        <w:tc>
          <w:tcPr>
            <w:tcW w:w="4678" w:type="dxa"/>
            <w:tcBorders>
              <w:top w:val="single" w:color="auto" w:sz="4" w:space="0"/>
              <w:right w:val="single" w:color="auto" w:sz="4" w:space="0"/>
            </w:tcBorders>
            <w:vAlign w:val="center"/>
          </w:tcPr>
          <w:p w14:paraId="4880DBE3">
            <w:pPr>
              <w:spacing w:line="240" w:lineRule="exact"/>
              <w:jc w:val="center"/>
              <w:rPr>
                <w:rFonts w:ascii="宋体"/>
                <w:kern w:val="0"/>
              </w:rPr>
            </w:pPr>
            <w:r>
              <w:rPr>
                <w:rFonts w:hint="eastAsia" w:ascii="宋体"/>
                <w:kern w:val="0"/>
              </w:rPr>
              <w:t>10-12万元</w:t>
            </w:r>
          </w:p>
        </w:tc>
        <w:tc>
          <w:tcPr>
            <w:tcW w:w="4961" w:type="dxa"/>
            <w:tcBorders>
              <w:top w:val="single" w:color="auto" w:sz="4" w:space="0"/>
              <w:right w:val="single" w:color="auto" w:sz="4" w:space="0"/>
            </w:tcBorders>
            <w:vAlign w:val="center"/>
          </w:tcPr>
          <w:p w14:paraId="54F62092">
            <w:pPr>
              <w:spacing w:line="240" w:lineRule="exact"/>
              <w:jc w:val="center"/>
              <w:rPr>
                <w:rFonts w:ascii="宋体"/>
                <w:kern w:val="0"/>
              </w:rPr>
            </w:pPr>
            <w:r>
              <w:rPr>
                <w:rFonts w:hint="eastAsia" w:ascii="宋体"/>
                <w:kern w:val="0"/>
              </w:rPr>
              <w:t>3-4万元，责任人员属于船员的，扣证6个月</w:t>
            </w:r>
          </w:p>
        </w:tc>
      </w:tr>
      <w:tr w14:paraId="6A720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14:paraId="6A4E5AC1">
            <w:pPr>
              <w:spacing w:line="240" w:lineRule="exact"/>
              <w:jc w:val="left"/>
              <w:rPr>
                <w:rFonts w:ascii="宋体"/>
                <w:kern w:val="0"/>
              </w:rPr>
            </w:pPr>
          </w:p>
        </w:tc>
        <w:tc>
          <w:tcPr>
            <w:tcW w:w="1559" w:type="dxa"/>
            <w:vMerge w:val="continue"/>
            <w:vAlign w:val="center"/>
          </w:tcPr>
          <w:p w14:paraId="26AF51B4">
            <w:pPr>
              <w:spacing w:line="240" w:lineRule="exact"/>
              <w:jc w:val="left"/>
              <w:rPr>
                <w:rFonts w:ascii="宋体"/>
                <w:kern w:val="0"/>
              </w:rPr>
            </w:pPr>
          </w:p>
        </w:tc>
        <w:tc>
          <w:tcPr>
            <w:tcW w:w="1701" w:type="dxa"/>
            <w:vMerge w:val="continue"/>
            <w:vAlign w:val="center"/>
          </w:tcPr>
          <w:p w14:paraId="182D1439">
            <w:pPr>
              <w:spacing w:line="240" w:lineRule="exact"/>
              <w:jc w:val="left"/>
              <w:rPr>
                <w:rFonts w:ascii="宋体"/>
                <w:kern w:val="0"/>
              </w:rPr>
            </w:pPr>
          </w:p>
        </w:tc>
        <w:tc>
          <w:tcPr>
            <w:tcW w:w="1276" w:type="dxa"/>
            <w:vMerge w:val="continue"/>
            <w:vAlign w:val="center"/>
          </w:tcPr>
          <w:p w14:paraId="24AF20A8">
            <w:pPr>
              <w:spacing w:line="240" w:lineRule="exact"/>
              <w:jc w:val="left"/>
              <w:rPr>
                <w:rFonts w:ascii="宋体"/>
                <w:kern w:val="0"/>
              </w:rPr>
            </w:pPr>
          </w:p>
        </w:tc>
        <w:tc>
          <w:tcPr>
            <w:tcW w:w="4394" w:type="dxa"/>
            <w:tcBorders>
              <w:top w:val="single" w:color="auto" w:sz="4" w:space="0"/>
              <w:bottom w:val="single" w:color="auto" w:sz="4" w:space="0"/>
            </w:tcBorders>
            <w:vAlign w:val="center"/>
          </w:tcPr>
          <w:p w14:paraId="25E52EF0">
            <w:pPr>
              <w:spacing w:line="240" w:lineRule="exact"/>
              <w:jc w:val="left"/>
              <w:rPr>
                <w:rFonts w:ascii="宋体"/>
                <w:kern w:val="0"/>
              </w:rPr>
            </w:pPr>
            <w:r>
              <w:rPr>
                <w:rFonts w:hint="eastAsia" w:ascii="宋体"/>
                <w:kern w:val="0"/>
              </w:rPr>
              <w:t>1、迟报、漏报特别重大船舶污染事故的</w:t>
            </w:r>
          </w:p>
          <w:p w14:paraId="080205D4">
            <w:pPr>
              <w:spacing w:line="240" w:lineRule="exact"/>
              <w:jc w:val="left"/>
              <w:rPr>
                <w:rFonts w:ascii="宋体"/>
                <w:kern w:val="0"/>
              </w:rPr>
            </w:pPr>
            <w:r>
              <w:rPr>
                <w:rFonts w:hint="eastAsia" w:ascii="宋体"/>
                <w:kern w:val="0"/>
              </w:rPr>
              <w:t>2、迟报、漏报污染事故，造成污染后果进一步扩大等不良后果的</w:t>
            </w:r>
          </w:p>
          <w:p w14:paraId="1CCF7957">
            <w:pPr>
              <w:spacing w:line="240" w:lineRule="exact"/>
              <w:jc w:val="left"/>
              <w:rPr>
                <w:rFonts w:ascii="宋体"/>
                <w:kern w:val="0"/>
              </w:rPr>
            </w:pPr>
            <w:r>
              <w:rPr>
                <w:rFonts w:hint="eastAsia" w:ascii="宋体"/>
                <w:kern w:val="0"/>
              </w:rPr>
              <w:t>3、具有其他较重情节的</w:t>
            </w:r>
          </w:p>
        </w:tc>
        <w:tc>
          <w:tcPr>
            <w:tcW w:w="4678" w:type="dxa"/>
            <w:tcBorders>
              <w:right w:val="single" w:color="auto" w:sz="4" w:space="0"/>
            </w:tcBorders>
            <w:vAlign w:val="center"/>
          </w:tcPr>
          <w:p w14:paraId="058B36F4">
            <w:pPr>
              <w:spacing w:line="240" w:lineRule="exact"/>
              <w:jc w:val="center"/>
              <w:rPr>
                <w:rFonts w:ascii="宋体"/>
                <w:kern w:val="0"/>
              </w:rPr>
            </w:pPr>
            <w:r>
              <w:rPr>
                <w:rFonts w:hint="eastAsia" w:ascii="宋体"/>
                <w:kern w:val="0"/>
              </w:rPr>
              <w:t>20-25万元</w:t>
            </w:r>
          </w:p>
        </w:tc>
        <w:tc>
          <w:tcPr>
            <w:tcW w:w="4961" w:type="dxa"/>
            <w:tcBorders>
              <w:right w:val="single" w:color="auto" w:sz="4" w:space="0"/>
            </w:tcBorders>
            <w:vAlign w:val="center"/>
          </w:tcPr>
          <w:p w14:paraId="63E1C679">
            <w:pPr>
              <w:spacing w:line="240" w:lineRule="exact"/>
              <w:jc w:val="center"/>
              <w:rPr>
                <w:rFonts w:ascii="宋体"/>
                <w:kern w:val="0"/>
              </w:rPr>
            </w:pPr>
            <w:r>
              <w:rPr>
                <w:rFonts w:hint="eastAsia" w:ascii="宋体"/>
                <w:kern w:val="0"/>
              </w:rPr>
              <w:t>4-5万元，责任人员属于船员的，扣证6个月</w:t>
            </w:r>
          </w:p>
        </w:tc>
      </w:tr>
      <w:tr w14:paraId="15FB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9902" w:type="dxa"/>
            <w:gridSpan w:val="7"/>
            <w:tcBorders>
              <w:right w:val="single" w:color="auto" w:sz="4" w:space="0"/>
            </w:tcBorders>
            <w:vAlign w:val="center"/>
          </w:tcPr>
          <w:p w14:paraId="29FE9A57">
            <w:pPr>
              <w:spacing w:line="240" w:lineRule="exact"/>
              <w:jc w:val="left"/>
              <w:rPr>
                <w:rFonts w:ascii="宋体"/>
                <w:kern w:val="0"/>
              </w:rPr>
            </w:pPr>
            <w:r>
              <w:rPr>
                <w:rFonts w:hint="eastAsia" w:ascii="宋体"/>
                <w:kern w:val="0"/>
              </w:rPr>
              <w:t>注：如与《海上交通安全法》第一百一十条存在事实竞合的，按照《行政处罚法》第二十九条的原则处理。</w:t>
            </w:r>
          </w:p>
        </w:tc>
      </w:tr>
    </w:tbl>
    <w:p w14:paraId="57B3696D">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14:paraId="4148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14:paraId="27552A8B">
            <w:pPr>
              <w:spacing w:line="240" w:lineRule="exact"/>
              <w:jc w:val="center"/>
              <w:rPr>
                <w:rFonts w:ascii="宋体"/>
                <w:b/>
                <w:kern w:val="0"/>
              </w:rPr>
            </w:pPr>
            <w:r>
              <w:rPr>
                <w:rFonts w:hint="eastAsia" w:ascii="宋体"/>
                <w:b/>
                <w:kern w:val="0"/>
              </w:rPr>
              <w:t>案由91</w:t>
            </w:r>
          </w:p>
        </w:tc>
        <w:tc>
          <w:tcPr>
            <w:tcW w:w="3260" w:type="dxa"/>
            <w:gridSpan w:val="2"/>
            <w:vAlign w:val="center"/>
          </w:tcPr>
          <w:p w14:paraId="45CD369B">
            <w:pPr>
              <w:spacing w:line="240" w:lineRule="exact"/>
              <w:jc w:val="center"/>
              <w:rPr>
                <w:rFonts w:ascii="宋体"/>
                <w:b/>
                <w:kern w:val="0"/>
              </w:rPr>
            </w:pPr>
            <w:r>
              <w:rPr>
                <w:rFonts w:hint="eastAsia" w:ascii="宋体"/>
                <w:b/>
                <w:kern w:val="0"/>
              </w:rPr>
              <w:t>法律依据</w:t>
            </w:r>
          </w:p>
        </w:tc>
        <w:tc>
          <w:tcPr>
            <w:tcW w:w="1276" w:type="dxa"/>
            <w:vMerge w:val="restart"/>
            <w:vAlign w:val="center"/>
          </w:tcPr>
          <w:p w14:paraId="57084BE0">
            <w:pPr>
              <w:spacing w:line="240" w:lineRule="exact"/>
              <w:jc w:val="center"/>
              <w:rPr>
                <w:rFonts w:ascii="宋体"/>
                <w:b/>
                <w:kern w:val="0"/>
              </w:rPr>
            </w:pPr>
            <w:r>
              <w:rPr>
                <w:rFonts w:hint="eastAsia" w:ascii="宋体"/>
                <w:b/>
                <w:kern w:val="0"/>
              </w:rPr>
              <w:t>违法情节</w:t>
            </w:r>
          </w:p>
        </w:tc>
        <w:tc>
          <w:tcPr>
            <w:tcW w:w="4394" w:type="dxa"/>
            <w:vMerge w:val="restart"/>
            <w:vAlign w:val="center"/>
          </w:tcPr>
          <w:p w14:paraId="000F2762">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14:paraId="0F252128">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25万元以上50万元以下的罚款；对直接负责的主管人员和其他直接责任人员，由海事管理机构处5万元以上10万元以下的罚款。直接负责的主管人员和其他直接责任人员属于船员的，并处给予吊销适任证书或者其他有关证件的处罚。</w:t>
            </w:r>
          </w:p>
        </w:tc>
      </w:tr>
      <w:tr w14:paraId="05B2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14:paraId="4D1386DF">
            <w:pPr>
              <w:spacing w:line="240" w:lineRule="exact"/>
              <w:jc w:val="center"/>
              <w:rPr>
                <w:rFonts w:ascii="宋体"/>
                <w:b/>
                <w:kern w:val="0"/>
              </w:rPr>
            </w:pPr>
          </w:p>
        </w:tc>
        <w:tc>
          <w:tcPr>
            <w:tcW w:w="1559" w:type="dxa"/>
            <w:tcBorders>
              <w:bottom w:val="single" w:color="000000" w:sz="4" w:space="0"/>
            </w:tcBorders>
            <w:vAlign w:val="center"/>
          </w:tcPr>
          <w:p w14:paraId="3C65CC33">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38E0BA93">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14:paraId="2CA9996C">
            <w:pPr>
              <w:spacing w:line="240" w:lineRule="exact"/>
              <w:jc w:val="left"/>
              <w:rPr>
                <w:rFonts w:ascii="宋体"/>
                <w:b/>
                <w:kern w:val="0"/>
              </w:rPr>
            </w:pPr>
          </w:p>
        </w:tc>
        <w:tc>
          <w:tcPr>
            <w:tcW w:w="4394" w:type="dxa"/>
            <w:vMerge w:val="continue"/>
            <w:tcBorders>
              <w:bottom w:val="single" w:color="000000" w:sz="4" w:space="0"/>
            </w:tcBorders>
            <w:vAlign w:val="center"/>
          </w:tcPr>
          <w:p w14:paraId="4A58CB3A">
            <w:pPr>
              <w:spacing w:line="240" w:lineRule="exact"/>
              <w:jc w:val="left"/>
              <w:rPr>
                <w:rFonts w:ascii="宋体"/>
                <w:b/>
                <w:kern w:val="0"/>
              </w:rPr>
            </w:pPr>
          </w:p>
        </w:tc>
        <w:tc>
          <w:tcPr>
            <w:tcW w:w="4678" w:type="dxa"/>
            <w:tcBorders>
              <w:top w:val="single" w:color="auto" w:sz="4" w:space="0"/>
              <w:right w:val="single" w:color="auto" w:sz="4" w:space="0"/>
            </w:tcBorders>
            <w:vAlign w:val="center"/>
          </w:tcPr>
          <w:p w14:paraId="3776D48C">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14:paraId="11A44BE2">
            <w:pPr>
              <w:spacing w:line="240" w:lineRule="exact"/>
              <w:jc w:val="center"/>
              <w:rPr>
                <w:rFonts w:ascii="宋体"/>
                <w:b/>
                <w:kern w:val="0"/>
              </w:rPr>
            </w:pPr>
            <w:r>
              <w:rPr>
                <w:rFonts w:hint="eastAsia" w:ascii="宋体"/>
                <w:b/>
                <w:kern w:val="0"/>
              </w:rPr>
              <w:t>【对象】直接负责的主管人员和其他直接责任人员</w:t>
            </w:r>
          </w:p>
        </w:tc>
      </w:tr>
      <w:tr w14:paraId="3770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14:paraId="0D3E2013">
            <w:pPr>
              <w:widowControl/>
              <w:spacing w:line="240" w:lineRule="exact"/>
              <w:jc w:val="left"/>
              <w:rPr>
                <w:rFonts w:ascii="宋体"/>
                <w:kern w:val="0"/>
              </w:rPr>
            </w:pPr>
            <w:r>
              <w:rPr>
                <w:rFonts w:hint="eastAsia" w:ascii="宋体"/>
                <w:kern w:val="0"/>
              </w:rPr>
              <w:t>发生船舶污染事故，船舶、有关作业单位瞒报、谎报事故的</w:t>
            </w:r>
          </w:p>
        </w:tc>
        <w:tc>
          <w:tcPr>
            <w:tcW w:w="1559" w:type="dxa"/>
            <w:vMerge w:val="restart"/>
            <w:vAlign w:val="center"/>
          </w:tcPr>
          <w:p w14:paraId="49791EAB">
            <w:pPr>
              <w:widowControl/>
              <w:spacing w:line="240" w:lineRule="exact"/>
              <w:rPr>
                <w:rFonts w:ascii="宋体"/>
              </w:rPr>
            </w:pPr>
            <w:r>
              <w:rPr>
                <w:rFonts w:hint="eastAsia" w:ascii="宋体"/>
                <w:kern w:val="0"/>
              </w:rPr>
              <w:t>《防治船舶污染海洋环境管理条例》第三十六条第一款／第二款</w:t>
            </w:r>
          </w:p>
        </w:tc>
        <w:tc>
          <w:tcPr>
            <w:tcW w:w="1701" w:type="dxa"/>
            <w:vMerge w:val="restart"/>
            <w:vAlign w:val="center"/>
          </w:tcPr>
          <w:p w14:paraId="048A06A2">
            <w:pPr>
              <w:spacing w:line="240" w:lineRule="exact"/>
              <w:jc w:val="left"/>
              <w:rPr>
                <w:rFonts w:ascii="宋体"/>
                <w:kern w:val="0"/>
              </w:rPr>
            </w:pPr>
            <w:r>
              <w:rPr>
                <w:rFonts w:hint="eastAsia" w:ascii="宋体"/>
                <w:kern w:val="0"/>
              </w:rPr>
              <w:t>1.《防治船舶污染海洋环境管理条例》第六十八条。</w:t>
            </w:r>
          </w:p>
          <w:p w14:paraId="6AFD7D3E">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14:paraId="0609CAD7">
            <w:pPr>
              <w:spacing w:line="240" w:lineRule="exact"/>
              <w:jc w:val="center"/>
              <w:rPr>
                <w:rFonts w:ascii="宋体"/>
                <w:kern w:val="0"/>
              </w:rPr>
            </w:pPr>
            <w:r>
              <w:rPr>
                <w:rFonts w:hint="eastAsia" w:ascii="宋体"/>
                <w:kern w:val="0"/>
              </w:rPr>
              <w:t>从轻</w:t>
            </w:r>
          </w:p>
        </w:tc>
        <w:tc>
          <w:tcPr>
            <w:tcW w:w="4394" w:type="dxa"/>
            <w:vAlign w:val="center"/>
          </w:tcPr>
          <w:p w14:paraId="3817FF6F">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678" w:type="dxa"/>
            <w:tcBorders>
              <w:right w:val="single" w:color="auto" w:sz="4" w:space="0"/>
            </w:tcBorders>
            <w:vAlign w:val="center"/>
          </w:tcPr>
          <w:p w14:paraId="0D478D06">
            <w:pPr>
              <w:spacing w:line="240" w:lineRule="exact"/>
              <w:jc w:val="center"/>
              <w:rPr>
                <w:rFonts w:ascii="宋体"/>
                <w:kern w:val="0"/>
              </w:rPr>
            </w:pPr>
            <w:r>
              <w:rPr>
                <w:rFonts w:hint="eastAsia" w:ascii="宋体"/>
                <w:kern w:val="0"/>
              </w:rPr>
              <w:t>25-30万元</w:t>
            </w:r>
          </w:p>
        </w:tc>
        <w:tc>
          <w:tcPr>
            <w:tcW w:w="4961" w:type="dxa"/>
            <w:tcBorders>
              <w:right w:val="single" w:color="auto" w:sz="4" w:space="0"/>
            </w:tcBorders>
            <w:vAlign w:val="center"/>
          </w:tcPr>
          <w:p w14:paraId="0EB134C5">
            <w:pPr>
              <w:spacing w:line="240" w:lineRule="exact"/>
              <w:jc w:val="center"/>
              <w:rPr>
                <w:rFonts w:ascii="宋体"/>
                <w:kern w:val="0"/>
              </w:rPr>
            </w:pPr>
            <w:r>
              <w:rPr>
                <w:rFonts w:hint="eastAsia" w:ascii="宋体"/>
                <w:kern w:val="0"/>
              </w:rPr>
              <w:t>5-6万元，责任人员属于船员的，吊销适任证书或者其他有关证件</w:t>
            </w:r>
          </w:p>
        </w:tc>
      </w:tr>
      <w:tr w14:paraId="7CF1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14:paraId="2B54A180">
            <w:pPr>
              <w:spacing w:line="240" w:lineRule="exact"/>
              <w:jc w:val="left"/>
              <w:rPr>
                <w:rFonts w:ascii="宋体"/>
                <w:kern w:val="0"/>
              </w:rPr>
            </w:pPr>
          </w:p>
        </w:tc>
        <w:tc>
          <w:tcPr>
            <w:tcW w:w="1559" w:type="dxa"/>
            <w:vMerge w:val="continue"/>
            <w:vAlign w:val="center"/>
          </w:tcPr>
          <w:p w14:paraId="1F22B959">
            <w:pPr>
              <w:widowControl/>
              <w:spacing w:line="240" w:lineRule="exact"/>
              <w:jc w:val="left"/>
              <w:rPr>
                <w:rFonts w:ascii="宋体"/>
                <w:kern w:val="0"/>
              </w:rPr>
            </w:pPr>
          </w:p>
        </w:tc>
        <w:tc>
          <w:tcPr>
            <w:tcW w:w="1701" w:type="dxa"/>
            <w:vMerge w:val="continue"/>
            <w:vAlign w:val="center"/>
          </w:tcPr>
          <w:p w14:paraId="5CCAA607">
            <w:pPr>
              <w:spacing w:line="240" w:lineRule="exact"/>
              <w:jc w:val="left"/>
              <w:rPr>
                <w:rFonts w:ascii="宋体"/>
                <w:kern w:val="0"/>
              </w:rPr>
            </w:pPr>
          </w:p>
        </w:tc>
        <w:tc>
          <w:tcPr>
            <w:tcW w:w="1276" w:type="dxa"/>
            <w:vMerge w:val="restart"/>
            <w:vAlign w:val="center"/>
          </w:tcPr>
          <w:p w14:paraId="2F0E9895">
            <w:pPr>
              <w:spacing w:line="240" w:lineRule="exact"/>
              <w:jc w:val="center"/>
              <w:rPr>
                <w:rFonts w:ascii="宋体"/>
                <w:kern w:val="0"/>
              </w:rPr>
            </w:pPr>
            <w:r>
              <w:rPr>
                <w:rFonts w:hint="eastAsia" w:ascii="宋体"/>
                <w:kern w:val="0"/>
              </w:rPr>
              <w:t>一般</w:t>
            </w:r>
          </w:p>
        </w:tc>
        <w:tc>
          <w:tcPr>
            <w:tcW w:w="4394" w:type="dxa"/>
            <w:vAlign w:val="center"/>
          </w:tcPr>
          <w:p w14:paraId="32638E86">
            <w:pPr>
              <w:widowControl/>
              <w:spacing w:line="240" w:lineRule="exact"/>
              <w:jc w:val="left"/>
              <w:rPr>
                <w:rFonts w:ascii="宋体"/>
                <w:kern w:val="0"/>
              </w:rPr>
            </w:pPr>
            <w:r>
              <w:rPr>
                <w:rFonts w:hint="eastAsia" w:ascii="宋体"/>
                <w:kern w:val="0"/>
              </w:rPr>
              <w:t>瞒报、谎报一般船舶污染事故，未造成不良后果的</w:t>
            </w:r>
          </w:p>
        </w:tc>
        <w:tc>
          <w:tcPr>
            <w:tcW w:w="4678" w:type="dxa"/>
            <w:tcBorders>
              <w:right w:val="single" w:color="auto" w:sz="4" w:space="0"/>
            </w:tcBorders>
            <w:vAlign w:val="center"/>
          </w:tcPr>
          <w:p w14:paraId="4AB03FC9">
            <w:pPr>
              <w:spacing w:line="240" w:lineRule="exact"/>
              <w:jc w:val="center"/>
              <w:rPr>
                <w:rFonts w:ascii="宋体"/>
                <w:kern w:val="0"/>
              </w:rPr>
            </w:pPr>
            <w:r>
              <w:rPr>
                <w:rFonts w:hint="eastAsia" w:ascii="宋体"/>
                <w:kern w:val="0"/>
              </w:rPr>
              <w:t>30-35万元</w:t>
            </w:r>
          </w:p>
        </w:tc>
        <w:tc>
          <w:tcPr>
            <w:tcW w:w="4961" w:type="dxa"/>
            <w:tcBorders>
              <w:right w:val="single" w:color="auto" w:sz="4" w:space="0"/>
            </w:tcBorders>
            <w:vAlign w:val="center"/>
          </w:tcPr>
          <w:p w14:paraId="129AB95D">
            <w:pPr>
              <w:spacing w:line="240" w:lineRule="exact"/>
              <w:jc w:val="center"/>
              <w:rPr>
                <w:rFonts w:ascii="宋体"/>
                <w:kern w:val="0"/>
              </w:rPr>
            </w:pPr>
            <w:r>
              <w:rPr>
                <w:rFonts w:hint="eastAsia" w:ascii="宋体"/>
                <w:kern w:val="0"/>
              </w:rPr>
              <w:t>6-7万元，责任人员属于船员的，吊销适任证书或者其他有关证件</w:t>
            </w:r>
          </w:p>
        </w:tc>
      </w:tr>
      <w:tr w14:paraId="14F0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3" w:hRule="atLeast"/>
        </w:trPr>
        <w:tc>
          <w:tcPr>
            <w:tcW w:w="1333" w:type="dxa"/>
            <w:vMerge w:val="continue"/>
            <w:vAlign w:val="center"/>
          </w:tcPr>
          <w:p w14:paraId="28ED0E70">
            <w:pPr>
              <w:spacing w:line="240" w:lineRule="exact"/>
              <w:jc w:val="left"/>
              <w:rPr>
                <w:rFonts w:ascii="宋体"/>
                <w:kern w:val="0"/>
              </w:rPr>
            </w:pPr>
          </w:p>
        </w:tc>
        <w:tc>
          <w:tcPr>
            <w:tcW w:w="1559" w:type="dxa"/>
            <w:vMerge w:val="continue"/>
            <w:vAlign w:val="center"/>
          </w:tcPr>
          <w:p w14:paraId="71A6F178">
            <w:pPr>
              <w:widowControl/>
              <w:spacing w:line="240" w:lineRule="exact"/>
              <w:jc w:val="left"/>
              <w:rPr>
                <w:rFonts w:ascii="宋体"/>
                <w:kern w:val="0"/>
              </w:rPr>
            </w:pPr>
          </w:p>
        </w:tc>
        <w:tc>
          <w:tcPr>
            <w:tcW w:w="1701" w:type="dxa"/>
            <w:vMerge w:val="continue"/>
            <w:vAlign w:val="center"/>
          </w:tcPr>
          <w:p w14:paraId="1EB4CEA4">
            <w:pPr>
              <w:spacing w:line="240" w:lineRule="exact"/>
              <w:jc w:val="left"/>
              <w:rPr>
                <w:rFonts w:ascii="宋体"/>
                <w:kern w:val="0"/>
              </w:rPr>
            </w:pPr>
          </w:p>
        </w:tc>
        <w:tc>
          <w:tcPr>
            <w:tcW w:w="1276" w:type="dxa"/>
            <w:vMerge w:val="continue"/>
            <w:vAlign w:val="center"/>
          </w:tcPr>
          <w:p w14:paraId="6B10AA0F">
            <w:pPr>
              <w:spacing w:line="240" w:lineRule="exact"/>
              <w:jc w:val="center"/>
              <w:rPr>
                <w:rFonts w:ascii="宋体"/>
                <w:kern w:val="0"/>
              </w:rPr>
            </w:pPr>
          </w:p>
        </w:tc>
        <w:tc>
          <w:tcPr>
            <w:tcW w:w="4394" w:type="dxa"/>
            <w:vAlign w:val="center"/>
          </w:tcPr>
          <w:p w14:paraId="2F7C17E2">
            <w:pPr>
              <w:widowControl/>
              <w:spacing w:line="240" w:lineRule="exact"/>
              <w:jc w:val="left"/>
              <w:rPr>
                <w:rFonts w:ascii="宋体"/>
                <w:kern w:val="0"/>
              </w:rPr>
            </w:pPr>
            <w:r>
              <w:rPr>
                <w:rFonts w:hint="eastAsia" w:ascii="宋体"/>
                <w:kern w:val="0"/>
              </w:rPr>
              <w:t>瞒报、谎报较大船舶污染事故，未造成不良后果的</w:t>
            </w:r>
          </w:p>
        </w:tc>
        <w:tc>
          <w:tcPr>
            <w:tcW w:w="4678" w:type="dxa"/>
            <w:tcBorders>
              <w:right w:val="single" w:color="auto" w:sz="4" w:space="0"/>
            </w:tcBorders>
            <w:vAlign w:val="center"/>
          </w:tcPr>
          <w:p w14:paraId="4C15FB13">
            <w:pPr>
              <w:spacing w:line="240" w:lineRule="exact"/>
              <w:jc w:val="center"/>
              <w:rPr>
                <w:rFonts w:ascii="宋体"/>
                <w:kern w:val="0"/>
              </w:rPr>
            </w:pPr>
            <w:r>
              <w:rPr>
                <w:rFonts w:hint="eastAsia" w:ascii="宋体"/>
                <w:kern w:val="0"/>
              </w:rPr>
              <w:t>35-40万元</w:t>
            </w:r>
          </w:p>
        </w:tc>
        <w:tc>
          <w:tcPr>
            <w:tcW w:w="4961" w:type="dxa"/>
            <w:tcBorders>
              <w:right w:val="single" w:color="auto" w:sz="4" w:space="0"/>
            </w:tcBorders>
            <w:vAlign w:val="center"/>
          </w:tcPr>
          <w:p w14:paraId="36AD1D55">
            <w:pPr>
              <w:spacing w:line="240" w:lineRule="exact"/>
              <w:jc w:val="center"/>
              <w:rPr>
                <w:rFonts w:ascii="宋体"/>
                <w:kern w:val="0"/>
              </w:rPr>
            </w:pPr>
            <w:r>
              <w:rPr>
                <w:rFonts w:hint="eastAsia" w:ascii="宋体"/>
                <w:kern w:val="0"/>
              </w:rPr>
              <w:t>7-8万元，责任人员属于船员的，吊销适任证书或者其他有关证件</w:t>
            </w:r>
          </w:p>
        </w:tc>
      </w:tr>
      <w:tr w14:paraId="363B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14:paraId="60A0A0ED">
            <w:pPr>
              <w:spacing w:line="240" w:lineRule="exact"/>
              <w:jc w:val="left"/>
              <w:rPr>
                <w:rFonts w:ascii="宋体"/>
                <w:kern w:val="0"/>
              </w:rPr>
            </w:pPr>
          </w:p>
        </w:tc>
        <w:tc>
          <w:tcPr>
            <w:tcW w:w="1559" w:type="dxa"/>
            <w:vMerge w:val="continue"/>
            <w:vAlign w:val="center"/>
          </w:tcPr>
          <w:p w14:paraId="65873EF9">
            <w:pPr>
              <w:spacing w:line="240" w:lineRule="exact"/>
              <w:jc w:val="left"/>
              <w:rPr>
                <w:rFonts w:ascii="宋体"/>
                <w:kern w:val="0"/>
              </w:rPr>
            </w:pPr>
          </w:p>
        </w:tc>
        <w:tc>
          <w:tcPr>
            <w:tcW w:w="1701" w:type="dxa"/>
            <w:vMerge w:val="continue"/>
            <w:vAlign w:val="center"/>
          </w:tcPr>
          <w:p w14:paraId="4C90CFC1">
            <w:pPr>
              <w:spacing w:line="240" w:lineRule="exact"/>
              <w:jc w:val="left"/>
              <w:rPr>
                <w:rFonts w:ascii="宋体"/>
                <w:kern w:val="0"/>
              </w:rPr>
            </w:pPr>
          </w:p>
        </w:tc>
        <w:tc>
          <w:tcPr>
            <w:tcW w:w="1276" w:type="dxa"/>
            <w:vMerge w:val="continue"/>
            <w:vAlign w:val="center"/>
          </w:tcPr>
          <w:p w14:paraId="39DC8B26">
            <w:pPr>
              <w:spacing w:line="240" w:lineRule="exact"/>
              <w:jc w:val="center"/>
              <w:rPr>
                <w:rFonts w:ascii="宋体"/>
                <w:kern w:val="0"/>
              </w:rPr>
            </w:pPr>
          </w:p>
        </w:tc>
        <w:tc>
          <w:tcPr>
            <w:tcW w:w="4394" w:type="dxa"/>
            <w:tcBorders>
              <w:top w:val="single" w:color="auto" w:sz="4" w:space="0"/>
              <w:bottom w:val="single" w:color="auto" w:sz="4" w:space="0"/>
            </w:tcBorders>
            <w:vAlign w:val="center"/>
          </w:tcPr>
          <w:p w14:paraId="20F2BD0F">
            <w:pPr>
              <w:spacing w:line="240" w:lineRule="exact"/>
              <w:jc w:val="left"/>
              <w:rPr>
                <w:rFonts w:ascii="宋体"/>
                <w:kern w:val="0"/>
              </w:rPr>
            </w:pPr>
            <w:r>
              <w:rPr>
                <w:rFonts w:hint="eastAsia" w:ascii="宋体"/>
                <w:kern w:val="0"/>
              </w:rPr>
              <w:t>瞒报、谎报重大船舶污染事故，未造成不良后果的</w:t>
            </w:r>
          </w:p>
        </w:tc>
        <w:tc>
          <w:tcPr>
            <w:tcW w:w="4678" w:type="dxa"/>
            <w:tcBorders>
              <w:top w:val="single" w:color="auto" w:sz="4" w:space="0"/>
              <w:right w:val="single" w:color="auto" w:sz="4" w:space="0"/>
            </w:tcBorders>
            <w:vAlign w:val="center"/>
          </w:tcPr>
          <w:p w14:paraId="2313FE34">
            <w:pPr>
              <w:spacing w:line="240" w:lineRule="exact"/>
              <w:jc w:val="center"/>
              <w:rPr>
                <w:rFonts w:ascii="宋体"/>
                <w:kern w:val="0"/>
              </w:rPr>
            </w:pPr>
            <w:r>
              <w:rPr>
                <w:rFonts w:hint="eastAsia" w:ascii="宋体"/>
                <w:kern w:val="0"/>
              </w:rPr>
              <w:t>40-45万元</w:t>
            </w:r>
          </w:p>
        </w:tc>
        <w:tc>
          <w:tcPr>
            <w:tcW w:w="4961" w:type="dxa"/>
            <w:tcBorders>
              <w:top w:val="single" w:color="auto" w:sz="4" w:space="0"/>
              <w:right w:val="single" w:color="auto" w:sz="4" w:space="0"/>
            </w:tcBorders>
            <w:vAlign w:val="center"/>
          </w:tcPr>
          <w:p w14:paraId="419200BD">
            <w:pPr>
              <w:spacing w:line="240" w:lineRule="exact"/>
              <w:jc w:val="center"/>
              <w:rPr>
                <w:rFonts w:ascii="宋体"/>
                <w:kern w:val="0"/>
              </w:rPr>
            </w:pPr>
            <w:r>
              <w:rPr>
                <w:rFonts w:hint="eastAsia" w:ascii="宋体"/>
                <w:kern w:val="0"/>
              </w:rPr>
              <w:t>8-9万元，责任人员属于船员的，吊销适任证书或者其他有关证件</w:t>
            </w:r>
          </w:p>
        </w:tc>
      </w:tr>
      <w:tr w14:paraId="6E94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14:paraId="4A234836">
            <w:pPr>
              <w:spacing w:line="240" w:lineRule="exact"/>
              <w:jc w:val="left"/>
              <w:rPr>
                <w:rFonts w:ascii="宋体"/>
                <w:kern w:val="0"/>
              </w:rPr>
            </w:pPr>
          </w:p>
        </w:tc>
        <w:tc>
          <w:tcPr>
            <w:tcW w:w="1559" w:type="dxa"/>
            <w:vMerge w:val="continue"/>
            <w:vAlign w:val="center"/>
          </w:tcPr>
          <w:p w14:paraId="54359703">
            <w:pPr>
              <w:spacing w:line="240" w:lineRule="exact"/>
              <w:jc w:val="left"/>
              <w:rPr>
                <w:rFonts w:ascii="宋体"/>
                <w:kern w:val="0"/>
              </w:rPr>
            </w:pPr>
          </w:p>
        </w:tc>
        <w:tc>
          <w:tcPr>
            <w:tcW w:w="1701" w:type="dxa"/>
            <w:vMerge w:val="continue"/>
            <w:vAlign w:val="center"/>
          </w:tcPr>
          <w:p w14:paraId="6AD33C05">
            <w:pPr>
              <w:spacing w:line="240" w:lineRule="exact"/>
              <w:jc w:val="left"/>
              <w:rPr>
                <w:rFonts w:ascii="宋体"/>
                <w:kern w:val="0"/>
              </w:rPr>
            </w:pPr>
          </w:p>
        </w:tc>
        <w:tc>
          <w:tcPr>
            <w:tcW w:w="1276" w:type="dxa"/>
            <w:vMerge w:val="continue"/>
            <w:vAlign w:val="center"/>
          </w:tcPr>
          <w:p w14:paraId="3E116C8F">
            <w:pPr>
              <w:spacing w:line="240" w:lineRule="exact"/>
              <w:jc w:val="left"/>
              <w:rPr>
                <w:rFonts w:ascii="宋体"/>
                <w:kern w:val="0"/>
              </w:rPr>
            </w:pPr>
          </w:p>
        </w:tc>
        <w:tc>
          <w:tcPr>
            <w:tcW w:w="4394" w:type="dxa"/>
            <w:tcBorders>
              <w:top w:val="single" w:color="auto" w:sz="4" w:space="0"/>
              <w:bottom w:val="single" w:color="auto" w:sz="4" w:space="0"/>
            </w:tcBorders>
            <w:vAlign w:val="center"/>
          </w:tcPr>
          <w:p w14:paraId="23B7E243">
            <w:pPr>
              <w:spacing w:line="240" w:lineRule="exact"/>
              <w:jc w:val="left"/>
              <w:rPr>
                <w:rFonts w:ascii="宋体"/>
                <w:kern w:val="0"/>
              </w:rPr>
            </w:pPr>
            <w:r>
              <w:rPr>
                <w:rFonts w:hint="eastAsia" w:ascii="宋体"/>
                <w:kern w:val="0"/>
              </w:rPr>
              <w:t>1、瞒报、谎报特别重大船舶污染事故的</w:t>
            </w:r>
          </w:p>
          <w:p w14:paraId="2ED379F9">
            <w:pPr>
              <w:spacing w:line="240" w:lineRule="exact"/>
              <w:jc w:val="left"/>
              <w:rPr>
                <w:rFonts w:ascii="宋体"/>
                <w:kern w:val="0"/>
              </w:rPr>
            </w:pPr>
            <w:r>
              <w:rPr>
                <w:rFonts w:hint="eastAsia" w:ascii="宋体"/>
                <w:kern w:val="0"/>
              </w:rPr>
              <w:t>2、瞒报、谎报污染事故，造成污染后果进一步扩大等不良后果的</w:t>
            </w:r>
          </w:p>
          <w:p w14:paraId="7776B3C4">
            <w:pPr>
              <w:spacing w:line="240" w:lineRule="exact"/>
              <w:jc w:val="left"/>
              <w:rPr>
                <w:rFonts w:ascii="宋体"/>
                <w:kern w:val="0"/>
              </w:rPr>
            </w:pPr>
            <w:r>
              <w:rPr>
                <w:rFonts w:hint="eastAsia" w:ascii="宋体"/>
                <w:kern w:val="0"/>
              </w:rPr>
              <w:t>3、具有其他较重情节的</w:t>
            </w:r>
          </w:p>
        </w:tc>
        <w:tc>
          <w:tcPr>
            <w:tcW w:w="4678" w:type="dxa"/>
            <w:tcBorders>
              <w:right w:val="single" w:color="auto" w:sz="4" w:space="0"/>
            </w:tcBorders>
            <w:vAlign w:val="center"/>
          </w:tcPr>
          <w:p w14:paraId="3AF88BB8">
            <w:pPr>
              <w:spacing w:line="240" w:lineRule="exact"/>
              <w:jc w:val="center"/>
              <w:rPr>
                <w:rFonts w:ascii="宋体"/>
                <w:kern w:val="0"/>
              </w:rPr>
            </w:pPr>
            <w:r>
              <w:rPr>
                <w:rFonts w:hint="eastAsia" w:ascii="宋体"/>
                <w:kern w:val="0"/>
              </w:rPr>
              <w:t>45-50万元</w:t>
            </w:r>
          </w:p>
        </w:tc>
        <w:tc>
          <w:tcPr>
            <w:tcW w:w="4961" w:type="dxa"/>
            <w:tcBorders>
              <w:right w:val="single" w:color="auto" w:sz="4" w:space="0"/>
            </w:tcBorders>
            <w:vAlign w:val="center"/>
          </w:tcPr>
          <w:p w14:paraId="4AC226BF">
            <w:pPr>
              <w:spacing w:line="240" w:lineRule="exact"/>
              <w:jc w:val="center"/>
              <w:rPr>
                <w:rFonts w:ascii="宋体"/>
                <w:kern w:val="0"/>
              </w:rPr>
            </w:pPr>
            <w:r>
              <w:rPr>
                <w:rFonts w:hint="eastAsia" w:ascii="宋体"/>
                <w:kern w:val="0"/>
              </w:rPr>
              <w:t>9-10万元，责任人员属于船员的，吊销适任证书或者其他有关证件</w:t>
            </w:r>
          </w:p>
        </w:tc>
      </w:tr>
    </w:tbl>
    <w:p w14:paraId="3B7851FA">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5682"/>
        <w:gridCol w:w="8352"/>
      </w:tblGrid>
      <w:tr w14:paraId="413E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14:paraId="3BFBDB1A">
            <w:pPr>
              <w:spacing w:line="240" w:lineRule="exact"/>
              <w:jc w:val="center"/>
              <w:rPr>
                <w:rFonts w:ascii="宋体"/>
                <w:b/>
                <w:kern w:val="0"/>
              </w:rPr>
            </w:pPr>
            <w:r>
              <w:rPr>
                <w:rFonts w:hint="eastAsia" w:ascii="宋体"/>
                <w:b/>
                <w:kern w:val="0"/>
              </w:rPr>
              <w:t>案由92</w:t>
            </w:r>
          </w:p>
        </w:tc>
        <w:tc>
          <w:tcPr>
            <w:tcW w:w="3260" w:type="dxa"/>
            <w:gridSpan w:val="2"/>
            <w:vAlign w:val="center"/>
          </w:tcPr>
          <w:p w14:paraId="6AA1BB08">
            <w:pPr>
              <w:spacing w:line="240" w:lineRule="exact"/>
              <w:jc w:val="center"/>
              <w:rPr>
                <w:rFonts w:ascii="宋体"/>
                <w:b/>
                <w:kern w:val="0"/>
              </w:rPr>
            </w:pPr>
            <w:r>
              <w:rPr>
                <w:rFonts w:hint="eastAsia" w:ascii="宋体"/>
                <w:b/>
                <w:kern w:val="0"/>
              </w:rPr>
              <w:t>法律依据</w:t>
            </w:r>
          </w:p>
        </w:tc>
        <w:tc>
          <w:tcPr>
            <w:tcW w:w="1276" w:type="dxa"/>
            <w:vMerge w:val="restart"/>
            <w:vAlign w:val="center"/>
          </w:tcPr>
          <w:p w14:paraId="54E2CC8B">
            <w:pPr>
              <w:spacing w:line="240" w:lineRule="exact"/>
              <w:jc w:val="center"/>
              <w:rPr>
                <w:rFonts w:ascii="宋体"/>
                <w:b/>
                <w:kern w:val="0"/>
              </w:rPr>
            </w:pPr>
            <w:r>
              <w:rPr>
                <w:rFonts w:hint="eastAsia" w:ascii="宋体"/>
                <w:b/>
                <w:kern w:val="0"/>
              </w:rPr>
              <w:t>违法情节</w:t>
            </w:r>
          </w:p>
        </w:tc>
        <w:tc>
          <w:tcPr>
            <w:tcW w:w="5682" w:type="dxa"/>
            <w:vMerge w:val="restart"/>
            <w:vAlign w:val="center"/>
          </w:tcPr>
          <w:p w14:paraId="1DB9FDAC">
            <w:pPr>
              <w:spacing w:line="240" w:lineRule="exact"/>
              <w:jc w:val="center"/>
              <w:rPr>
                <w:rFonts w:ascii="宋体"/>
                <w:b/>
                <w:kern w:val="0"/>
              </w:rPr>
            </w:pPr>
            <w:r>
              <w:rPr>
                <w:rFonts w:hint="eastAsia" w:ascii="宋体"/>
                <w:b/>
                <w:kern w:val="0"/>
              </w:rPr>
              <w:t>主要考虑因素（事实、性质、情节、危害程度和实际后果等）</w:t>
            </w:r>
          </w:p>
        </w:tc>
        <w:tc>
          <w:tcPr>
            <w:tcW w:w="8352" w:type="dxa"/>
            <w:vAlign w:val="center"/>
          </w:tcPr>
          <w:p w14:paraId="24AF3186">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由海事管理机构对船舶或者使用单位处1万元以上5万元以下的罚款。</w:t>
            </w:r>
          </w:p>
        </w:tc>
      </w:tr>
      <w:tr w14:paraId="40B3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14:paraId="68B0D270">
            <w:pPr>
              <w:spacing w:line="240" w:lineRule="exact"/>
              <w:jc w:val="center"/>
              <w:rPr>
                <w:rFonts w:ascii="宋体"/>
                <w:b/>
                <w:kern w:val="0"/>
              </w:rPr>
            </w:pPr>
          </w:p>
        </w:tc>
        <w:tc>
          <w:tcPr>
            <w:tcW w:w="1559" w:type="dxa"/>
            <w:tcBorders>
              <w:bottom w:val="single" w:color="000000" w:sz="4" w:space="0"/>
            </w:tcBorders>
            <w:vAlign w:val="center"/>
          </w:tcPr>
          <w:p w14:paraId="2333F238">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35A58C7C">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14:paraId="06ED04EC">
            <w:pPr>
              <w:spacing w:line="240" w:lineRule="exact"/>
              <w:jc w:val="center"/>
              <w:rPr>
                <w:rFonts w:ascii="宋体"/>
                <w:b/>
                <w:kern w:val="0"/>
              </w:rPr>
            </w:pPr>
          </w:p>
        </w:tc>
        <w:tc>
          <w:tcPr>
            <w:tcW w:w="5682" w:type="dxa"/>
            <w:vMerge w:val="continue"/>
            <w:tcBorders>
              <w:bottom w:val="single" w:color="000000" w:sz="4" w:space="0"/>
            </w:tcBorders>
            <w:vAlign w:val="center"/>
          </w:tcPr>
          <w:p w14:paraId="71DAC304">
            <w:pPr>
              <w:spacing w:line="240" w:lineRule="exact"/>
              <w:jc w:val="left"/>
              <w:rPr>
                <w:rFonts w:ascii="宋体"/>
                <w:b/>
                <w:kern w:val="0"/>
              </w:rPr>
            </w:pPr>
          </w:p>
        </w:tc>
        <w:tc>
          <w:tcPr>
            <w:tcW w:w="8352" w:type="dxa"/>
            <w:tcBorders>
              <w:top w:val="single" w:color="auto" w:sz="4" w:space="0"/>
              <w:right w:val="single" w:color="auto" w:sz="4" w:space="0"/>
            </w:tcBorders>
            <w:vAlign w:val="center"/>
          </w:tcPr>
          <w:p w14:paraId="2B8B4BB9">
            <w:pPr>
              <w:spacing w:line="240" w:lineRule="exact"/>
              <w:jc w:val="center"/>
              <w:rPr>
                <w:rFonts w:ascii="宋体"/>
                <w:b/>
                <w:kern w:val="0"/>
              </w:rPr>
            </w:pPr>
            <w:r>
              <w:rPr>
                <w:rFonts w:hint="eastAsia" w:ascii="宋体"/>
                <w:b/>
                <w:kern w:val="0"/>
              </w:rPr>
              <w:t>【对象】</w:t>
            </w:r>
            <w:r>
              <w:rPr>
                <w:rFonts w:hint="eastAsia" w:ascii="宋体"/>
                <w:b/>
              </w:rPr>
              <w:t>船舶所有人、经营人，消油剂使用单位</w:t>
            </w:r>
          </w:p>
        </w:tc>
      </w:tr>
      <w:tr w14:paraId="563B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333" w:type="dxa"/>
            <w:vMerge w:val="restart"/>
            <w:vAlign w:val="center"/>
          </w:tcPr>
          <w:p w14:paraId="6791DD48">
            <w:pPr>
              <w:widowControl/>
              <w:spacing w:line="240" w:lineRule="exact"/>
              <w:jc w:val="left"/>
              <w:rPr>
                <w:rFonts w:ascii="宋体"/>
                <w:kern w:val="0"/>
              </w:rPr>
            </w:pPr>
            <w:r>
              <w:rPr>
                <w:rFonts w:hint="eastAsia" w:ascii="宋体"/>
                <w:kern w:val="0"/>
              </w:rPr>
              <w:t>未按照国家规定的标准使用消油剂的</w:t>
            </w:r>
          </w:p>
        </w:tc>
        <w:tc>
          <w:tcPr>
            <w:tcW w:w="1559" w:type="dxa"/>
            <w:vMerge w:val="restart"/>
            <w:vAlign w:val="center"/>
          </w:tcPr>
          <w:p w14:paraId="42151941">
            <w:pPr>
              <w:widowControl/>
              <w:spacing w:line="240" w:lineRule="exact"/>
              <w:rPr>
                <w:rFonts w:ascii="宋体"/>
              </w:rPr>
            </w:pPr>
            <w:r>
              <w:rPr>
                <w:rFonts w:hint="eastAsia" w:ascii="宋体"/>
                <w:kern w:val="0"/>
              </w:rPr>
              <w:t>1.《防治船舶污染海洋环境管理条例》第四十二条。</w:t>
            </w:r>
          </w:p>
        </w:tc>
        <w:tc>
          <w:tcPr>
            <w:tcW w:w="1701" w:type="dxa"/>
            <w:vMerge w:val="restart"/>
            <w:vAlign w:val="center"/>
          </w:tcPr>
          <w:p w14:paraId="6363CECF">
            <w:pPr>
              <w:spacing w:line="240" w:lineRule="exact"/>
              <w:jc w:val="left"/>
              <w:rPr>
                <w:rFonts w:ascii="宋体"/>
                <w:kern w:val="0"/>
              </w:rPr>
            </w:pPr>
            <w:r>
              <w:rPr>
                <w:rFonts w:hint="eastAsia" w:ascii="宋体"/>
                <w:kern w:val="0"/>
              </w:rPr>
              <w:t>1.《防治船舶污染海洋环境管理条例》第六十九条。</w:t>
            </w:r>
          </w:p>
          <w:p w14:paraId="4C89D71F">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14:paraId="360787E4">
            <w:pPr>
              <w:spacing w:line="240" w:lineRule="exact"/>
              <w:jc w:val="center"/>
              <w:rPr>
                <w:rFonts w:ascii="宋体"/>
                <w:kern w:val="0"/>
              </w:rPr>
            </w:pPr>
            <w:r>
              <w:rPr>
                <w:rFonts w:hint="eastAsia" w:ascii="宋体"/>
                <w:kern w:val="0"/>
              </w:rPr>
              <w:t>从轻</w:t>
            </w:r>
          </w:p>
        </w:tc>
        <w:tc>
          <w:tcPr>
            <w:tcW w:w="5682" w:type="dxa"/>
            <w:vAlign w:val="center"/>
          </w:tcPr>
          <w:p w14:paraId="2AF62B5A">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8352" w:type="dxa"/>
            <w:tcBorders>
              <w:right w:val="single" w:color="auto" w:sz="4" w:space="0"/>
            </w:tcBorders>
            <w:vAlign w:val="center"/>
          </w:tcPr>
          <w:p w14:paraId="43C6E60E">
            <w:pPr>
              <w:spacing w:line="240" w:lineRule="exact"/>
              <w:jc w:val="center"/>
              <w:rPr>
                <w:rFonts w:ascii="宋体"/>
                <w:kern w:val="0"/>
              </w:rPr>
            </w:pPr>
            <w:r>
              <w:rPr>
                <w:rFonts w:hint="eastAsia" w:ascii="宋体"/>
                <w:kern w:val="0"/>
              </w:rPr>
              <w:t>1-2万元</w:t>
            </w:r>
          </w:p>
        </w:tc>
      </w:tr>
      <w:tr w14:paraId="64DE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4" w:hRule="atLeast"/>
        </w:trPr>
        <w:tc>
          <w:tcPr>
            <w:tcW w:w="1333" w:type="dxa"/>
            <w:vMerge w:val="continue"/>
            <w:vAlign w:val="center"/>
          </w:tcPr>
          <w:p w14:paraId="5416D3A6">
            <w:pPr>
              <w:spacing w:line="240" w:lineRule="exact"/>
              <w:jc w:val="left"/>
              <w:rPr>
                <w:rFonts w:ascii="宋体"/>
                <w:kern w:val="0"/>
              </w:rPr>
            </w:pPr>
          </w:p>
        </w:tc>
        <w:tc>
          <w:tcPr>
            <w:tcW w:w="1559" w:type="dxa"/>
            <w:vMerge w:val="continue"/>
            <w:vAlign w:val="center"/>
          </w:tcPr>
          <w:p w14:paraId="15A01816">
            <w:pPr>
              <w:widowControl/>
              <w:spacing w:line="240" w:lineRule="exact"/>
              <w:jc w:val="left"/>
              <w:rPr>
                <w:rFonts w:ascii="宋体"/>
                <w:kern w:val="0"/>
              </w:rPr>
            </w:pPr>
          </w:p>
        </w:tc>
        <w:tc>
          <w:tcPr>
            <w:tcW w:w="1701" w:type="dxa"/>
            <w:vMerge w:val="continue"/>
            <w:vAlign w:val="center"/>
          </w:tcPr>
          <w:p w14:paraId="65A8AE56">
            <w:pPr>
              <w:spacing w:line="240" w:lineRule="exact"/>
              <w:jc w:val="left"/>
              <w:rPr>
                <w:rFonts w:ascii="宋体"/>
                <w:kern w:val="0"/>
              </w:rPr>
            </w:pPr>
          </w:p>
        </w:tc>
        <w:tc>
          <w:tcPr>
            <w:tcW w:w="1276" w:type="dxa"/>
            <w:vMerge w:val="restart"/>
            <w:vAlign w:val="center"/>
          </w:tcPr>
          <w:p w14:paraId="42165DF5">
            <w:pPr>
              <w:spacing w:line="240" w:lineRule="exact"/>
              <w:jc w:val="center"/>
              <w:rPr>
                <w:rFonts w:ascii="宋体"/>
                <w:kern w:val="0"/>
              </w:rPr>
            </w:pPr>
            <w:r>
              <w:rPr>
                <w:rFonts w:hint="eastAsia" w:ascii="宋体"/>
                <w:kern w:val="0"/>
              </w:rPr>
              <w:t>一般</w:t>
            </w:r>
          </w:p>
        </w:tc>
        <w:tc>
          <w:tcPr>
            <w:tcW w:w="5682" w:type="dxa"/>
            <w:vAlign w:val="center"/>
          </w:tcPr>
          <w:p w14:paraId="005608E9">
            <w:pPr>
              <w:widowControl/>
              <w:spacing w:line="240" w:lineRule="exact"/>
              <w:jc w:val="left"/>
              <w:rPr>
                <w:rFonts w:ascii="宋体"/>
                <w:kern w:val="0"/>
              </w:rPr>
            </w:pPr>
            <w:r>
              <w:rPr>
                <w:rFonts w:hint="eastAsia" w:ascii="宋体"/>
                <w:kern w:val="0"/>
              </w:rPr>
              <w:t>使用不符合国家有关标准的消油剂不足0.5吨的</w:t>
            </w:r>
          </w:p>
        </w:tc>
        <w:tc>
          <w:tcPr>
            <w:tcW w:w="8352" w:type="dxa"/>
            <w:tcBorders>
              <w:right w:val="single" w:color="auto" w:sz="4" w:space="0"/>
            </w:tcBorders>
            <w:vAlign w:val="center"/>
          </w:tcPr>
          <w:p w14:paraId="2BBEC71A">
            <w:pPr>
              <w:spacing w:line="240" w:lineRule="exact"/>
              <w:jc w:val="center"/>
              <w:rPr>
                <w:rFonts w:ascii="宋体"/>
                <w:kern w:val="0"/>
              </w:rPr>
            </w:pPr>
            <w:r>
              <w:rPr>
                <w:rFonts w:hint="eastAsia" w:ascii="宋体"/>
                <w:kern w:val="0"/>
              </w:rPr>
              <w:t>2-3万元</w:t>
            </w:r>
          </w:p>
        </w:tc>
      </w:tr>
      <w:tr w14:paraId="2724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333" w:type="dxa"/>
            <w:vMerge w:val="continue"/>
            <w:vAlign w:val="center"/>
          </w:tcPr>
          <w:p w14:paraId="4B300080">
            <w:pPr>
              <w:spacing w:line="240" w:lineRule="exact"/>
              <w:jc w:val="left"/>
              <w:rPr>
                <w:rFonts w:ascii="宋体"/>
                <w:kern w:val="0"/>
              </w:rPr>
            </w:pPr>
          </w:p>
        </w:tc>
        <w:tc>
          <w:tcPr>
            <w:tcW w:w="1559" w:type="dxa"/>
            <w:vMerge w:val="continue"/>
            <w:vAlign w:val="center"/>
          </w:tcPr>
          <w:p w14:paraId="4A1AB9AC">
            <w:pPr>
              <w:spacing w:line="240" w:lineRule="exact"/>
              <w:jc w:val="left"/>
              <w:rPr>
                <w:rFonts w:ascii="宋体"/>
                <w:kern w:val="0"/>
              </w:rPr>
            </w:pPr>
          </w:p>
        </w:tc>
        <w:tc>
          <w:tcPr>
            <w:tcW w:w="1701" w:type="dxa"/>
            <w:vMerge w:val="continue"/>
            <w:vAlign w:val="center"/>
          </w:tcPr>
          <w:p w14:paraId="6BAB40CE">
            <w:pPr>
              <w:spacing w:line="240" w:lineRule="exact"/>
              <w:jc w:val="left"/>
              <w:rPr>
                <w:rFonts w:ascii="宋体"/>
                <w:kern w:val="0"/>
              </w:rPr>
            </w:pPr>
          </w:p>
        </w:tc>
        <w:tc>
          <w:tcPr>
            <w:tcW w:w="1276" w:type="dxa"/>
            <w:vMerge w:val="continue"/>
            <w:vAlign w:val="center"/>
          </w:tcPr>
          <w:p w14:paraId="4A9A175F">
            <w:pPr>
              <w:spacing w:line="240" w:lineRule="exact"/>
              <w:jc w:val="center"/>
              <w:rPr>
                <w:rFonts w:ascii="宋体"/>
                <w:kern w:val="0"/>
              </w:rPr>
            </w:pPr>
          </w:p>
        </w:tc>
        <w:tc>
          <w:tcPr>
            <w:tcW w:w="5682" w:type="dxa"/>
            <w:tcBorders>
              <w:top w:val="single" w:color="auto" w:sz="4" w:space="0"/>
              <w:bottom w:val="single" w:color="auto" w:sz="4" w:space="0"/>
            </w:tcBorders>
            <w:vAlign w:val="center"/>
          </w:tcPr>
          <w:p w14:paraId="7FD610FC">
            <w:pPr>
              <w:spacing w:line="240" w:lineRule="exact"/>
              <w:jc w:val="left"/>
              <w:rPr>
                <w:rFonts w:ascii="宋体"/>
                <w:kern w:val="0"/>
              </w:rPr>
            </w:pPr>
            <w:r>
              <w:rPr>
                <w:rFonts w:hint="eastAsia" w:ascii="宋体"/>
                <w:kern w:val="0"/>
              </w:rPr>
              <w:t>使用不符合国家有关标准的消油剂0.5吨以上2吨及以下的</w:t>
            </w:r>
          </w:p>
        </w:tc>
        <w:tc>
          <w:tcPr>
            <w:tcW w:w="8352" w:type="dxa"/>
            <w:tcBorders>
              <w:top w:val="single" w:color="auto" w:sz="4" w:space="0"/>
              <w:right w:val="single" w:color="auto" w:sz="4" w:space="0"/>
            </w:tcBorders>
            <w:vAlign w:val="center"/>
          </w:tcPr>
          <w:p w14:paraId="5C5F824D">
            <w:pPr>
              <w:spacing w:line="240" w:lineRule="exact"/>
              <w:jc w:val="center"/>
              <w:rPr>
                <w:rFonts w:ascii="宋体"/>
                <w:kern w:val="0"/>
              </w:rPr>
            </w:pPr>
            <w:r>
              <w:rPr>
                <w:rFonts w:hint="eastAsia" w:ascii="宋体"/>
                <w:kern w:val="0"/>
              </w:rPr>
              <w:t>3-4万元</w:t>
            </w:r>
          </w:p>
        </w:tc>
      </w:tr>
      <w:tr w14:paraId="79ED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6" w:hRule="atLeast"/>
        </w:trPr>
        <w:tc>
          <w:tcPr>
            <w:tcW w:w="1333" w:type="dxa"/>
            <w:vMerge w:val="continue"/>
            <w:vAlign w:val="center"/>
          </w:tcPr>
          <w:p w14:paraId="3BC59146">
            <w:pPr>
              <w:spacing w:line="240" w:lineRule="exact"/>
              <w:jc w:val="left"/>
              <w:rPr>
                <w:rFonts w:ascii="宋体"/>
                <w:kern w:val="0"/>
              </w:rPr>
            </w:pPr>
          </w:p>
        </w:tc>
        <w:tc>
          <w:tcPr>
            <w:tcW w:w="1559" w:type="dxa"/>
            <w:vMerge w:val="continue"/>
            <w:vAlign w:val="center"/>
          </w:tcPr>
          <w:p w14:paraId="4ADCD612">
            <w:pPr>
              <w:spacing w:line="240" w:lineRule="exact"/>
              <w:jc w:val="left"/>
              <w:rPr>
                <w:rFonts w:ascii="宋体"/>
                <w:kern w:val="0"/>
              </w:rPr>
            </w:pPr>
          </w:p>
        </w:tc>
        <w:tc>
          <w:tcPr>
            <w:tcW w:w="1701" w:type="dxa"/>
            <w:vMerge w:val="continue"/>
            <w:vAlign w:val="center"/>
          </w:tcPr>
          <w:p w14:paraId="4CBE790D">
            <w:pPr>
              <w:spacing w:line="240" w:lineRule="exact"/>
              <w:jc w:val="left"/>
              <w:rPr>
                <w:rFonts w:ascii="宋体"/>
                <w:kern w:val="0"/>
              </w:rPr>
            </w:pPr>
          </w:p>
        </w:tc>
        <w:tc>
          <w:tcPr>
            <w:tcW w:w="1276" w:type="dxa"/>
            <w:vMerge w:val="continue"/>
            <w:vAlign w:val="center"/>
          </w:tcPr>
          <w:p w14:paraId="0403C35D">
            <w:pPr>
              <w:spacing w:line="240" w:lineRule="exact"/>
              <w:jc w:val="left"/>
              <w:rPr>
                <w:rFonts w:ascii="宋体"/>
                <w:kern w:val="0"/>
              </w:rPr>
            </w:pPr>
          </w:p>
        </w:tc>
        <w:tc>
          <w:tcPr>
            <w:tcW w:w="5682" w:type="dxa"/>
            <w:tcBorders>
              <w:top w:val="single" w:color="auto" w:sz="4" w:space="0"/>
              <w:bottom w:val="single" w:color="auto" w:sz="4" w:space="0"/>
            </w:tcBorders>
            <w:vAlign w:val="center"/>
          </w:tcPr>
          <w:p w14:paraId="429F63A0">
            <w:pPr>
              <w:numPr>
                <w:ilvl w:val="0"/>
                <w:numId w:val="16"/>
              </w:numPr>
              <w:spacing w:line="240" w:lineRule="exact"/>
              <w:jc w:val="left"/>
              <w:rPr>
                <w:rFonts w:ascii="宋体"/>
                <w:kern w:val="0"/>
              </w:rPr>
            </w:pPr>
            <w:r>
              <w:rPr>
                <w:rFonts w:hint="eastAsia" w:ascii="宋体"/>
                <w:kern w:val="0"/>
              </w:rPr>
              <w:t>使用不符合国家有关标准的消油剂超过2吨的</w:t>
            </w:r>
          </w:p>
          <w:p w14:paraId="6C22660A">
            <w:pPr>
              <w:numPr>
                <w:ilvl w:val="0"/>
                <w:numId w:val="16"/>
              </w:numPr>
              <w:spacing w:line="240" w:lineRule="exact"/>
              <w:jc w:val="left"/>
              <w:rPr>
                <w:rFonts w:ascii="宋体"/>
                <w:kern w:val="0"/>
              </w:rPr>
            </w:pPr>
            <w:r>
              <w:rPr>
                <w:rFonts w:hint="eastAsia" w:ascii="宋体"/>
                <w:kern w:val="0"/>
              </w:rPr>
              <w:t>具有其他较重情节的</w:t>
            </w:r>
          </w:p>
        </w:tc>
        <w:tc>
          <w:tcPr>
            <w:tcW w:w="8352" w:type="dxa"/>
            <w:tcBorders>
              <w:right w:val="single" w:color="auto" w:sz="4" w:space="0"/>
            </w:tcBorders>
            <w:vAlign w:val="center"/>
          </w:tcPr>
          <w:p w14:paraId="18F939CA">
            <w:pPr>
              <w:spacing w:line="240" w:lineRule="exact"/>
              <w:jc w:val="center"/>
              <w:rPr>
                <w:rFonts w:ascii="宋体"/>
                <w:kern w:val="0"/>
              </w:rPr>
            </w:pPr>
            <w:r>
              <w:rPr>
                <w:rFonts w:hint="eastAsia" w:ascii="宋体"/>
                <w:kern w:val="0"/>
              </w:rPr>
              <w:t>4-5万元</w:t>
            </w:r>
          </w:p>
        </w:tc>
      </w:tr>
    </w:tbl>
    <w:p w14:paraId="5B6CE24B">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3"/>
        <w:gridCol w:w="1559"/>
        <w:gridCol w:w="1701"/>
        <w:gridCol w:w="1276"/>
        <w:gridCol w:w="4394"/>
        <w:gridCol w:w="4678"/>
        <w:gridCol w:w="4961"/>
      </w:tblGrid>
      <w:tr w14:paraId="2BC6A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333" w:type="dxa"/>
            <w:vMerge w:val="restart"/>
            <w:vAlign w:val="center"/>
          </w:tcPr>
          <w:p w14:paraId="7D89040F">
            <w:pPr>
              <w:spacing w:line="240" w:lineRule="exact"/>
              <w:jc w:val="center"/>
              <w:rPr>
                <w:rFonts w:ascii="宋体"/>
                <w:b/>
                <w:kern w:val="0"/>
              </w:rPr>
            </w:pPr>
            <w:r>
              <w:rPr>
                <w:rFonts w:hint="eastAsia" w:ascii="宋体"/>
                <w:b/>
                <w:kern w:val="0"/>
              </w:rPr>
              <w:t>案由93</w:t>
            </w:r>
          </w:p>
        </w:tc>
        <w:tc>
          <w:tcPr>
            <w:tcW w:w="3260" w:type="dxa"/>
            <w:gridSpan w:val="2"/>
            <w:vAlign w:val="center"/>
          </w:tcPr>
          <w:p w14:paraId="4A4C574D">
            <w:pPr>
              <w:spacing w:line="240" w:lineRule="exact"/>
              <w:jc w:val="center"/>
              <w:rPr>
                <w:rFonts w:ascii="宋体"/>
                <w:b/>
                <w:kern w:val="0"/>
              </w:rPr>
            </w:pPr>
            <w:r>
              <w:rPr>
                <w:rFonts w:hint="eastAsia" w:ascii="宋体"/>
                <w:b/>
                <w:kern w:val="0"/>
              </w:rPr>
              <w:t>法律依据</w:t>
            </w:r>
          </w:p>
        </w:tc>
        <w:tc>
          <w:tcPr>
            <w:tcW w:w="1276" w:type="dxa"/>
            <w:vMerge w:val="restart"/>
            <w:vAlign w:val="center"/>
          </w:tcPr>
          <w:p w14:paraId="54801A67">
            <w:pPr>
              <w:spacing w:line="240" w:lineRule="exact"/>
              <w:jc w:val="center"/>
              <w:rPr>
                <w:rFonts w:ascii="宋体"/>
                <w:b/>
                <w:kern w:val="0"/>
              </w:rPr>
            </w:pPr>
            <w:r>
              <w:rPr>
                <w:rFonts w:hint="eastAsia" w:ascii="宋体"/>
                <w:b/>
                <w:kern w:val="0"/>
              </w:rPr>
              <w:t>违法情节</w:t>
            </w:r>
          </w:p>
        </w:tc>
        <w:tc>
          <w:tcPr>
            <w:tcW w:w="4394" w:type="dxa"/>
            <w:vMerge w:val="restart"/>
            <w:vAlign w:val="center"/>
          </w:tcPr>
          <w:p w14:paraId="61811BB5">
            <w:pPr>
              <w:spacing w:line="240" w:lineRule="exact"/>
              <w:jc w:val="center"/>
              <w:rPr>
                <w:rFonts w:ascii="宋体"/>
                <w:b/>
                <w:kern w:val="0"/>
              </w:rPr>
            </w:pPr>
            <w:r>
              <w:rPr>
                <w:rFonts w:hint="eastAsia" w:ascii="宋体"/>
                <w:b/>
                <w:kern w:val="0"/>
              </w:rPr>
              <w:t>主要考虑因素（事实、性质、情节、危害程度和实际后果等）</w:t>
            </w:r>
          </w:p>
        </w:tc>
        <w:tc>
          <w:tcPr>
            <w:tcW w:w="9639" w:type="dxa"/>
            <w:gridSpan w:val="2"/>
            <w:vAlign w:val="center"/>
          </w:tcPr>
          <w:p w14:paraId="6C9714C0">
            <w:pPr>
              <w:spacing w:line="240" w:lineRule="exact"/>
              <w:jc w:val="left"/>
              <w:rPr>
                <w:rFonts w:ascii="宋体"/>
                <w:b/>
                <w:kern w:val="0"/>
              </w:rPr>
            </w:pPr>
            <w:r>
              <w:rPr>
                <w:rFonts w:hint="eastAsia" w:ascii="宋体"/>
                <w:b/>
                <w:kern w:val="0"/>
              </w:rPr>
              <w:t>【法定幅度和种类】</w:t>
            </w:r>
            <w:r>
              <w:rPr>
                <w:rFonts w:hint="eastAsia" w:ascii="宋体"/>
                <w:bCs/>
                <w:kern w:val="0"/>
              </w:rPr>
              <w:t>对船舶、有关作业单位，由海事管理机构处2万元以上10万元以下的罚款；对直接负责的主管人员和其他直接责任人员，由海事管理机构处1万元以上2万元以下的罚款。直接负责的主管人员和其他直接责任人员属于船员的，并处给予暂扣适任证书或者其他有关证件1个月至3个月的处罚。</w:t>
            </w:r>
          </w:p>
        </w:tc>
      </w:tr>
      <w:tr w14:paraId="1DBF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333" w:type="dxa"/>
            <w:vMerge w:val="continue"/>
            <w:tcBorders>
              <w:bottom w:val="single" w:color="000000" w:sz="4" w:space="0"/>
            </w:tcBorders>
            <w:vAlign w:val="center"/>
          </w:tcPr>
          <w:p w14:paraId="1803216F">
            <w:pPr>
              <w:spacing w:line="240" w:lineRule="exact"/>
              <w:jc w:val="left"/>
              <w:rPr>
                <w:rFonts w:ascii="宋体"/>
                <w:b/>
                <w:kern w:val="0"/>
              </w:rPr>
            </w:pPr>
          </w:p>
        </w:tc>
        <w:tc>
          <w:tcPr>
            <w:tcW w:w="1559" w:type="dxa"/>
            <w:tcBorders>
              <w:bottom w:val="single" w:color="000000" w:sz="4" w:space="0"/>
            </w:tcBorders>
            <w:vAlign w:val="center"/>
          </w:tcPr>
          <w:p w14:paraId="7EB18C46">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743CCFC0">
            <w:pPr>
              <w:spacing w:line="240" w:lineRule="exact"/>
              <w:jc w:val="center"/>
              <w:rPr>
                <w:rFonts w:ascii="宋体"/>
                <w:b/>
                <w:kern w:val="0"/>
              </w:rPr>
            </w:pPr>
            <w:r>
              <w:rPr>
                <w:rFonts w:hint="eastAsia" w:ascii="宋体"/>
                <w:b/>
                <w:kern w:val="0"/>
              </w:rPr>
              <w:t>处罚依据</w:t>
            </w:r>
          </w:p>
        </w:tc>
        <w:tc>
          <w:tcPr>
            <w:tcW w:w="1276" w:type="dxa"/>
            <w:vMerge w:val="continue"/>
            <w:tcBorders>
              <w:bottom w:val="single" w:color="000000" w:sz="4" w:space="0"/>
            </w:tcBorders>
            <w:vAlign w:val="center"/>
          </w:tcPr>
          <w:p w14:paraId="74AB2E23">
            <w:pPr>
              <w:spacing w:line="240" w:lineRule="exact"/>
              <w:jc w:val="left"/>
              <w:rPr>
                <w:rFonts w:ascii="宋体"/>
                <w:b/>
                <w:kern w:val="0"/>
              </w:rPr>
            </w:pPr>
          </w:p>
        </w:tc>
        <w:tc>
          <w:tcPr>
            <w:tcW w:w="4394" w:type="dxa"/>
            <w:vMerge w:val="continue"/>
            <w:tcBorders>
              <w:bottom w:val="single" w:color="000000" w:sz="4" w:space="0"/>
            </w:tcBorders>
            <w:vAlign w:val="center"/>
          </w:tcPr>
          <w:p w14:paraId="73CC8A1C">
            <w:pPr>
              <w:spacing w:line="240" w:lineRule="exact"/>
              <w:jc w:val="left"/>
              <w:rPr>
                <w:rFonts w:ascii="宋体"/>
                <w:b/>
                <w:kern w:val="0"/>
              </w:rPr>
            </w:pPr>
          </w:p>
        </w:tc>
        <w:tc>
          <w:tcPr>
            <w:tcW w:w="4678" w:type="dxa"/>
            <w:tcBorders>
              <w:top w:val="single" w:color="auto" w:sz="4" w:space="0"/>
              <w:right w:val="single" w:color="auto" w:sz="4" w:space="0"/>
            </w:tcBorders>
            <w:vAlign w:val="center"/>
          </w:tcPr>
          <w:p w14:paraId="6865A033">
            <w:pPr>
              <w:spacing w:line="240" w:lineRule="exact"/>
              <w:jc w:val="center"/>
              <w:rPr>
                <w:rFonts w:ascii="宋体"/>
                <w:b/>
                <w:kern w:val="0"/>
              </w:rPr>
            </w:pPr>
            <w:r>
              <w:rPr>
                <w:rFonts w:hint="eastAsia" w:ascii="宋体"/>
                <w:b/>
                <w:kern w:val="0"/>
              </w:rPr>
              <w:t>【对象】对船舶、有关作业单位</w:t>
            </w:r>
          </w:p>
        </w:tc>
        <w:tc>
          <w:tcPr>
            <w:tcW w:w="4961" w:type="dxa"/>
            <w:tcBorders>
              <w:top w:val="single" w:color="auto" w:sz="4" w:space="0"/>
              <w:right w:val="single" w:color="auto" w:sz="4" w:space="0"/>
            </w:tcBorders>
            <w:vAlign w:val="center"/>
          </w:tcPr>
          <w:p w14:paraId="279B8F82">
            <w:pPr>
              <w:spacing w:line="240" w:lineRule="exact"/>
              <w:jc w:val="center"/>
              <w:rPr>
                <w:rFonts w:ascii="宋体"/>
                <w:b/>
                <w:kern w:val="0"/>
              </w:rPr>
            </w:pPr>
            <w:r>
              <w:rPr>
                <w:rFonts w:hint="eastAsia" w:ascii="宋体"/>
                <w:b/>
                <w:kern w:val="0"/>
              </w:rPr>
              <w:t>【对象】直接负责的主管人员和其他直接责任人员</w:t>
            </w:r>
          </w:p>
        </w:tc>
      </w:tr>
      <w:tr w14:paraId="5CA9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4" w:hRule="atLeast"/>
        </w:trPr>
        <w:tc>
          <w:tcPr>
            <w:tcW w:w="1333" w:type="dxa"/>
            <w:vMerge w:val="restart"/>
            <w:vAlign w:val="center"/>
          </w:tcPr>
          <w:p w14:paraId="6FC88609">
            <w:pPr>
              <w:widowControl/>
              <w:spacing w:line="240" w:lineRule="exact"/>
              <w:jc w:val="left"/>
              <w:rPr>
                <w:rFonts w:ascii="宋体"/>
                <w:kern w:val="0"/>
              </w:rPr>
            </w:pPr>
            <w:r>
              <w:rPr>
                <w:rFonts w:hint="eastAsia" w:ascii="宋体"/>
                <w:kern w:val="0"/>
              </w:rPr>
              <w:t>发生船舶污染事故，船舶、有关作业单位未立即启动应急预案的</w:t>
            </w:r>
          </w:p>
        </w:tc>
        <w:tc>
          <w:tcPr>
            <w:tcW w:w="1559" w:type="dxa"/>
            <w:vMerge w:val="restart"/>
            <w:vAlign w:val="center"/>
          </w:tcPr>
          <w:p w14:paraId="1CF55998">
            <w:pPr>
              <w:widowControl/>
              <w:spacing w:line="240" w:lineRule="exact"/>
              <w:rPr>
                <w:rFonts w:ascii="宋体"/>
              </w:rPr>
            </w:pPr>
            <w:r>
              <w:rPr>
                <w:rFonts w:hint="eastAsia" w:ascii="宋体"/>
                <w:kern w:val="0"/>
              </w:rPr>
              <w:t>1.《防治船舶污染海洋环境管理条例》第三十六条第一款。</w:t>
            </w:r>
          </w:p>
        </w:tc>
        <w:tc>
          <w:tcPr>
            <w:tcW w:w="1701" w:type="dxa"/>
            <w:vMerge w:val="restart"/>
            <w:vAlign w:val="center"/>
          </w:tcPr>
          <w:p w14:paraId="604202BA">
            <w:pPr>
              <w:spacing w:line="240" w:lineRule="exact"/>
              <w:jc w:val="left"/>
              <w:rPr>
                <w:rFonts w:ascii="宋体"/>
                <w:kern w:val="0"/>
              </w:rPr>
            </w:pPr>
            <w:r>
              <w:rPr>
                <w:rFonts w:hint="eastAsia" w:ascii="宋体"/>
                <w:kern w:val="0"/>
              </w:rPr>
              <w:t>1.《防治船舶污染海洋环境管理条例》第六十七条。</w:t>
            </w:r>
          </w:p>
          <w:p w14:paraId="6BD7B8A6">
            <w:pPr>
              <w:spacing w:line="240" w:lineRule="exact"/>
              <w:jc w:val="left"/>
              <w:rPr>
                <w:rFonts w:ascii="宋体"/>
                <w:kern w:val="0"/>
              </w:rPr>
            </w:pPr>
            <w:r>
              <w:rPr>
                <w:rFonts w:hint="eastAsia" w:ascii="宋体"/>
                <w:kern w:val="0"/>
              </w:rPr>
              <w:t>2. 《中华人民共和国海上海事行政处罚规定》第七条。</w:t>
            </w:r>
          </w:p>
        </w:tc>
        <w:tc>
          <w:tcPr>
            <w:tcW w:w="1276" w:type="dxa"/>
            <w:vAlign w:val="center"/>
          </w:tcPr>
          <w:p w14:paraId="11D2DF8A">
            <w:pPr>
              <w:spacing w:line="240" w:lineRule="exact"/>
              <w:jc w:val="center"/>
              <w:rPr>
                <w:rFonts w:ascii="宋体"/>
                <w:kern w:val="0"/>
              </w:rPr>
            </w:pPr>
            <w:r>
              <w:rPr>
                <w:rFonts w:hint="eastAsia" w:ascii="宋体"/>
                <w:kern w:val="0"/>
              </w:rPr>
              <w:t>从轻</w:t>
            </w:r>
          </w:p>
        </w:tc>
        <w:tc>
          <w:tcPr>
            <w:tcW w:w="4394" w:type="dxa"/>
            <w:vAlign w:val="center"/>
          </w:tcPr>
          <w:p w14:paraId="382F77C5">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4678" w:type="dxa"/>
            <w:tcBorders>
              <w:right w:val="single" w:color="auto" w:sz="4" w:space="0"/>
            </w:tcBorders>
            <w:vAlign w:val="center"/>
          </w:tcPr>
          <w:p w14:paraId="5E207066">
            <w:pPr>
              <w:spacing w:line="240" w:lineRule="exact"/>
              <w:jc w:val="center"/>
              <w:rPr>
                <w:rFonts w:ascii="宋体"/>
                <w:kern w:val="0"/>
              </w:rPr>
            </w:pPr>
            <w:r>
              <w:rPr>
                <w:rFonts w:hint="eastAsia" w:ascii="宋体"/>
                <w:kern w:val="0"/>
              </w:rPr>
              <w:t>2-3万元</w:t>
            </w:r>
          </w:p>
        </w:tc>
        <w:tc>
          <w:tcPr>
            <w:tcW w:w="4961" w:type="dxa"/>
            <w:tcBorders>
              <w:right w:val="single" w:color="auto" w:sz="4" w:space="0"/>
            </w:tcBorders>
            <w:vAlign w:val="center"/>
          </w:tcPr>
          <w:p w14:paraId="3CE57B55">
            <w:pPr>
              <w:spacing w:line="240" w:lineRule="exact"/>
              <w:jc w:val="left"/>
              <w:rPr>
                <w:rFonts w:ascii="宋体"/>
                <w:kern w:val="0"/>
              </w:rPr>
            </w:pPr>
            <w:r>
              <w:rPr>
                <w:rFonts w:hint="eastAsia" w:ascii="宋体"/>
                <w:kern w:val="0"/>
              </w:rPr>
              <w:t>直接负责的主管人员罚款1万元，属于船员的，扣证1个月；其他直接责任人员罚款1万元，属于船员的，扣证1个月</w:t>
            </w:r>
          </w:p>
        </w:tc>
      </w:tr>
      <w:tr w14:paraId="58D8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93" w:hRule="atLeast"/>
        </w:trPr>
        <w:tc>
          <w:tcPr>
            <w:tcW w:w="1333" w:type="dxa"/>
            <w:vMerge w:val="continue"/>
            <w:vAlign w:val="center"/>
          </w:tcPr>
          <w:p w14:paraId="40838710">
            <w:pPr>
              <w:spacing w:line="240" w:lineRule="exact"/>
              <w:jc w:val="left"/>
              <w:rPr>
                <w:rFonts w:ascii="宋体"/>
                <w:kern w:val="0"/>
              </w:rPr>
            </w:pPr>
          </w:p>
        </w:tc>
        <w:tc>
          <w:tcPr>
            <w:tcW w:w="1559" w:type="dxa"/>
            <w:vMerge w:val="continue"/>
            <w:vAlign w:val="center"/>
          </w:tcPr>
          <w:p w14:paraId="0790C138">
            <w:pPr>
              <w:widowControl/>
              <w:spacing w:line="240" w:lineRule="exact"/>
              <w:jc w:val="left"/>
              <w:rPr>
                <w:rFonts w:ascii="宋体"/>
                <w:kern w:val="0"/>
              </w:rPr>
            </w:pPr>
          </w:p>
        </w:tc>
        <w:tc>
          <w:tcPr>
            <w:tcW w:w="1701" w:type="dxa"/>
            <w:vMerge w:val="continue"/>
            <w:vAlign w:val="center"/>
          </w:tcPr>
          <w:p w14:paraId="5C8FE56F">
            <w:pPr>
              <w:spacing w:line="240" w:lineRule="exact"/>
              <w:jc w:val="left"/>
              <w:rPr>
                <w:rFonts w:ascii="宋体"/>
                <w:kern w:val="0"/>
              </w:rPr>
            </w:pPr>
          </w:p>
        </w:tc>
        <w:tc>
          <w:tcPr>
            <w:tcW w:w="1276" w:type="dxa"/>
            <w:vMerge w:val="restart"/>
            <w:vAlign w:val="center"/>
          </w:tcPr>
          <w:p w14:paraId="4B65B144">
            <w:pPr>
              <w:spacing w:line="240" w:lineRule="exact"/>
              <w:jc w:val="center"/>
              <w:rPr>
                <w:rFonts w:ascii="宋体"/>
                <w:kern w:val="0"/>
              </w:rPr>
            </w:pPr>
            <w:r>
              <w:rPr>
                <w:rFonts w:hint="eastAsia" w:ascii="宋体"/>
                <w:kern w:val="0"/>
              </w:rPr>
              <w:t>一般</w:t>
            </w:r>
          </w:p>
        </w:tc>
        <w:tc>
          <w:tcPr>
            <w:tcW w:w="4394" w:type="dxa"/>
            <w:vAlign w:val="center"/>
          </w:tcPr>
          <w:p w14:paraId="4751F375">
            <w:pPr>
              <w:widowControl/>
              <w:spacing w:line="240" w:lineRule="exact"/>
              <w:jc w:val="left"/>
              <w:rPr>
                <w:rFonts w:ascii="宋体"/>
                <w:kern w:val="0"/>
              </w:rPr>
            </w:pPr>
            <w:r>
              <w:rPr>
                <w:rFonts w:hint="eastAsia" w:ascii="宋体"/>
                <w:kern w:val="0"/>
              </w:rPr>
              <w:t>发生一般船舶污染事故未立即启动应急预案但未导致污染后果进一步扩大的</w:t>
            </w:r>
          </w:p>
        </w:tc>
        <w:tc>
          <w:tcPr>
            <w:tcW w:w="4678" w:type="dxa"/>
            <w:tcBorders>
              <w:right w:val="single" w:color="auto" w:sz="4" w:space="0"/>
            </w:tcBorders>
            <w:vAlign w:val="center"/>
          </w:tcPr>
          <w:p w14:paraId="62F9310E">
            <w:pPr>
              <w:spacing w:line="240" w:lineRule="exact"/>
              <w:jc w:val="center"/>
              <w:rPr>
                <w:rFonts w:ascii="宋体"/>
                <w:kern w:val="0"/>
              </w:rPr>
            </w:pPr>
            <w:r>
              <w:rPr>
                <w:rFonts w:hint="eastAsia" w:ascii="宋体"/>
                <w:kern w:val="0"/>
              </w:rPr>
              <w:t>3-4万元</w:t>
            </w:r>
          </w:p>
        </w:tc>
        <w:tc>
          <w:tcPr>
            <w:tcW w:w="4961" w:type="dxa"/>
            <w:tcBorders>
              <w:right w:val="single" w:color="auto" w:sz="4" w:space="0"/>
            </w:tcBorders>
            <w:vAlign w:val="center"/>
          </w:tcPr>
          <w:p w14:paraId="721E86AB">
            <w:pPr>
              <w:spacing w:line="240" w:lineRule="exact"/>
              <w:jc w:val="left"/>
              <w:rPr>
                <w:rFonts w:ascii="宋体"/>
                <w:kern w:val="0"/>
              </w:rPr>
            </w:pPr>
            <w:r>
              <w:rPr>
                <w:rFonts w:hint="eastAsia" w:ascii="宋体"/>
                <w:kern w:val="0"/>
              </w:rPr>
              <w:t>直接负责的主管人员罚款1万元，属于船员的，扣证2个月；其他直接责任人员罚款1万元，属于船员的，扣证1个月</w:t>
            </w:r>
          </w:p>
        </w:tc>
      </w:tr>
      <w:tr w14:paraId="5E0A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80" w:hRule="atLeast"/>
        </w:trPr>
        <w:tc>
          <w:tcPr>
            <w:tcW w:w="1333" w:type="dxa"/>
            <w:vMerge w:val="continue"/>
            <w:vAlign w:val="center"/>
          </w:tcPr>
          <w:p w14:paraId="7B991352">
            <w:pPr>
              <w:spacing w:line="240" w:lineRule="exact"/>
              <w:jc w:val="left"/>
              <w:rPr>
                <w:rFonts w:ascii="宋体"/>
                <w:kern w:val="0"/>
              </w:rPr>
            </w:pPr>
          </w:p>
        </w:tc>
        <w:tc>
          <w:tcPr>
            <w:tcW w:w="1559" w:type="dxa"/>
            <w:vMerge w:val="continue"/>
            <w:vAlign w:val="center"/>
          </w:tcPr>
          <w:p w14:paraId="664C4C94">
            <w:pPr>
              <w:widowControl/>
              <w:spacing w:line="240" w:lineRule="exact"/>
              <w:jc w:val="left"/>
              <w:rPr>
                <w:rFonts w:ascii="宋体"/>
                <w:kern w:val="0"/>
              </w:rPr>
            </w:pPr>
          </w:p>
        </w:tc>
        <w:tc>
          <w:tcPr>
            <w:tcW w:w="1701" w:type="dxa"/>
            <w:vMerge w:val="continue"/>
            <w:vAlign w:val="center"/>
          </w:tcPr>
          <w:p w14:paraId="33F1A096">
            <w:pPr>
              <w:spacing w:line="240" w:lineRule="exact"/>
              <w:jc w:val="left"/>
              <w:rPr>
                <w:rFonts w:ascii="宋体"/>
                <w:kern w:val="0"/>
              </w:rPr>
            </w:pPr>
          </w:p>
        </w:tc>
        <w:tc>
          <w:tcPr>
            <w:tcW w:w="1276" w:type="dxa"/>
            <w:vMerge w:val="continue"/>
            <w:vAlign w:val="center"/>
          </w:tcPr>
          <w:p w14:paraId="5B2DB9FD">
            <w:pPr>
              <w:spacing w:line="240" w:lineRule="exact"/>
              <w:jc w:val="center"/>
              <w:rPr>
                <w:rFonts w:ascii="宋体"/>
                <w:kern w:val="0"/>
              </w:rPr>
            </w:pPr>
          </w:p>
        </w:tc>
        <w:tc>
          <w:tcPr>
            <w:tcW w:w="4394" w:type="dxa"/>
            <w:vAlign w:val="center"/>
          </w:tcPr>
          <w:p w14:paraId="42CAF9D6">
            <w:pPr>
              <w:widowControl/>
              <w:spacing w:line="240" w:lineRule="exact"/>
              <w:jc w:val="left"/>
              <w:rPr>
                <w:rFonts w:ascii="宋体"/>
                <w:kern w:val="0"/>
              </w:rPr>
            </w:pPr>
            <w:r>
              <w:rPr>
                <w:rFonts w:hint="eastAsia" w:ascii="宋体"/>
                <w:kern w:val="0"/>
              </w:rPr>
              <w:t>发生较大船舶污染事故未立即启动应急预案但未导致污染后果进一步扩大的</w:t>
            </w:r>
          </w:p>
        </w:tc>
        <w:tc>
          <w:tcPr>
            <w:tcW w:w="4678" w:type="dxa"/>
            <w:tcBorders>
              <w:right w:val="single" w:color="auto" w:sz="4" w:space="0"/>
            </w:tcBorders>
            <w:vAlign w:val="center"/>
          </w:tcPr>
          <w:p w14:paraId="10CABAB7">
            <w:pPr>
              <w:spacing w:line="240" w:lineRule="exact"/>
              <w:jc w:val="center"/>
              <w:rPr>
                <w:rFonts w:ascii="宋体"/>
                <w:kern w:val="0"/>
              </w:rPr>
            </w:pPr>
            <w:r>
              <w:rPr>
                <w:rFonts w:hint="eastAsia" w:ascii="宋体"/>
                <w:kern w:val="0"/>
              </w:rPr>
              <w:t>4-5万元</w:t>
            </w:r>
          </w:p>
        </w:tc>
        <w:tc>
          <w:tcPr>
            <w:tcW w:w="4961" w:type="dxa"/>
            <w:tcBorders>
              <w:right w:val="single" w:color="auto" w:sz="4" w:space="0"/>
            </w:tcBorders>
            <w:vAlign w:val="center"/>
          </w:tcPr>
          <w:p w14:paraId="3D8A7770">
            <w:pPr>
              <w:spacing w:line="240" w:lineRule="exact"/>
              <w:jc w:val="left"/>
              <w:rPr>
                <w:rFonts w:ascii="宋体"/>
                <w:kern w:val="0"/>
              </w:rPr>
            </w:pPr>
            <w:r>
              <w:rPr>
                <w:rFonts w:hint="eastAsia" w:ascii="宋体"/>
                <w:kern w:val="0"/>
              </w:rPr>
              <w:t>直接负责的主管人员罚款1.5万元，属于船员的，扣证2个月；其他直接责任人员罚款1万元，属于船员的，扣证1个月</w:t>
            </w:r>
          </w:p>
        </w:tc>
      </w:tr>
      <w:tr w14:paraId="5119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1" w:hRule="atLeast"/>
        </w:trPr>
        <w:tc>
          <w:tcPr>
            <w:tcW w:w="1333" w:type="dxa"/>
            <w:vMerge w:val="continue"/>
            <w:vAlign w:val="center"/>
          </w:tcPr>
          <w:p w14:paraId="3A06D5D7">
            <w:pPr>
              <w:spacing w:line="240" w:lineRule="exact"/>
              <w:jc w:val="left"/>
              <w:rPr>
                <w:rFonts w:ascii="宋体"/>
                <w:kern w:val="0"/>
              </w:rPr>
            </w:pPr>
          </w:p>
        </w:tc>
        <w:tc>
          <w:tcPr>
            <w:tcW w:w="1559" w:type="dxa"/>
            <w:vMerge w:val="continue"/>
            <w:vAlign w:val="center"/>
          </w:tcPr>
          <w:p w14:paraId="3D050643">
            <w:pPr>
              <w:spacing w:line="240" w:lineRule="exact"/>
              <w:jc w:val="left"/>
              <w:rPr>
                <w:rFonts w:ascii="宋体"/>
                <w:kern w:val="0"/>
              </w:rPr>
            </w:pPr>
          </w:p>
        </w:tc>
        <w:tc>
          <w:tcPr>
            <w:tcW w:w="1701" w:type="dxa"/>
            <w:vMerge w:val="continue"/>
            <w:vAlign w:val="center"/>
          </w:tcPr>
          <w:p w14:paraId="4EE36211">
            <w:pPr>
              <w:spacing w:line="240" w:lineRule="exact"/>
              <w:jc w:val="left"/>
              <w:rPr>
                <w:rFonts w:ascii="宋体"/>
                <w:kern w:val="0"/>
              </w:rPr>
            </w:pPr>
          </w:p>
        </w:tc>
        <w:tc>
          <w:tcPr>
            <w:tcW w:w="1276" w:type="dxa"/>
            <w:vMerge w:val="continue"/>
            <w:vAlign w:val="center"/>
          </w:tcPr>
          <w:p w14:paraId="3DAE0A00">
            <w:pPr>
              <w:spacing w:line="240" w:lineRule="exact"/>
              <w:jc w:val="center"/>
              <w:rPr>
                <w:rFonts w:ascii="宋体"/>
                <w:kern w:val="0"/>
              </w:rPr>
            </w:pPr>
          </w:p>
        </w:tc>
        <w:tc>
          <w:tcPr>
            <w:tcW w:w="4394" w:type="dxa"/>
            <w:tcBorders>
              <w:top w:val="single" w:color="auto" w:sz="4" w:space="0"/>
              <w:bottom w:val="single" w:color="auto" w:sz="4" w:space="0"/>
            </w:tcBorders>
            <w:vAlign w:val="center"/>
          </w:tcPr>
          <w:p w14:paraId="262BA2B6">
            <w:pPr>
              <w:widowControl/>
              <w:spacing w:line="240" w:lineRule="exact"/>
              <w:jc w:val="left"/>
              <w:rPr>
                <w:rFonts w:ascii="宋体"/>
              </w:rPr>
            </w:pPr>
            <w:r>
              <w:rPr>
                <w:rFonts w:hint="eastAsia" w:ascii="宋体"/>
                <w:kern w:val="0"/>
              </w:rPr>
              <w:t>发生重大船舶污染事故未立即启动应急预案但未导致污染后果进一步扩大的</w:t>
            </w:r>
          </w:p>
        </w:tc>
        <w:tc>
          <w:tcPr>
            <w:tcW w:w="4678" w:type="dxa"/>
            <w:tcBorders>
              <w:top w:val="single" w:color="auto" w:sz="4" w:space="0"/>
              <w:right w:val="single" w:color="auto" w:sz="4" w:space="0"/>
            </w:tcBorders>
            <w:vAlign w:val="center"/>
          </w:tcPr>
          <w:p w14:paraId="0A20253A">
            <w:pPr>
              <w:spacing w:line="240" w:lineRule="exact"/>
              <w:jc w:val="center"/>
              <w:rPr>
                <w:rFonts w:ascii="宋体"/>
                <w:kern w:val="0"/>
              </w:rPr>
            </w:pPr>
            <w:r>
              <w:rPr>
                <w:rFonts w:hint="eastAsia" w:ascii="宋体"/>
                <w:kern w:val="0"/>
              </w:rPr>
              <w:t>5-6万元</w:t>
            </w:r>
          </w:p>
        </w:tc>
        <w:tc>
          <w:tcPr>
            <w:tcW w:w="4961" w:type="dxa"/>
            <w:tcBorders>
              <w:top w:val="single" w:color="auto" w:sz="4" w:space="0"/>
              <w:right w:val="single" w:color="auto" w:sz="4" w:space="0"/>
            </w:tcBorders>
            <w:vAlign w:val="center"/>
          </w:tcPr>
          <w:p w14:paraId="63A1C6A0">
            <w:pPr>
              <w:spacing w:line="240" w:lineRule="exact"/>
              <w:jc w:val="left"/>
              <w:rPr>
                <w:rFonts w:ascii="宋体"/>
                <w:kern w:val="0"/>
              </w:rPr>
            </w:pPr>
            <w:r>
              <w:rPr>
                <w:rFonts w:hint="eastAsia" w:ascii="宋体"/>
                <w:kern w:val="0"/>
              </w:rPr>
              <w:t>直接负责的主管人员罚款2万元，属于船员的，扣证2个月；其他直接责任人员罚款1.5万元，属于船员的，扣证2个月</w:t>
            </w:r>
          </w:p>
        </w:tc>
      </w:tr>
      <w:tr w14:paraId="65F8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45" w:hRule="atLeast"/>
        </w:trPr>
        <w:tc>
          <w:tcPr>
            <w:tcW w:w="1333" w:type="dxa"/>
            <w:vMerge w:val="continue"/>
            <w:vAlign w:val="center"/>
          </w:tcPr>
          <w:p w14:paraId="10C88E0C">
            <w:pPr>
              <w:spacing w:line="240" w:lineRule="exact"/>
              <w:jc w:val="left"/>
              <w:rPr>
                <w:rFonts w:ascii="宋体"/>
                <w:kern w:val="0"/>
              </w:rPr>
            </w:pPr>
          </w:p>
        </w:tc>
        <w:tc>
          <w:tcPr>
            <w:tcW w:w="1559" w:type="dxa"/>
            <w:vMerge w:val="continue"/>
            <w:vAlign w:val="center"/>
          </w:tcPr>
          <w:p w14:paraId="5409C19D">
            <w:pPr>
              <w:spacing w:line="240" w:lineRule="exact"/>
              <w:jc w:val="left"/>
              <w:rPr>
                <w:rFonts w:ascii="宋体"/>
                <w:kern w:val="0"/>
              </w:rPr>
            </w:pPr>
          </w:p>
        </w:tc>
        <w:tc>
          <w:tcPr>
            <w:tcW w:w="1701" w:type="dxa"/>
            <w:vMerge w:val="continue"/>
            <w:vAlign w:val="center"/>
          </w:tcPr>
          <w:p w14:paraId="0495BD48">
            <w:pPr>
              <w:spacing w:line="240" w:lineRule="exact"/>
              <w:jc w:val="left"/>
              <w:rPr>
                <w:rFonts w:ascii="宋体"/>
                <w:kern w:val="0"/>
              </w:rPr>
            </w:pPr>
          </w:p>
        </w:tc>
        <w:tc>
          <w:tcPr>
            <w:tcW w:w="1276" w:type="dxa"/>
            <w:vMerge w:val="continue"/>
            <w:vAlign w:val="center"/>
          </w:tcPr>
          <w:p w14:paraId="492B862A">
            <w:pPr>
              <w:spacing w:line="240" w:lineRule="exact"/>
              <w:jc w:val="left"/>
              <w:rPr>
                <w:rFonts w:ascii="宋体"/>
                <w:kern w:val="0"/>
              </w:rPr>
            </w:pPr>
          </w:p>
        </w:tc>
        <w:tc>
          <w:tcPr>
            <w:tcW w:w="4394" w:type="dxa"/>
            <w:tcBorders>
              <w:top w:val="single" w:color="auto" w:sz="4" w:space="0"/>
              <w:bottom w:val="single" w:color="auto" w:sz="4" w:space="0"/>
            </w:tcBorders>
            <w:vAlign w:val="center"/>
          </w:tcPr>
          <w:p w14:paraId="15722804">
            <w:pPr>
              <w:widowControl/>
              <w:spacing w:line="240" w:lineRule="exact"/>
              <w:jc w:val="left"/>
              <w:rPr>
                <w:rFonts w:ascii="宋体"/>
                <w:kern w:val="0"/>
              </w:rPr>
            </w:pPr>
            <w:r>
              <w:rPr>
                <w:rFonts w:hint="eastAsia" w:ascii="宋体"/>
                <w:kern w:val="0"/>
              </w:rPr>
              <w:t>发生特别重大船舶污染事故未立即启动应急预案</w:t>
            </w:r>
          </w:p>
        </w:tc>
        <w:tc>
          <w:tcPr>
            <w:tcW w:w="4678" w:type="dxa"/>
            <w:tcBorders>
              <w:right w:val="single" w:color="auto" w:sz="4" w:space="0"/>
            </w:tcBorders>
            <w:vAlign w:val="center"/>
          </w:tcPr>
          <w:p w14:paraId="6FA76695">
            <w:pPr>
              <w:spacing w:line="240" w:lineRule="exact"/>
              <w:jc w:val="center"/>
              <w:rPr>
                <w:rFonts w:ascii="宋体"/>
                <w:kern w:val="0"/>
              </w:rPr>
            </w:pPr>
            <w:r>
              <w:rPr>
                <w:rFonts w:hint="eastAsia" w:ascii="宋体"/>
                <w:kern w:val="0"/>
              </w:rPr>
              <w:t>6-7万元</w:t>
            </w:r>
          </w:p>
        </w:tc>
        <w:tc>
          <w:tcPr>
            <w:tcW w:w="4961" w:type="dxa"/>
            <w:vMerge w:val="restart"/>
            <w:tcBorders>
              <w:right w:val="single" w:color="auto" w:sz="4" w:space="0"/>
            </w:tcBorders>
            <w:vAlign w:val="center"/>
          </w:tcPr>
          <w:p w14:paraId="547B6C13">
            <w:pPr>
              <w:spacing w:line="240" w:lineRule="exact"/>
              <w:jc w:val="left"/>
              <w:rPr>
                <w:rFonts w:ascii="宋体"/>
                <w:kern w:val="0"/>
              </w:rPr>
            </w:pPr>
            <w:r>
              <w:rPr>
                <w:rFonts w:hint="eastAsia" w:ascii="宋体"/>
                <w:kern w:val="0"/>
              </w:rPr>
              <w:t>直接负责的主管人员罚款2万元，属于船员的，扣证3个月；其他直接责任人员罚款2万元，属于船员的，扣证3个月</w:t>
            </w:r>
          </w:p>
        </w:tc>
      </w:tr>
      <w:tr w14:paraId="5ACF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9" w:hRule="atLeast"/>
        </w:trPr>
        <w:tc>
          <w:tcPr>
            <w:tcW w:w="1333" w:type="dxa"/>
            <w:vMerge w:val="continue"/>
            <w:vAlign w:val="center"/>
          </w:tcPr>
          <w:p w14:paraId="1D525F50">
            <w:pPr>
              <w:spacing w:line="240" w:lineRule="exact"/>
              <w:jc w:val="left"/>
              <w:rPr>
                <w:rFonts w:ascii="宋体"/>
                <w:kern w:val="0"/>
              </w:rPr>
            </w:pPr>
          </w:p>
        </w:tc>
        <w:tc>
          <w:tcPr>
            <w:tcW w:w="1559" w:type="dxa"/>
            <w:vMerge w:val="continue"/>
            <w:vAlign w:val="center"/>
          </w:tcPr>
          <w:p w14:paraId="75D3104C">
            <w:pPr>
              <w:spacing w:line="240" w:lineRule="exact"/>
              <w:jc w:val="left"/>
              <w:rPr>
                <w:rFonts w:ascii="宋体"/>
                <w:kern w:val="0"/>
              </w:rPr>
            </w:pPr>
          </w:p>
        </w:tc>
        <w:tc>
          <w:tcPr>
            <w:tcW w:w="1701" w:type="dxa"/>
            <w:vMerge w:val="continue"/>
            <w:vAlign w:val="center"/>
          </w:tcPr>
          <w:p w14:paraId="6A6E45BD">
            <w:pPr>
              <w:spacing w:line="240" w:lineRule="exact"/>
              <w:jc w:val="left"/>
              <w:rPr>
                <w:rFonts w:ascii="宋体"/>
                <w:kern w:val="0"/>
              </w:rPr>
            </w:pPr>
          </w:p>
        </w:tc>
        <w:tc>
          <w:tcPr>
            <w:tcW w:w="1276" w:type="dxa"/>
            <w:vMerge w:val="continue"/>
            <w:vAlign w:val="center"/>
          </w:tcPr>
          <w:p w14:paraId="639BF8CE">
            <w:pPr>
              <w:spacing w:line="240" w:lineRule="exact"/>
              <w:jc w:val="left"/>
              <w:rPr>
                <w:rFonts w:ascii="宋体"/>
                <w:kern w:val="0"/>
              </w:rPr>
            </w:pPr>
          </w:p>
        </w:tc>
        <w:tc>
          <w:tcPr>
            <w:tcW w:w="4394" w:type="dxa"/>
            <w:tcBorders>
              <w:top w:val="single" w:color="auto" w:sz="4" w:space="0"/>
              <w:bottom w:val="single" w:color="auto" w:sz="4" w:space="0"/>
            </w:tcBorders>
            <w:vAlign w:val="center"/>
          </w:tcPr>
          <w:p w14:paraId="61D72C2E">
            <w:pPr>
              <w:widowControl/>
              <w:spacing w:line="240" w:lineRule="exact"/>
              <w:jc w:val="left"/>
              <w:rPr>
                <w:rFonts w:ascii="宋体"/>
                <w:kern w:val="0"/>
              </w:rPr>
            </w:pPr>
            <w:r>
              <w:rPr>
                <w:rFonts w:hint="eastAsia" w:ascii="宋体"/>
                <w:kern w:val="0"/>
              </w:rPr>
              <w:t>未立即启动应急预案造成污染后果进一步扩大果的</w:t>
            </w:r>
          </w:p>
        </w:tc>
        <w:tc>
          <w:tcPr>
            <w:tcW w:w="4678" w:type="dxa"/>
            <w:tcBorders>
              <w:right w:val="single" w:color="auto" w:sz="4" w:space="0"/>
            </w:tcBorders>
            <w:vAlign w:val="center"/>
          </w:tcPr>
          <w:p w14:paraId="277A57B4">
            <w:pPr>
              <w:spacing w:line="240" w:lineRule="exact"/>
              <w:jc w:val="center"/>
              <w:rPr>
                <w:rFonts w:ascii="宋体"/>
                <w:kern w:val="0"/>
              </w:rPr>
            </w:pPr>
            <w:r>
              <w:rPr>
                <w:rFonts w:hint="eastAsia" w:ascii="宋体"/>
                <w:kern w:val="0"/>
              </w:rPr>
              <w:t>7-10万元</w:t>
            </w:r>
          </w:p>
        </w:tc>
        <w:tc>
          <w:tcPr>
            <w:tcW w:w="4961" w:type="dxa"/>
            <w:vMerge w:val="continue"/>
            <w:tcBorders>
              <w:right w:val="single" w:color="auto" w:sz="4" w:space="0"/>
            </w:tcBorders>
            <w:vAlign w:val="center"/>
          </w:tcPr>
          <w:p w14:paraId="41FA8128">
            <w:pPr>
              <w:spacing w:line="240" w:lineRule="exact"/>
              <w:jc w:val="center"/>
              <w:rPr>
                <w:rFonts w:ascii="宋体"/>
                <w:kern w:val="0"/>
              </w:rPr>
            </w:pPr>
          </w:p>
        </w:tc>
      </w:tr>
      <w:tr w14:paraId="76E3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39" w:hRule="atLeast"/>
        </w:trPr>
        <w:tc>
          <w:tcPr>
            <w:tcW w:w="1333" w:type="dxa"/>
            <w:vMerge w:val="continue"/>
            <w:vAlign w:val="center"/>
          </w:tcPr>
          <w:p w14:paraId="6964C3FD">
            <w:pPr>
              <w:spacing w:line="240" w:lineRule="exact"/>
              <w:jc w:val="left"/>
              <w:rPr>
                <w:rFonts w:ascii="宋体"/>
                <w:kern w:val="0"/>
              </w:rPr>
            </w:pPr>
          </w:p>
        </w:tc>
        <w:tc>
          <w:tcPr>
            <w:tcW w:w="1559" w:type="dxa"/>
            <w:vMerge w:val="continue"/>
            <w:vAlign w:val="center"/>
          </w:tcPr>
          <w:p w14:paraId="6235D359">
            <w:pPr>
              <w:spacing w:line="240" w:lineRule="exact"/>
              <w:jc w:val="left"/>
              <w:rPr>
                <w:rFonts w:ascii="宋体"/>
                <w:kern w:val="0"/>
              </w:rPr>
            </w:pPr>
          </w:p>
        </w:tc>
        <w:tc>
          <w:tcPr>
            <w:tcW w:w="1701" w:type="dxa"/>
            <w:vMerge w:val="continue"/>
            <w:vAlign w:val="center"/>
          </w:tcPr>
          <w:p w14:paraId="25968222">
            <w:pPr>
              <w:spacing w:line="240" w:lineRule="exact"/>
              <w:jc w:val="left"/>
              <w:rPr>
                <w:rFonts w:ascii="宋体"/>
                <w:kern w:val="0"/>
              </w:rPr>
            </w:pPr>
          </w:p>
        </w:tc>
        <w:tc>
          <w:tcPr>
            <w:tcW w:w="1276" w:type="dxa"/>
            <w:vMerge w:val="continue"/>
            <w:vAlign w:val="center"/>
          </w:tcPr>
          <w:p w14:paraId="138D9B6F">
            <w:pPr>
              <w:spacing w:line="240" w:lineRule="exact"/>
              <w:jc w:val="left"/>
              <w:rPr>
                <w:rFonts w:ascii="宋体"/>
                <w:kern w:val="0"/>
              </w:rPr>
            </w:pPr>
          </w:p>
        </w:tc>
        <w:tc>
          <w:tcPr>
            <w:tcW w:w="4394" w:type="dxa"/>
            <w:tcBorders>
              <w:top w:val="single" w:color="auto" w:sz="4" w:space="0"/>
              <w:bottom w:val="single" w:color="auto" w:sz="4" w:space="0"/>
            </w:tcBorders>
            <w:vAlign w:val="center"/>
          </w:tcPr>
          <w:p w14:paraId="649093BA">
            <w:pPr>
              <w:spacing w:line="240" w:lineRule="exact"/>
              <w:jc w:val="left"/>
              <w:rPr>
                <w:rFonts w:ascii="宋体"/>
                <w:kern w:val="0"/>
              </w:rPr>
            </w:pPr>
            <w:r>
              <w:rPr>
                <w:rFonts w:hint="eastAsia" w:ascii="宋体"/>
                <w:kern w:val="0"/>
              </w:rPr>
              <w:t>具有其他较重情节的</w:t>
            </w:r>
          </w:p>
        </w:tc>
        <w:tc>
          <w:tcPr>
            <w:tcW w:w="4678" w:type="dxa"/>
            <w:tcBorders>
              <w:right w:val="single" w:color="auto" w:sz="4" w:space="0"/>
            </w:tcBorders>
            <w:vAlign w:val="center"/>
          </w:tcPr>
          <w:p w14:paraId="530FA952">
            <w:pPr>
              <w:spacing w:line="240" w:lineRule="exact"/>
              <w:jc w:val="center"/>
              <w:rPr>
                <w:rFonts w:ascii="宋体"/>
                <w:kern w:val="0"/>
              </w:rPr>
            </w:pPr>
            <w:r>
              <w:rPr>
                <w:rFonts w:hint="eastAsia" w:ascii="宋体"/>
                <w:kern w:val="0"/>
              </w:rPr>
              <w:t>6-10万元</w:t>
            </w:r>
          </w:p>
        </w:tc>
        <w:tc>
          <w:tcPr>
            <w:tcW w:w="4961" w:type="dxa"/>
            <w:vMerge w:val="continue"/>
            <w:tcBorders>
              <w:right w:val="single" w:color="auto" w:sz="4" w:space="0"/>
            </w:tcBorders>
            <w:vAlign w:val="center"/>
          </w:tcPr>
          <w:p w14:paraId="4C9321FF">
            <w:pPr>
              <w:spacing w:line="240" w:lineRule="exact"/>
              <w:jc w:val="center"/>
              <w:rPr>
                <w:rFonts w:ascii="宋体"/>
                <w:kern w:val="0"/>
              </w:rPr>
            </w:pPr>
          </w:p>
        </w:tc>
      </w:tr>
    </w:tbl>
    <w:p w14:paraId="5EC6EBC4">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14:paraId="30B7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14:paraId="1312CFA3">
            <w:pPr>
              <w:spacing w:line="240" w:lineRule="exact"/>
              <w:jc w:val="left"/>
              <w:rPr>
                <w:rFonts w:ascii="宋体"/>
                <w:b/>
                <w:kern w:val="0"/>
              </w:rPr>
            </w:pPr>
            <w:r>
              <w:rPr>
                <w:rFonts w:hint="eastAsia" w:ascii="宋体"/>
                <w:b/>
                <w:kern w:val="0"/>
              </w:rPr>
              <w:t>案由94</w:t>
            </w:r>
          </w:p>
        </w:tc>
        <w:tc>
          <w:tcPr>
            <w:tcW w:w="3260" w:type="dxa"/>
            <w:gridSpan w:val="2"/>
            <w:vAlign w:val="center"/>
          </w:tcPr>
          <w:p w14:paraId="2BDDEE28">
            <w:pPr>
              <w:spacing w:line="240" w:lineRule="exact"/>
              <w:jc w:val="center"/>
              <w:rPr>
                <w:rFonts w:ascii="宋体"/>
                <w:b/>
                <w:kern w:val="0"/>
              </w:rPr>
            </w:pPr>
            <w:r>
              <w:rPr>
                <w:rFonts w:hint="eastAsia" w:ascii="宋体"/>
                <w:b/>
                <w:kern w:val="0"/>
              </w:rPr>
              <w:t>法律依据</w:t>
            </w:r>
          </w:p>
        </w:tc>
        <w:tc>
          <w:tcPr>
            <w:tcW w:w="1134" w:type="dxa"/>
            <w:vMerge w:val="restart"/>
            <w:vAlign w:val="center"/>
          </w:tcPr>
          <w:p w14:paraId="6B591374">
            <w:pPr>
              <w:spacing w:line="240" w:lineRule="exact"/>
              <w:jc w:val="center"/>
              <w:rPr>
                <w:rFonts w:ascii="宋体"/>
                <w:b/>
                <w:kern w:val="0"/>
              </w:rPr>
            </w:pPr>
            <w:r>
              <w:rPr>
                <w:rFonts w:hint="eastAsia" w:ascii="宋体"/>
                <w:b/>
                <w:kern w:val="0"/>
              </w:rPr>
              <w:t>违法情节</w:t>
            </w:r>
          </w:p>
        </w:tc>
        <w:tc>
          <w:tcPr>
            <w:tcW w:w="7229" w:type="dxa"/>
            <w:vMerge w:val="restart"/>
            <w:vAlign w:val="center"/>
          </w:tcPr>
          <w:p w14:paraId="1DA93E09">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14:paraId="23362C0A">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由海事管理机构处1万元以上5万元以下的罚款</w:t>
            </w:r>
          </w:p>
        </w:tc>
      </w:tr>
      <w:tr w14:paraId="6D4E3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14:paraId="228DD625">
            <w:pPr>
              <w:spacing w:line="240" w:lineRule="exact"/>
              <w:jc w:val="left"/>
              <w:rPr>
                <w:rFonts w:ascii="宋体"/>
                <w:b/>
                <w:kern w:val="0"/>
              </w:rPr>
            </w:pPr>
          </w:p>
        </w:tc>
        <w:tc>
          <w:tcPr>
            <w:tcW w:w="1559" w:type="dxa"/>
            <w:tcBorders>
              <w:bottom w:val="single" w:color="000000" w:sz="4" w:space="0"/>
            </w:tcBorders>
            <w:vAlign w:val="center"/>
          </w:tcPr>
          <w:p w14:paraId="7115080B">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7EF09F2B">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221ACD55">
            <w:pPr>
              <w:spacing w:line="240" w:lineRule="exact"/>
              <w:jc w:val="center"/>
              <w:rPr>
                <w:rFonts w:ascii="宋体"/>
                <w:b/>
                <w:kern w:val="0"/>
              </w:rPr>
            </w:pPr>
          </w:p>
        </w:tc>
        <w:tc>
          <w:tcPr>
            <w:tcW w:w="7229" w:type="dxa"/>
            <w:vMerge w:val="continue"/>
            <w:tcBorders>
              <w:bottom w:val="single" w:color="000000" w:sz="4" w:space="0"/>
            </w:tcBorders>
            <w:vAlign w:val="center"/>
          </w:tcPr>
          <w:p w14:paraId="3D7710EA">
            <w:pPr>
              <w:spacing w:line="240" w:lineRule="exact"/>
              <w:jc w:val="left"/>
              <w:rPr>
                <w:rFonts w:ascii="宋体"/>
                <w:b/>
                <w:kern w:val="0"/>
              </w:rPr>
            </w:pPr>
          </w:p>
        </w:tc>
        <w:tc>
          <w:tcPr>
            <w:tcW w:w="7371" w:type="dxa"/>
            <w:tcBorders>
              <w:top w:val="single" w:color="auto" w:sz="4" w:space="0"/>
              <w:right w:val="single" w:color="auto" w:sz="4" w:space="0"/>
            </w:tcBorders>
            <w:vAlign w:val="center"/>
          </w:tcPr>
          <w:p w14:paraId="440F0134">
            <w:pPr>
              <w:spacing w:line="240" w:lineRule="exact"/>
              <w:jc w:val="center"/>
              <w:rPr>
                <w:rFonts w:ascii="宋体"/>
                <w:b/>
                <w:kern w:val="0"/>
              </w:rPr>
            </w:pPr>
            <w:r>
              <w:rPr>
                <w:rFonts w:hint="eastAsia" w:ascii="宋体"/>
                <w:b/>
                <w:kern w:val="0"/>
              </w:rPr>
              <w:t>【对象】</w:t>
            </w:r>
            <w:r>
              <w:rPr>
                <w:rFonts w:hint="eastAsia" w:ascii="宋体"/>
                <w:b/>
              </w:rPr>
              <w:t>船舶经营人</w:t>
            </w:r>
          </w:p>
        </w:tc>
      </w:tr>
      <w:tr w14:paraId="6CCD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14:paraId="2C7F69A0">
            <w:pPr>
              <w:widowControl/>
              <w:spacing w:line="240" w:lineRule="exact"/>
              <w:jc w:val="left"/>
              <w:rPr>
                <w:rFonts w:ascii="宋体"/>
                <w:kern w:val="0"/>
              </w:rPr>
            </w:pPr>
            <w:r>
              <w:rPr>
                <w:rFonts w:hint="eastAsia" w:ascii="宋体"/>
                <w:kern w:val="0"/>
              </w:rPr>
              <w:t>载运散装液体污染危害性货物的船舶和1万总吨以上的其他船舶，其经营人未按照规定签订污染清除作业协议的</w:t>
            </w:r>
          </w:p>
        </w:tc>
        <w:tc>
          <w:tcPr>
            <w:tcW w:w="1559" w:type="dxa"/>
            <w:vMerge w:val="restart"/>
            <w:vAlign w:val="center"/>
          </w:tcPr>
          <w:p w14:paraId="284E3EA5">
            <w:pPr>
              <w:widowControl/>
              <w:spacing w:line="240" w:lineRule="exact"/>
              <w:rPr>
                <w:rFonts w:ascii="宋体"/>
              </w:rPr>
            </w:pPr>
            <w:r>
              <w:rPr>
                <w:rFonts w:hint="eastAsia" w:ascii="宋体"/>
                <w:kern w:val="0"/>
              </w:rPr>
              <w:t>《防治船舶污染海洋环境管理条例》第三十三条第一款</w:t>
            </w:r>
          </w:p>
        </w:tc>
        <w:tc>
          <w:tcPr>
            <w:tcW w:w="1701" w:type="dxa"/>
            <w:vMerge w:val="restart"/>
            <w:vAlign w:val="center"/>
          </w:tcPr>
          <w:p w14:paraId="1895A25C">
            <w:pPr>
              <w:spacing w:line="240" w:lineRule="exact"/>
              <w:jc w:val="left"/>
              <w:rPr>
                <w:rFonts w:ascii="宋体"/>
                <w:kern w:val="0"/>
              </w:rPr>
            </w:pPr>
            <w:r>
              <w:rPr>
                <w:rFonts w:hint="eastAsia" w:ascii="宋体"/>
                <w:kern w:val="0"/>
              </w:rPr>
              <w:t>1.《防治船舶污染海洋环境管理条例》第六十六条第（一）项。</w:t>
            </w:r>
          </w:p>
          <w:p w14:paraId="223EEE25">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14:paraId="7364FD88">
            <w:pPr>
              <w:spacing w:line="240" w:lineRule="exact"/>
              <w:jc w:val="center"/>
              <w:rPr>
                <w:rFonts w:ascii="宋体"/>
                <w:kern w:val="0"/>
              </w:rPr>
            </w:pPr>
            <w:r>
              <w:rPr>
                <w:rFonts w:hint="eastAsia" w:ascii="宋体"/>
                <w:kern w:val="0"/>
              </w:rPr>
              <w:t>从轻</w:t>
            </w:r>
          </w:p>
        </w:tc>
        <w:tc>
          <w:tcPr>
            <w:tcW w:w="7229" w:type="dxa"/>
            <w:vAlign w:val="center"/>
          </w:tcPr>
          <w:p w14:paraId="04227954">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371" w:type="dxa"/>
            <w:tcBorders>
              <w:right w:val="single" w:color="auto" w:sz="4" w:space="0"/>
            </w:tcBorders>
            <w:vAlign w:val="center"/>
          </w:tcPr>
          <w:p w14:paraId="363C2D70">
            <w:pPr>
              <w:spacing w:line="240" w:lineRule="exact"/>
              <w:jc w:val="center"/>
              <w:rPr>
                <w:rFonts w:ascii="宋体"/>
                <w:kern w:val="0"/>
              </w:rPr>
            </w:pPr>
            <w:r>
              <w:rPr>
                <w:rFonts w:hint="eastAsia" w:ascii="宋体"/>
                <w:kern w:val="0"/>
              </w:rPr>
              <w:t>1-2万元</w:t>
            </w:r>
          </w:p>
        </w:tc>
      </w:tr>
      <w:tr w14:paraId="34FD9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14:paraId="0F396D25">
            <w:pPr>
              <w:spacing w:line="240" w:lineRule="exact"/>
              <w:jc w:val="left"/>
              <w:rPr>
                <w:rFonts w:ascii="宋体"/>
                <w:kern w:val="0"/>
              </w:rPr>
            </w:pPr>
          </w:p>
        </w:tc>
        <w:tc>
          <w:tcPr>
            <w:tcW w:w="1559" w:type="dxa"/>
            <w:vMerge w:val="continue"/>
            <w:vAlign w:val="center"/>
          </w:tcPr>
          <w:p w14:paraId="50FF6AB8">
            <w:pPr>
              <w:widowControl/>
              <w:spacing w:line="240" w:lineRule="exact"/>
              <w:jc w:val="left"/>
              <w:rPr>
                <w:rFonts w:ascii="宋体"/>
                <w:kern w:val="0"/>
              </w:rPr>
            </w:pPr>
          </w:p>
        </w:tc>
        <w:tc>
          <w:tcPr>
            <w:tcW w:w="1701" w:type="dxa"/>
            <w:vMerge w:val="continue"/>
            <w:vAlign w:val="center"/>
          </w:tcPr>
          <w:p w14:paraId="7EA1BA7D">
            <w:pPr>
              <w:spacing w:line="240" w:lineRule="exact"/>
              <w:jc w:val="left"/>
              <w:rPr>
                <w:rFonts w:ascii="宋体"/>
                <w:kern w:val="0"/>
              </w:rPr>
            </w:pPr>
          </w:p>
        </w:tc>
        <w:tc>
          <w:tcPr>
            <w:tcW w:w="1134" w:type="dxa"/>
            <w:vMerge w:val="restart"/>
            <w:vAlign w:val="center"/>
          </w:tcPr>
          <w:p w14:paraId="6115CCC9">
            <w:pPr>
              <w:spacing w:line="240" w:lineRule="exact"/>
              <w:jc w:val="center"/>
              <w:rPr>
                <w:rFonts w:ascii="宋体"/>
                <w:kern w:val="0"/>
              </w:rPr>
            </w:pPr>
            <w:r>
              <w:rPr>
                <w:rFonts w:hint="eastAsia" w:ascii="宋体"/>
                <w:kern w:val="0"/>
              </w:rPr>
              <w:t>一般</w:t>
            </w:r>
          </w:p>
        </w:tc>
        <w:tc>
          <w:tcPr>
            <w:tcW w:w="7229" w:type="dxa"/>
            <w:vAlign w:val="center"/>
          </w:tcPr>
          <w:p w14:paraId="0F92FF93">
            <w:pPr>
              <w:widowControl/>
              <w:spacing w:line="240" w:lineRule="exact"/>
              <w:jc w:val="left"/>
              <w:rPr>
                <w:rFonts w:ascii="宋体"/>
                <w:kern w:val="0"/>
              </w:rPr>
            </w:pPr>
            <w:r>
              <w:rPr>
                <w:rFonts w:hint="eastAsia" w:ascii="宋体"/>
                <w:kern w:val="0"/>
              </w:rPr>
              <w:t>不足600总吨仅在港区水域航行或作业的载运散装油类货物的船舶未按照规定签订污染清除作业协议</w:t>
            </w:r>
          </w:p>
        </w:tc>
        <w:tc>
          <w:tcPr>
            <w:tcW w:w="7371" w:type="dxa"/>
            <w:vMerge w:val="restart"/>
            <w:tcBorders>
              <w:right w:val="single" w:color="auto" w:sz="4" w:space="0"/>
            </w:tcBorders>
            <w:vAlign w:val="center"/>
          </w:tcPr>
          <w:p w14:paraId="60800F0F">
            <w:pPr>
              <w:spacing w:line="240" w:lineRule="exact"/>
              <w:jc w:val="center"/>
              <w:rPr>
                <w:rFonts w:ascii="宋体"/>
                <w:kern w:val="0"/>
              </w:rPr>
            </w:pPr>
            <w:r>
              <w:rPr>
                <w:rFonts w:hint="eastAsia" w:ascii="宋体"/>
                <w:kern w:val="0"/>
              </w:rPr>
              <w:t>2-3万元</w:t>
            </w:r>
          </w:p>
        </w:tc>
      </w:tr>
      <w:tr w14:paraId="3F5CA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9" w:hRule="atLeast"/>
        </w:trPr>
        <w:tc>
          <w:tcPr>
            <w:tcW w:w="1475" w:type="dxa"/>
            <w:vMerge w:val="continue"/>
            <w:vAlign w:val="center"/>
          </w:tcPr>
          <w:p w14:paraId="2860A0D0">
            <w:pPr>
              <w:spacing w:line="240" w:lineRule="exact"/>
              <w:jc w:val="left"/>
              <w:rPr>
                <w:rFonts w:ascii="宋体"/>
                <w:kern w:val="0"/>
              </w:rPr>
            </w:pPr>
          </w:p>
        </w:tc>
        <w:tc>
          <w:tcPr>
            <w:tcW w:w="1559" w:type="dxa"/>
            <w:vMerge w:val="continue"/>
            <w:vAlign w:val="center"/>
          </w:tcPr>
          <w:p w14:paraId="681096A6">
            <w:pPr>
              <w:widowControl/>
              <w:spacing w:line="240" w:lineRule="exact"/>
              <w:jc w:val="left"/>
              <w:rPr>
                <w:rFonts w:ascii="宋体"/>
                <w:kern w:val="0"/>
              </w:rPr>
            </w:pPr>
          </w:p>
        </w:tc>
        <w:tc>
          <w:tcPr>
            <w:tcW w:w="1701" w:type="dxa"/>
            <w:vMerge w:val="continue"/>
            <w:vAlign w:val="center"/>
          </w:tcPr>
          <w:p w14:paraId="2D55B5A8">
            <w:pPr>
              <w:spacing w:line="240" w:lineRule="exact"/>
              <w:jc w:val="left"/>
              <w:rPr>
                <w:rFonts w:ascii="宋体"/>
                <w:kern w:val="0"/>
              </w:rPr>
            </w:pPr>
          </w:p>
        </w:tc>
        <w:tc>
          <w:tcPr>
            <w:tcW w:w="1134" w:type="dxa"/>
            <w:vMerge w:val="continue"/>
            <w:vAlign w:val="center"/>
          </w:tcPr>
          <w:p w14:paraId="671878C4">
            <w:pPr>
              <w:spacing w:line="240" w:lineRule="exact"/>
              <w:jc w:val="center"/>
              <w:rPr>
                <w:rFonts w:ascii="宋体"/>
                <w:kern w:val="0"/>
              </w:rPr>
            </w:pPr>
          </w:p>
        </w:tc>
        <w:tc>
          <w:tcPr>
            <w:tcW w:w="7229" w:type="dxa"/>
            <w:vAlign w:val="center"/>
          </w:tcPr>
          <w:p w14:paraId="5FDC02AB">
            <w:pPr>
              <w:widowControl/>
              <w:spacing w:line="240" w:lineRule="exact"/>
              <w:jc w:val="left"/>
              <w:rPr>
                <w:rFonts w:ascii="宋体"/>
                <w:kern w:val="0"/>
              </w:rPr>
            </w:pPr>
            <w:r>
              <w:rPr>
                <w:rFonts w:hint="eastAsia" w:ascii="宋体"/>
                <w:kern w:val="0"/>
              </w:rPr>
              <w:t>进出港口的2万总吨以下载运非散装液体污染危害性货物的船舶未按照规定签订污染清除作业协议</w:t>
            </w:r>
          </w:p>
        </w:tc>
        <w:tc>
          <w:tcPr>
            <w:tcW w:w="7371" w:type="dxa"/>
            <w:vMerge w:val="continue"/>
            <w:tcBorders>
              <w:right w:val="single" w:color="auto" w:sz="4" w:space="0"/>
            </w:tcBorders>
            <w:vAlign w:val="center"/>
          </w:tcPr>
          <w:p w14:paraId="0284EDF4">
            <w:pPr>
              <w:spacing w:line="240" w:lineRule="exact"/>
              <w:jc w:val="center"/>
              <w:rPr>
                <w:rFonts w:ascii="宋体"/>
                <w:kern w:val="0"/>
              </w:rPr>
            </w:pPr>
          </w:p>
        </w:tc>
      </w:tr>
      <w:tr w14:paraId="04835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475" w:type="dxa"/>
            <w:vMerge w:val="continue"/>
            <w:vAlign w:val="center"/>
          </w:tcPr>
          <w:p w14:paraId="4FB5236D">
            <w:pPr>
              <w:spacing w:line="240" w:lineRule="exact"/>
              <w:jc w:val="left"/>
              <w:rPr>
                <w:rFonts w:ascii="宋体"/>
                <w:kern w:val="0"/>
              </w:rPr>
            </w:pPr>
          </w:p>
        </w:tc>
        <w:tc>
          <w:tcPr>
            <w:tcW w:w="1559" w:type="dxa"/>
            <w:vMerge w:val="continue"/>
            <w:vAlign w:val="center"/>
          </w:tcPr>
          <w:p w14:paraId="68E3F2A4">
            <w:pPr>
              <w:spacing w:line="240" w:lineRule="exact"/>
              <w:jc w:val="left"/>
              <w:rPr>
                <w:rFonts w:ascii="宋体"/>
                <w:kern w:val="0"/>
              </w:rPr>
            </w:pPr>
          </w:p>
        </w:tc>
        <w:tc>
          <w:tcPr>
            <w:tcW w:w="1701" w:type="dxa"/>
            <w:vMerge w:val="continue"/>
            <w:vAlign w:val="center"/>
          </w:tcPr>
          <w:p w14:paraId="0C0DB8EB">
            <w:pPr>
              <w:spacing w:line="240" w:lineRule="exact"/>
              <w:jc w:val="left"/>
              <w:rPr>
                <w:rFonts w:ascii="宋体"/>
                <w:kern w:val="0"/>
              </w:rPr>
            </w:pPr>
          </w:p>
        </w:tc>
        <w:tc>
          <w:tcPr>
            <w:tcW w:w="1134" w:type="dxa"/>
            <w:vMerge w:val="continue"/>
            <w:vAlign w:val="center"/>
          </w:tcPr>
          <w:p w14:paraId="02F094EC">
            <w:pPr>
              <w:spacing w:line="240" w:lineRule="exact"/>
              <w:jc w:val="center"/>
              <w:rPr>
                <w:rFonts w:ascii="宋体"/>
                <w:kern w:val="0"/>
              </w:rPr>
            </w:pPr>
          </w:p>
        </w:tc>
        <w:tc>
          <w:tcPr>
            <w:tcW w:w="7229" w:type="dxa"/>
            <w:tcBorders>
              <w:top w:val="single" w:color="auto" w:sz="4" w:space="0"/>
              <w:bottom w:val="single" w:color="auto" w:sz="4" w:space="0"/>
            </w:tcBorders>
            <w:vAlign w:val="center"/>
          </w:tcPr>
          <w:p w14:paraId="05A36C13">
            <w:pPr>
              <w:spacing w:line="240" w:lineRule="exact"/>
              <w:jc w:val="left"/>
              <w:rPr>
                <w:rFonts w:ascii="宋体"/>
                <w:kern w:val="0"/>
              </w:rPr>
            </w:pPr>
            <w:r>
              <w:rPr>
                <w:rFonts w:hint="eastAsia" w:ascii="宋体"/>
                <w:kern w:val="0"/>
              </w:rPr>
              <w:t>600总吨及以上2000总吨以下仅在港区水域航行或作业的载运散装油类货物的船舶未按照规定签订污染清除作业协议</w:t>
            </w:r>
          </w:p>
        </w:tc>
        <w:tc>
          <w:tcPr>
            <w:tcW w:w="7371" w:type="dxa"/>
            <w:vMerge w:val="restart"/>
            <w:tcBorders>
              <w:top w:val="single" w:color="auto" w:sz="4" w:space="0"/>
              <w:right w:val="single" w:color="auto" w:sz="4" w:space="0"/>
            </w:tcBorders>
            <w:vAlign w:val="center"/>
          </w:tcPr>
          <w:p w14:paraId="63E125E2">
            <w:pPr>
              <w:spacing w:line="240" w:lineRule="exact"/>
              <w:jc w:val="center"/>
              <w:rPr>
                <w:rFonts w:ascii="宋体"/>
                <w:kern w:val="0"/>
              </w:rPr>
            </w:pPr>
            <w:r>
              <w:rPr>
                <w:rFonts w:hint="eastAsia" w:ascii="宋体"/>
                <w:kern w:val="0"/>
              </w:rPr>
              <w:t>3-4万元</w:t>
            </w:r>
          </w:p>
        </w:tc>
      </w:tr>
      <w:tr w14:paraId="626AE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1" w:hRule="atLeast"/>
        </w:trPr>
        <w:tc>
          <w:tcPr>
            <w:tcW w:w="1475" w:type="dxa"/>
            <w:vMerge w:val="continue"/>
            <w:vAlign w:val="center"/>
          </w:tcPr>
          <w:p w14:paraId="4F5C794A">
            <w:pPr>
              <w:spacing w:line="240" w:lineRule="exact"/>
              <w:jc w:val="left"/>
              <w:rPr>
                <w:rFonts w:ascii="宋体"/>
                <w:kern w:val="0"/>
              </w:rPr>
            </w:pPr>
          </w:p>
        </w:tc>
        <w:tc>
          <w:tcPr>
            <w:tcW w:w="1559" w:type="dxa"/>
            <w:vMerge w:val="continue"/>
            <w:vAlign w:val="center"/>
          </w:tcPr>
          <w:p w14:paraId="6B7FC1A4">
            <w:pPr>
              <w:spacing w:line="240" w:lineRule="exact"/>
              <w:jc w:val="left"/>
              <w:rPr>
                <w:rFonts w:ascii="宋体"/>
                <w:kern w:val="0"/>
              </w:rPr>
            </w:pPr>
          </w:p>
        </w:tc>
        <w:tc>
          <w:tcPr>
            <w:tcW w:w="1701" w:type="dxa"/>
            <w:vMerge w:val="continue"/>
            <w:vAlign w:val="center"/>
          </w:tcPr>
          <w:p w14:paraId="5ACEE3AE">
            <w:pPr>
              <w:spacing w:line="240" w:lineRule="exact"/>
              <w:jc w:val="left"/>
              <w:rPr>
                <w:rFonts w:ascii="宋体"/>
                <w:kern w:val="0"/>
              </w:rPr>
            </w:pPr>
          </w:p>
        </w:tc>
        <w:tc>
          <w:tcPr>
            <w:tcW w:w="1134" w:type="dxa"/>
            <w:vMerge w:val="continue"/>
            <w:vAlign w:val="center"/>
          </w:tcPr>
          <w:p w14:paraId="5E4720B0">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6C6480B1">
            <w:pPr>
              <w:spacing w:line="240" w:lineRule="exact"/>
              <w:jc w:val="left"/>
              <w:rPr>
                <w:rFonts w:ascii="宋体"/>
                <w:kern w:val="0"/>
              </w:rPr>
            </w:pPr>
            <w:r>
              <w:rPr>
                <w:rFonts w:hint="eastAsia" w:ascii="宋体"/>
                <w:kern w:val="0"/>
              </w:rPr>
              <w:t>进出港口的超过2万总吨不足3万总吨的船舶载运非散装液体污染危害性货物的船舶未按照规定签订污染清除作业协议</w:t>
            </w:r>
          </w:p>
        </w:tc>
        <w:tc>
          <w:tcPr>
            <w:tcW w:w="7371" w:type="dxa"/>
            <w:vMerge w:val="continue"/>
            <w:tcBorders>
              <w:right w:val="single" w:color="auto" w:sz="4" w:space="0"/>
            </w:tcBorders>
            <w:vAlign w:val="center"/>
          </w:tcPr>
          <w:p w14:paraId="7EF0E80B">
            <w:pPr>
              <w:spacing w:line="240" w:lineRule="exact"/>
              <w:jc w:val="center"/>
              <w:rPr>
                <w:rFonts w:ascii="宋体"/>
                <w:kern w:val="0"/>
              </w:rPr>
            </w:pPr>
          </w:p>
        </w:tc>
      </w:tr>
      <w:tr w14:paraId="45F1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3" w:hRule="atLeast"/>
        </w:trPr>
        <w:tc>
          <w:tcPr>
            <w:tcW w:w="1475" w:type="dxa"/>
            <w:vMerge w:val="continue"/>
            <w:vAlign w:val="center"/>
          </w:tcPr>
          <w:p w14:paraId="39C11DE2">
            <w:pPr>
              <w:spacing w:line="240" w:lineRule="exact"/>
              <w:jc w:val="left"/>
              <w:rPr>
                <w:rFonts w:ascii="宋体"/>
                <w:kern w:val="0"/>
              </w:rPr>
            </w:pPr>
          </w:p>
        </w:tc>
        <w:tc>
          <w:tcPr>
            <w:tcW w:w="1559" w:type="dxa"/>
            <w:vMerge w:val="continue"/>
            <w:vAlign w:val="center"/>
          </w:tcPr>
          <w:p w14:paraId="2B14523A">
            <w:pPr>
              <w:spacing w:line="240" w:lineRule="exact"/>
              <w:jc w:val="left"/>
              <w:rPr>
                <w:rFonts w:ascii="宋体"/>
                <w:kern w:val="0"/>
              </w:rPr>
            </w:pPr>
          </w:p>
        </w:tc>
        <w:tc>
          <w:tcPr>
            <w:tcW w:w="1701" w:type="dxa"/>
            <w:vMerge w:val="continue"/>
            <w:vAlign w:val="center"/>
          </w:tcPr>
          <w:p w14:paraId="74B492B4">
            <w:pPr>
              <w:spacing w:line="240" w:lineRule="exact"/>
              <w:jc w:val="left"/>
              <w:rPr>
                <w:rFonts w:ascii="宋体"/>
                <w:kern w:val="0"/>
              </w:rPr>
            </w:pPr>
          </w:p>
        </w:tc>
        <w:tc>
          <w:tcPr>
            <w:tcW w:w="1134" w:type="dxa"/>
            <w:vMerge w:val="continue"/>
            <w:vAlign w:val="center"/>
          </w:tcPr>
          <w:p w14:paraId="2D1226F5">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557892DA">
            <w:pPr>
              <w:numPr>
                <w:ilvl w:val="0"/>
                <w:numId w:val="17"/>
              </w:numPr>
              <w:spacing w:line="240" w:lineRule="exact"/>
              <w:jc w:val="left"/>
              <w:rPr>
                <w:rFonts w:ascii="宋体"/>
                <w:kern w:val="0"/>
              </w:rPr>
            </w:pPr>
            <w:r>
              <w:rPr>
                <w:rFonts w:hint="eastAsia" w:ascii="宋体"/>
                <w:kern w:val="0"/>
              </w:rPr>
              <w:t>超过2000总吨仅在港区水域航行或作业的载运散装油类货物的船舶以及所有进出港口和从事过驳作业的载运散装油类货物的船舶未按照规定签订污染清除作业协议</w:t>
            </w:r>
          </w:p>
          <w:p w14:paraId="64BB7D0C">
            <w:pPr>
              <w:numPr>
                <w:ilvl w:val="0"/>
                <w:numId w:val="17"/>
              </w:numPr>
              <w:spacing w:line="240" w:lineRule="exact"/>
              <w:jc w:val="left"/>
              <w:rPr>
                <w:rFonts w:ascii="宋体"/>
                <w:kern w:val="0"/>
              </w:rPr>
            </w:pPr>
            <w:r>
              <w:rPr>
                <w:rFonts w:hint="eastAsia" w:ascii="宋体"/>
                <w:kern w:val="0"/>
              </w:rPr>
              <w:t>载运油类之外的其他散装液体污染危害性货物的船舶未按照规定签订污染清除作业协议</w:t>
            </w:r>
          </w:p>
          <w:p w14:paraId="7433E382">
            <w:pPr>
              <w:numPr>
                <w:ilvl w:val="0"/>
                <w:numId w:val="17"/>
              </w:numPr>
              <w:spacing w:line="240" w:lineRule="exact"/>
              <w:jc w:val="left"/>
              <w:rPr>
                <w:rFonts w:ascii="宋体"/>
                <w:kern w:val="0"/>
              </w:rPr>
            </w:pPr>
            <w:r>
              <w:rPr>
                <w:rFonts w:hint="eastAsia" w:ascii="宋体"/>
                <w:kern w:val="0"/>
              </w:rPr>
              <w:t>进出港口的3万总吨及以上的船舶以及在我国管辖水域从事过驳作业的载运非散装液体污染危害性货物的船舶未按照规定签订污染清除作业协议</w:t>
            </w:r>
          </w:p>
          <w:p w14:paraId="14921AFB">
            <w:pPr>
              <w:numPr>
                <w:ilvl w:val="0"/>
                <w:numId w:val="17"/>
              </w:numPr>
              <w:spacing w:line="240" w:lineRule="exact"/>
              <w:jc w:val="left"/>
              <w:rPr>
                <w:rFonts w:ascii="宋体"/>
                <w:kern w:val="0"/>
              </w:rPr>
            </w:pPr>
            <w:r>
              <w:rPr>
                <w:rFonts w:hint="eastAsia" w:ascii="宋体"/>
                <w:kern w:val="0"/>
              </w:rPr>
              <w:t>具有其他较重情节的</w:t>
            </w:r>
          </w:p>
        </w:tc>
        <w:tc>
          <w:tcPr>
            <w:tcW w:w="7371" w:type="dxa"/>
            <w:tcBorders>
              <w:right w:val="single" w:color="auto" w:sz="4" w:space="0"/>
            </w:tcBorders>
            <w:vAlign w:val="center"/>
          </w:tcPr>
          <w:p w14:paraId="1491A584">
            <w:pPr>
              <w:spacing w:line="240" w:lineRule="exact"/>
              <w:jc w:val="center"/>
              <w:rPr>
                <w:rFonts w:ascii="宋体"/>
                <w:kern w:val="0"/>
              </w:rPr>
            </w:pPr>
            <w:r>
              <w:rPr>
                <w:rFonts w:hint="eastAsia" w:ascii="宋体"/>
                <w:kern w:val="0"/>
              </w:rPr>
              <w:t>4-5万元</w:t>
            </w:r>
          </w:p>
        </w:tc>
      </w:tr>
    </w:tbl>
    <w:p w14:paraId="61B57740">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14:paraId="7F49D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14:paraId="5300784D">
            <w:pPr>
              <w:spacing w:line="240" w:lineRule="exact"/>
              <w:jc w:val="center"/>
              <w:rPr>
                <w:rFonts w:ascii="宋体"/>
                <w:b/>
                <w:kern w:val="0"/>
              </w:rPr>
            </w:pPr>
            <w:r>
              <w:rPr>
                <w:rFonts w:hint="eastAsia" w:ascii="宋体"/>
                <w:b/>
                <w:kern w:val="0"/>
              </w:rPr>
              <w:t>案由95</w:t>
            </w:r>
          </w:p>
        </w:tc>
        <w:tc>
          <w:tcPr>
            <w:tcW w:w="3260" w:type="dxa"/>
            <w:gridSpan w:val="2"/>
            <w:vAlign w:val="center"/>
          </w:tcPr>
          <w:p w14:paraId="2B0D2BFB">
            <w:pPr>
              <w:spacing w:line="240" w:lineRule="exact"/>
              <w:jc w:val="center"/>
              <w:rPr>
                <w:rFonts w:ascii="宋体"/>
                <w:b/>
                <w:kern w:val="0"/>
              </w:rPr>
            </w:pPr>
            <w:r>
              <w:rPr>
                <w:rFonts w:hint="eastAsia" w:ascii="宋体"/>
                <w:b/>
                <w:kern w:val="0"/>
              </w:rPr>
              <w:t>法律依据</w:t>
            </w:r>
          </w:p>
        </w:tc>
        <w:tc>
          <w:tcPr>
            <w:tcW w:w="1134" w:type="dxa"/>
            <w:vMerge w:val="restart"/>
            <w:vAlign w:val="center"/>
          </w:tcPr>
          <w:p w14:paraId="5C4B2EBC">
            <w:pPr>
              <w:spacing w:line="240" w:lineRule="exact"/>
              <w:jc w:val="center"/>
              <w:rPr>
                <w:rFonts w:ascii="宋体"/>
                <w:b/>
                <w:kern w:val="0"/>
              </w:rPr>
            </w:pPr>
            <w:r>
              <w:rPr>
                <w:rFonts w:hint="eastAsia" w:ascii="宋体"/>
                <w:b/>
                <w:kern w:val="0"/>
              </w:rPr>
              <w:t>违法情节</w:t>
            </w:r>
          </w:p>
        </w:tc>
        <w:tc>
          <w:tcPr>
            <w:tcW w:w="7229" w:type="dxa"/>
            <w:vMerge w:val="restart"/>
            <w:vAlign w:val="center"/>
          </w:tcPr>
          <w:p w14:paraId="0FBD53BA">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14:paraId="382FC3A9">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由海事管理机构处1万元以上5万元以下的罚款</w:t>
            </w:r>
          </w:p>
        </w:tc>
      </w:tr>
      <w:tr w14:paraId="16597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14:paraId="58A3121A">
            <w:pPr>
              <w:spacing w:line="240" w:lineRule="exact"/>
              <w:jc w:val="left"/>
              <w:rPr>
                <w:rFonts w:ascii="宋体"/>
                <w:b/>
                <w:kern w:val="0"/>
              </w:rPr>
            </w:pPr>
          </w:p>
        </w:tc>
        <w:tc>
          <w:tcPr>
            <w:tcW w:w="1559" w:type="dxa"/>
            <w:tcBorders>
              <w:bottom w:val="single" w:color="000000" w:sz="4" w:space="0"/>
            </w:tcBorders>
            <w:vAlign w:val="center"/>
          </w:tcPr>
          <w:p w14:paraId="19F1EF67">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09EE4151">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4EBDC6A4">
            <w:pPr>
              <w:spacing w:line="240" w:lineRule="exact"/>
              <w:jc w:val="left"/>
              <w:rPr>
                <w:rFonts w:ascii="宋体"/>
                <w:b/>
                <w:kern w:val="0"/>
              </w:rPr>
            </w:pPr>
          </w:p>
        </w:tc>
        <w:tc>
          <w:tcPr>
            <w:tcW w:w="7229" w:type="dxa"/>
            <w:vMerge w:val="continue"/>
            <w:tcBorders>
              <w:bottom w:val="single" w:color="000000" w:sz="4" w:space="0"/>
            </w:tcBorders>
            <w:vAlign w:val="center"/>
          </w:tcPr>
          <w:p w14:paraId="1875CD9A">
            <w:pPr>
              <w:spacing w:line="240" w:lineRule="exact"/>
              <w:jc w:val="left"/>
              <w:rPr>
                <w:rFonts w:ascii="宋体"/>
                <w:b/>
                <w:kern w:val="0"/>
              </w:rPr>
            </w:pPr>
          </w:p>
        </w:tc>
        <w:tc>
          <w:tcPr>
            <w:tcW w:w="7371" w:type="dxa"/>
            <w:tcBorders>
              <w:top w:val="single" w:color="auto" w:sz="4" w:space="0"/>
              <w:right w:val="single" w:color="auto" w:sz="4" w:space="0"/>
            </w:tcBorders>
            <w:vAlign w:val="center"/>
          </w:tcPr>
          <w:p w14:paraId="14A23656">
            <w:pPr>
              <w:spacing w:line="240" w:lineRule="exact"/>
              <w:jc w:val="center"/>
              <w:rPr>
                <w:rFonts w:ascii="宋体"/>
                <w:b/>
                <w:kern w:val="0"/>
              </w:rPr>
            </w:pPr>
            <w:r>
              <w:rPr>
                <w:rFonts w:hint="eastAsia" w:ascii="宋体"/>
                <w:b/>
                <w:kern w:val="0"/>
              </w:rPr>
              <w:t>【对象】污染清除作业单位</w:t>
            </w:r>
          </w:p>
        </w:tc>
      </w:tr>
      <w:tr w14:paraId="4DF72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14:paraId="21968A28">
            <w:pPr>
              <w:widowControl/>
              <w:spacing w:line="240" w:lineRule="exact"/>
              <w:jc w:val="left"/>
              <w:rPr>
                <w:rFonts w:ascii="宋体"/>
                <w:kern w:val="0"/>
              </w:rPr>
            </w:pPr>
            <w:r>
              <w:rPr>
                <w:rFonts w:hint="eastAsia" w:ascii="宋体"/>
                <w:kern w:val="0"/>
              </w:rPr>
              <w:t>污染清除作业单位不符合国家有关技术规范从事污染清除作业的</w:t>
            </w:r>
          </w:p>
        </w:tc>
        <w:tc>
          <w:tcPr>
            <w:tcW w:w="1559" w:type="dxa"/>
            <w:vMerge w:val="restart"/>
            <w:vAlign w:val="center"/>
          </w:tcPr>
          <w:p w14:paraId="7D1E9939">
            <w:pPr>
              <w:widowControl/>
              <w:spacing w:line="240" w:lineRule="exact"/>
              <w:rPr>
                <w:rFonts w:ascii="宋体"/>
              </w:rPr>
            </w:pPr>
            <w:r>
              <w:rPr>
                <w:rFonts w:hint="eastAsia" w:ascii="宋体"/>
                <w:kern w:val="0"/>
              </w:rPr>
              <w:t>《防治船舶污染海洋环境管理条例》第三十三条第二款</w:t>
            </w:r>
          </w:p>
        </w:tc>
        <w:tc>
          <w:tcPr>
            <w:tcW w:w="1701" w:type="dxa"/>
            <w:vMerge w:val="restart"/>
            <w:vAlign w:val="center"/>
          </w:tcPr>
          <w:p w14:paraId="0D31F4C0">
            <w:pPr>
              <w:spacing w:line="240" w:lineRule="exact"/>
              <w:jc w:val="left"/>
              <w:rPr>
                <w:rFonts w:ascii="宋体"/>
                <w:kern w:val="0"/>
              </w:rPr>
            </w:pPr>
            <w:r>
              <w:rPr>
                <w:rFonts w:hint="eastAsia" w:ascii="宋体"/>
                <w:kern w:val="0"/>
              </w:rPr>
              <w:t>1.《防治船舶污染海洋环境管理条例》第六十六条第（二）项；</w:t>
            </w:r>
          </w:p>
          <w:p w14:paraId="7502C741">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14:paraId="311C8DDB">
            <w:pPr>
              <w:spacing w:line="240" w:lineRule="exact"/>
              <w:jc w:val="center"/>
              <w:rPr>
                <w:rFonts w:ascii="宋体"/>
                <w:kern w:val="0"/>
              </w:rPr>
            </w:pPr>
            <w:r>
              <w:rPr>
                <w:rFonts w:hint="eastAsia" w:ascii="宋体"/>
                <w:kern w:val="0"/>
              </w:rPr>
              <w:t>从轻</w:t>
            </w:r>
          </w:p>
        </w:tc>
        <w:tc>
          <w:tcPr>
            <w:tcW w:w="7229" w:type="dxa"/>
            <w:vAlign w:val="center"/>
          </w:tcPr>
          <w:p w14:paraId="49AFAC2F">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371" w:type="dxa"/>
            <w:tcBorders>
              <w:right w:val="single" w:color="auto" w:sz="4" w:space="0"/>
            </w:tcBorders>
            <w:vAlign w:val="center"/>
          </w:tcPr>
          <w:p w14:paraId="6B39C2DE">
            <w:pPr>
              <w:spacing w:line="240" w:lineRule="exact"/>
              <w:jc w:val="center"/>
              <w:rPr>
                <w:rFonts w:ascii="宋体"/>
                <w:kern w:val="0"/>
              </w:rPr>
            </w:pPr>
            <w:r>
              <w:rPr>
                <w:rFonts w:hint="eastAsia" w:ascii="宋体"/>
                <w:kern w:val="0"/>
              </w:rPr>
              <w:t>1-2万元</w:t>
            </w:r>
          </w:p>
        </w:tc>
      </w:tr>
      <w:tr w14:paraId="45906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14:paraId="6936ADC3">
            <w:pPr>
              <w:spacing w:line="240" w:lineRule="exact"/>
              <w:jc w:val="left"/>
              <w:rPr>
                <w:rFonts w:ascii="宋体"/>
                <w:kern w:val="0"/>
              </w:rPr>
            </w:pPr>
          </w:p>
        </w:tc>
        <w:tc>
          <w:tcPr>
            <w:tcW w:w="1559" w:type="dxa"/>
            <w:vMerge w:val="continue"/>
            <w:vAlign w:val="center"/>
          </w:tcPr>
          <w:p w14:paraId="310400E4">
            <w:pPr>
              <w:widowControl/>
              <w:spacing w:line="240" w:lineRule="exact"/>
              <w:jc w:val="left"/>
              <w:rPr>
                <w:rFonts w:ascii="宋体"/>
                <w:kern w:val="0"/>
              </w:rPr>
            </w:pPr>
          </w:p>
        </w:tc>
        <w:tc>
          <w:tcPr>
            <w:tcW w:w="1701" w:type="dxa"/>
            <w:vMerge w:val="continue"/>
            <w:vAlign w:val="center"/>
          </w:tcPr>
          <w:p w14:paraId="00ED0767">
            <w:pPr>
              <w:spacing w:line="240" w:lineRule="exact"/>
              <w:jc w:val="left"/>
              <w:rPr>
                <w:rFonts w:ascii="宋体"/>
                <w:kern w:val="0"/>
              </w:rPr>
            </w:pPr>
          </w:p>
        </w:tc>
        <w:tc>
          <w:tcPr>
            <w:tcW w:w="1134" w:type="dxa"/>
            <w:vMerge w:val="restart"/>
            <w:vAlign w:val="center"/>
          </w:tcPr>
          <w:p w14:paraId="7379237D">
            <w:pPr>
              <w:spacing w:line="240" w:lineRule="exact"/>
              <w:jc w:val="center"/>
              <w:rPr>
                <w:rFonts w:ascii="宋体"/>
                <w:kern w:val="0"/>
              </w:rPr>
            </w:pPr>
            <w:r>
              <w:rPr>
                <w:rFonts w:hint="eastAsia" w:ascii="宋体"/>
                <w:kern w:val="0"/>
              </w:rPr>
              <w:t>一般</w:t>
            </w:r>
          </w:p>
        </w:tc>
        <w:tc>
          <w:tcPr>
            <w:tcW w:w="7229" w:type="dxa"/>
            <w:vAlign w:val="center"/>
          </w:tcPr>
          <w:p w14:paraId="6B05AA12">
            <w:pPr>
              <w:widowControl/>
              <w:spacing w:line="240" w:lineRule="exact"/>
              <w:jc w:val="left"/>
              <w:rPr>
                <w:rFonts w:ascii="宋体"/>
                <w:kern w:val="0"/>
              </w:rPr>
            </w:pPr>
            <w:r>
              <w:rPr>
                <w:rFonts w:hint="eastAsia" w:ascii="宋体"/>
                <w:kern w:val="0"/>
              </w:rPr>
              <w:t>擅自与以下船舶签订协议并作业的：不足600总吨仅在港区水域航行或作业的载运散装油类货物的船舶；进出港口的2万总吨以下载运非散装液体污染危害性货物的船舶</w:t>
            </w:r>
          </w:p>
        </w:tc>
        <w:tc>
          <w:tcPr>
            <w:tcW w:w="7371" w:type="dxa"/>
            <w:tcBorders>
              <w:right w:val="single" w:color="auto" w:sz="4" w:space="0"/>
            </w:tcBorders>
            <w:vAlign w:val="center"/>
          </w:tcPr>
          <w:p w14:paraId="550CEEB9">
            <w:pPr>
              <w:spacing w:line="240" w:lineRule="exact"/>
              <w:jc w:val="center"/>
              <w:rPr>
                <w:rFonts w:ascii="宋体"/>
                <w:kern w:val="0"/>
              </w:rPr>
            </w:pPr>
            <w:r>
              <w:rPr>
                <w:rFonts w:hint="eastAsia" w:ascii="宋体"/>
                <w:kern w:val="0"/>
              </w:rPr>
              <w:t>2-3万元</w:t>
            </w:r>
          </w:p>
        </w:tc>
      </w:tr>
      <w:tr w14:paraId="4DCF6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14:paraId="364ED114">
            <w:pPr>
              <w:spacing w:line="240" w:lineRule="exact"/>
              <w:jc w:val="left"/>
              <w:rPr>
                <w:rFonts w:ascii="宋体"/>
                <w:kern w:val="0"/>
              </w:rPr>
            </w:pPr>
          </w:p>
        </w:tc>
        <w:tc>
          <w:tcPr>
            <w:tcW w:w="1559" w:type="dxa"/>
            <w:vMerge w:val="continue"/>
            <w:vAlign w:val="center"/>
          </w:tcPr>
          <w:p w14:paraId="3D6F01C3">
            <w:pPr>
              <w:spacing w:line="240" w:lineRule="exact"/>
              <w:jc w:val="left"/>
              <w:rPr>
                <w:rFonts w:ascii="宋体"/>
                <w:kern w:val="0"/>
              </w:rPr>
            </w:pPr>
          </w:p>
        </w:tc>
        <w:tc>
          <w:tcPr>
            <w:tcW w:w="1701" w:type="dxa"/>
            <w:vMerge w:val="continue"/>
            <w:vAlign w:val="center"/>
          </w:tcPr>
          <w:p w14:paraId="18BED628">
            <w:pPr>
              <w:spacing w:line="240" w:lineRule="exact"/>
              <w:jc w:val="left"/>
              <w:rPr>
                <w:rFonts w:ascii="宋体"/>
                <w:kern w:val="0"/>
              </w:rPr>
            </w:pPr>
          </w:p>
        </w:tc>
        <w:tc>
          <w:tcPr>
            <w:tcW w:w="1134" w:type="dxa"/>
            <w:vMerge w:val="continue"/>
            <w:vAlign w:val="center"/>
          </w:tcPr>
          <w:p w14:paraId="363BEF69">
            <w:pPr>
              <w:spacing w:line="240" w:lineRule="exact"/>
              <w:jc w:val="center"/>
              <w:rPr>
                <w:rFonts w:ascii="宋体"/>
                <w:kern w:val="0"/>
              </w:rPr>
            </w:pPr>
          </w:p>
        </w:tc>
        <w:tc>
          <w:tcPr>
            <w:tcW w:w="7229" w:type="dxa"/>
            <w:tcBorders>
              <w:top w:val="single" w:color="auto" w:sz="4" w:space="0"/>
              <w:bottom w:val="single" w:color="auto" w:sz="4" w:space="0"/>
            </w:tcBorders>
            <w:vAlign w:val="center"/>
          </w:tcPr>
          <w:p w14:paraId="31BF30F5">
            <w:pPr>
              <w:widowControl/>
              <w:spacing w:line="240" w:lineRule="exact"/>
              <w:jc w:val="left"/>
              <w:rPr>
                <w:rFonts w:ascii="宋体"/>
                <w:kern w:val="0"/>
              </w:rPr>
            </w:pPr>
            <w:r>
              <w:rPr>
                <w:rFonts w:hint="eastAsia" w:ascii="宋体"/>
                <w:kern w:val="0"/>
              </w:rPr>
              <w:t>擅自与以下船舶签订协议并作业的：600总吨以上2000总吨以下仅在港区水域航行或作业的载运散装油类货物的船舶；进出港口超过2万总吨不足3万总吨的船舶载运非散装液体污染危害性货物的船舶</w:t>
            </w:r>
          </w:p>
        </w:tc>
        <w:tc>
          <w:tcPr>
            <w:tcW w:w="7371" w:type="dxa"/>
            <w:tcBorders>
              <w:top w:val="single" w:color="auto" w:sz="4" w:space="0"/>
              <w:right w:val="single" w:color="auto" w:sz="4" w:space="0"/>
            </w:tcBorders>
            <w:vAlign w:val="center"/>
          </w:tcPr>
          <w:p w14:paraId="6DD343B4">
            <w:pPr>
              <w:spacing w:line="240" w:lineRule="exact"/>
              <w:jc w:val="center"/>
              <w:rPr>
                <w:rFonts w:ascii="宋体"/>
                <w:kern w:val="0"/>
              </w:rPr>
            </w:pPr>
            <w:r>
              <w:rPr>
                <w:rFonts w:hint="eastAsia" w:ascii="宋体"/>
                <w:kern w:val="0"/>
              </w:rPr>
              <w:t>3-4万元</w:t>
            </w:r>
          </w:p>
        </w:tc>
      </w:tr>
      <w:tr w14:paraId="2F6F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87" w:hRule="atLeast"/>
        </w:trPr>
        <w:tc>
          <w:tcPr>
            <w:tcW w:w="1475" w:type="dxa"/>
            <w:vMerge w:val="continue"/>
            <w:vAlign w:val="center"/>
          </w:tcPr>
          <w:p w14:paraId="38DB9AAA">
            <w:pPr>
              <w:spacing w:line="240" w:lineRule="exact"/>
              <w:jc w:val="left"/>
              <w:rPr>
                <w:rFonts w:ascii="宋体"/>
                <w:kern w:val="0"/>
              </w:rPr>
            </w:pPr>
          </w:p>
        </w:tc>
        <w:tc>
          <w:tcPr>
            <w:tcW w:w="1559" w:type="dxa"/>
            <w:vMerge w:val="continue"/>
            <w:vAlign w:val="center"/>
          </w:tcPr>
          <w:p w14:paraId="43AC7822">
            <w:pPr>
              <w:spacing w:line="240" w:lineRule="exact"/>
              <w:jc w:val="left"/>
              <w:rPr>
                <w:rFonts w:ascii="宋体"/>
                <w:kern w:val="0"/>
              </w:rPr>
            </w:pPr>
          </w:p>
        </w:tc>
        <w:tc>
          <w:tcPr>
            <w:tcW w:w="1701" w:type="dxa"/>
            <w:vMerge w:val="continue"/>
            <w:vAlign w:val="center"/>
          </w:tcPr>
          <w:p w14:paraId="169FA18F">
            <w:pPr>
              <w:spacing w:line="240" w:lineRule="exact"/>
              <w:jc w:val="left"/>
              <w:rPr>
                <w:rFonts w:ascii="宋体"/>
                <w:kern w:val="0"/>
              </w:rPr>
            </w:pPr>
          </w:p>
        </w:tc>
        <w:tc>
          <w:tcPr>
            <w:tcW w:w="1134" w:type="dxa"/>
            <w:vMerge w:val="continue"/>
            <w:vAlign w:val="center"/>
          </w:tcPr>
          <w:p w14:paraId="6B40910B">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7A5BBA3B">
            <w:pPr>
              <w:widowControl/>
              <w:spacing w:line="240" w:lineRule="exact"/>
              <w:rPr>
                <w:rFonts w:ascii="宋体"/>
                <w:kern w:val="0"/>
              </w:rPr>
            </w:pPr>
            <w:r>
              <w:rPr>
                <w:rFonts w:hint="eastAsia" w:ascii="宋体"/>
                <w:kern w:val="0"/>
              </w:rPr>
              <w:t>1.擅自与以下船舶签订协议并作业的：超过2000总吨及以上仅在港区水域航行或作业的船舶以及所有进出港口和从事过驳作业的船舶载运散装油类货物的船舶；载运油类之外的其他散装液体污染危害性货物的船舶；进出港口的3万总吨及以上的船舶以及在我国管辖水域从事过驳作业的船舶载运非散装液体污染危害性货物的船舶；</w:t>
            </w:r>
          </w:p>
          <w:p w14:paraId="78B8BF18">
            <w:pPr>
              <w:widowControl/>
              <w:spacing w:line="240" w:lineRule="exact"/>
              <w:rPr>
                <w:rFonts w:ascii="宋体"/>
                <w:kern w:val="0"/>
              </w:rPr>
            </w:pPr>
            <w:r>
              <w:rPr>
                <w:rFonts w:hint="eastAsia" w:ascii="宋体"/>
                <w:kern w:val="0"/>
              </w:rPr>
              <w:t>2.不具备相应资质擅自进行污染物清除作业导致污染不能得到及时有效清除或导致污染进一步扩大的；</w:t>
            </w:r>
          </w:p>
          <w:p w14:paraId="4E71BBF1">
            <w:pPr>
              <w:widowControl/>
              <w:spacing w:line="240" w:lineRule="exact"/>
              <w:rPr>
                <w:rFonts w:ascii="宋体"/>
                <w:kern w:val="0"/>
              </w:rPr>
            </w:pPr>
            <w:r>
              <w:rPr>
                <w:rFonts w:hint="eastAsia" w:ascii="宋体"/>
                <w:kern w:val="0"/>
              </w:rPr>
              <w:t>3.具有其他较重情节的。</w:t>
            </w:r>
          </w:p>
        </w:tc>
        <w:tc>
          <w:tcPr>
            <w:tcW w:w="7371" w:type="dxa"/>
            <w:tcBorders>
              <w:right w:val="single" w:color="auto" w:sz="4" w:space="0"/>
            </w:tcBorders>
            <w:vAlign w:val="center"/>
          </w:tcPr>
          <w:p w14:paraId="738EF958">
            <w:pPr>
              <w:spacing w:line="240" w:lineRule="exact"/>
              <w:jc w:val="center"/>
              <w:rPr>
                <w:rFonts w:ascii="宋体"/>
                <w:kern w:val="0"/>
              </w:rPr>
            </w:pPr>
            <w:r>
              <w:rPr>
                <w:rFonts w:hint="eastAsia" w:ascii="宋体"/>
                <w:kern w:val="0"/>
              </w:rPr>
              <w:t>4-5万元</w:t>
            </w:r>
          </w:p>
        </w:tc>
      </w:tr>
    </w:tbl>
    <w:p w14:paraId="34BAE2C4">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14:paraId="3A819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14:paraId="04BC3E32">
            <w:pPr>
              <w:spacing w:line="240" w:lineRule="exact"/>
              <w:jc w:val="center"/>
              <w:rPr>
                <w:rFonts w:ascii="宋体"/>
                <w:b/>
                <w:kern w:val="0"/>
              </w:rPr>
            </w:pPr>
            <w:r>
              <w:rPr>
                <w:rFonts w:hint="eastAsia" w:ascii="宋体"/>
                <w:b/>
                <w:kern w:val="0"/>
              </w:rPr>
              <w:t>案由96</w:t>
            </w:r>
          </w:p>
        </w:tc>
        <w:tc>
          <w:tcPr>
            <w:tcW w:w="3260" w:type="dxa"/>
            <w:gridSpan w:val="2"/>
            <w:vAlign w:val="center"/>
          </w:tcPr>
          <w:p w14:paraId="7FC30AA6">
            <w:pPr>
              <w:spacing w:line="240" w:lineRule="exact"/>
              <w:jc w:val="center"/>
              <w:rPr>
                <w:rFonts w:ascii="宋体"/>
                <w:b/>
                <w:kern w:val="0"/>
              </w:rPr>
            </w:pPr>
            <w:r>
              <w:rPr>
                <w:rFonts w:hint="eastAsia" w:ascii="宋体"/>
                <w:b/>
                <w:kern w:val="0"/>
              </w:rPr>
              <w:t>法律依据</w:t>
            </w:r>
          </w:p>
        </w:tc>
        <w:tc>
          <w:tcPr>
            <w:tcW w:w="1134" w:type="dxa"/>
            <w:vMerge w:val="restart"/>
            <w:vAlign w:val="center"/>
          </w:tcPr>
          <w:p w14:paraId="231A38FD">
            <w:pPr>
              <w:spacing w:line="240" w:lineRule="exact"/>
              <w:jc w:val="center"/>
              <w:rPr>
                <w:rFonts w:ascii="宋体"/>
                <w:b/>
                <w:kern w:val="0"/>
              </w:rPr>
            </w:pPr>
            <w:r>
              <w:rPr>
                <w:rFonts w:hint="eastAsia" w:ascii="宋体"/>
                <w:b/>
                <w:kern w:val="0"/>
              </w:rPr>
              <w:t>违法情节</w:t>
            </w:r>
          </w:p>
        </w:tc>
        <w:tc>
          <w:tcPr>
            <w:tcW w:w="7229" w:type="dxa"/>
            <w:vMerge w:val="restart"/>
            <w:vAlign w:val="center"/>
          </w:tcPr>
          <w:p w14:paraId="06185EA6">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14:paraId="21B1D7DB">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由海事管理机构责令改正，可以处5万元以下的罚款；拒不改正的，处5万元以上25万元以下的罚款。</w:t>
            </w:r>
          </w:p>
        </w:tc>
      </w:tr>
      <w:tr w14:paraId="46E6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14:paraId="1152FE91">
            <w:pPr>
              <w:spacing w:line="240" w:lineRule="exact"/>
              <w:jc w:val="center"/>
              <w:rPr>
                <w:rFonts w:ascii="宋体"/>
                <w:b/>
                <w:kern w:val="0"/>
              </w:rPr>
            </w:pPr>
          </w:p>
        </w:tc>
        <w:tc>
          <w:tcPr>
            <w:tcW w:w="1559" w:type="dxa"/>
            <w:tcBorders>
              <w:bottom w:val="single" w:color="000000" w:sz="4" w:space="0"/>
            </w:tcBorders>
            <w:vAlign w:val="center"/>
          </w:tcPr>
          <w:p w14:paraId="25C464BB">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68C96F0D">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7693942C">
            <w:pPr>
              <w:spacing w:line="240" w:lineRule="exact"/>
              <w:jc w:val="left"/>
              <w:rPr>
                <w:rFonts w:ascii="宋体"/>
                <w:b/>
                <w:kern w:val="0"/>
              </w:rPr>
            </w:pPr>
          </w:p>
        </w:tc>
        <w:tc>
          <w:tcPr>
            <w:tcW w:w="7229" w:type="dxa"/>
            <w:vMerge w:val="continue"/>
            <w:tcBorders>
              <w:bottom w:val="single" w:color="000000" w:sz="4" w:space="0"/>
            </w:tcBorders>
            <w:vAlign w:val="center"/>
          </w:tcPr>
          <w:p w14:paraId="76ACE066">
            <w:pPr>
              <w:spacing w:line="240" w:lineRule="exact"/>
              <w:jc w:val="left"/>
              <w:rPr>
                <w:rFonts w:ascii="宋体"/>
                <w:b/>
                <w:kern w:val="0"/>
              </w:rPr>
            </w:pPr>
          </w:p>
        </w:tc>
        <w:tc>
          <w:tcPr>
            <w:tcW w:w="7371" w:type="dxa"/>
            <w:tcBorders>
              <w:top w:val="single" w:color="auto" w:sz="4" w:space="0"/>
              <w:right w:val="single" w:color="auto" w:sz="4" w:space="0"/>
            </w:tcBorders>
            <w:vAlign w:val="center"/>
          </w:tcPr>
          <w:p w14:paraId="6578A46A">
            <w:pPr>
              <w:spacing w:line="240" w:lineRule="exact"/>
              <w:jc w:val="center"/>
              <w:rPr>
                <w:rFonts w:ascii="宋体"/>
                <w:b/>
                <w:kern w:val="0"/>
              </w:rPr>
            </w:pPr>
            <w:r>
              <w:rPr>
                <w:rFonts w:hint="eastAsia" w:ascii="宋体"/>
                <w:b/>
                <w:kern w:val="0"/>
              </w:rPr>
              <w:t>【对象】船舶所有人</w:t>
            </w:r>
          </w:p>
        </w:tc>
      </w:tr>
      <w:tr w14:paraId="3F0D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14:paraId="5C3EBB46">
            <w:pPr>
              <w:widowControl/>
              <w:spacing w:line="240" w:lineRule="exact"/>
              <w:jc w:val="left"/>
              <w:rPr>
                <w:rFonts w:ascii="宋体"/>
                <w:kern w:val="0"/>
              </w:rPr>
            </w:pPr>
            <w:r>
              <w:rPr>
                <w:rFonts w:hint="eastAsia" w:ascii="宋体"/>
                <w:kern w:val="0"/>
              </w:rPr>
              <w:t>在中华人民共和国管辖海域内航行的船舶，其所有人未按照规定投保船舶油污损害民事责任保险或者取得相应的财务担保的</w:t>
            </w:r>
          </w:p>
        </w:tc>
        <w:tc>
          <w:tcPr>
            <w:tcW w:w="1559" w:type="dxa"/>
            <w:vMerge w:val="restart"/>
            <w:vAlign w:val="center"/>
          </w:tcPr>
          <w:p w14:paraId="78AA2E8E">
            <w:pPr>
              <w:widowControl/>
              <w:spacing w:line="240" w:lineRule="exact"/>
              <w:rPr>
                <w:rFonts w:ascii="宋体"/>
              </w:rPr>
            </w:pPr>
            <w:r>
              <w:rPr>
                <w:rFonts w:hint="eastAsia" w:ascii="宋体"/>
                <w:kern w:val="0"/>
              </w:rPr>
              <w:t>1.《防治船舶污染海洋环境管理条例》第五十一条第一款</w:t>
            </w:r>
          </w:p>
        </w:tc>
        <w:tc>
          <w:tcPr>
            <w:tcW w:w="1701" w:type="dxa"/>
            <w:vMerge w:val="restart"/>
            <w:vAlign w:val="center"/>
          </w:tcPr>
          <w:p w14:paraId="03CC1274">
            <w:pPr>
              <w:spacing w:line="240" w:lineRule="exact"/>
              <w:jc w:val="left"/>
              <w:rPr>
                <w:rFonts w:ascii="宋体"/>
                <w:kern w:val="0"/>
              </w:rPr>
            </w:pPr>
            <w:r>
              <w:rPr>
                <w:rFonts w:hint="eastAsia" w:ascii="宋体"/>
                <w:kern w:val="0"/>
              </w:rPr>
              <w:t>1.《防治船舶污染海洋环境管理条例》第七十一条第（一）项。</w:t>
            </w:r>
          </w:p>
          <w:p w14:paraId="6B048475">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14:paraId="46164740">
            <w:pPr>
              <w:spacing w:line="240" w:lineRule="exact"/>
              <w:jc w:val="center"/>
              <w:rPr>
                <w:rFonts w:ascii="宋体"/>
                <w:kern w:val="0"/>
              </w:rPr>
            </w:pPr>
            <w:r>
              <w:rPr>
                <w:rFonts w:hint="eastAsia" w:ascii="宋体"/>
                <w:kern w:val="0"/>
              </w:rPr>
              <w:t>从轻</w:t>
            </w:r>
          </w:p>
        </w:tc>
        <w:tc>
          <w:tcPr>
            <w:tcW w:w="7229" w:type="dxa"/>
            <w:vAlign w:val="center"/>
          </w:tcPr>
          <w:p w14:paraId="1BA907AE">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371" w:type="dxa"/>
            <w:tcBorders>
              <w:right w:val="single" w:color="auto" w:sz="4" w:space="0"/>
            </w:tcBorders>
            <w:vAlign w:val="center"/>
          </w:tcPr>
          <w:p w14:paraId="2D676DBA">
            <w:pPr>
              <w:spacing w:line="240" w:lineRule="exact"/>
              <w:jc w:val="center"/>
              <w:rPr>
                <w:rFonts w:ascii="宋体"/>
                <w:kern w:val="0"/>
              </w:rPr>
            </w:pPr>
            <w:r>
              <w:rPr>
                <w:rFonts w:hint="eastAsia" w:ascii="宋体"/>
                <w:kern w:val="0"/>
              </w:rPr>
              <w:t>5000-1万元</w:t>
            </w:r>
          </w:p>
        </w:tc>
      </w:tr>
      <w:tr w14:paraId="6085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14:paraId="41EEE229">
            <w:pPr>
              <w:spacing w:line="240" w:lineRule="exact"/>
              <w:jc w:val="left"/>
              <w:rPr>
                <w:rFonts w:ascii="宋体"/>
                <w:kern w:val="0"/>
              </w:rPr>
            </w:pPr>
          </w:p>
        </w:tc>
        <w:tc>
          <w:tcPr>
            <w:tcW w:w="1559" w:type="dxa"/>
            <w:vMerge w:val="continue"/>
            <w:vAlign w:val="center"/>
          </w:tcPr>
          <w:p w14:paraId="100CA566">
            <w:pPr>
              <w:widowControl/>
              <w:spacing w:line="240" w:lineRule="exact"/>
              <w:jc w:val="left"/>
              <w:rPr>
                <w:rFonts w:ascii="宋体"/>
                <w:kern w:val="0"/>
              </w:rPr>
            </w:pPr>
          </w:p>
        </w:tc>
        <w:tc>
          <w:tcPr>
            <w:tcW w:w="1701" w:type="dxa"/>
            <w:vMerge w:val="continue"/>
            <w:vAlign w:val="center"/>
          </w:tcPr>
          <w:p w14:paraId="01A7B376">
            <w:pPr>
              <w:spacing w:line="240" w:lineRule="exact"/>
              <w:jc w:val="left"/>
              <w:rPr>
                <w:rFonts w:ascii="宋体"/>
                <w:kern w:val="0"/>
              </w:rPr>
            </w:pPr>
          </w:p>
        </w:tc>
        <w:tc>
          <w:tcPr>
            <w:tcW w:w="1134" w:type="dxa"/>
            <w:vMerge w:val="restart"/>
            <w:vAlign w:val="center"/>
          </w:tcPr>
          <w:p w14:paraId="665BF28C">
            <w:pPr>
              <w:spacing w:line="240" w:lineRule="exact"/>
              <w:jc w:val="center"/>
              <w:rPr>
                <w:rFonts w:ascii="宋体"/>
                <w:kern w:val="0"/>
              </w:rPr>
            </w:pPr>
            <w:r>
              <w:rPr>
                <w:rFonts w:hint="eastAsia" w:ascii="宋体"/>
                <w:kern w:val="0"/>
              </w:rPr>
              <w:t>一般</w:t>
            </w:r>
          </w:p>
        </w:tc>
        <w:tc>
          <w:tcPr>
            <w:tcW w:w="7229" w:type="dxa"/>
            <w:vAlign w:val="center"/>
          </w:tcPr>
          <w:p w14:paraId="031FC514">
            <w:pPr>
              <w:widowControl/>
              <w:spacing w:line="240" w:lineRule="exact"/>
              <w:jc w:val="left"/>
              <w:rPr>
                <w:rFonts w:ascii="宋体"/>
                <w:kern w:val="0"/>
              </w:rPr>
            </w:pPr>
            <w:r>
              <w:rPr>
                <w:rFonts w:hint="eastAsia" w:ascii="宋体"/>
                <w:kern w:val="0"/>
              </w:rPr>
              <w:t>载运非持久性油类物质的船舶，以及1000总吨以下载运非油类物质的船舶未按照规定投保船舶油污损害民事责任保险或者取得相应的财务担保，但及时改正的未造成不良后果的</w:t>
            </w:r>
          </w:p>
        </w:tc>
        <w:tc>
          <w:tcPr>
            <w:tcW w:w="7371" w:type="dxa"/>
            <w:tcBorders>
              <w:right w:val="single" w:color="auto" w:sz="4" w:space="0"/>
            </w:tcBorders>
            <w:vAlign w:val="center"/>
          </w:tcPr>
          <w:p w14:paraId="65D8132D">
            <w:pPr>
              <w:spacing w:line="240" w:lineRule="exact"/>
              <w:jc w:val="center"/>
              <w:rPr>
                <w:rFonts w:ascii="宋体"/>
                <w:kern w:val="0"/>
              </w:rPr>
            </w:pPr>
            <w:r>
              <w:rPr>
                <w:rFonts w:hint="eastAsia" w:ascii="宋体"/>
                <w:kern w:val="0"/>
              </w:rPr>
              <w:t>1-3万元</w:t>
            </w:r>
          </w:p>
        </w:tc>
      </w:tr>
      <w:tr w14:paraId="601A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14:paraId="53BBFB1F">
            <w:pPr>
              <w:spacing w:line="240" w:lineRule="exact"/>
              <w:jc w:val="left"/>
              <w:rPr>
                <w:rFonts w:ascii="宋体"/>
                <w:kern w:val="0"/>
              </w:rPr>
            </w:pPr>
          </w:p>
        </w:tc>
        <w:tc>
          <w:tcPr>
            <w:tcW w:w="1559" w:type="dxa"/>
            <w:vMerge w:val="continue"/>
            <w:vAlign w:val="center"/>
          </w:tcPr>
          <w:p w14:paraId="5C67AA45">
            <w:pPr>
              <w:spacing w:line="240" w:lineRule="exact"/>
              <w:jc w:val="left"/>
              <w:rPr>
                <w:rFonts w:ascii="宋体"/>
                <w:kern w:val="0"/>
              </w:rPr>
            </w:pPr>
          </w:p>
        </w:tc>
        <w:tc>
          <w:tcPr>
            <w:tcW w:w="1701" w:type="dxa"/>
            <w:vMerge w:val="continue"/>
            <w:vAlign w:val="center"/>
          </w:tcPr>
          <w:p w14:paraId="20EDF744">
            <w:pPr>
              <w:spacing w:line="240" w:lineRule="exact"/>
              <w:jc w:val="left"/>
              <w:rPr>
                <w:rFonts w:ascii="宋体"/>
                <w:kern w:val="0"/>
              </w:rPr>
            </w:pPr>
          </w:p>
        </w:tc>
        <w:tc>
          <w:tcPr>
            <w:tcW w:w="1134" w:type="dxa"/>
            <w:vMerge w:val="continue"/>
            <w:vAlign w:val="center"/>
          </w:tcPr>
          <w:p w14:paraId="3E725A46">
            <w:pPr>
              <w:spacing w:line="240" w:lineRule="exact"/>
              <w:jc w:val="center"/>
              <w:rPr>
                <w:rFonts w:ascii="宋体"/>
                <w:kern w:val="0"/>
              </w:rPr>
            </w:pPr>
          </w:p>
        </w:tc>
        <w:tc>
          <w:tcPr>
            <w:tcW w:w="7229" w:type="dxa"/>
            <w:tcBorders>
              <w:top w:val="single" w:color="auto" w:sz="4" w:space="0"/>
              <w:bottom w:val="single" w:color="auto" w:sz="4" w:space="0"/>
            </w:tcBorders>
            <w:vAlign w:val="center"/>
          </w:tcPr>
          <w:p w14:paraId="264BD219">
            <w:pPr>
              <w:widowControl/>
              <w:spacing w:line="240" w:lineRule="exact"/>
              <w:jc w:val="left"/>
              <w:rPr>
                <w:rFonts w:ascii="宋体"/>
                <w:kern w:val="0"/>
              </w:rPr>
            </w:pPr>
            <w:r>
              <w:rPr>
                <w:rFonts w:hint="eastAsia" w:ascii="宋体"/>
                <w:kern w:val="0"/>
              </w:rPr>
              <w:t>载运散装持久性油类物质的船舶未按照规定投保船舶油污损害民事责任保险或者取得相应的财务担保，但及时改正未造成不良后果的；</w:t>
            </w:r>
          </w:p>
        </w:tc>
        <w:tc>
          <w:tcPr>
            <w:tcW w:w="7371" w:type="dxa"/>
            <w:tcBorders>
              <w:top w:val="single" w:color="auto" w:sz="4" w:space="0"/>
              <w:right w:val="single" w:color="auto" w:sz="4" w:space="0"/>
            </w:tcBorders>
            <w:vAlign w:val="center"/>
          </w:tcPr>
          <w:p w14:paraId="37C4B1AA">
            <w:pPr>
              <w:spacing w:line="240" w:lineRule="exact"/>
              <w:jc w:val="center"/>
              <w:rPr>
                <w:rFonts w:ascii="宋体"/>
                <w:kern w:val="0"/>
              </w:rPr>
            </w:pPr>
            <w:r>
              <w:rPr>
                <w:rFonts w:hint="eastAsia" w:ascii="宋体"/>
                <w:kern w:val="0"/>
              </w:rPr>
              <w:t>3-4万元</w:t>
            </w:r>
          </w:p>
        </w:tc>
      </w:tr>
      <w:tr w14:paraId="5EA63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9" w:hRule="atLeast"/>
        </w:trPr>
        <w:tc>
          <w:tcPr>
            <w:tcW w:w="1475" w:type="dxa"/>
            <w:vMerge w:val="continue"/>
            <w:vAlign w:val="center"/>
          </w:tcPr>
          <w:p w14:paraId="52257C93">
            <w:pPr>
              <w:spacing w:line="240" w:lineRule="exact"/>
              <w:jc w:val="left"/>
              <w:rPr>
                <w:rFonts w:ascii="宋体"/>
                <w:kern w:val="0"/>
              </w:rPr>
            </w:pPr>
          </w:p>
        </w:tc>
        <w:tc>
          <w:tcPr>
            <w:tcW w:w="1559" w:type="dxa"/>
            <w:vMerge w:val="continue"/>
            <w:vAlign w:val="center"/>
          </w:tcPr>
          <w:p w14:paraId="6E313A93">
            <w:pPr>
              <w:spacing w:line="240" w:lineRule="exact"/>
              <w:jc w:val="left"/>
              <w:rPr>
                <w:rFonts w:ascii="宋体"/>
                <w:kern w:val="0"/>
              </w:rPr>
            </w:pPr>
          </w:p>
        </w:tc>
        <w:tc>
          <w:tcPr>
            <w:tcW w:w="1701" w:type="dxa"/>
            <w:vMerge w:val="continue"/>
            <w:vAlign w:val="center"/>
          </w:tcPr>
          <w:p w14:paraId="7A02A007">
            <w:pPr>
              <w:spacing w:line="240" w:lineRule="exact"/>
              <w:jc w:val="left"/>
              <w:rPr>
                <w:rFonts w:ascii="宋体"/>
                <w:kern w:val="0"/>
              </w:rPr>
            </w:pPr>
          </w:p>
        </w:tc>
        <w:tc>
          <w:tcPr>
            <w:tcW w:w="1134" w:type="dxa"/>
            <w:vMerge w:val="continue"/>
            <w:vAlign w:val="center"/>
          </w:tcPr>
          <w:p w14:paraId="6C74B466">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70AE5D96">
            <w:pPr>
              <w:widowControl/>
              <w:spacing w:line="240" w:lineRule="exact"/>
              <w:jc w:val="left"/>
              <w:rPr>
                <w:rFonts w:ascii="宋体"/>
                <w:kern w:val="0"/>
              </w:rPr>
            </w:pPr>
            <w:r>
              <w:rPr>
                <w:rFonts w:hint="eastAsia" w:ascii="宋体"/>
                <w:kern w:val="0"/>
              </w:rPr>
              <w:t>1.虽及时改正，但已造成不良后果的；</w:t>
            </w:r>
          </w:p>
          <w:p w14:paraId="3B3675D4">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14:paraId="4A0ABF48">
            <w:pPr>
              <w:spacing w:line="240" w:lineRule="exact"/>
              <w:jc w:val="center"/>
              <w:rPr>
                <w:rFonts w:ascii="宋体"/>
                <w:kern w:val="0"/>
              </w:rPr>
            </w:pPr>
            <w:r>
              <w:rPr>
                <w:rFonts w:hint="eastAsia" w:ascii="宋体"/>
                <w:kern w:val="0"/>
              </w:rPr>
              <w:t>4-5万元</w:t>
            </w:r>
          </w:p>
        </w:tc>
      </w:tr>
      <w:tr w14:paraId="513B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1" w:hRule="atLeast"/>
        </w:trPr>
        <w:tc>
          <w:tcPr>
            <w:tcW w:w="1475" w:type="dxa"/>
            <w:vMerge w:val="continue"/>
            <w:vAlign w:val="center"/>
          </w:tcPr>
          <w:p w14:paraId="7C814BB8">
            <w:pPr>
              <w:spacing w:line="240" w:lineRule="exact"/>
              <w:jc w:val="left"/>
              <w:rPr>
                <w:rFonts w:ascii="宋体"/>
                <w:kern w:val="0"/>
              </w:rPr>
            </w:pPr>
          </w:p>
        </w:tc>
        <w:tc>
          <w:tcPr>
            <w:tcW w:w="1559" w:type="dxa"/>
            <w:vMerge w:val="continue"/>
            <w:vAlign w:val="center"/>
          </w:tcPr>
          <w:p w14:paraId="02ACBFA0">
            <w:pPr>
              <w:spacing w:line="240" w:lineRule="exact"/>
              <w:jc w:val="left"/>
              <w:rPr>
                <w:rFonts w:ascii="宋体"/>
                <w:kern w:val="0"/>
              </w:rPr>
            </w:pPr>
          </w:p>
        </w:tc>
        <w:tc>
          <w:tcPr>
            <w:tcW w:w="1701" w:type="dxa"/>
            <w:vMerge w:val="continue"/>
            <w:vAlign w:val="center"/>
          </w:tcPr>
          <w:p w14:paraId="67AFF587">
            <w:pPr>
              <w:spacing w:line="240" w:lineRule="exact"/>
              <w:jc w:val="left"/>
              <w:rPr>
                <w:rFonts w:ascii="宋体"/>
                <w:kern w:val="0"/>
              </w:rPr>
            </w:pPr>
          </w:p>
        </w:tc>
        <w:tc>
          <w:tcPr>
            <w:tcW w:w="1134" w:type="dxa"/>
            <w:vMerge w:val="restart"/>
            <w:vAlign w:val="center"/>
          </w:tcPr>
          <w:p w14:paraId="60F857D6">
            <w:pPr>
              <w:spacing w:line="240" w:lineRule="exact"/>
              <w:jc w:val="center"/>
              <w:rPr>
                <w:rFonts w:ascii="宋体"/>
                <w:kern w:val="0"/>
              </w:rPr>
            </w:pPr>
            <w:r>
              <w:rPr>
                <w:rFonts w:hint="eastAsia" w:ascii="宋体"/>
                <w:kern w:val="0"/>
              </w:rPr>
              <w:t>拒不改正</w:t>
            </w:r>
          </w:p>
        </w:tc>
        <w:tc>
          <w:tcPr>
            <w:tcW w:w="7229" w:type="dxa"/>
            <w:tcBorders>
              <w:top w:val="single" w:color="auto" w:sz="4" w:space="0"/>
              <w:bottom w:val="single" w:color="auto" w:sz="4" w:space="0"/>
            </w:tcBorders>
            <w:vAlign w:val="center"/>
          </w:tcPr>
          <w:p w14:paraId="1F528CDB">
            <w:pPr>
              <w:widowControl/>
              <w:spacing w:line="240" w:lineRule="exact"/>
              <w:jc w:val="left"/>
              <w:rPr>
                <w:rFonts w:ascii="宋体"/>
                <w:kern w:val="0"/>
              </w:rPr>
            </w:pPr>
            <w:r>
              <w:rPr>
                <w:rFonts w:hint="eastAsia" w:ascii="宋体"/>
                <w:kern w:val="0"/>
              </w:rPr>
              <w:t>载运非持久性油类物质的船舶，以及1000总吨及以上载运非油类物质的船舶未按照规定投保船舶油污损害民事责任保险或者取得相应的财务担保，拒不改正的但未造成不良后果的；</w:t>
            </w:r>
          </w:p>
        </w:tc>
        <w:tc>
          <w:tcPr>
            <w:tcW w:w="7371" w:type="dxa"/>
            <w:tcBorders>
              <w:right w:val="single" w:color="auto" w:sz="4" w:space="0"/>
            </w:tcBorders>
            <w:vAlign w:val="center"/>
          </w:tcPr>
          <w:p w14:paraId="4AE0A545">
            <w:pPr>
              <w:spacing w:line="240" w:lineRule="exact"/>
              <w:jc w:val="center"/>
              <w:rPr>
                <w:rFonts w:ascii="宋体"/>
                <w:kern w:val="0"/>
              </w:rPr>
            </w:pPr>
            <w:r>
              <w:rPr>
                <w:rFonts w:hint="eastAsia" w:ascii="宋体"/>
                <w:kern w:val="0"/>
              </w:rPr>
              <w:t>5-10万元</w:t>
            </w:r>
          </w:p>
        </w:tc>
      </w:tr>
      <w:tr w14:paraId="6E1A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0" w:hRule="atLeast"/>
        </w:trPr>
        <w:tc>
          <w:tcPr>
            <w:tcW w:w="1475" w:type="dxa"/>
            <w:vMerge w:val="continue"/>
            <w:vAlign w:val="center"/>
          </w:tcPr>
          <w:p w14:paraId="7162994F">
            <w:pPr>
              <w:spacing w:line="240" w:lineRule="exact"/>
              <w:jc w:val="left"/>
              <w:rPr>
                <w:rFonts w:ascii="宋体"/>
                <w:kern w:val="0"/>
              </w:rPr>
            </w:pPr>
          </w:p>
        </w:tc>
        <w:tc>
          <w:tcPr>
            <w:tcW w:w="1559" w:type="dxa"/>
            <w:vMerge w:val="continue"/>
            <w:vAlign w:val="center"/>
          </w:tcPr>
          <w:p w14:paraId="71184C99">
            <w:pPr>
              <w:spacing w:line="240" w:lineRule="exact"/>
              <w:jc w:val="left"/>
              <w:rPr>
                <w:rFonts w:ascii="宋体"/>
                <w:kern w:val="0"/>
              </w:rPr>
            </w:pPr>
          </w:p>
        </w:tc>
        <w:tc>
          <w:tcPr>
            <w:tcW w:w="1701" w:type="dxa"/>
            <w:vMerge w:val="continue"/>
            <w:vAlign w:val="center"/>
          </w:tcPr>
          <w:p w14:paraId="4F8924B4">
            <w:pPr>
              <w:spacing w:line="240" w:lineRule="exact"/>
              <w:jc w:val="left"/>
              <w:rPr>
                <w:rFonts w:ascii="宋体"/>
                <w:kern w:val="0"/>
              </w:rPr>
            </w:pPr>
          </w:p>
        </w:tc>
        <w:tc>
          <w:tcPr>
            <w:tcW w:w="1134" w:type="dxa"/>
            <w:vMerge w:val="continue"/>
            <w:vAlign w:val="center"/>
          </w:tcPr>
          <w:p w14:paraId="41C781F4">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279A3992">
            <w:pPr>
              <w:widowControl/>
              <w:spacing w:line="240" w:lineRule="exact"/>
              <w:jc w:val="left"/>
              <w:rPr>
                <w:rFonts w:ascii="宋体"/>
                <w:kern w:val="0"/>
              </w:rPr>
            </w:pPr>
            <w:r>
              <w:rPr>
                <w:rFonts w:hint="eastAsia" w:ascii="宋体"/>
                <w:kern w:val="0"/>
              </w:rPr>
              <w:t>载运散装持久性油类物质的船舶未按照规定投保船舶油污损害民事责任保险或者取得相应的财务担保，拒不改正的但未造成不良后果的；</w:t>
            </w:r>
          </w:p>
        </w:tc>
        <w:tc>
          <w:tcPr>
            <w:tcW w:w="7371" w:type="dxa"/>
            <w:tcBorders>
              <w:right w:val="single" w:color="auto" w:sz="4" w:space="0"/>
            </w:tcBorders>
            <w:vAlign w:val="center"/>
          </w:tcPr>
          <w:p w14:paraId="19257E6C">
            <w:pPr>
              <w:spacing w:line="240" w:lineRule="exact"/>
              <w:jc w:val="center"/>
              <w:rPr>
                <w:rFonts w:ascii="宋体"/>
                <w:kern w:val="0"/>
              </w:rPr>
            </w:pPr>
            <w:r>
              <w:rPr>
                <w:rFonts w:hint="eastAsia" w:ascii="宋体"/>
                <w:kern w:val="0"/>
              </w:rPr>
              <w:t>8-15万元</w:t>
            </w:r>
          </w:p>
        </w:tc>
      </w:tr>
      <w:tr w14:paraId="0DBE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8" w:hRule="atLeast"/>
        </w:trPr>
        <w:tc>
          <w:tcPr>
            <w:tcW w:w="1475" w:type="dxa"/>
            <w:vMerge w:val="continue"/>
            <w:vAlign w:val="center"/>
          </w:tcPr>
          <w:p w14:paraId="4F3CDB1C">
            <w:pPr>
              <w:spacing w:line="240" w:lineRule="exact"/>
              <w:jc w:val="left"/>
              <w:rPr>
                <w:rFonts w:ascii="宋体"/>
                <w:kern w:val="0"/>
              </w:rPr>
            </w:pPr>
          </w:p>
        </w:tc>
        <w:tc>
          <w:tcPr>
            <w:tcW w:w="1559" w:type="dxa"/>
            <w:vMerge w:val="continue"/>
            <w:vAlign w:val="center"/>
          </w:tcPr>
          <w:p w14:paraId="5B20E4BC">
            <w:pPr>
              <w:spacing w:line="240" w:lineRule="exact"/>
              <w:jc w:val="left"/>
              <w:rPr>
                <w:rFonts w:ascii="宋体"/>
                <w:kern w:val="0"/>
              </w:rPr>
            </w:pPr>
          </w:p>
        </w:tc>
        <w:tc>
          <w:tcPr>
            <w:tcW w:w="1701" w:type="dxa"/>
            <w:vMerge w:val="continue"/>
            <w:vAlign w:val="center"/>
          </w:tcPr>
          <w:p w14:paraId="13EB6AE6">
            <w:pPr>
              <w:spacing w:line="240" w:lineRule="exact"/>
              <w:jc w:val="left"/>
              <w:rPr>
                <w:rFonts w:ascii="宋体"/>
                <w:kern w:val="0"/>
              </w:rPr>
            </w:pPr>
          </w:p>
        </w:tc>
        <w:tc>
          <w:tcPr>
            <w:tcW w:w="1134" w:type="dxa"/>
            <w:vMerge w:val="continue"/>
            <w:vAlign w:val="center"/>
          </w:tcPr>
          <w:p w14:paraId="7DBB481C">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0BBD2C4B">
            <w:pPr>
              <w:widowControl/>
              <w:spacing w:line="240" w:lineRule="exact"/>
              <w:jc w:val="left"/>
              <w:rPr>
                <w:rFonts w:ascii="宋体"/>
                <w:kern w:val="0"/>
              </w:rPr>
            </w:pPr>
            <w:r>
              <w:rPr>
                <w:rFonts w:hint="eastAsia" w:ascii="宋体"/>
                <w:kern w:val="0"/>
              </w:rPr>
              <w:t>1.已造成不良后果且拒不改正的；</w:t>
            </w:r>
          </w:p>
          <w:p w14:paraId="0C48A634">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14:paraId="6EE87903">
            <w:pPr>
              <w:spacing w:line="240" w:lineRule="exact"/>
              <w:jc w:val="center"/>
              <w:rPr>
                <w:rFonts w:ascii="宋体"/>
              </w:rPr>
            </w:pPr>
            <w:r>
              <w:rPr>
                <w:rFonts w:hint="eastAsia" w:ascii="宋体"/>
              </w:rPr>
              <w:t>10-25万元</w:t>
            </w:r>
          </w:p>
        </w:tc>
      </w:tr>
    </w:tbl>
    <w:p w14:paraId="30A5B1E9">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559"/>
        <w:gridCol w:w="1701"/>
        <w:gridCol w:w="1134"/>
        <w:gridCol w:w="7229"/>
        <w:gridCol w:w="7371"/>
      </w:tblGrid>
      <w:tr w14:paraId="43D6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14:paraId="48AAEAF0">
            <w:pPr>
              <w:spacing w:line="240" w:lineRule="exact"/>
              <w:jc w:val="center"/>
              <w:rPr>
                <w:rFonts w:ascii="宋体"/>
                <w:b/>
                <w:kern w:val="0"/>
              </w:rPr>
            </w:pPr>
            <w:r>
              <w:rPr>
                <w:rFonts w:hint="eastAsia" w:ascii="宋体"/>
                <w:b/>
                <w:kern w:val="0"/>
              </w:rPr>
              <w:t>案由97</w:t>
            </w:r>
          </w:p>
        </w:tc>
        <w:tc>
          <w:tcPr>
            <w:tcW w:w="3260" w:type="dxa"/>
            <w:gridSpan w:val="2"/>
            <w:vAlign w:val="center"/>
          </w:tcPr>
          <w:p w14:paraId="5C1DE2F2">
            <w:pPr>
              <w:spacing w:line="240" w:lineRule="exact"/>
              <w:jc w:val="center"/>
              <w:rPr>
                <w:rFonts w:ascii="宋体"/>
                <w:b/>
                <w:kern w:val="0"/>
              </w:rPr>
            </w:pPr>
            <w:r>
              <w:rPr>
                <w:rFonts w:hint="eastAsia" w:ascii="宋体"/>
                <w:b/>
                <w:kern w:val="0"/>
              </w:rPr>
              <w:t>法律依据</w:t>
            </w:r>
          </w:p>
        </w:tc>
        <w:tc>
          <w:tcPr>
            <w:tcW w:w="1134" w:type="dxa"/>
            <w:vMerge w:val="restart"/>
            <w:vAlign w:val="center"/>
          </w:tcPr>
          <w:p w14:paraId="0D37A781">
            <w:pPr>
              <w:spacing w:line="240" w:lineRule="exact"/>
              <w:jc w:val="center"/>
              <w:rPr>
                <w:rFonts w:ascii="宋体"/>
                <w:b/>
                <w:kern w:val="0"/>
              </w:rPr>
            </w:pPr>
            <w:r>
              <w:rPr>
                <w:rFonts w:hint="eastAsia" w:ascii="宋体"/>
                <w:b/>
                <w:kern w:val="0"/>
              </w:rPr>
              <w:t>违法情节</w:t>
            </w:r>
          </w:p>
        </w:tc>
        <w:tc>
          <w:tcPr>
            <w:tcW w:w="7229" w:type="dxa"/>
            <w:vMerge w:val="restart"/>
            <w:vAlign w:val="center"/>
          </w:tcPr>
          <w:p w14:paraId="61AA2BE6">
            <w:pPr>
              <w:spacing w:line="240" w:lineRule="exact"/>
              <w:jc w:val="center"/>
              <w:rPr>
                <w:rFonts w:ascii="宋体"/>
                <w:b/>
                <w:kern w:val="0"/>
              </w:rPr>
            </w:pPr>
            <w:r>
              <w:rPr>
                <w:rFonts w:hint="eastAsia" w:ascii="宋体"/>
                <w:b/>
                <w:kern w:val="0"/>
              </w:rPr>
              <w:t>主要考虑因素（事实、性质、情节、危害程度和实际后果等）</w:t>
            </w:r>
          </w:p>
        </w:tc>
        <w:tc>
          <w:tcPr>
            <w:tcW w:w="7371" w:type="dxa"/>
            <w:vAlign w:val="center"/>
          </w:tcPr>
          <w:p w14:paraId="5D17505D">
            <w:pPr>
              <w:spacing w:line="240" w:lineRule="exact"/>
              <w:jc w:val="left"/>
              <w:rPr>
                <w:rFonts w:ascii="宋体"/>
                <w:b/>
                <w:kern w:val="0"/>
              </w:rPr>
            </w:pPr>
            <w:r>
              <w:rPr>
                <w:rFonts w:hint="eastAsia" w:ascii="宋体"/>
                <w:b/>
                <w:kern w:val="0"/>
              </w:rPr>
              <w:t>【法定幅度和种类】</w:t>
            </w:r>
            <w:r>
              <w:rPr>
                <w:rFonts w:hint="eastAsia" w:ascii="宋体"/>
                <w:bCs/>
                <w:kern w:val="0"/>
              </w:rPr>
              <w:t>由海事管理机构责令改正，可以处5万元以下的罚款；拒不改正的，处5万元以上25万元以下的罚款。</w:t>
            </w:r>
          </w:p>
        </w:tc>
      </w:tr>
      <w:tr w14:paraId="60F0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0" w:hRule="atLeast"/>
        </w:trPr>
        <w:tc>
          <w:tcPr>
            <w:tcW w:w="1475" w:type="dxa"/>
            <w:vMerge w:val="continue"/>
            <w:tcBorders>
              <w:bottom w:val="single" w:color="000000" w:sz="4" w:space="0"/>
            </w:tcBorders>
            <w:vAlign w:val="center"/>
          </w:tcPr>
          <w:p w14:paraId="33D62363">
            <w:pPr>
              <w:spacing w:line="240" w:lineRule="exact"/>
              <w:jc w:val="left"/>
              <w:rPr>
                <w:rFonts w:ascii="宋体"/>
                <w:b/>
                <w:kern w:val="0"/>
              </w:rPr>
            </w:pPr>
          </w:p>
        </w:tc>
        <w:tc>
          <w:tcPr>
            <w:tcW w:w="1559" w:type="dxa"/>
            <w:tcBorders>
              <w:bottom w:val="single" w:color="000000" w:sz="4" w:space="0"/>
            </w:tcBorders>
            <w:vAlign w:val="center"/>
          </w:tcPr>
          <w:p w14:paraId="2DB5272E">
            <w:pPr>
              <w:spacing w:line="240" w:lineRule="exact"/>
              <w:jc w:val="center"/>
              <w:rPr>
                <w:rFonts w:ascii="宋体"/>
                <w:b/>
                <w:kern w:val="0"/>
              </w:rPr>
            </w:pPr>
            <w:r>
              <w:rPr>
                <w:rFonts w:hint="eastAsia" w:ascii="宋体"/>
                <w:b/>
                <w:kern w:val="0"/>
              </w:rPr>
              <w:t>违反条款</w:t>
            </w:r>
          </w:p>
        </w:tc>
        <w:tc>
          <w:tcPr>
            <w:tcW w:w="1701" w:type="dxa"/>
            <w:tcBorders>
              <w:bottom w:val="single" w:color="000000" w:sz="4" w:space="0"/>
            </w:tcBorders>
            <w:vAlign w:val="center"/>
          </w:tcPr>
          <w:p w14:paraId="6A5EA127">
            <w:pPr>
              <w:spacing w:line="240" w:lineRule="exact"/>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598DBE07">
            <w:pPr>
              <w:spacing w:line="240" w:lineRule="exact"/>
              <w:jc w:val="left"/>
              <w:rPr>
                <w:rFonts w:ascii="宋体"/>
                <w:b/>
                <w:kern w:val="0"/>
              </w:rPr>
            </w:pPr>
          </w:p>
        </w:tc>
        <w:tc>
          <w:tcPr>
            <w:tcW w:w="7229" w:type="dxa"/>
            <w:vMerge w:val="continue"/>
            <w:tcBorders>
              <w:bottom w:val="single" w:color="000000" w:sz="4" w:space="0"/>
            </w:tcBorders>
            <w:vAlign w:val="center"/>
          </w:tcPr>
          <w:p w14:paraId="1EB273C9">
            <w:pPr>
              <w:spacing w:line="240" w:lineRule="exact"/>
              <w:jc w:val="left"/>
              <w:rPr>
                <w:rFonts w:ascii="宋体"/>
                <w:b/>
                <w:kern w:val="0"/>
              </w:rPr>
            </w:pPr>
          </w:p>
        </w:tc>
        <w:tc>
          <w:tcPr>
            <w:tcW w:w="7371" w:type="dxa"/>
            <w:tcBorders>
              <w:top w:val="single" w:color="auto" w:sz="4" w:space="0"/>
              <w:right w:val="single" w:color="auto" w:sz="4" w:space="0"/>
            </w:tcBorders>
            <w:vAlign w:val="center"/>
          </w:tcPr>
          <w:p w14:paraId="4DC76181">
            <w:pPr>
              <w:spacing w:line="240" w:lineRule="exact"/>
              <w:jc w:val="center"/>
              <w:rPr>
                <w:rFonts w:ascii="宋体"/>
                <w:b/>
                <w:kern w:val="0"/>
              </w:rPr>
            </w:pPr>
            <w:r>
              <w:rPr>
                <w:rFonts w:hint="eastAsia" w:ascii="宋体"/>
                <w:b/>
                <w:kern w:val="0"/>
              </w:rPr>
              <w:t>【对象】船舶所有人</w:t>
            </w:r>
          </w:p>
        </w:tc>
      </w:tr>
      <w:tr w14:paraId="2B43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14:paraId="704F575D">
            <w:pPr>
              <w:widowControl/>
              <w:spacing w:line="240" w:lineRule="exact"/>
              <w:jc w:val="left"/>
              <w:rPr>
                <w:rFonts w:ascii="宋体"/>
                <w:kern w:val="0"/>
              </w:rPr>
            </w:pPr>
            <w:r>
              <w:rPr>
                <w:rFonts w:hint="eastAsia" w:ascii="宋体"/>
                <w:kern w:val="0"/>
              </w:rPr>
              <w:t>船舶所有人投保船舶油污损害民事责任保险或者取得的财务担保的额度低于《中华人民共和国海商法》、中华人民共和国缔结或者参加的有关国际条约规定的油污赔偿限额的</w:t>
            </w:r>
          </w:p>
        </w:tc>
        <w:tc>
          <w:tcPr>
            <w:tcW w:w="1559" w:type="dxa"/>
            <w:vMerge w:val="restart"/>
            <w:vAlign w:val="center"/>
          </w:tcPr>
          <w:p w14:paraId="65131ED3">
            <w:pPr>
              <w:widowControl/>
              <w:spacing w:line="240" w:lineRule="exact"/>
              <w:rPr>
                <w:rFonts w:ascii="宋体"/>
              </w:rPr>
            </w:pPr>
            <w:r>
              <w:rPr>
                <w:rFonts w:hint="eastAsia" w:ascii="宋体"/>
                <w:kern w:val="0"/>
              </w:rPr>
              <w:t>1.《防治船舶污染海洋环境管理条例》第五十一条第二款。</w:t>
            </w:r>
          </w:p>
        </w:tc>
        <w:tc>
          <w:tcPr>
            <w:tcW w:w="1701" w:type="dxa"/>
            <w:vMerge w:val="restart"/>
            <w:vAlign w:val="center"/>
          </w:tcPr>
          <w:p w14:paraId="047E6892">
            <w:pPr>
              <w:spacing w:line="240" w:lineRule="exact"/>
              <w:jc w:val="left"/>
              <w:rPr>
                <w:rFonts w:ascii="宋体"/>
                <w:kern w:val="0"/>
              </w:rPr>
            </w:pPr>
            <w:r>
              <w:rPr>
                <w:rFonts w:hint="eastAsia" w:ascii="宋体"/>
                <w:kern w:val="0"/>
              </w:rPr>
              <w:t>1.《防治船舶污染海洋环境管理条例》第七十一条第（二）项；</w:t>
            </w:r>
          </w:p>
          <w:p w14:paraId="5CE86A48">
            <w:pPr>
              <w:spacing w:line="240" w:lineRule="exact"/>
              <w:jc w:val="left"/>
              <w:rPr>
                <w:rFonts w:ascii="宋体"/>
                <w:kern w:val="0"/>
              </w:rPr>
            </w:pPr>
            <w:r>
              <w:rPr>
                <w:rFonts w:hint="eastAsia" w:ascii="宋体"/>
                <w:kern w:val="0"/>
              </w:rPr>
              <w:t>2. 《中华人民共和国海上海事行政处罚规定》第七条。</w:t>
            </w:r>
          </w:p>
        </w:tc>
        <w:tc>
          <w:tcPr>
            <w:tcW w:w="1134" w:type="dxa"/>
            <w:vAlign w:val="center"/>
          </w:tcPr>
          <w:p w14:paraId="683F1AFF">
            <w:pPr>
              <w:spacing w:line="240" w:lineRule="exact"/>
              <w:jc w:val="center"/>
              <w:rPr>
                <w:rFonts w:ascii="宋体"/>
                <w:kern w:val="0"/>
              </w:rPr>
            </w:pPr>
            <w:r>
              <w:rPr>
                <w:rFonts w:hint="eastAsia" w:ascii="宋体"/>
                <w:kern w:val="0"/>
              </w:rPr>
              <w:t>从轻</w:t>
            </w:r>
          </w:p>
        </w:tc>
        <w:tc>
          <w:tcPr>
            <w:tcW w:w="7229" w:type="dxa"/>
            <w:vAlign w:val="center"/>
          </w:tcPr>
          <w:p w14:paraId="61D07F77">
            <w:pPr>
              <w:widowControl/>
              <w:spacing w:line="240" w:lineRule="exact"/>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7371" w:type="dxa"/>
            <w:tcBorders>
              <w:right w:val="single" w:color="auto" w:sz="4" w:space="0"/>
            </w:tcBorders>
            <w:vAlign w:val="center"/>
          </w:tcPr>
          <w:p w14:paraId="680B6959">
            <w:pPr>
              <w:spacing w:line="240" w:lineRule="exact"/>
              <w:jc w:val="center"/>
              <w:rPr>
                <w:rFonts w:ascii="宋体"/>
                <w:kern w:val="0"/>
              </w:rPr>
            </w:pPr>
            <w:r>
              <w:rPr>
                <w:rFonts w:hint="eastAsia" w:ascii="宋体"/>
                <w:kern w:val="0"/>
              </w:rPr>
              <w:t>5000元-1万元</w:t>
            </w:r>
          </w:p>
        </w:tc>
      </w:tr>
      <w:tr w14:paraId="07F1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3" w:hRule="atLeast"/>
        </w:trPr>
        <w:tc>
          <w:tcPr>
            <w:tcW w:w="1475" w:type="dxa"/>
            <w:vMerge w:val="continue"/>
            <w:vAlign w:val="center"/>
          </w:tcPr>
          <w:p w14:paraId="00B9EEB0">
            <w:pPr>
              <w:spacing w:line="240" w:lineRule="exact"/>
              <w:jc w:val="left"/>
              <w:rPr>
                <w:rFonts w:ascii="宋体"/>
                <w:kern w:val="0"/>
              </w:rPr>
            </w:pPr>
          </w:p>
        </w:tc>
        <w:tc>
          <w:tcPr>
            <w:tcW w:w="1559" w:type="dxa"/>
            <w:vMerge w:val="continue"/>
            <w:vAlign w:val="center"/>
          </w:tcPr>
          <w:p w14:paraId="0441320D">
            <w:pPr>
              <w:widowControl/>
              <w:spacing w:line="240" w:lineRule="exact"/>
              <w:jc w:val="left"/>
              <w:rPr>
                <w:rFonts w:ascii="宋体"/>
                <w:kern w:val="0"/>
              </w:rPr>
            </w:pPr>
          </w:p>
        </w:tc>
        <w:tc>
          <w:tcPr>
            <w:tcW w:w="1701" w:type="dxa"/>
            <w:vMerge w:val="continue"/>
            <w:vAlign w:val="center"/>
          </w:tcPr>
          <w:p w14:paraId="18EA326F">
            <w:pPr>
              <w:spacing w:line="240" w:lineRule="exact"/>
              <w:jc w:val="left"/>
              <w:rPr>
                <w:rFonts w:ascii="宋体"/>
                <w:kern w:val="0"/>
              </w:rPr>
            </w:pPr>
          </w:p>
        </w:tc>
        <w:tc>
          <w:tcPr>
            <w:tcW w:w="1134" w:type="dxa"/>
            <w:vMerge w:val="restart"/>
            <w:vAlign w:val="center"/>
          </w:tcPr>
          <w:p w14:paraId="5FF8F7D3">
            <w:pPr>
              <w:spacing w:line="240" w:lineRule="exact"/>
              <w:jc w:val="center"/>
              <w:rPr>
                <w:rFonts w:ascii="宋体"/>
                <w:kern w:val="0"/>
              </w:rPr>
            </w:pPr>
            <w:r>
              <w:rPr>
                <w:rFonts w:hint="eastAsia" w:ascii="宋体"/>
                <w:kern w:val="0"/>
              </w:rPr>
              <w:t>一般</w:t>
            </w:r>
          </w:p>
        </w:tc>
        <w:tc>
          <w:tcPr>
            <w:tcW w:w="7229" w:type="dxa"/>
            <w:vAlign w:val="center"/>
          </w:tcPr>
          <w:p w14:paraId="053CFDCB">
            <w:pPr>
              <w:widowControl/>
              <w:spacing w:line="240" w:lineRule="exact"/>
              <w:jc w:val="left"/>
              <w:rPr>
                <w:rFonts w:ascii="宋体"/>
                <w:kern w:val="0"/>
              </w:rPr>
            </w:pPr>
            <w:r>
              <w:rPr>
                <w:rFonts w:hint="eastAsia" w:ascii="宋体"/>
                <w:kern w:val="0"/>
              </w:rPr>
              <w:t>载运非持久性油类物质的船舶，以及1000总吨及以上载运非油类物质的船舶投保额度低于油污赔偿限额，但及时改正未造成不良后果的</w:t>
            </w:r>
          </w:p>
        </w:tc>
        <w:tc>
          <w:tcPr>
            <w:tcW w:w="7371" w:type="dxa"/>
            <w:tcBorders>
              <w:right w:val="single" w:color="auto" w:sz="4" w:space="0"/>
            </w:tcBorders>
            <w:vAlign w:val="center"/>
          </w:tcPr>
          <w:p w14:paraId="01F25F3D">
            <w:pPr>
              <w:spacing w:line="240" w:lineRule="exact"/>
              <w:jc w:val="center"/>
              <w:rPr>
                <w:rFonts w:ascii="宋体"/>
                <w:kern w:val="0"/>
              </w:rPr>
            </w:pPr>
            <w:r>
              <w:rPr>
                <w:rFonts w:hint="eastAsia" w:ascii="宋体"/>
                <w:kern w:val="0"/>
              </w:rPr>
              <w:t>1-1.5万元</w:t>
            </w:r>
          </w:p>
        </w:tc>
      </w:tr>
      <w:tr w14:paraId="3F1B3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3" w:hRule="atLeast"/>
        </w:trPr>
        <w:tc>
          <w:tcPr>
            <w:tcW w:w="1475" w:type="dxa"/>
            <w:vMerge w:val="continue"/>
            <w:vAlign w:val="center"/>
          </w:tcPr>
          <w:p w14:paraId="249CB1FF">
            <w:pPr>
              <w:spacing w:line="240" w:lineRule="exact"/>
              <w:jc w:val="left"/>
              <w:rPr>
                <w:rFonts w:ascii="宋体"/>
                <w:kern w:val="0"/>
              </w:rPr>
            </w:pPr>
          </w:p>
        </w:tc>
        <w:tc>
          <w:tcPr>
            <w:tcW w:w="1559" w:type="dxa"/>
            <w:vMerge w:val="continue"/>
            <w:vAlign w:val="center"/>
          </w:tcPr>
          <w:p w14:paraId="0EFA5AF5">
            <w:pPr>
              <w:spacing w:line="240" w:lineRule="exact"/>
              <w:jc w:val="left"/>
              <w:rPr>
                <w:rFonts w:ascii="宋体"/>
                <w:kern w:val="0"/>
              </w:rPr>
            </w:pPr>
          </w:p>
        </w:tc>
        <w:tc>
          <w:tcPr>
            <w:tcW w:w="1701" w:type="dxa"/>
            <w:vMerge w:val="continue"/>
            <w:vAlign w:val="center"/>
          </w:tcPr>
          <w:p w14:paraId="0D00AFC3">
            <w:pPr>
              <w:spacing w:line="240" w:lineRule="exact"/>
              <w:jc w:val="left"/>
              <w:rPr>
                <w:rFonts w:ascii="宋体"/>
                <w:kern w:val="0"/>
              </w:rPr>
            </w:pPr>
          </w:p>
        </w:tc>
        <w:tc>
          <w:tcPr>
            <w:tcW w:w="1134" w:type="dxa"/>
            <w:vMerge w:val="continue"/>
            <w:vAlign w:val="center"/>
          </w:tcPr>
          <w:p w14:paraId="6889DB3C">
            <w:pPr>
              <w:spacing w:line="240" w:lineRule="exact"/>
              <w:jc w:val="center"/>
              <w:rPr>
                <w:rFonts w:ascii="宋体"/>
                <w:kern w:val="0"/>
              </w:rPr>
            </w:pPr>
          </w:p>
        </w:tc>
        <w:tc>
          <w:tcPr>
            <w:tcW w:w="7229" w:type="dxa"/>
            <w:tcBorders>
              <w:top w:val="single" w:color="auto" w:sz="4" w:space="0"/>
              <w:bottom w:val="single" w:color="auto" w:sz="4" w:space="0"/>
            </w:tcBorders>
            <w:vAlign w:val="center"/>
          </w:tcPr>
          <w:p w14:paraId="0113F12E">
            <w:pPr>
              <w:widowControl/>
              <w:spacing w:line="240" w:lineRule="exact"/>
              <w:jc w:val="left"/>
              <w:rPr>
                <w:rFonts w:ascii="宋体"/>
                <w:kern w:val="0"/>
              </w:rPr>
            </w:pPr>
            <w:r>
              <w:rPr>
                <w:rFonts w:hint="eastAsia" w:ascii="宋体"/>
                <w:kern w:val="0"/>
              </w:rPr>
              <w:t>载运散装持久性油类物质的船舶投保额度低于油污赔偿限额，但及时改正未造成不良后果的</w:t>
            </w:r>
          </w:p>
        </w:tc>
        <w:tc>
          <w:tcPr>
            <w:tcW w:w="7371" w:type="dxa"/>
            <w:tcBorders>
              <w:top w:val="single" w:color="auto" w:sz="4" w:space="0"/>
              <w:right w:val="single" w:color="auto" w:sz="4" w:space="0"/>
            </w:tcBorders>
            <w:vAlign w:val="center"/>
          </w:tcPr>
          <w:p w14:paraId="32B5BCE4">
            <w:pPr>
              <w:spacing w:line="240" w:lineRule="exact"/>
              <w:jc w:val="center"/>
              <w:rPr>
                <w:rFonts w:ascii="宋体"/>
                <w:kern w:val="0"/>
              </w:rPr>
            </w:pPr>
            <w:r>
              <w:rPr>
                <w:rFonts w:hint="eastAsia" w:ascii="宋体"/>
                <w:kern w:val="0"/>
              </w:rPr>
              <w:t>1.5-2万元</w:t>
            </w:r>
          </w:p>
        </w:tc>
      </w:tr>
      <w:tr w14:paraId="6544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9" w:hRule="atLeast"/>
        </w:trPr>
        <w:tc>
          <w:tcPr>
            <w:tcW w:w="1475" w:type="dxa"/>
            <w:vMerge w:val="continue"/>
            <w:vAlign w:val="center"/>
          </w:tcPr>
          <w:p w14:paraId="3257C997">
            <w:pPr>
              <w:spacing w:line="240" w:lineRule="exact"/>
              <w:jc w:val="left"/>
              <w:rPr>
                <w:rFonts w:ascii="宋体"/>
                <w:kern w:val="0"/>
              </w:rPr>
            </w:pPr>
          </w:p>
        </w:tc>
        <w:tc>
          <w:tcPr>
            <w:tcW w:w="1559" w:type="dxa"/>
            <w:vMerge w:val="continue"/>
            <w:vAlign w:val="center"/>
          </w:tcPr>
          <w:p w14:paraId="4748C9C8">
            <w:pPr>
              <w:spacing w:line="240" w:lineRule="exact"/>
              <w:jc w:val="left"/>
              <w:rPr>
                <w:rFonts w:ascii="宋体"/>
                <w:kern w:val="0"/>
              </w:rPr>
            </w:pPr>
          </w:p>
        </w:tc>
        <w:tc>
          <w:tcPr>
            <w:tcW w:w="1701" w:type="dxa"/>
            <w:vMerge w:val="continue"/>
            <w:vAlign w:val="center"/>
          </w:tcPr>
          <w:p w14:paraId="420EC4A1">
            <w:pPr>
              <w:spacing w:line="240" w:lineRule="exact"/>
              <w:jc w:val="left"/>
              <w:rPr>
                <w:rFonts w:ascii="宋体"/>
                <w:kern w:val="0"/>
              </w:rPr>
            </w:pPr>
          </w:p>
        </w:tc>
        <w:tc>
          <w:tcPr>
            <w:tcW w:w="1134" w:type="dxa"/>
            <w:vMerge w:val="continue"/>
            <w:vAlign w:val="center"/>
          </w:tcPr>
          <w:p w14:paraId="037FFDFF">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3B182DA1">
            <w:pPr>
              <w:widowControl/>
              <w:spacing w:line="240" w:lineRule="exact"/>
              <w:jc w:val="left"/>
              <w:rPr>
                <w:rFonts w:ascii="宋体"/>
                <w:kern w:val="0"/>
              </w:rPr>
            </w:pPr>
            <w:r>
              <w:rPr>
                <w:rFonts w:hint="eastAsia" w:ascii="宋体"/>
                <w:kern w:val="0"/>
              </w:rPr>
              <w:t>1.虽及时改正，但已造成不良后果的的</w:t>
            </w:r>
          </w:p>
          <w:p w14:paraId="767B5503">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14:paraId="25656E59">
            <w:pPr>
              <w:spacing w:line="240" w:lineRule="exact"/>
              <w:jc w:val="center"/>
              <w:rPr>
                <w:rFonts w:ascii="宋体"/>
                <w:kern w:val="0"/>
              </w:rPr>
            </w:pPr>
            <w:r>
              <w:rPr>
                <w:rFonts w:hint="eastAsia" w:ascii="宋体"/>
                <w:kern w:val="0"/>
              </w:rPr>
              <w:t>2-5万元</w:t>
            </w:r>
          </w:p>
        </w:tc>
      </w:tr>
      <w:tr w14:paraId="2DFC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1" w:hRule="atLeast"/>
        </w:trPr>
        <w:tc>
          <w:tcPr>
            <w:tcW w:w="1475" w:type="dxa"/>
            <w:vMerge w:val="continue"/>
            <w:vAlign w:val="center"/>
          </w:tcPr>
          <w:p w14:paraId="18FDC040">
            <w:pPr>
              <w:spacing w:line="240" w:lineRule="exact"/>
              <w:jc w:val="left"/>
              <w:rPr>
                <w:rFonts w:ascii="宋体"/>
                <w:kern w:val="0"/>
              </w:rPr>
            </w:pPr>
          </w:p>
        </w:tc>
        <w:tc>
          <w:tcPr>
            <w:tcW w:w="1559" w:type="dxa"/>
            <w:vMerge w:val="continue"/>
            <w:vAlign w:val="center"/>
          </w:tcPr>
          <w:p w14:paraId="35A643FA">
            <w:pPr>
              <w:spacing w:line="240" w:lineRule="exact"/>
              <w:jc w:val="left"/>
              <w:rPr>
                <w:rFonts w:ascii="宋体"/>
                <w:kern w:val="0"/>
              </w:rPr>
            </w:pPr>
          </w:p>
        </w:tc>
        <w:tc>
          <w:tcPr>
            <w:tcW w:w="1701" w:type="dxa"/>
            <w:vMerge w:val="continue"/>
            <w:vAlign w:val="center"/>
          </w:tcPr>
          <w:p w14:paraId="3D393C5A">
            <w:pPr>
              <w:spacing w:line="240" w:lineRule="exact"/>
              <w:jc w:val="left"/>
              <w:rPr>
                <w:rFonts w:ascii="宋体"/>
                <w:kern w:val="0"/>
              </w:rPr>
            </w:pPr>
          </w:p>
        </w:tc>
        <w:tc>
          <w:tcPr>
            <w:tcW w:w="1134" w:type="dxa"/>
            <w:vMerge w:val="restart"/>
            <w:vAlign w:val="center"/>
          </w:tcPr>
          <w:p w14:paraId="7BA07F3E">
            <w:pPr>
              <w:spacing w:line="240" w:lineRule="exact"/>
              <w:jc w:val="center"/>
              <w:rPr>
                <w:rFonts w:ascii="宋体"/>
                <w:kern w:val="0"/>
              </w:rPr>
            </w:pPr>
            <w:r>
              <w:rPr>
                <w:rFonts w:hint="eastAsia" w:ascii="宋体"/>
                <w:kern w:val="0"/>
              </w:rPr>
              <w:t>拒不改正</w:t>
            </w:r>
          </w:p>
        </w:tc>
        <w:tc>
          <w:tcPr>
            <w:tcW w:w="7229" w:type="dxa"/>
            <w:tcBorders>
              <w:top w:val="single" w:color="auto" w:sz="4" w:space="0"/>
              <w:bottom w:val="single" w:color="auto" w:sz="4" w:space="0"/>
            </w:tcBorders>
            <w:vAlign w:val="center"/>
          </w:tcPr>
          <w:p w14:paraId="3418E731">
            <w:pPr>
              <w:widowControl/>
              <w:spacing w:line="240" w:lineRule="exact"/>
              <w:jc w:val="left"/>
              <w:rPr>
                <w:rFonts w:ascii="宋体"/>
                <w:kern w:val="0"/>
              </w:rPr>
            </w:pPr>
            <w:r>
              <w:rPr>
                <w:rFonts w:hint="eastAsia" w:ascii="宋体"/>
                <w:kern w:val="0"/>
              </w:rPr>
              <w:t>载运非持久性油类物质的船舶，以及1000总吨及以上载运非油类物质的船舶投保额度低于油污赔偿限额，拒不改正但未造成不良后果的</w:t>
            </w:r>
          </w:p>
        </w:tc>
        <w:tc>
          <w:tcPr>
            <w:tcW w:w="7371" w:type="dxa"/>
            <w:tcBorders>
              <w:right w:val="single" w:color="auto" w:sz="4" w:space="0"/>
            </w:tcBorders>
            <w:vAlign w:val="center"/>
          </w:tcPr>
          <w:p w14:paraId="48F4DCF7">
            <w:pPr>
              <w:spacing w:line="240" w:lineRule="exact"/>
              <w:jc w:val="center"/>
              <w:rPr>
                <w:rFonts w:ascii="宋体"/>
                <w:kern w:val="0"/>
              </w:rPr>
            </w:pPr>
            <w:r>
              <w:rPr>
                <w:rFonts w:hint="eastAsia" w:ascii="宋体"/>
                <w:kern w:val="0"/>
              </w:rPr>
              <w:t>5-10万元</w:t>
            </w:r>
          </w:p>
        </w:tc>
      </w:tr>
      <w:tr w14:paraId="26820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0" w:hRule="atLeast"/>
        </w:trPr>
        <w:tc>
          <w:tcPr>
            <w:tcW w:w="1475" w:type="dxa"/>
            <w:vMerge w:val="continue"/>
            <w:vAlign w:val="center"/>
          </w:tcPr>
          <w:p w14:paraId="24F32666">
            <w:pPr>
              <w:spacing w:line="240" w:lineRule="exact"/>
              <w:jc w:val="left"/>
              <w:rPr>
                <w:rFonts w:ascii="宋体"/>
                <w:kern w:val="0"/>
              </w:rPr>
            </w:pPr>
          </w:p>
        </w:tc>
        <w:tc>
          <w:tcPr>
            <w:tcW w:w="1559" w:type="dxa"/>
            <w:vMerge w:val="continue"/>
            <w:vAlign w:val="center"/>
          </w:tcPr>
          <w:p w14:paraId="15DD8E1F">
            <w:pPr>
              <w:spacing w:line="240" w:lineRule="exact"/>
              <w:jc w:val="left"/>
              <w:rPr>
                <w:rFonts w:ascii="宋体"/>
                <w:kern w:val="0"/>
              </w:rPr>
            </w:pPr>
          </w:p>
        </w:tc>
        <w:tc>
          <w:tcPr>
            <w:tcW w:w="1701" w:type="dxa"/>
            <w:vMerge w:val="continue"/>
            <w:vAlign w:val="center"/>
          </w:tcPr>
          <w:p w14:paraId="4639317C">
            <w:pPr>
              <w:spacing w:line="240" w:lineRule="exact"/>
              <w:jc w:val="left"/>
              <w:rPr>
                <w:rFonts w:ascii="宋体"/>
                <w:kern w:val="0"/>
              </w:rPr>
            </w:pPr>
          </w:p>
        </w:tc>
        <w:tc>
          <w:tcPr>
            <w:tcW w:w="1134" w:type="dxa"/>
            <w:vMerge w:val="continue"/>
            <w:vAlign w:val="center"/>
          </w:tcPr>
          <w:p w14:paraId="04CD04F0">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78F327E5">
            <w:pPr>
              <w:widowControl/>
              <w:spacing w:line="240" w:lineRule="exact"/>
              <w:jc w:val="left"/>
              <w:rPr>
                <w:rFonts w:ascii="宋体"/>
                <w:kern w:val="0"/>
              </w:rPr>
            </w:pPr>
            <w:r>
              <w:rPr>
                <w:rFonts w:hint="eastAsia" w:ascii="宋体"/>
                <w:kern w:val="0"/>
              </w:rPr>
              <w:t>载运散装持久性油类物质的船舶投保额度低于油污赔偿限额，拒不改正但未造成不良后果的</w:t>
            </w:r>
          </w:p>
        </w:tc>
        <w:tc>
          <w:tcPr>
            <w:tcW w:w="7371" w:type="dxa"/>
            <w:tcBorders>
              <w:right w:val="single" w:color="auto" w:sz="4" w:space="0"/>
            </w:tcBorders>
            <w:vAlign w:val="center"/>
          </w:tcPr>
          <w:p w14:paraId="612F2EF4">
            <w:pPr>
              <w:spacing w:line="240" w:lineRule="exact"/>
              <w:jc w:val="center"/>
              <w:rPr>
                <w:rFonts w:ascii="宋体"/>
                <w:kern w:val="0"/>
              </w:rPr>
            </w:pPr>
            <w:r>
              <w:rPr>
                <w:rFonts w:hint="eastAsia" w:ascii="宋体"/>
                <w:kern w:val="0"/>
              </w:rPr>
              <w:t>8-15万元</w:t>
            </w:r>
          </w:p>
        </w:tc>
      </w:tr>
      <w:tr w14:paraId="47D2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8" w:hRule="atLeast"/>
        </w:trPr>
        <w:tc>
          <w:tcPr>
            <w:tcW w:w="1475" w:type="dxa"/>
            <w:vMerge w:val="continue"/>
            <w:vAlign w:val="center"/>
          </w:tcPr>
          <w:p w14:paraId="15137B93">
            <w:pPr>
              <w:spacing w:line="240" w:lineRule="exact"/>
              <w:jc w:val="left"/>
              <w:rPr>
                <w:rFonts w:ascii="宋体"/>
                <w:kern w:val="0"/>
              </w:rPr>
            </w:pPr>
          </w:p>
        </w:tc>
        <w:tc>
          <w:tcPr>
            <w:tcW w:w="1559" w:type="dxa"/>
            <w:vMerge w:val="continue"/>
            <w:vAlign w:val="center"/>
          </w:tcPr>
          <w:p w14:paraId="63982FE0">
            <w:pPr>
              <w:spacing w:line="240" w:lineRule="exact"/>
              <w:jc w:val="left"/>
              <w:rPr>
                <w:rFonts w:ascii="宋体"/>
                <w:kern w:val="0"/>
              </w:rPr>
            </w:pPr>
          </w:p>
        </w:tc>
        <w:tc>
          <w:tcPr>
            <w:tcW w:w="1701" w:type="dxa"/>
            <w:vMerge w:val="continue"/>
            <w:vAlign w:val="center"/>
          </w:tcPr>
          <w:p w14:paraId="0B047437">
            <w:pPr>
              <w:spacing w:line="240" w:lineRule="exact"/>
              <w:jc w:val="left"/>
              <w:rPr>
                <w:rFonts w:ascii="宋体"/>
                <w:kern w:val="0"/>
              </w:rPr>
            </w:pPr>
          </w:p>
        </w:tc>
        <w:tc>
          <w:tcPr>
            <w:tcW w:w="1134" w:type="dxa"/>
            <w:vMerge w:val="continue"/>
            <w:vAlign w:val="center"/>
          </w:tcPr>
          <w:p w14:paraId="667EF59F">
            <w:pPr>
              <w:spacing w:line="240" w:lineRule="exact"/>
              <w:jc w:val="left"/>
              <w:rPr>
                <w:rFonts w:ascii="宋体"/>
                <w:kern w:val="0"/>
              </w:rPr>
            </w:pPr>
          </w:p>
        </w:tc>
        <w:tc>
          <w:tcPr>
            <w:tcW w:w="7229" w:type="dxa"/>
            <w:tcBorders>
              <w:top w:val="single" w:color="auto" w:sz="4" w:space="0"/>
              <w:bottom w:val="single" w:color="auto" w:sz="4" w:space="0"/>
            </w:tcBorders>
            <w:vAlign w:val="center"/>
          </w:tcPr>
          <w:p w14:paraId="410F73C6">
            <w:pPr>
              <w:widowControl/>
              <w:spacing w:line="240" w:lineRule="exact"/>
              <w:jc w:val="left"/>
              <w:rPr>
                <w:rFonts w:ascii="宋体"/>
                <w:kern w:val="0"/>
              </w:rPr>
            </w:pPr>
            <w:r>
              <w:rPr>
                <w:rFonts w:hint="eastAsia" w:ascii="宋体"/>
                <w:kern w:val="0"/>
              </w:rPr>
              <w:t>1.已造成不良后果且拒不改正的</w:t>
            </w:r>
          </w:p>
          <w:p w14:paraId="6AD88E5C">
            <w:pPr>
              <w:widowControl/>
              <w:spacing w:line="240" w:lineRule="exact"/>
              <w:jc w:val="left"/>
              <w:rPr>
                <w:rFonts w:ascii="宋体"/>
                <w:kern w:val="0"/>
              </w:rPr>
            </w:pPr>
            <w:r>
              <w:rPr>
                <w:rFonts w:hint="eastAsia" w:ascii="宋体"/>
                <w:kern w:val="0"/>
              </w:rPr>
              <w:t>2.具有其他较重情节的</w:t>
            </w:r>
          </w:p>
        </w:tc>
        <w:tc>
          <w:tcPr>
            <w:tcW w:w="7371" w:type="dxa"/>
            <w:tcBorders>
              <w:right w:val="single" w:color="auto" w:sz="4" w:space="0"/>
            </w:tcBorders>
            <w:vAlign w:val="center"/>
          </w:tcPr>
          <w:p w14:paraId="3631B358">
            <w:pPr>
              <w:spacing w:line="240" w:lineRule="exact"/>
              <w:jc w:val="center"/>
              <w:rPr>
                <w:rFonts w:ascii="宋体"/>
                <w:kern w:val="0"/>
              </w:rPr>
            </w:pPr>
            <w:r>
              <w:rPr>
                <w:rFonts w:hint="eastAsia" w:ascii="宋体"/>
              </w:rPr>
              <w:t>10-25万元</w:t>
            </w:r>
          </w:p>
        </w:tc>
      </w:tr>
    </w:tbl>
    <w:p w14:paraId="434F6A49">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2584"/>
        <w:gridCol w:w="2760"/>
        <w:gridCol w:w="1163"/>
        <w:gridCol w:w="3843"/>
        <w:gridCol w:w="8677"/>
      </w:tblGrid>
      <w:tr w14:paraId="5535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919" w:type="dxa"/>
            <w:vMerge w:val="restart"/>
            <w:vAlign w:val="center"/>
          </w:tcPr>
          <w:p w14:paraId="7A55106D">
            <w:pPr>
              <w:spacing w:line="240" w:lineRule="exact"/>
              <w:jc w:val="center"/>
              <w:rPr>
                <w:rFonts w:ascii="宋体"/>
                <w:b/>
              </w:rPr>
            </w:pPr>
            <w:r>
              <w:rPr>
                <w:rFonts w:hint="eastAsia" w:ascii="宋体"/>
                <w:b/>
              </w:rPr>
              <w:t>案由98</w:t>
            </w:r>
          </w:p>
        </w:tc>
        <w:tc>
          <w:tcPr>
            <w:tcW w:w="5344" w:type="dxa"/>
            <w:gridSpan w:val="2"/>
            <w:vAlign w:val="center"/>
          </w:tcPr>
          <w:p w14:paraId="315DFF41">
            <w:pPr>
              <w:spacing w:line="240" w:lineRule="exact"/>
              <w:jc w:val="center"/>
              <w:rPr>
                <w:rFonts w:ascii="宋体"/>
                <w:b/>
              </w:rPr>
            </w:pPr>
            <w:r>
              <w:rPr>
                <w:rFonts w:hint="eastAsia" w:ascii="宋体"/>
                <w:b/>
              </w:rPr>
              <w:t>法律依据</w:t>
            </w:r>
          </w:p>
        </w:tc>
        <w:tc>
          <w:tcPr>
            <w:tcW w:w="1163" w:type="dxa"/>
            <w:vMerge w:val="restart"/>
            <w:vAlign w:val="center"/>
          </w:tcPr>
          <w:p w14:paraId="7C0CF1FF">
            <w:pPr>
              <w:spacing w:line="240" w:lineRule="exact"/>
              <w:jc w:val="center"/>
              <w:rPr>
                <w:rFonts w:ascii="宋体"/>
                <w:b/>
              </w:rPr>
            </w:pPr>
            <w:r>
              <w:rPr>
                <w:rFonts w:hint="eastAsia" w:ascii="宋体"/>
                <w:b/>
              </w:rPr>
              <w:t>违法情节</w:t>
            </w:r>
          </w:p>
        </w:tc>
        <w:tc>
          <w:tcPr>
            <w:tcW w:w="3843" w:type="dxa"/>
            <w:vMerge w:val="restart"/>
            <w:vAlign w:val="center"/>
          </w:tcPr>
          <w:p w14:paraId="31A828DB">
            <w:pPr>
              <w:spacing w:line="240" w:lineRule="exact"/>
              <w:jc w:val="center"/>
              <w:rPr>
                <w:rFonts w:ascii="宋体"/>
                <w:b/>
              </w:rPr>
            </w:pPr>
            <w:r>
              <w:rPr>
                <w:rFonts w:hint="eastAsia" w:ascii="宋体"/>
                <w:b/>
              </w:rPr>
              <w:t>主要考虑因素（事实、性质、情节、危害程度和实际后果等）</w:t>
            </w:r>
          </w:p>
        </w:tc>
        <w:tc>
          <w:tcPr>
            <w:tcW w:w="8677" w:type="dxa"/>
            <w:vMerge w:val="restart"/>
            <w:vAlign w:val="center"/>
          </w:tcPr>
          <w:p w14:paraId="1FF473E9">
            <w:pPr>
              <w:spacing w:line="240" w:lineRule="exact"/>
              <w:jc w:val="left"/>
              <w:rPr>
                <w:rFonts w:ascii="宋体"/>
              </w:rPr>
            </w:pPr>
            <w:r>
              <w:rPr>
                <w:rFonts w:hint="eastAsia" w:ascii="宋体"/>
                <w:b/>
              </w:rPr>
              <w:t>【法定幅度和种类】</w:t>
            </w:r>
            <w:r>
              <w:rPr>
                <w:rFonts w:hint="eastAsia" w:ascii="宋体"/>
              </w:rPr>
              <w:t>使用不符合标准或者要求的船舶用燃油的，由海事管理机构、渔业主管部门按照职责处一万元以上十万元以下的罚款。</w:t>
            </w:r>
          </w:p>
        </w:tc>
      </w:tr>
      <w:tr w14:paraId="7399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9" w:type="dxa"/>
            <w:vMerge w:val="continue"/>
            <w:vAlign w:val="center"/>
          </w:tcPr>
          <w:p w14:paraId="24AC460E">
            <w:pPr>
              <w:spacing w:line="240" w:lineRule="exact"/>
              <w:jc w:val="center"/>
              <w:rPr>
                <w:rFonts w:ascii="宋体"/>
              </w:rPr>
            </w:pPr>
          </w:p>
        </w:tc>
        <w:tc>
          <w:tcPr>
            <w:tcW w:w="2584" w:type="dxa"/>
            <w:vMerge w:val="restart"/>
            <w:vAlign w:val="center"/>
          </w:tcPr>
          <w:p w14:paraId="31C76011">
            <w:pPr>
              <w:spacing w:line="240" w:lineRule="exact"/>
              <w:jc w:val="center"/>
              <w:rPr>
                <w:rFonts w:ascii="宋体"/>
                <w:b/>
              </w:rPr>
            </w:pPr>
            <w:r>
              <w:rPr>
                <w:rFonts w:hint="eastAsia" w:ascii="宋体"/>
                <w:b/>
              </w:rPr>
              <w:t>违反条款</w:t>
            </w:r>
          </w:p>
        </w:tc>
        <w:tc>
          <w:tcPr>
            <w:tcW w:w="2760" w:type="dxa"/>
            <w:vMerge w:val="restart"/>
            <w:vAlign w:val="center"/>
          </w:tcPr>
          <w:p w14:paraId="0E314E4B">
            <w:pPr>
              <w:spacing w:line="240" w:lineRule="exact"/>
              <w:jc w:val="center"/>
              <w:rPr>
                <w:rFonts w:ascii="宋体"/>
                <w:b/>
              </w:rPr>
            </w:pPr>
            <w:r>
              <w:rPr>
                <w:rFonts w:hint="eastAsia" w:ascii="宋体"/>
                <w:b/>
              </w:rPr>
              <w:t>处罚依据</w:t>
            </w:r>
          </w:p>
        </w:tc>
        <w:tc>
          <w:tcPr>
            <w:tcW w:w="1163" w:type="dxa"/>
            <w:vMerge w:val="continue"/>
            <w:vAlign w:val="center"/>
          </w:tcPr>
          <w:p w14:paraId="0CCD2CED">
            <w:pPr>
              <w:spacing w:line="240" w:lineRule="exact"/>
              <w:jc w:val="center"/>
              <w:rPr>
                <w:rFonts w:ascii="宋体"/>
              </w:rPr>
            </w:pPr>
          </w:p>
        </w:tc>
        <w:tc>
          <w:tcPr>
            <w:tcW w:w="3843" w:type="dxa"/>
            <w:vMerge w:val="continue"/>
            <w:vAlign w:val="center"/>
          </w:tcPr>
          <w:p w14:paraId="63545B91">
            <w:pPr>
              <w:spacing w:line="240" w:lineRule="exact"/>
              <w:jc w:val="center"/>
              <w:rPr>
                <w:rFonts w:ascii="宋体"/>
              </w:rPr>
            </w:pPr>
          </w:p>
        </w:tc>
        <w:tc>
          <w:tcPr>
            <w:tcW w:w="8677" w:type="dxa"/>
            <w:vMerge w:val="continue"/>
            <w:vAlign w:val="center"/>
          </w:tcPr>
          <w:p w14:paraId="31063521">
            <w:pPr>
              <w:spacing w:line="240" w:lineRule="exact"/>
              <w:jc w:val="left"/>
              <w:rPr>
                <w:rFonts w:ascii="宋体"/>
              </w:rPr>
            </w:pPr>
          </w:p>
        </w:tc>
      </w:tr>
      <w:tr w14:paraId="22E9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9" w:type="dxa"/>
            <w:vMerge w:val="continue"/>
            <w:vAlign w:val="center"/>
          </w:tcPr>
          <w:p w14:paraId="7A1F5560">
            <w:pPr>
              <w:spacing w:line="240" w:lineRule="exact"/>
              <w:jc w:val="center"/>
              <w:rPr>
                <w:rFonts w:ascii="宋体"/>
              </w:rPr>
            </w:pPr>
          </w:p>
        </w:tc>
        <w:tc>
          <w:tcPr>
            <w:tcW w:w="2584" w:type="dxa"/>
            <w:vMerge w:val="continue"/>
            <w:vAlign w:val="center"/>
          </w:tcPr>
          <w:p w14:paraId="7FEBF7C5">
            <w:pPr>
              <w:spacing w:line="240" w:lineRule="exact"/>
              <w:jc w:val="center"/>
              <w:rPr>
                <w:rFonts w:ascii="宋体"/>
              </w:rPr>
            </w:pPr>
          </w:p>
        </w:tc>
        <w:tc>
          <w:tcPr>
            <w:tcW w:w="2760" w:type="dxa"/>
            <w:vMerge w:val="continue"/>
            <w:vAlign w:val="center"/>
          </w:tcPr>
          <w:p w14:paraId="642D160D">
            <w:pPr>
              <w:spacing w:line="240" w:lineRule="exact"/>
              <w:jc w:val="center"/>
              <w:rPr>
                <w:rFonts w:ascii="宋体"/>
              </w:rPr>
            </w:pPr>
          </w:p>
        </w:tc>
        <w:tc>
          <w:tcPr>
            <w:tcW w:w="1163" w:type="dxa"/>
            <w:vMerge w:val="continue"/>
            <w:vAlign w:val="center"/>
          </w:tcPr>
          <w:p w14:paraId="7BCCA864">
            <w:pPr>
              <w:spacing w:line="240" w:lineRule="exact"/>
              <w:jc w:val="center"/>
              <w:rPr>
                <w:rFonts w:ascii="宋体"/>
              </w:rPr>
            </w:pPr>
          </w:p>
        </w:tc>
        <w:tc>
          <w:tcPr>
            <w:tcW w:w="3843" w:type="dxa"/>
            <w:vMerge w:val="continue"/>
            <w:vAlign w:val="center"/>
          </w:tcPr>
          <w:p w14:paraId="17024EFF">
            <w:pPr>
              <w:spacing w:line="240" w:lineRule="exact"/>
              <w:jc w:val="center"/>
              <w:rPr>
                <w:rFonts w:ascii="宋体"/>
              </w:rPr>
            </w:pPr>
          </w:p>
        </w:tc>
        <w:tc>
          <w:tcPr>
            <w:tcW w:w="8677" w:type="dxa"/>
            <w:vAlign w:val="center"/>
          </w:tcPr>
          <w:p w14:paraId="37F560AC">
            <w:pPr>
              <w:spacing w:line="240" w:lineRule="exact"/>
              <w:jc w:val="center"/>
              <w:rPr>
                <w:rFonts w:ascii="宋体"/>
              </w:rPr>
            </w:pPr>
            <w:r>
              <w:rPr>
                <w:rFonts w:hint="eastAsia" w:ascii="宋体"/>
              </w:rPr>
              <w:t>【对象】经营人或所有人</w:t>
            </w:r>
          </w:p>
        </w:tc>
      </w:tr>
      <w:tr w14:paraId="40B6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919" w:type="dxa"/>
            <w:vMerge w:val="restart"/>
            <w:vAlign w:val="center"/>
          </w:tcPr>
          <w:p w14:paraId="43DA3BE9">
            <w:pPr>
              <w:spacing w:line="240" w:lineRule="exact"/>
              <w:jc w:val="left"/>
              <w:rPr>
                <w:rFonts w:ascii="宋体"/>
              </w:rPr>
            </w:pPr>
            <w:r>
              <w:rPr>
                <w:rFonts w:hint="eastAsia" w:ascii="宋体"/>
              </w:rPr>
              <w:t>使用不符合标准或者要求的船舶用燃油的</w:t>
            </w:r>
          </w:p>
        </w:tc>
        <w:tc>
          <w:tcPr>
            <w:tcW w:w="2584" w:type="dxa"/>
            <w:vMerge w:val="restart"/>
            <w:vAlign w:val="center"/>
          </w:tcPr>
          <w:p w14:paraId="445AEDF5">
            <w:pPr>
              <w:spacing w:line="240" w:lineRule="exact"/>
              <w:jc w:val="left"/>
              <w:rPr>
                <w:rFonts w:ascii="宋体"/>
              </w:rPr>
            </w:pPr>
            <w:r>
              <w:rPr>
                <w:rFonts w:hint="eastAsia" w:ascii="宋体"/>
              </w:rPr>
              <w:t>1.《大气污染防治法》第六十四条。</w:t>
            </w:r>
          </w:p>
        </w:tc>
        <w:tc>
          <w:tcPr>
            <w:tcW w:w="2760" w:type="dxa"/>
            <w:vMerge w:val="restart"/>
            <w:vAlign w:val="center"/>
          </w:tcPr>
          <w:p w14:paraId="5CDCC343">
            <w:pPr>
              <w:spacing w:line="240" w:lineRule="exact"/>
              <w:jc w:val="left"/>
              <w:rPr>
                <w:rFonts w:ascii="宋体"/>
              </w:rPr>
            </w:pPr>
            <w:r>
              <w:rPr>
                <w:rFonts w:hint="eastAsia" w:ascii="宋体"/>
              </w:rPr>
              <w:t>1.《大气污染防治法》第一百零六条；</w:t>
            </w:r>
          </w:p>
          <w:p w14:paraId="3E2B06A4">
            <w:pPr>
              <w:spacing w:line="240" w:lineRule="exact"/>
              <w:jc w:val="left"/>
              <w:rPr>
                <w:rFonts w:ascii="宋体"/>
                <w:kern w:val="0"/>
              </w:rPr>
            </w:pPr>
            <w:r>
              <w:rPr>
                <w:rFonts w:hint="eastAsia" w:ascii="宋体"/>
                <w:kern w:val="0"/>
              </w:rPr>
              <w:t>2. 《中华人民共和国海上海事行政处罚规定》第七条。</w:t>
            </w:r>
          </w:p>
        </w:tc>
        <w:tc>
          <w:tcPr>
            <w:tcW w:w="1163" w:type="dxa"/>
            <w:vAlign w:val="center"/>
          </w:tcPr>
          <w:p w14:paraId="5AE2B633">
            <w:pPr>
              <w:spacing w:line="240" w:lineRule="exact"/>
              <w:jc w:val="center"/>
              <w:rPr>
                <w:rFonts w:ascii="宋体"/>
              </w:rPr>
            </w:pPr>
            <w:r>
              <w:rPr>
                <w:rFonts w:hint="eastAsia" w:ascii="宋体"/>
              </w:rPr>
              <w:t>从轻</w:t>
            </w:r>
          </w:p>
        </w:tc>
        <w:tc>
          <w:tcPr>
            <w:tcW w:w="3843" w:type="dxa"/>
            <w:vAlign w:val="center"/>
          </w:tcPr>
          <w:p w14:paraId="469416FD">
            <w:pPr>
              <w:spacing w:line="240" w:lineRule="exact"/>
              <w:jc w:val="left"/>
              <w:rPr>
                <w:rFonts w:ascii="宋体"/>
              </w:rPr>
            </w:pPr>
            <w:r>
              <w:rPr>
                <w:rFonts w:hint="eastAsia" w:ascii="宋体"/>
              </w:rPr>
              <w:t>使用的燃油含硫量超过标准较少，或者具有法定从轻处罚情节的</w:t>
            </w:r>
          </w:p>
        </w:tc>
        <w:tc>
          <w:tcPr>
            <w:tcW w:w="8677" w:type="dxa"/>
            <w:vAlign w:val="center"/>
          </w:tcPr>
          <w:p w14:paraId="1CC4A3E5">
            <w:pPr>
              <w:spacing w:line="240" w:lineRule="exact"/>
              <w:jc w:val="center"/>
              <w:rPr>
                <w:rFonts w:ascii="宋体"/>
              </w:rPr>
            </w:pPr>
            <w:r>
              <w:rPr>
                <w:rFonts w:hint="eastAsia" w:ascii="宋体"/>
              </w:rPr>
              <w:t>1-3万元</w:t>
            </w:r>
          </w:p>
        </w:tc>
      </w:tr>
      <w:tr w14:paraId="6E5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19" w:type="dxa"/>
            <w:vMerge w:val="continue"/>
            <w:vAlign w:val="center"/>
          </w:tcPr>
          <w:p w14:paraId="71ECFF2F">
            <w:pPr>
              <w:spacing w:line="240" w:lineRule="exact"/>
              <w:jc w:val="center"/>
              <w:rPr>
                <w:rFonts w:ascii="宋体"/>
              </w:rPr>
            </w:pPr>
          </w:p>
        </w:tc>
        <w:tc>
          <w:tcPr>
            <w:tcW w:w="2584" w:type="dxa"/>
            <w:vMerge w:val="continue"/>
            <w:vAlign w:val="center"/>
          </w:tcPr>
          <w:p w14:paraId="774ABF11">
            <w:pPr>
              <w:spacing w:line="240" w:lineRule="exact"/>
              <w:jc w:val="center"/>
              <w:rPr>
                <w:rFonts w:ascii="宋体"/>
              </w:rPr>
            </w:pPr>
          </w:p>
        </w:tc>
        <w:tc>
          <w:tcPr>
            <w:tcW w:w="2760" w:type="dxa"/>
            <w:vMerge w:val="continue"/>
            <w:vAlign w:val="center"/>
          </w:tcPr>
          <w:p w14:paraId="1106EFFB">
            <w:pPr>
              <w:spacing w:line="240" w:lineRule="exact"/>
              <w:jc w:val="center"/>
              <w:rPr>
                <w:rFonts w:ascii="宋体"/>
              </w:rPr>
            </w:pPr>
          </w:p>
        </w:tc>
        <w:tc>
          <w:tcPr>
            <w:tcW w:w="1163" w:type="dxa"/>
            <w:vMerge w:val="restart"/>
            <w:vAlign w:val="center"/>
          </w:tcPr>
          <w:p w14:paraId="591F5C7C">
            <w:pPr>
              <w:spacing w:line="240" w:lineRule="exact"/>
              <w:jc w:val="center"/>
              <w:rPr>
                <w:rFonts w:ascii="宋体"/>
              </w:rPr>
            </w:pPr>
            <w:r>
              <w:rPr>
                <w:rFonts w:hint="eastAsia" w:ascii="宋体"/>
              </w:rPr>
              <w:t>一般</w:t>
            </w:r>
          </w:p>
        </w:tc>
        <w:tc>
          <w:tcPr>
            <w:tcW w:w="3843" w:type="dxa"/>
            <w:vAlign w:val="center"/>
          </w:tcPr>
          <w:p w14:paraId="4C7B9FC8">
            <w:pPr>
              <w:spacing w:line="240" w:lineRule="exact"/>
              <w:jc w:val="left"/>
              <w:rPr>
                <w:rFonts w:ascii="宋体"/>
              </w:rPr>
            </w:pPr>
            <w:r>
              <w:rPr>
                <w:rFonts w:hint="eastAsia" w:ascii="宋体"/>
              </w:rPr>
              <w:t>1.【沿海船舶】使用的燃油含硫量超过标准的2倍及以下；</w:t>
            </w:r>
          </w:p>
          <w:p w14:paraId="3D05EF26">
            <w:pPr>
              <w:spacing w:line="240" w:lineRule="exact"/>
              <w:jc w:val="left"/>
              <w:rPr>
                <w:rFonts w:ascii="宋体"/>
              </w:rPr>
            </w:pPr>
            <w:r>
              <w:rPr>
                <w:rFonts w:hint="eastAsia" w:ascii="宋体"/>
              </w:rPr>
              <w:t>2.【内河船舶】使用的燃油含硫量超过标准的2倍及以上5倍以下的</w:t>
            </w:r>
          </w:p>
        </w:tc>
        <w:tc>
          <w:tcPr>
            <w:tcW w:w="8677" w:type="dxa"/>
            <w:vAlign w:val="center"/>
          </w:tcPr>
          <w:p w14:paraId="7AE077D3">
            <w:pPr>
              <w:spacing w:line="240" w:lineRule="exact"/>
              <w:jc w:val="center"/>
              <w:rPr>
                <w:rFonts w:ascii="宋体"/>
              </w:rPr>
            </w:pPr>
            <w:r>
              <w:rPr>
                <w:rFonts w:hint="eastAsia" w:ascii="宋体"/>
              </w:rPr>
              <w:t>3-5万元</w:t>
            </w:r>
          </w:p>
        </w:tc>
      </w:tr>
      <w:tr w14:paraId="2E7B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919" w:type="dxa"/>
            <w:vMerge w:val="continue"/>
            <w:vAlign w:val="center"/>
          </w:tcPr>
          <w:p w14:paraId="42E122F2">
            <w:pPr>
              <w:spacing w:line="240" w:lineRule="exact"/>
              <w:jc w:val="center"/>
              <w:rPr>
                <w:rFonts w:ascii="宋体"/>
              </w:rPr>
            </w:pPr>
          </w:p>
        </w:tc>
        <w:tc>
          <w:tcPr>
            <w:tcW w:w="2584" w:type="dxa"/>
            <w:vMerge w:val="continue"/>
            <w:vAlign w:val="center"/>
          </w:tcPr>
          <w:p w14:paraId="12A2463D">
            <w:pPr>
              <w:spacing w:line="240" w:lineRule="exact"/>
              <w:jc w:val="center"/>
              <w:rPr>
                <w:rFonts w:ascii="宋体"/>
              </w:rPr>
            </w:pPr>
          </w:p>
        </w:tc>
        <w:tc>
          <w:tcPr>
            <w:tcW w:w="2760" w:type="dxa"/>
            <w:vMerge w:val="continue"/>
            <w:vAlign w:val="center"/>
          </w:tcPr>
          <w:p w14:paraId="4D100226">
            <w:pPr>
              <w:spacing w:line="240" w:lineRule="exact"/>
              <w:jc w:val="center"/>
              <w:rPr>
                <w:rFonts w:ascii="宋体"/>
              </w:rPr>
            </w:pPr>
          </w:p>
        </w:tc>
        <w:tc>
          <w:tcPr>
            <w:tcW w:w="1163" w:type="dxa"/>
            <w:vMerge w:val="continue"/>
            <w:vAlign w:val="center"/>
          </w:tcPr>
          <w:p w14:paraId="0CE3B6F1">
            <w:pPr>
              <w:spacing w:line="240" w:lineRule="exact"/>
              <w:jc w:val="center"/>
              <w:rPr>
                <w:rFonts w:ascii="宋体"/>
              </w:rPr>
            </w:pPr>
          </w:p>
        </w:tc>
        <w:tc>
          <w:tcPr>
            <w:tcW w:w="3843" w:type="dxa"/>
            <w:vAlign w:val="center"/>
          </w:tcPr>
          <w:p w14:paraId="2F0EDEDF">
            <w:pPr>
              <w:spacing w:line="240" w:lineRule="exact"/>
              <w:jc w:val="left"/>
              <w:rPr>
                <w:rFonts w:ascii="宋体"/>
              </w:rPr>
            </w:pPr>
            <w:r>
              <w:rPr>
                <w:rFonts w:hint="eastAsia" w:ascii="宋体"/>
              </w:rPr>
              <w:t>1.【沿海船舶】使用的燃油含硫量超过标准的2倍以上5倍以下；</w:t>
            </w:r>
          </w:p>
          <w:p w14:paraId="20B4636C">
            <w:pPr>
              <w:spacing w:line="240" w:lineRule="exact"/>
              <w:jc w:val="left"/>
              <w:rPr>
                <w:rFonts w:ascii="宋体"/>
              </w:rPr>
            </w:pPr>
            <w:r>
              <w:rPr>
                <w:rFonts w:hint="eastAsia" w:ascii="宋体"/>
              </w:rPr>
              <w:t>2.【内河船舶】使用的燃油含硫量超过标准的5倍及以上10倍以下的</w:t>
            </w:r>
          </w:p>
        </w:tc>
        <w:tc>
          <w:tcPr>
            <w:tcW w:w="8677" w:type="dxa"/>
            <w:vAlign w:val="center"/>
          </w:tcPr>
          <w:p w14:paraId="01805999">
            <w:pPr>
              <w:spacing w:line="240" w:lineRule="exact"/>
              <w:jc w:val="center"/>
              <w:rPr>
                <w:rFonts w:ascii="宋体"/>
              </w:rPr>
            </w:pPr>
            <w:r>
              <w:rPr>
                <w:rFonts w:hint="eastAsia" w:ascii="宋体"/>
              </w:rPr>
              <w:t>5-7万元</w:t>
            </w:r>
          </w:p>
        </w:tc>
      </w:tr>
      <w:tr w14:paraId="21F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19" w:type="dxa"/>
            <w:vMerge w:val="continue"/>
            <w:vAlign w:val="center"/>
          </w:tcPr>
          <w:p w14:paraId="6F27AFD9">
            <w:pPr>
              <w:spacing w:line="240" w:lineRule="exact"/>
              <w:jc w:val="center"/>
              <w:rPr>
                <w:rFonts w:ascii="宋体"/>
              </w:rPr>
            </w:pPr>
          </w:p>
        </w:tc>
        <w:tc>
          <w:tcPr>
            <w:tcW w:w="2584" w:type="dxa"/>
            <w:vMerge w:val="continue"/>
            <w:vAlign w:val="center"/>
          </w:tcPr>
          <w:p w14:paraId="2AFFE0B4">
            <w:pPr>
              <w:spacing w:line="240" w:lineRule="exact"/>
              <w:jc w:val="center"/>
              <w:rPr>
                <w:rFonts w:ascii="宋体"/>
              </w:rPr>
            </w:pPr>
          </w:p>
        </w:tc>
        <w:tc>
          <w:tcPr>
            <w:tcW w:w="2760" w:type="dxa"/>
            <w:vMerge w:val="continue"/>
            <w:vAlign w:val="center"/>
          </w:tcPr>
          <w:p w14:paraId="182F18DD">
            <w:pPr>
              <w:spacing w:line="240" w:lineRule="exact"/>
              <w:jc w:val="center"/>
              <w:rPr>
                <w:rFonts w:ascii="宋体"/>
              </w:rPr>
            </w:pPr>
          </w:p>
        </w:tc>
        <w:tc>
          <w:tcPr>
            <w:tcW w:w="1163" w:type="dxa"/>
            <w:vMerge w:val="continue"/>
            <w:vAlign w:val="center"/>
          </w:tcPr>
          <w:p w14:paraId="3D11E5CE">
            <w:pPr>
              <w:spacing w:line="240" w:lineRule="exact"/>
              <w:jc w:val="center"/>
              <w:rPr>
                <w:rFonts w:ascii="宋体"/>
              </w:rPr>
            </w:pPr>
          </w:p>
        </w:tc>
        <w:tc>
          <w:tcPr>
            <w:tcW w:w="3843" w:type="dxa"/>
            <w:vAlign w:val="center"/>
          </w:tcPr>
          <w:p w14:paraId="2DE670C1">
            <w:pPr>
              <w:spacing w:line="240" w:lineRule="exact"/>
              <w:jc w:val="left"/>
              <w:rPr>
                <w:rFonts w:ascii="宋体"/>
              </w:rPr>
            </w:pPr>
            <w:r>
              <w:rPr>
                <w:rFonts w:hint="eastAsia" w:ascii="宋体"/>
              </w:rPr>
              <w:t>1.【沿海船舶】使用的燃油含硫量超过标准的5倍及以上10倍以下的；</w:t>
            </w:r>
          </w:p>
          <w:p w14:paraId="1CE31869">
            <w:pPr>
              <w:spacing w:line="240" w:lineRule="exact"/>
              <w:jc w:val="left"/>
              <w:rPr>
                <w:rFonts w:ascii="宋体"/>
              </w:rPr>
            </w:pPr>
            <w:r>
              <w:rPr>
                <w:rFonts w:hint="eastAsia" w:ascii="宋体"/>
              </w:rPr>
              <w:t>2.【内河船舶】使用的燃油含硫量超过标准的10倍及以上15倍以下的</w:t>
            </w:r>
          </w:p>
        </w:tc>
        <w:tc>
          <w:tcPr>
            <w:tcW w:w="8677" w:type="dxa"/>
            <w:vAlign w:val="center"/>
          </w:tcPr>
          <w:p w14:paraId="02E1EE88">
            <w:pPr>
              <w:spacing w:line="240" w:lineRule="exact"/>
              <w:jc w:val="center"/>
              <w:rPr>
                <w:rFonts w:ascii="宋体"/>
              </w:rPr>
            </w:pPr>
            <w:r>
              <w:rPr>
                <w:rFonts w:hint="eastAsia" w:ascii="宋体"/>
              </w:rPr>
              <w:t>7-9万元</w:t>
            </w:r>
          </w:p>
        </w:tc>
      </w:tr>
      <w:tr w14:paraId="140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919" w:type="dxa"/>
            <w:vMerge w:val="continue"/>
            <w:vAlign w:val="center"/>
          </w:tcPr>
          <w:p w14:paraId="2494991C">
            <w:pPr>
              <w:spacing w:line="240" w:lineRule="exact"/>
              <w:jc w:val="center"/>
              <w:rPr>
                <w:rFonts w:ascii="宋体"/>
              </w:rPr>
            </w:pPr>
          </w:p>
        </w:tc>
        <w:tc>
          <w:tcPr>
            <w:tcW w:w="2584" w:type="dxa"/>
            <w:vMerge w:val="continue"/>
            <w:vAlign w:val="center"/>
          </w:tcPr>
          <w:p w14:paraId="25736928">
            <w:pPr>
              <w:spacing w:line="240" w:lineRule="exact"/>
              <w:jc w:val="center"/>
              <w:rPr>
                <w:rFonts w:ascii="宋体"/>
              </w:rPr>
            </w:pPr>
          </w:p>
        </w:tc>
        <w:tc>
          <w:tcPr>
            <w:tcW w:w="2760" w:type="dxa"/>
            <w:vMerge w:val="continue"/>
            <w:vAlign w:val="center"/>
          </w:tcPr>
          <w:p w14:paraId="4DC49E8E">
            <w:pPr>
              <w:spacing w:line="240" w:lineRule="exact"/>
              <w:jc w:val="center"/>
              <w:rPr>
                <w:rFonts w:ascii="宋体"/>
              </w:rPr>
            </w:pPr>
          </w:p>
        </w:tc>
        <w:tc>
          <w:tcPr>
            <w:tcW w:w="1163" w:type="dxa"/>
            <w:vMerge w:val="continue"/>
            <w:vAlign w:val="center"/>
          </w:tcPr>
          <w:p w14:paraId="394C6EEE">
            <w:pPr>
              <w:spacing w:line="240" w:lineRule="exact"/>
              <w:jc w:val="center"/>
              <w:rPr>
                <w:rFonts w:ascii="宋体"/>
              </w:rPr>
            </w:pPr>
          </w:p>
        </w:tc>
        <w:tc>
          <w:tcPr>
            <w:tcW w:w="3843" w:type="dxa"/>
            <w:vAlign w:val="center"/>
          </w:tcPr>
          <w:p w14:paraId="53F50C32">
            <w:pPr>
              <w:spacing w:line="240" w:lineRule="exact"/>
              <w:jc w:val="left"/>
              <w:rPr>
                <w:rFonts w:ascii="宋体"/>
              </w:rPr>
            </w:pPr>
            <w:r>
              <w:rPr>
                <w:rFonts w:hint="eastAsia" w:ascii="宋体"/>
              </w:rPr>
              <w:t>1.【沿海船舶】使用的燃油含硫量超过标准的10倍及以上的；</w:t>
            </w:r>
          </w:p>
          <w:p w14:paraId="316DBDC0">
            <w:pPr>
              <w:spacing w:line="240" w:lineRule="exact"/>
              <w:jc w:val="left"/>
              <w:rPr>
                <w:rFonts w:ascii="宋体"/>
              </w:rPr>
            </w:pPr>
            <w:r>
              <w:rPr>
                <w:rFonts w:hint="eastAsia" w:ascii="宋体"/>
              </w:rPr>
              <w:t>2.【内河船舶】使用的燃油含硫量超过标准的15倍及以上的</w:t>
            </w:r>
          </w:p>
        </w:tc>
        <w:tc>
          <w:tcPr>
            <w:tcW w:w="8677" w:type="dxa"/>
            <w:vAlign w:val="center"/>
          </w:tcPr>
          <w:p w14:paraId="67AEFA48">
            <w:pPr>
              <w:spacing w:line="240" w:lineRule="exact"/>
              <w:jc w:val="center"/>
              <w:rPr>
                <w:rFonts w:ascii="宋体"/>
              </w:rPr>
            </w:pPr>
            <w:r>
              <w:rPr>
                <w:rFonts w:hint="eastAsia" w:ascii="宋体"/>
              </w:rPr>
              <w:t>9-10万元</w:t>
            </w:r>
          </w:p>
        </w:tc>
      </w:tr>
      <w:tr w14:paraId="06A0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19" w:type="dxa"/>
            <w:vMerge w:val="continue"/>
            <w:vAlign w:val="center"/>
          </w:tcPr>
          <w:p w14:paraId="21A299D1">
            <w:pPr>
              <w:spacing w:line="240" w:lineRule="exact"/>
              <w:jc w:val="center"/>
              <w:rPr>
                <w:rFonts w:ascii="宋体"/>
              </w:rPr>
            </w:pPr>
          </w:p>
        </w:tc>
        <w:tc>
          <w:tcPr>
            <w:tcW w:w="2584" w:type="dxa"/>
            <w:vMerge w:val="continue"/>
            <w:vAlign w:val="center"/>
          </w:tcPr>
          <w:p w14:paraId="224C84F4">
            <w:pPr>
              <w:spacing w:line="240" w:lineRule="exact"/>
              <w:jc w:val="center"/>
              <w:rPr>
                <w:rFonts w:ascii="宋体"/>
              </w:rPr>
            </w:pPr>
          </w:p>
        </w:tc>
        <w:tc>
          <w:tcPr>
            <w:tcW w:w="2760" w:type="dxa"/>
            <w:vMerge w:val="continue"/>
            <w:vAlign w:val="center"/>
          </w:tcPr>
          <w:p w14:paraId="4899B13E">
            <w:pPr>
              <w:spacing w:line="240" w:lineRule="exact"/>
              <w:jc w:val="center"/>
              <w:rPr>
                <w:rFonts w:ascii="宋体"/>
              </w:rPr>
            </w:pPr>
          </w:p>
        </w:tc>
        <w:tc>
          <w:tcPr>
            <w:tcW w:w="1163" w:type="dxa"/>
            <w:vMerge w:val="continue"/>
            <w:vAlign w:val="center"/>
          </w:tcPr>
          <w:p w14:paraId="2282201E">
            <w:pPr>
              <w:spacing w:line="240" w:lineRule="exact"/>
              <w:jc w:val="center"/>
              <w:rPr>
                <w:rFonts w:ascii="宋体"/>
              </w:rPr>
            </w:pPr>
          </w:p>
        </w:tc>
        <w:tc>
          <w:tcPr>
            <w:tcW w:w="3843" w:type="dxa"/>
            <w:vAlign w:val="center"/>
          </w:tcPr>
          <w:p w14:paraId="01B351EC">
            <w:pPr>
              <w:spacing w:line="240" w:lineRule="exact"/>
              <w:jc w:val="left"/>
              <w:rPr>
                <w:rFonts w:ascii="宋体"/>
              </w:rPr>
            </w:pPr>
            <w:r>
              <w:rPr>
                <w:rFonts w:hint="eastAsia" w:ascii="宋体"/>
                <w:kern w:val="0"/>
              </w:rPr>
              <w:t>具有其他较重情节的</w:t>
            </w:r>
          </w:p>
        </w:tc>
        <w:tc>
          <w:tcPr>
            <w:tcW w:w="8677" w:type="dxa"/>
            <w:vAlign w:val="center"/>
          </w:tcPr>
          <w:p w14:paraId="6CC5F185">
            <w:pPr>
              <w:spacing w:line="240" w:lineRule="exact"/>
              <w:jc w:val="center"/>
              <w:rPr>
                <w:rFonts w:ascii="宋体"/>
              </w:rPr>
            </w:pPr>
            <w:r>
              <w:rPr>
                <w:rFonts w:hint="eastAsia" w:ascii="宋体"/>
              </w:rPr>
              <w:t>5-10万元</w:t>
            </w:r>
          </w:p>
        </w:tc>
      </w:tr>
    </w:tbl>
    <w:p w14:paraId="37056A67">
      <w: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551"/>
        <w:gridCol w:w="3260"/>
        <w:gridCol w:w="1418"/>
        <w:gridCol w:w="3260"/>
        <w:gridCol w:w="7859"/>
      </w:tblGrid>
      <w:tr w14:paraId="3B08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02" w:type="dxa"/>
            <w:vMerge w:val="restart"/>
            <w:vAlign w:val="center"/>
          </w:tcPr>
          <w:p w14:paraId="1B966C4C">
            <w:pPr>
              <w:spacing w:line="240" w:lineRule="exact"/>
              <w:jc w:val="center"/>
              <w:rPr>
                <w:rFonts w:ascii="宋体"/>
                <w:b/>
                <w:bCs/>
              </w:rPr>
            </w:pPr>
            <w:r>
              <w:rPr>
                <w:rFonts w:hint="eastAsia" w:ascii="宋体"/>
                <w:b/>
                <w:bCs/>
              </w:rPr>
              <w:t>案由99</w:t>
            </w:r>
          </w:p>
        </w:tc>
        <w:tc>
          <w:tcPr>
            <w:tcW w:w="5811" w:type="dxa"/>
            <w:gridSpan w:val="2"/>
            <w:vAlign w:val="center"/>
          </w:tcPr>
          <w:p w14:paraId="5B09BBE0">
            <w:pPr>
              <w:spacing w:line="240" w:lineRule="exact"/>
              <w:jc w:val="center"/>
              <w:rPr>
                <w:rFonts w:ascii="宋体"/>
                <w:b/>
                <w:bCs/>
              </w:rPr>
            </w:pPr>
            <w:r>
              <w:rPr>
                <w:rFonts w:hint="eastAsia" w:ascii="宋体"/>
                <w:b/>
                <w:bCs/>
              </w:rPr>
              <w:t>法律依据</w:t>
            </w:r>
          </w:p>
        </w:tc>
        <w:tc>
          <w:tcPr>
            <w:tcW w:w="1418" w:type="dxa"/>
            <w:vMerge w:val="restart"/>
            <w:vAlign w:val="center"/>
          </w:tcPr>
          <w:p w14:paraId="10F1C9EA">
            <w:pPr>
              <w:spacing w:line="240" w:lineRule="exact"/>
              <w:jc w:val="center"/>
              <w:rPr>
                <w:rFonts w:ascii="宋体"/>
                <w:b/>
                <w:bCs/>
              </w:rPr>
            </w:pPr>
            <w:r>
              <w:rPr>
                <w:rFonts w:hint="eastAsia" w:ascii="宋体"/>
                <w:b/>
                <w:bCs/>
              </w:rPr>
              <w:t>违法情节</w:t>
            </w:r>
          </w:p>
        </w:tc>
        <w:tc>
          <w:tcPr>
            <w:tcW w:w="3260" w:type="dxa"/>
            <w:vMerge w:val="restart"/>
            <w:vAlign w:val="center"/>
          </w:tcPr>
          <w:p w14:paraId="01B262EC">
            <w:pPr>
              <w:spacing w:line="240" w:lineRule="exact"/>
              <w:jc w:val="center"/>
              <w:rPr>
                <w:rFonts w:ascii="宋体"/>
                <w:b/>
                <w:bCs/>
              </w:rPr>
            </w:pPr>
            <w:r>
              <w:rPr>
                <w:rFonts w:hint="eastAsia" w:ascii="宋体"/>
                <w:b/>
                <w:bCs/>
              </w:rPr>
              <w:t>主要考虑因素（事实、性质、情节、危害程度和实际后果等）</w:t>
            </w:r>
          </w:p>
        </w:tc>
        <w:tc>
          <w:tcPr>
            <w:tcW w:w="7859" w:type="dxa"/>
            <w:vMerge w:val="restart"/>
            <w:vAlign w:val="center"/>
          </w:tcPr>
          <w:p w14:paraId="3BFDBD2C">
            <w:pPr>
              <w:spacing w:line="240" w:lineRule="exact"/>
              <w:jc w:val="left"/>
              <w:rPr>
                <w:rFonts w:ascii="宋体"/>
              </w:rPr>
            </w:pPr>
            <w:r>
              <w:rPr>
                <w:rFonts w:hint="eastAsia" w:ascii="宋体"/>
                <w:b/>
              </w:rPr>
              <w:t>【法定幅度和种类】</w:t>
            </w:r>
            <w:r>
              <w:rPr>
                <w:rFonts w:hint="eastAsia" w:ascii="宋体"/>
              </w:rPr>
              <w:t>由海事管理机构予以警告，或处以2万元以上10万元以下的罚款</w:t>
            </w:r>
          </w:p>
        </w:tc>
      </w:tr>
      <w:tr w14:paraId="0F02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02" w:type="dxa"/>
            <w:vMerge w:val="continue"/>
            <w:vAlign w:val="center"/>
          </w:tcPr>
          <w:p w14:paraId="49DACDF1">
            <w:pPr>
              <w:spacing w:line="240" w:lineRule="exact"/>
              <w:jc w:val="center"/>
              <w:rPr>
                <w:rFonts w:ascii="宋体"/>
              </w:rPr>
            </w:pPr>
          </w:p>
        </w:tc>
        <w:tc>
          <w:tcPr>
            <w:tcW w:w="2551" w:type="dxa"/>
            <w:vMerge w:val="restart"/>
            <w:vAlign w:val="center"/>
          </w:tcPr>
          <w:p w14:paraId="05E265CD">
            <w:pPr>
              <w:spacing w:line="240" w:lineRule="exact"/>
              <w:jc w:val="center"/>
              <w:rPr>
                <w:rFonts w:ascii="宋体"/>
                <w:b/>
                <w:bCs/>
              </w:rPr>
            </w:pPr>
            <w:r>
              <w:rPr>
                <w:rFonts w:hint="eastAsia" w:ascii="宋体"/>
                <w:b/>
                <w:bCs/>
              </w:rPr>
              <w:t>违反条款</w:t>
            </w:r>
          </w:p>
        </w:tc>
        <w:tc>
          <w:tcPr>
            <w:tcW w:w="3260" w:type="dxa"/>
            <w:vMerge w:val="restart"/>
            <w:vAlign w:val="center"/>
          </w:tcPr>
          <w:p w14:paraId="6D7A235A">
            <w:pPr>
              <w:spacing w:line="240" w:lineRule="exact"/>
              <w:jc w:val="center"/>
              <w:rPr>
                <w:rFonts w:ascii="宋体"/>
                <w:b/>
                <w:bCs/>
              </w:rPr>
            </w:pPr>
            <w:r>
              <w:rPr>
                <w:rFonts w:hint="eastAsia" w:ascii="宋体"/>
                <w:b/>
                <w:bCs/>
              </w:rPr>
              <w:t>处罚依据</w:t>
            </w:r>
          </w:p>
        </w:tc>
        <w:tc>
          <w:tcPr>
            <w:tcW w:w="1418" w:type="dxa"/>
            <w:vMerge w:val="continue"/>
            <w:vAlign w:val="center"/>
          </w:tcPr>
          <w:p w14:paraId="2FDB91B6">
            <w:pPr>
              <w:spacing w:line="240" w:lineRule="exact"/>
              <w:jc w:val="center"/>
              <w:rPr>
                <w:rFonts w:ascii="宋体"/>
              </w:rPr>
            </w:pPr>
          </w:p>
        </w:tc>
        <w:tc>
          <w:tcPr>
            <w:tcW w:w="3260" w:type="dxa"/>
            <w:vMerge w:val="continue"/>
            <w:vAlign w:val="center"/>
          </w:tcPr>
          <w:p w14:paraId="166D2135">
            <w:pPr>
              <w:spacing w:line="240" w:lineRule="exact"/>
              <w:jc w:val="center"/>
              <w:rPr>
                <w:rFonts w:ascii="宋体"/>
              </w:rPr>
            </w:pPr>
          </w:p>
        </w:tc>
        <w:tc>
          <w:tcPr>
            <w:tcW w:w="7859" w:type="dxa"/>
            <w:vMerge w:val="continue"/>
            <w:vAlign w:val="center"/>
          </w:tcPr>
          <w:p w14:paraId="7DA68EC8">
            <w:pPr>
              <w:spacing w:line="240" w:lineRule="exact"/>
              <w:jc w:val="left"/>
              <w:rPr>
                <w:rFonts w:ascii="宋体"/>
              </w:rPr>
            </w:pPr>
          </w:p>
        </w:tc>
      </w:tr>
      <w:tr w14:paraId="6FB5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802" w:type="dxa"/>
            <w:vMerge w:val="continue"/>
            <w:vAlign w:val="center"/>
          </w:tcPr>
          <w:p w14:paraId="007F3D18">
            <w:pPr>
              <w:spacing w:line="240" w:lineRule="exact"/>
              <w:jc w:val="center"/>
              <w:rPr>
                <w:rFonts w:ascii="宋体"/>
              </w:rPr>
            </w:pPr>
          </w:p>
        </w:tc>
        <w:tc>
          <w:tcPr>
            <w:tcW w:w="2551" w:type="dxa"/>
            <w:vMerge w:val="continue"/>
            <w:vAlign w:val="center"/>
          </w:tcPr>
          <w:p w14:paraId="70349510">
            <w:pPr>
              <w:spacing w:line="240" w:lineRule="exact"/>
              <w:jc w:val="center"/>
              <w:rPr>
                <w:rFonts w:ascii="宋体"/>
              </w:rPr>
            </w:pPr>
          </w:p>
        </w:tc>
        <w:tc>
          <w:tcPr>
            <w:tcW w:w="3260" w:type="dxa"/>
            <w:vMerge w:val="continue"/>
            <w:vAlign w:val="center"/>
          </w:tcPr>
          <w:p w14:paraId="47E0F722">
            <w:pPr>
              <w:spacing w:line="240" w:lineRule="exact"/>
              <w:jc w:val="center"/>
              <w:rPr>
                <w:rFonts w:ascii="宋体"/>
              </w:rPr>
            </w:pPr>
          </w:p>
        </w:tc>
        <w:tc>
          <w:tcPr>
            <w:tcW w:w="1418" w:type="dxa"/>
            <w:vMerge w:val="continue"/>
            <w:vAlign w:val="center"/>
          </w:tcPr>
          <w:p w14:paraId="7AF4DBAC">
            <w:pPr>
              <w:spacing w:line="240" w:lineRule="exact"/>
              <w:jc w:val="center"/>
              <w:rPr>
                <w:rFonts w:ascii="宋体"/>
              </w:rPr>
            </w:pPr>
          </w:p>
        </w:tc>
        <w:tc>
          <w:tcPr>
            <w:tcW w:w="3260" w:type="dxa"/>
            <w:vMerge w:val="continue"/>
            <w:vAlign w:val="center"/>
          </w:tcPr>
          <w:p w14:paraId="68FC822E">
            <w:pPr>
              <w:spacing w:line="240" w:lineRule="exact"/>
              <w:jc w:val="center"/>
              <w:rPr>
                <w:rFonts w:ascii="宋体"/>
              </w:rPr>
            </w:pPr>
          </w:p>
        </w:tc>
        <w:tc>
          <w:tcPr>
            <w:tcW w:w="7859" w:type="dxa"/>
            <w:vAlign w:val="center"/>
          </w:tcPr>
          <w:p w14:paraId="47644C35">
            <w:pPr>
              <w:spacing w:line="240" w:lineRule="exact"/>
              <w:jc w:val="center"/>
              <w:rPr>
                <w:rFonts w:ascii="宋体"/>
              </w:rPr>
            </w:pPr>
            <w:r>
              <w:rPr>
                <w:rFonts w:hint="eastAsia" w:ascii="宋体"/>
                <w:b/>
                <w:bCs/>
              </w:rPr>
              <w:t>【对象】经营人或所有人</w:t>
            </w:r>
          </w:p>
        </w:tc>
      </w:tr>
      <w:tr w14:paraId="41AE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802" w:type="dxa"/>
            <w:vMerge w:val="restart"/>
            <w:vAlign w:val="center"/>
          </w:tcPr>
          <w:p w14:paraId="3D98A0AD">
            <w:pPr>
              <w:spacing w:line="240" w:lineRule="exact"/>
              <w:jc w:val="left"/>
              <w:rPr>
                <w:rFonts w:ascii="宋体"/>
              </w:rPr>
            </w:pPr>
            <w:r>
              <w:rPr>
                <w:rFonts w:hint="eastAsia" w:ascii="宋体"/>
              </w:rPr>
              <w:t>船舶和有关作业单位未配备防污设施、设备、器材的，或者配备的防污设施、设备、器材不符合国家有关规定和标准的</w:t>
            </w:r>
          </w:p>
        </w:tc>
        <w:tc>
          <w:tcPr>
            <w:tcW w:w="2551" w:type="dxa"/>
            <w:vMerge w:val="restart"/>
            <w:vAlign w:val="center"/>
          </w:tcPr>
          <w:p w14:paraId="5F1A839A">
            <w:pPr>
              <w:spacing w:line="240" w:lineRule="exact"/>
              <w:jc w:val="left"/>
              <w:rPr>
                <w:rFonts w:ascii="宋体"/>
              </w:rPr>
            </w:pPr>
            <w:r>
              <w:rPr>
                <w:rFonts w:hint="eastAsia" w:ascii="宋体"/>
              </w:rPr>
              <w:t>1.《中华人民共和国船舶污染海洋环境应急防备和应急处置管理规定》第八条、第十二条。</w:t>
            </w:r>
          </w:p>
        </w:tc>
        <w:tc>
          <w:tcPr>
            <w:tcW w:w="3260" w:type="dxa"/>
            <w:vMerge w:val="restart"/>
            <w:vAlign w:val="center"/>
          </w:tcPr>
          <w:p w14:paraId="36B46A4E">
            <w:pPr>
              <w:spacing w:line="240" w:lineRule="exact"/>
              <w:jc w:val="left"/>
              <w:rPr>
                <w:rFonts w:ascii="宋体"/>
              </w:rPr>
            </w:pPr>
            <w:r>
              <w:rPr>
                <w:rFonts w:hint="eastAsia" w:ascii="宋体"/>
              </w:rPr>
              <w:t>1.《中华人民共和国船舶污染海洋环境应急防备和应急处置管理规定》第三十三条；</w:t>
            </w:r>
          </w:p>
          <w:p w14:paraId="51A751CF">
            <w:pPr>
              <w:spacing w:line="240" w:lineRule="exact"/>
              <w:jc w:val="left"/>
              <w:rPr>
                <w:rFonts w:ascii="宋体"/>
                <w:kern w:val="0"/>
              </w:rPr>
            </w:pPr>
            <w:r>
              <w:rPr>
                <w:rFonts w:hint="eastAsia" w:ascii="宋体"/>
                <w:kern w:val="0"/>
              </w:rPr>
              <w:t>2. 《中华人民共和国海上海事行政处罚规定》第七条。</w:t>
            </w:r>
          </w:p>
        </w:tc>
        <w:tc>
          <w:tcPr>
            <w:tcW w:w="1418" w:type="dxa"/>
            <w:vAlign w:val="center"/>
          </w:tcPr>
          <w:p w14:paraId="1207C1F4">
            <w:pPr>
              <w:spacing w:line="240" w:lineRule="exact"/>
              <w:jc w:val="center"/>
              <w:rPr>
                <w:rFonts w:ascii="宋体"/>
              </w:rPr>
            </w:pPr>
            <w:r>
              <w:rPr>
                <w:rFonts w:hint="eastAsia" w:ascii="宋体"/>
              </w:rPr>
              <w:t>从轻</w:t>
            </w:r>
          </w:p>
        </w:tc>
        <w:tc>
          <w:tcPr>
            <w:tcW w:w="3260" w:type="dxa"/>
            <w:vAlign w:val="center"/>
          </w:tcPr>
          <w:p w14:paraId="79D97BB1">
            <w:pPr>
              <w:spacing w:line="240" w:lineRule="exact"/>
              <w:jc w:val="left"/>
              <w:rPr>
                <w:rFonts w:ascii="宋体"/>
              </w:rPr>
            </w:pPr>
            <w:r>
              <w:rPr>
                <w:rFonts w:hint="eastAsia" w:ascii="宋体"/>
              </w:rPr>
              <w:t>具有法定从轻处罚情节的</w:t>
            </w:r>
          </w:p>
        </w:tc>
        <w:tc>
          <w:tcPr>
            <w:tcW w:w="7859" w:type="dxa"/>
            <w:vAlign w:val="center"/>
          </w:tcPr>
          <w:p w14:paraId="51FEDD26">
            <w:pPr>
              <w:spacing w:line="240" w:lineRule="exact"/>
              <w:jc w:val="center"/>
              <w:rPr>
                <w:rFonts w:ascii="宋体"/>
              </w:rPr>
            </w:pPr>
            <w:r>
              <w:rPr>
                <w:rFonts w:hint="eastAsia" w:ascii="宋体"/>
              </w:rPr>
              <w:t>警告</w:t>
            </w:r>
          </w:p>
        </w:tc>
      </w:tr>
      <w:tr w14:paraId="1907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02" w:type="dxa"/>
            <w:vMerge w:val="continue"/>
            <w:vAlign w:val="center"/>
          </w:tcPr>
          <w:p w14:paraId="55809714">
            <w:pPr>
              <w:spacing w:line="240" w:lineRule="exact"/>
              <w:jc w:val="center"/>
              <w:rPr>
                <w:rFonts w:ascii="宋体"/>
              </w:rPr>
            </w:pPr>
          </w:p>
        </w:tc>
        <w:tc>
          <w:tcPr>
            <w:tcW w:w="2551" w:type="dxa"/>
            <w:vMerge w:val="continue"/>
            <w:vAlign w:val="center"/>
          </w:tcPr>
          <w:p w14:paraId="14D324B3">
            <w:pPr>
              <w:spacing w:line="240" w:lineRule="exact"/>
              <w:jc w:val="center"/>
              <w:rPr>
                <w:rFonts w:ascii="宋体"/>
              </w:rPr>
            </w:pPr>
          </w:p>
        </w:tc>
        <w:tc>
          <w:tcPr>
            <w:tcW w:w="3260" w:type="dxa"/>
            <w:vMerge w:val="continue"/>
            <w:vAlign w:val="center"/>
          </w:tcPr>
          <w:p w14:paraId="0952ADCC">
            <w:pPr>
              <w:spacing w:line="240" w:lineRule="exact"/>
              <w:jc w:val="center"/>
              <w:rPr>
                <w:rFonts w:ascii="宋体"/>
              </w:rPr>
            </w:pPr>
          </w:p>
        </w:tc>
        <w:tc>
          <w:tcPr>
            <w:tcW w:w="1418" w:type="dxa"/>
            <w:vMerge w:val="restart"/>
            <w:vAlign w:val="center"/>
          </w:tcPr>
          <w:p w14:paraId="396F96FC">
            <w:pPr>
              <w:spacing w:line="240" w:lineRule="exact"/>
              <w:jc w:val="center"/>
              <w:rPr>
                <w:rFonts w:ascii="宋体"/>
              </w:rPr>
            </w:pPr>
            <w:r>
              <w:rPr>
                <w:rFonts w:hint="eastAsia" w:ascii="宋体"/>
              </w:rPr>
              <w:t>一般</w:t>
            </w:r>
          </w:p>
        </w:tc>
        <w:tc>
          <w:tcPr>
            <w:tcW w:w="3260" w:type="dxa"/>
            <w:vAlign w:val="center"/>
          </w:tcPr>
          <w:p w14:paraId="0755AFAC">
            <w:pPr>
              <w:spacing w:line="240" w:lineRule="exact"/>
              <w:jc w:val="left"/>
              <w:rPr>
                <w:rFonts w:ascii="宋体"/>
              </w:rPr>
            </w:pPr>
            <w:r>
              <w:rPr>
                <w:rFonts w:hint="eastAsia" w:ascii="宋体"/>
              </w:rPr>
              <w:t>未配备符合规定和标准的有关设施、设备、器材的，未发生事故或者险情</w:t>
            </w:r>
          </w:p>
        </w:tc>
        <w:tc>
          <w:tcPr>
            <w:tcW w:w="7859" w:type="dxa"/>
            <w:vAlign w:val="center"/>
          </w:tcPr>
          <w:p w14:paraId="14D3C9A2">
            <w:pPr>
              <w:spacing w:line="240" w:lineRule="exact"/>
              <w:jc w:val="center"/>
              <w:rPr>
                <w:rFonts w:ascii="宋体"/>
              </w:rPr>
            </w:pPr>
            <w:r>
              <w:rPr>
                <w:rFonts w:hint="eastAsia" w:ascii="宋体"/>
              </w:rPr>
              <w:t>2-4万元</w:t>
            </w:r>
          </w:p>
        </w:tc>
      </w:tr>
      <w:tr w14:paraId="219B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02" w:type="dxa"/>
            <w:vMerge w:val="continue"/>
            <w:vAlign w:val="center"/>
          </w:tcPr>
          <w:p w14:paraId="6EB1E48B">
            <w:pPr>
              <w:spacing w:line="240" w:lineRule="exact"/>
              <w:jc w:val="center"/>
              <w:rPr>
                <w:rFonts w:ascii="宋体"/>
              </w:rPr>
            </w:pPr>
          </w:p>
        </w:tc>
        <w:tc>
          <w:tcPr>
            <w:tcW w:w="2551" w:type="dxa"/>
            <w:vMerge w:val="continue"/>
            <w:vAlign w:val="center"/>
          </w:tcPr>
          <w:p w14:paraId="79507FC8">
            <w:pPr>
              <w:spacing w:line="240" w:lineRule="exact"/>
              <w:jc w:val="center"/>
              <w:rPr>
                <w:rFonts w:ascii="宋体"/>
              </w:rPr>
            </w:pPr>
          </w:p>
        </w:tc>
        <w:tc>
          <w:tcPr>
            <w:tcW w:w="3260" w:type="dxa"/>
            <w:vMerge w:val="continue"/>
            <w:vAlign w:val="center"/>
          </w:tcPr>
          <w:p w14:paraId="120E669D">
            <w:pPr>
              <w:spacing w:line="240" w:lineRule="exact"/>
              <w:jc w:val="center"/>
              <w:rPr>
                <w:rFonts w:ascii="宋体"/>
              </w:rPr>
            </w:pPr>
          </w:p>
        </w:tc>
        <w:tc>
          <w:tcPr>
            <w:tcW w:w="1418" w:type="dxa"/>
            <w:vMerge w:val="continue"/>
            <w:vAlign w:val="center"/>
          </w:tcPr>
          <w:p w14:paraId="6D392A26">
            <w:pPr>
              <w:spacing w:line="240" w:lineRule="exact"/>
              <w:jc w:val="center"/>
              <w:rPr>
                <w:rFonts w:ascii="宋体"/>
              </w:rPr>
            </w:pPr>
          </w:p>
        </w:tc>
        <w:tc>
          <w:tcPr>
            <w:tcW w:w="3260" w:type="dxa"/>
            <w:vAlign w:val="center"/>
          </w:tcPr>
          <w:p w14:paraId="1983B38F">
            <w:pPr>
              <w:spacing w:line="240" w:lineRule="exact"/>
              <w:jc w:val="left"/>
              <w:rPr>
                <w:rFonts w:ascii="宋体"/>
              </w:rPr>
            </w:pPr>
            <w:r>
              <w:rPr>
                <w:rFonts w:hint="eastAsia" w:ascii="宋体"/>
              </w:rPr>
              <w:t>未配备符合规定和标准的有关设施、设备、器材，发生险情的</w:t>
            </w:r>
          </w:p>
        </w:tc>
        <w:tc>
          <w:tcPr>
            <w:tcW w:w="7859" w:type="dxa"/>
            <w:vAlign w:val="center"/>
          </w:tcPr>
          <w:p w14:paraId="1E81462F">
            <w:pPr>
              <w:spacing w:line="240" w:lineRule="exact"/>
              <w:jc w:val="center"/>
              <w:rPr>
                <w:rFonts w:ascii="宋体"/>
              </w:rPr>
            </w:pPr>
            <w:r>
              <w:rPr>
                <w:rFonts w:hint="eastAsia" w:ascii="宋体"/>
              </w:rPr>
              <w:t>4-6万元</w:t>
            </w:r>
          </w:p>
        </w:tc>
      </w:tr>
      <w:tr w14:paraId="7BCE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802" w:type="dxa"/>
            <w:vMerge w:val="continue"/>
            <w:vAlign w:val="center"/>
          </w:tcPr>
          <w:p w14:paraId="27CF033E">
            <w:pPr>
              <w:spacing w:line="240" w:lineRule="exact"/>
              <w:jc w:val="center"/>
              <w:rPr>
                <w:rFonts w:ascii="宋体"/>
              </w:rPr>
            </w:pPr>
          </w:p>
        </w:tc>
        <w:tc>
          <w:tcPr>
            <w:tcW w:w="2551" w:type="dxa"/>
            <w:vMerge w:val="continue"/>
            <w:vAlign w:val="center"/>
          </w:tcPr>
          <w:p w14:paraId="504AEFEC">
            <w:pPr>
              <w:spacing w:line="240" w:lineRule="exact"/>
              <w:jc w:val="center"/>
              <w:rPr>
                <w:rFonts w:ascii="宋体"/>
              </w:rPr>
            </w:pPr>
          </w:p>
        </w:tc>
        <w:tc>
          <w:tcPr>
            <w:tcW w:w="3260" w:type="dxa"/>
            <w:vMerge w:val="continue"/>
            <w:vAlign w:val="center"/>
          </w:tcPr>
          <w:p w14:paraId="40A648CA">
            <w:pPr>
              <w:spacing w:line="240" w:lineRule="exact"/>
              <w:jc w:val="center"/>
              <w:rPr>
                <w:rFonts w:ascii="宋体"/>
              </w:rPr>
            </w:pPr>
          </w:p>
        </w:tc>
        <w:tc>
          <w:tcPr>
            <w:tcW w:w="1418" w:type="dxa"/>
            <w:vMerge w:val="continue"/>
            <w:vAlign w:val="center"/>
          </w:tcPr>
          <w:p w14:paraId="69C4B145">
            <w:pPr>
              <w:spacing w:line="240" w:lineRule="exact"/>
              <w:jc w:val="center"/>
              <w:rPr>
                <w:rFonts w:ascii="宋体"/>
              </w:rPr>
            </w:pPr>
          </w:p>
        </w:tc>
        <w:tc>
          <w:tcPr>
            <w:tcW w:w="3260" w:type="dxa"/>
            <w:vAlign w:val="center"/>
          </w:tcPr>
          <w:p w14:paraId="6A9FA9A1">
            <w:pPr>
              <w:spacing w:line="240" w:lineRule="exact"/>
              <w:jc w:val="left"/>
              <w:rPr>
                <w:rFonts w:ascii="宋体"/>
              </w:rPr>
            </w:pPr>
            <w:r>
              <w:rPr>
                <w:rFonts w:hint="eastAsia" w:ascii="宋体"/>
              </w:rPr>
              <w:t>未配备符合规定和标准的有关设施、设备、器材，发生一般以下污染事故的</w:t>
            </w:r>
          </w:p>
        </w:tc>
        <w:tc>
          <w:tcPr>
            <w:tcW w:w="7859" w:type="dxa"/>
            <w:vAlign w:val="center"/>
          </w:tcPr>
          <w:p w14:paraId="3FF629B1">
            <w:pPr>
              <w:spacing w:line="240" w:lineRule="exact"/>
              <w:jc w:val="center"/>
              <w:rPr>
                <w:rFonts w:ascii="宋体"/>
              </w:rPr>
            </w:pPr>
            <w:r>
              <w:rPr>
                <w:rFonts w:hint="eastAsia" w:ascii="宋体"/>
              </w:rPr>
              <w:t>6-8万元</w:t>
            </w:r>
          </w:p>
        </w:tc>
      </w:tr>
      <w:tr w14:paraId="0968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02" w:type="dxa"/>
            <w:vMerge w:val="continue"/>
            <w:vAlign w:val="center"/>
          </w:tcPr>
          <w:p w14:paraId="0F1D8DCC">
            <w:pPr>
              <w:spacing w:line="240" w:lineRule="exact"/>
              <w:jc w:val="center"/>
              <w:rPr>
                <w:rFonts w:ascii="宋体"/>
              </w:rPr>
            </w:pPr>
          </w:p>
        </w:tc>
        <w:tc>
          <w:tcPr>
            <w:tcW w:w="2551" w:type="dxa"/>
            <w:vMerge w:val="continue"/>
            <w:vAlign w:val="center"/>
          </w:tcPr>
          <w:p w14:paraId="0A9CF44B">
            <w:pPr>
              <w:spacing w:line="240" w:lineRule="exact"/>
              <w:jc w:val="center"/>
              <w:rPr>
                <w:rFonts w:ascii="宋体"/>
              </w:rPr>
            </w:pPr>
          </w:p>
        </w:tc>
        <w:tc>
          <w:tcPr>
            <w:tcW w:w="3260" w:type="dxa"/>
            <w:vMerge w:val="continue"/>
            <w:vAlign w:val="center"/>
          </w:tcPr>
          <w:p w14:paraId="66815613">
            <w:pPr>
              <w:spacing w:line="240" w:lineRule="exact"/>
              <w:jc w:val="center"/>
              <w:rPr>
                <w:rFonts w:ascii="宋体"/>
              </w:rPr>
            </w:pPr>
          </w:p>
        </w:tc>
        <w:tc>
          <w:tcPr>
            <w:tcW w:w="1418" w:type="dxa"/>
            <w:vMerge w:val="continue"/>
            <w:vAlign w:val="center"/>
          </w:tcPr>
          <w:p w14:paraId="3BA85436">
            <w:pPr>
              <w:spacing w:line="240" w:lineRule="exact"/>
              <w:jc w:val="center"/>
              <w:rPr>
                <w:rFonts w:ascii="宋体"/>
              </w:rPr>
            </w:pPr>
          </w:p>
        </w:tc>
        <w:tc>
          <w:tcPr>
            <w:tcW w:w="3260" w:type="dxa"/>
            <w:vAlign w:val="center"/>
          </w:tcPr>
          <w:p w14:paraId="1E3C45A2">
            <w:pPr>
              <w:spacing w:line="240" w:lineRule="exact"/>
              <w:jc w:val="left"/>
              <w:rPr>
                <w:rFonts w:ascii="宋体"/>
              </w:rPr>
            </w:pPr>
            <w:r>
              <w:rPr>
                <w:rFonts w:hint="eastAsia" w:ascii="宋体"/>
              </w:rPr>
              <w:t>未配备符合规定和标准的有关设施、设备、器材，发生较大以上污染事故的</w:t>
            </w:r>
          </w:p>
        </w:tc>
        <w:tc>
          <w:tcPr>
            <w:tcW w:w="7859" w:type="dxa"/>
            <w:vAlign w:val="center"/>
          </w:tcPr>
          <w:p w14:paraId="401F2620">
            <w:pPr>
              <w:spacing w:line="240" w:lineRule="exact"/>
              <w:jc w:val="center"/>
              <w:rPr>
                <w:rFonts w:ascii="宋体"/>
              </w:rPr>
            </w:pPr>
            <w:r>
              <w:rPr>
                <w:rFonts w:hint="eastAsia" w:ascii="宋体"/>
              </w:rPr>
              <w:t>8-10万元</w:t>
            </w:r>
          </w:p>
        </w:tc>
      </w:tr>
      <w:tr w14:paraId="4E68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02" w:type="dxa"/>
            <w:vMerge w:val="continue"/>
            <w:vAlign w:val="center"/>
          </w:tcPr>
          <w:p w14:paraId="1B2F16D3">
            <w:pPr>
              <w:spacing w:line="240" w:lineRule="exact"/>
              <w:jc w:val="center"/>
              <w:rPr>
                <w:rFonts w:ascii="宋体"/>
              </w:rPr>
            </w:pPr>
          </w:p>
        </w:tc>
        <w:tc>
          <w:tcPr>
            <w:tcW w:w="2551" w:type="dxa"/>
            <w:vMerge w:val="continue"/>
            <w:vAlign w:val="center"/>
          </w:tcPr>
          <w:p w14:paraId="0C6E8FB0">
            <w:pPr>
              <w:spacing w:line="240" w:lineRule="exact"/>
              <w:jc w:val="center"/>
              <w:rPr>
                <w:rFonts w:ascii="宋体"/>
              </w:rPr>
            </w:pPr>
          </w:p>
        </w:tc>
        <w:tc>
          <w:tcPr>
            <w:tcW w:w="3260" w:type="dxa"/>
            <w:vMerge w:val="continue"/>
            <w:vAlign w:val="center"/>
          </w:tcPr>
          <w:p w14:paraId="35B356FC">
            <w:pPr>
              <w:spacing w:line="240" w:lineRule="exact"/>
              <w:jc w:val="center"/>
              <w:rPr>
                <w:rFonts w:ascii="宋体"/>
              </w:rPr>
            </w:pPr>
          </w:p>
        </w:tc>
        <w:tc>
          <w:tcPr>
            <w:tcW w:w="1418" w:type="dxa"/>
            <w:vMerge w:val="continue"/>
            <w:vAlign w:val="center"/>
          </w:tcPr>
          <w:p w14:paraId="6E3DD080">
            <w:pPr>
              <w:spacing w:line="240" w:lineRule="exact"/>
              <w:jc w:val="center"/>
              <w:rPr>
                <w:rFonts w:ascii="宋体"/>
              </w:rPr>
            </w:pPr>
          </w:p>
        </w:tc>
        <w:tc>
          <w:tcPr>
            <w:tcW w:w="3260" w:type="dxa"/>
            <w:vAlign w:val="center"/>
          </w:tcPr>
          <w:p w14:paraId="37DC28B1">
            <w:pPr>
              <w:spacing w:line="240" w:lineRule="exact"/>
              <w:jc w:val="left"/>
              <w:rPr>
                <w:rFonts w:ascii="宋体"/>
              </w:rPr>
            </w:pPr>
            <w:r>
              <w:rPr>
                <w:rFonts w:hint="eastAsia" w:ascii="宋体"/>
                <w:kern w:val="0"/>
              </w:rPr>
              <w:t>具有其他较重情节的</w:t>
            </w:r>
          </w:p>
        </w:tc>
        <w:tc>
          <w:tcPr>
            <w:tcW w:w="7859" w:type="dxa"/>
            <w:vAlign w:val="center"/>
          </w:tcPr>
          <w:p w14:paraId="4976993D">
            <w:pPr>
              <w:spacing w:line="240" w:lineRule="exact"/>
              <w:jc w:val="center"/>
              <w:rPr>
                <w:rFonts w:ascii="宋体"/>
              </w:rPr>
            </w:pPr>
            <w:r>
              <w:rPr>
                <w:rFonts w:hint="eastAsia" w:ascii="宋体"/>
              </w:rPr>
              <w:t>5-10万元</w:t>
            </w:r>
          </w:p>
        </w:tc>
      </w:tr>
    </w:tbl>
    <w:p w14:paraId="7086264F">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552"/>
        <w:gridCol w:w="3118"/>
        <w:gridCol w:w="1843"/>
        <w:gridCol w:w="3260"/>
        <w:gridCol w:w="7859"/>
      </w:tblGrid>
      <w:tr w14:paraId="31B3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18" w:type="dxa"/>
            <w:vMerge w:val="restart"/>
            <w:vAlign w:val="center"/>
          </w:tcPr>
          <w:p w14:paraId="1BE2A245">
            <w:pPr>
              <w:spacing w:line="240" w:lineRule="exact"/>
              <w:jc w:val="center"/>
              <w:rPr>
                <w:rFonts w:ascii="宋体"/>
                <w:b/>
              </w:rPr>
            </w:pPr>
            <w:r>
              <w:rPr>
                <w:rFonts w:hint="eastAsia" w:ascii="宋体"/>
                <w:b/>
              </w:rPr>
              <w:t>案由100</w:t>
            </w:r>
          </w:p>
        </w:tc>
        <w:tc>
          <w:tcPr>
            <w:tcW w:w="5670" w:type="dxa"/>
            <w:gridSpan w:val="2"/>
            <w:vAlign w:val="center"/>
          </w:tcPr>
          <w:p w14:paraId="7B5E83A4">
            <w:pPr>
              <w:spacing w:line="240" w:lineRule="exact"/>
              <w:jc w:val="center"/>
              <w:rPr>
                <w:rFonts w:ascii="宋体"/>
                <w:b/>
              </w:rPr>
            </w:pPr>
            <w:r>
              <w:rPr>
                <w:rFonts w:hint="eastAsia" w:ascii="宋体"/>
                <w:b/>
              </w:rPr>
              <w:t>法律依据</w:t>
            </w:r>
          </w:p>
        </w:tc>
        <w:tc>
          <w:tcPr>
            <w:tcW w:w="1843" w:type="dxa"/>
            <w:vMerge w:val="restart"/>
            <w:vAlign w:val="center"/>
          </w:tcPr>
          <w:p w14:paraId="641C0442">
            <w:pPr>
              <w:spacing w:line="240" w:lineRule="exact"/>
              <w:jc w:val="center"/>
              <w:rPr>
                <w:rFonts w:ascii="宋体"/>
                <w:b/>
              </w:rPr>
            </w:pPr>
            <w:r>
              <w:rPr>
                <w:rFonts w:hint="eastAsia" w:ascii="宋体"/>
                <w:b/>
              </w:rPr>
              <w:t>违法情节</w:t>
            </w:r>
          </w:p>
        </w:tc>
        <w:tc>
          <w:tcPr>
            <w:tcW w:w="3260" w:type="dxa"/>
            <w:vMerge w:val="restart"/>
            <w:vAlign w:val="center"/>
          </w:tcPr>
          <w:p w14:paraId="3EF70481">
            <w:pPr>
              <w:spacing w:line="240" w:lineRule="exact"/>
              <w:jc w:val="center"/>
              <w:rPr>
                <w:rFonts w:ascii="宋体"/>
                <w:b/>
              </w:rPr>
            </w:pPr>
            <w:r>
              <w:rPr>
                <w:rFonts w:hint="eastAsia" w:ascii="宋体"/>
                <w:b/>
              </w:rPr>
              <w:t>主要考虑因素（事实、性质、情节、危害程度和实际后果等）</w:t>
            </w:r>
          </w:p>
        </w:tc>
        <w:tc>
          <w:tcPr>
            <w:tcW w:w="7859" w:type="dxa"/>
            <w:vMerge w:val="restart"/>
            <w:vAlign w:val="center"/>
          </w:tcPr>
          <w:p w14:paraId="39E37B82">
            <w:pPr>
              <w:spacing w:line="240" w:lineRule="exact"/>
              <w:jc w:val="center"/>
              <w:rPr>
                <w:rFonts w:ascii="宋体"/>
                <w:b/>
              </w:rPr>
            </w:pPr>
            <w:r>
              <w:rPr>
                <w:rFonts w:hint="eastAsia" w:ascii="宋体"/>
                <w:b/>
              </w:rPr>
              <w:t>【法定幅度和种类】</w:t>
            </w:r>
            <w:r>
              <w:rPr>
                <w:rFonts w:hint="eastAsia" w:ascii="宋体"/>
              </w:rPr>
              <w:t>由海事管理机构予以警告，情节严重的，处2万元以下的罚款</w:t>
            </w:r>
          </w:p>
        </w:tc>
      </w:tr>
      <w:tr w14:paraId="3B00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8" w:type="dxa"/>
            <w:vMerge w:val="continue"/>
            <w:vAlign w:val="center"/>
          </w:tcPr>
          <w:p w14:paraId="344C1310">
            <w:pPr>
              <w:spacing w:line="240" w:lineRule="exact"/>
              <w:jc w:val="center"/>
              <w:rPr>
                <w:rFonts w:ascii="宋体"/>
                <w:b/>
              </w:rPr>
            </w:pPr>
          </w:p>
        </w:tc>
        <w:tc>
          <w:tcPr>
            <w:tcW w:w="2552" w:type="dxa"/>
            <w:vMerge w:val="restart"/>
            <w:vAlign w:val="center"/>
          </w:tcPr>
          <w:p w14:paraId="278F76A0">
            <w:pPr>
              <w:spacing w:line="240" w:lineRule="exact"/>
              <w:jc w:val="center"/>
              <w:rPr>
                <w:rFonts w:ascii="宋体"/>
                <w:b/>
              </w:rPr>
            </w:pPr>
            <w:r>
              <w:rPr>
                <w:rFonts w:hint="eastAsia" w:ascii="宋体"/>
                <w:b/>
              </w:rPr>
              <w:t>违反条款</w:t>
            </w:r>
          </w:p>
        </w:tc>
        <w:tc>
          <w:tcPr>
            <w:tcW w:w="3118" w:type="dxa"/>
            <w:vMerge w:val="restart"/>
            <w:vAlign w:val="center"/>
          </w:tcPr>
          <w:p w14:paraId="1A4805B1">
            <w:pPr>
              <w:spacing w:line="240" w:lineRule="exact"/>
              <w:jc w:val="center"/>
              <w:rPr>
                <w:rFonts w:ascii="宋体"/>
                <w:b/>
              </w:rPr>
            </w:pPr>
            <w:r>
              <w:rPr>
                <w:rFonts w:hint="eastAsia" w:ascii="宋体"/>
                <w:b/>
              </w:rPr>
              <w:t>处罚依据</w:t>
            </w:r>
          </w:p>
        </w:tc>
        <w:tc>
          <w:tcPr>
            <w:tcW w:w="1843" w:type="dxa"/>
            <w:vMerge w:val="continue"/>
            <w:vAlign w:val="center"/>
          </w:tcPr>
          <w:p w14:paraId="310CABBA">
            <w:pPr>
              <w:spacing w:line="240" w:lineRule="exact"/>
              <w:jc w:val="center"/>
              <w:rPr>
                <w:rFonts w:ascii="宋体"/>
                <w:b/>
              </w:rPr>
            </w:pPr>
          </w:p>
        </w:tc>
        <w:tc>
          <w:tcPr>
            <w:tcW w:w="3260" w:type="dxa"/>
            <w:vMerge w:val="continue"/>
            <w:vAlign w:val="center"/>
          </w:tcPr>
          <w:p w14:paraId="1821AFD1">
            <w:pPr>
              <w:spacing w:line="240" w:lineRule="exact"/>
              <w:jc w:val="center"/>
              <w:rPr>
                <w:rFonts w:ascii="宋体"/>
                <w:b/>
              </w:rPr>
            </w:pPr>
          </w:p>
        </w:tc>
        <w:tc>
          <w:tcPr>
            <w:tcW w:w="7859" w:type="dxa"/>
            <w:vMerge w:val="continue"/>
            <w:vAlign w:val="center"/>
          </w:tcPr>
          <w:p w14:paraId="6259B5E8">
            <w:pPr>
              <w:spacing w:line="240" w:lineRule="exact"/>
              <w:jc w:val="left"/>
              <w:rPr>
                <w:rFonts w:ascii="宋体"/>
                <w:b/>
              </w:rPr>
            </w:pPr>
          </w:p>
        </w:tc>
      </w:tr>
      <w:tr w14:paraId="1CCD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518" w:type="dxa"/>
            <w:vMerge w:val="continue"/>
            <w:vAlign w:val="center"/>
          </w:tcPr>
          <w:p w14:paraId="62A2C567">
            <w:pPr>
              <w:spacing w:line="240" w:lineRule="exact"/>
              <w:jc w:val="center"/>
              <w:rPr>
                <w:rFonts w:ascii="宋体"/>
                <w:b/>
              </w:rPr>
            </w:pPr>
          </w:p>
        </w:tc>
        <w:tc>
          <w:tcPr>
            <w:tcW w:w="2552" w:type="dxa"/>
            <w:vMerge w:val="continue"/>
            <w:vAlign w:val="center"/>
          </w:tcPr>
          <w:p w14:paraId="75C6D66E">
            <w:pPr>
              <w:spacing w:line="240" w:lineRule="exact"/>
              <w:jc w:val="center"/>
              <w:rPr>
                <w:rFonts w:ascii="宋体"/>
                <w:b/>
              </w:rPr>
            </w:pPr>
          </w:p>
        </w:tc>
        <w:tc>
          <w:tcPr>
            <w:tcW w:w="3118" w:type="dxa"/>
            <w:vMerge w:val="continue"/>
            <w:vAlign w:val="center"/>
          </w:tcPr>
          <w:p w14:paraId="627824FD">
            <w:pPr>
              <w:spacing w:line="240" w:lineRule="exact"/>
              <w:jc w:val="center"/>
              <w:rPr>
                <w:rFonts w:ascii="宋体"/>
                <w:b/>
              </w:rPr>
            </w:pPr>
          </w:p>
        </w:tc>
        <w:tc>
          <w:tcPr>
            <w:tcW w:w="1843" w:type="dxa"/>
            <w:vMerge w:val="continue"/>
            <w:vAlign w:val="center"/>
          </w:tcPr>
          <w:p w14:paraId="756530FE">
            <w:pPr>
              <w:spacing w:line="240" w:lineRule="exact"/>
              <w:jc w:val="center"/>
              <w:rPr>
                <w:rFonts w:ascii="宋体"/>
                <w:b/>
              </w:rPr>
            </w:pPr>
          </w:p>
        </w:tc>
        <w:tc>
          <w:tcPr>
            <w:tcW w:w="3260" w:type="dxa"/>
            <w:vMerge w:val="continue"/>
            <w:vAlign w:val="center"/>
          </w:tcPr>
          <w:p w14:paraId="10249375">
            <w:pPr>
              <w:spacing w:line="240" w:lineRule="exact"/>
              <w:jc w:val="center"/>
              <w:rPr>
                <w:rFonts w:ascii="宋体"/>
                <w:b/>
              </w:rPr>
            </w:pPr>
          </w:p>
        </w:tc>
        <w:tc>
          <w:tcPr>
            <w:tcW w:w="7859" w:type="dxa"/>
            <w:vAlign w:val="center"/>
          </w:tcPr>
          <w:p w14:paraId="74F7D743">
            <w:pPr>
              <w:spacing w:line="240" w:lineRule="exact"/>
              <w:jc w:val="center"/>
              <w:rPr>
                <w:rFonts w:ascii="宋体"/>
                <w:b/>
              </w:rPr>
            </w:pPr>
            <w:r>
              <w:rPr>
                <w:rFonts w:hint="eastAsia" w:ascii="宋体"/>
                <w:b/>
              </w:rPr>
              <w:t>【对象】经营人或所有人</w:t>
            </w:r>
          </w:p>
        </w:tc>
      </w:tr>
      <w:tr w14:paraId="0BE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18" w:type="dxa"/>
            <w:vMerge w:val="restart"/>
            <w:vAlign w:val="center"/>
          </w:tcPr>
          <w:p w14:paraId="12B87155">
            <w:pPr>
              <w:spacing w:line="240" w:lineRule="exact"/>
              <w:jc w:val="left"/>
              <w:rPr>
                <w:rFonts w:ascii="宋体"/>
              </w:rPr>
            </w:pPr>
            <w:r>
              <w:rPr>
                <w:rFonts w:hint="eastAsia" w:ascii="宋体"/>
              </w:rPr>
              <w:t>船舶在出港前未将上一航次消耗的燃料种类和数量，主机、辅机和锅炉功率以及运行工况时间等信息按照规定报告海事管理机构</w:t>
            </w:r>
          </w:p>
        </w:tc>
        <w:tc>
          <w:tcPr>
            <w:tcW w:w="2552" w:type="dxa"/>
            <w:vMerge w:val="restart"/>
            <w:vAlign w:val="center"/>
          </w:tcPr>
          <w:p w14:paraId="46C8A76E">
            <w:pPr>
              <w:spacing w:line="240" w:lineRule="exact"/>
              <w:jc w:val="left"/>
              <w:rPr>
                <w:rFonts w:ascii="宋体"/>
              </w:rPr>
            </w:pPr>
            <w:r>
              <w:rPr>
                <w:rFonts w:hint="eastAsia" w:ascii="宋体"/>
              </w:rPr>
              <w:t>1.《中华人民共和国船舶及其有关作业活动污染海洋环境防治管理规定》第四十条第一款。</w:t>
            </w:r>
          </w:p>
        </w:tc>
        <w:tc>
          <w:tcPr>
            <w:tcW w:w="3118" w:type="dxa"/>
            <w:vMerge w:val="restart"/>
            <w:vAlign w:val="center"/>
          </w:tcPr>
          <w:p w14:paraId="6208E3C1">
            <w:pPr>
              <w:spacing w:line="240" w:lineRule="exact"/>
              <w:jc w:val="left"/>
              <w:rPr>
                <w:rFonts w:ascii="宋体"/>
              </w:rPr>
            </w:pPr>
            <w:r>
              <w:rPr>
                <w:rFonts w:hint="eastAsia" w:ascii="宋体"/>
              </w:rPr>
              <w:t>1.《中华人民共和国船舶及其有关作业活动污染海洋环境防治管理规定》第五十二条；</w:t>
            </w:r>
          </w:p>
          <w:p w14:paraId="0B9FA23E">
            <w:pPr>
              <w:spacing w:line="240" w:lineRule="exact"/>
              <w:jc w:val="left"/>
              <w:rPr>
                <w:rFonts w:ascii="宋体"/>
                <w:kern w:val="0"/>
              </w:rPr>
            </w:pPr>
            <w:r>
              <w:rPr>
                <w:rFonts w:hint="eastAsia" w:ascii="宋体"/>
                <w:kern w:val="0"/>
              </w:rPr>
              <w:t>2. 《中华人民共和国海上海事行政处罚规定》第七条。</w:t>
            </w:r>
          </w:p>
        </w:tc>
        <w:tc>
          <w:tcPr>
            <w:tcW w:w="1843" w:type="dxa"/>
            <w:vAlign w:val="center"/>
          </w:tcPr>
          <w:p w14:paraId="51441B87">
            <w:pPr>
              <w:spacing w:line="240" w:lineRule="exact"/>
              <w:jc w:val="center"/>
              <w:rPr>
                <w:rFonts w:ascii="宋体"/>
              </w:rPr>
            </w:pPr>
            <w:r>
              <w:rPr>
                <w:rFonts w:hint="eastAsia" w:ascii="宋体"/>
              </w:rPr>
              <w:t>一般</w:t>
            </w:r>
          </w:p>
        </w:tc>
        <w:tc>
          <w:tcPr>
            <w:tcW w:w="3260" w:type="dxa"/>
            <w:vAlign w:val="center"/>
          </w:tcPr>
          <w:p w14:paraId="29725F58">
            <w:pPr>
              <w:spacing w:line="240" w:lineRule="exact"/>
              <w:jc w:val="left"/>
              <w:rPr>
                <w:rFonts w:ascii="宋体"/>
              </w:rPr>
            </w:pPr>
            <w:r>
              <w:rPr>
                <w:rFonts w:hint="eastAsia" w:ascii="宋体"/>
              </w:rPr>
              <w:t>不具有严重情节的</w:t>
            </w:r>
          </w:p>
        </w:tc>
        <w:tc>
          <w:tcPr>
            <w:tcW w:w="7859" w:type="dxa"/>
            <w:vAlign w:val="center"/>
          </w:tcPr>
          <w:p w14:paraId="0EF967C0">
            <w:pPr>
              <w:spacing w:line="240" w:lineRule="exact"/>
              <w:jc w:val="center"/>
              <w:rPr>
                <w:rFonts w:ascii="宋体"/>
              </w:rPr>
            </w:pPr>
            <w:r>
              <w:rPr>
                <w:rFonts w:hint="eastAsia" w:ascii="宋体"/>
              </w:rPr>
              <w:t>警告</w:t>
            </w:r>
          </w:p>
        </w:tc>
      </w:tr>
      <w:tr w14:paraId="727C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18" w:type="dxa"/>
            <w:vMerge w:val="continue"/>
            <w:vAlign w:val="center"/>
          </w:tcPr>
          <w:p w14:paraId="33326543">
            <w:pPr>
              <w:spacing w:line="240" w:lineRule="exact"/>
              <w:jc w:val="center"/>
              <w:rPr>
                <w:rFonts w:ascii="宋体"/>
              </w:rPr>
            </w:pPr>
          </w:p>
        </w:tc>
        <w:tc>
          <w:tcPr>
            <w:tcW w:w="2552" w:type="dxa"/>
            <w:vMerge w:val="continue"/>
            <w:vAlign w:val="center"/>
          </w:tcPr>
          <w:p w14:paraId="49E778DF">
            <w:pPr>
              <w:spacing w:line="240" w:lineRule="exact"/>
              <w:jc w:val="center"/>
              <w:rPr>
                <w:rFonts w:ascii="宋体"/>
              </w:rPr>
            </w:pPr>
          </w:p>
        </w:tc>
        <w:tc>
          <w:tcPr>
            <w:tcW w:w="3118" w:type="dxa"/>
            <w:vMerge w:val="continue"/>
            <w:vAlign w:val="center"/>
          </w:tcPr>
          <w:p w14:paraId="7437D85B">
            <w:pPr>
              <w:spacing w:line="240" w:lineRule="exact"/>
              <w:jc w:val="center"/>
              <w:rPr>
                <w:rFonts w:ascii="宋体"/>
              </w:rPr>
            </w:pPr>
          </w:p>
        </w:tc>
        <w:tc>
          <w:tcPr>
            <w:tcW w:w="1843" w:type="dxa"/>
            <w:vMerge w:val="restart"/>
            <w:vAlign w:val="center"/>
          </w:tcPr>
          <w:p w14:paraId="789C2CA4">
            <w:pPr>
              <w:spacing w:line="240" w:lineRule="exact"/>
              <w:jc w:val="center"/>
              <w:rPr>
                <w:rFonts w:ascii="宋体"/>
              </w:rPr>
            </w:pPr>
            <w:r>
              <w:rPr>
                <w:rFonts w:hint="eastAsia" w:ascii="宋体"/>
              </w:rPr>
              <w:t>情节严重</w:t>
            </w:r>
          </w:p>
        </w:tc>
        <w:tc>
          <w:tcPr>
            <w:tcW w:w="3260" w:type="dxa"/>
            <w:vAlign w:val="center"/>
          </w:tcPr>
          <w:p w14:paraId="4A1F5673">
            <w:pPr>
              <w:spacing w:line="240" w:lineRule="exact"/>
              <w:jc w:val="left"/>
              <w:rPr>
                <w:rFonts w:ascii="宋体"/>
              </w:rPr>
            </w:pPr>
            <w:r>
              <w:rPr>
                <w:rFonts w:hint="eastAsia" w:ascii="宋体"/>
              </w:rPr>
              <w:t>海船单个航次或内河船一个报告周期，未按规定向海事管理机构报告的；</w:t>
            </w:r>
          </w:p>
        </w:tc>
        <w:tc>
          <w:tcPr>
            <w:tcW w:w="7859" w:type="dxa"/>
            <w:vAlign w:val="center"/>
          </w:tcPr>
          <w:p w14:paraId="007258F0">
            <w:pPr>
              <w:spacing w:line="240" w:lineRule="exact"/>
              <w:jc w:val="center"/>
              <w:rPr>
                <w:rFonts w:ascii="宋体"/>
              </w:rPr>
            </w:pPr>
            <w:r>
              <w:rPr>
                <w:rFonts w:hint="eastAsia" w:ascii="宋体"/>
              </w:rPr>
              <w:t>1000-5000元</w:t>
            </w:r>
          </w:p>
        </w:tc>
      </w:tr>
      <w:tr w14:paraId="64FE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518" w:type="dxa"/>
            <w:vMerge w:val="continue"/>
            <w:vAlign w:val="center"/>
          </w:tcPr>
          <w:p w14:paraId="085C6148">
            <w:pPr>
              <w:spacing w:line="240" w:lineRule="exact"/>
              <w:jc w:val="center"/>
              <w:rPr>
                <w:rFonts w:ascii="宋体"/>
              </w:rPr>
            </w:pPr>
          </w:p>
        </w:tc>
        <w:tc>
          <w:tcPr>
            <w:tcW w:w="2552" w:type="dxa"/>
            <w:vMerge w:val="continue"/>
            <w:vAlign w:val="center"/>
          </w:tcPr>
          <w:p w14:paraId="06CF26DA">
            <w:pPr>
              <w:spacing w:line="240" w:lineRule="exact"/>
              <w:jc w:val="center"/>
              <w:rPr>
                <w:rFonts w:ascii="宋体"/>
              </w:rPr>
            </w:pPr>
          </w:p>
        </w:tc>
        <w:tc>
          <w:tcPr>
            <w:tcW w:w="3118" w:type="dxa"/>
            <w:vMerge w:val="continue"/>
            <w:vAlign w:val="center"/>
          </w:tcPr>
          <w:p w14:paraId="3C60ABC7">
            <w:pPr>
              <w:spacing w:line="240" w:lineRule="exact"/>
              <w:jc w:val="center"/>
              <w:rPr>
                <w:rFonts w:ascii="宋体"/>
              </w:rPr>
            </w:pPr>
          </w:p>
        </w:tc>
        <w:tc>
          <w:tcPr>
            <w:tcW w:w="1843" w:type="dxa"/>
            <w:vMerge w:val="continue"/>
            <w:vAlign w:val="center"/>
          </w:tcPr>
          <w:p w14:paraId="0162BFD0">
            <w:pPr>
              <w:spacing w:line="240" w:lineRule="exact"/>
              <w:jc w:val="center"/>
              <w:rPr>
                <w:rFonts w:ascii="宋体"/>
              </w:rPr>
            </w:pPr>
          </w:p>
        </w:tc>
        <w:tc>
          <w:tcPr>
            <w:tcW w:w="3260" w:type="dxa"/>
            <w:vAlign w:val="center"/>
          </w:tcPr>
          <w:p w14:paraId="3DC79321">
            <w:pPr>
              <w:spacing w:line="240" w:lineRule="exact"/>
              <w:jc w:val="left"/>
              <w:rPr>
                <w:rFonts w:ascii="宋体"/>
              </w:rPr>
            </w:pPr>
            <w:r>
              <w:rPr>
                <w:rFonts w:hint="eastAsia" w:ascii="宋体"/>
              </w:rPr>
              <w:t>海船多个航次或内河船多个报告周期，未按规定向海事管理机构报告的；</w:t>
            </w:r>
          </w:p>
        </w:tc>
        <w:tc>
          <w:tcPr>
            <w:tcW w:w="7859" w:type="dxa"/>
            <w:vAlign w:val="center"/>
          </w:tcPr>
          <w:p w14:paraId="5D35A060">
            <w:pPr>
              <w:spacing w:line="240" w:lineRule="exact"/>
              <w:jc w:val="center"/>
              <w:rPr>
                <w:rFonts w:ascii="宋体"/>
              </w:rPr>
            </w:pPr>
            <w:r>
              <w:rPr>
                <w:rFonts w:hint="eastAsia" w:ascii="宋体"/>
              </w:rPr>
              <w:t>5000元-1万元</w:t>
            </w:r>
          </w:p>
        </w:tc>
      </w:tr>
      <w:tr w14:paraId="26A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18" w:type="dxa"/>
            <w:vMerge w:val="continue"/>
            <w:vAlign w:val="center"/>
          </w:tcPr>
          <w:p w14:paraId="6E6F67F2">
            <w:pPr>
              <w:spacing w:line="240" w:lineRule="exact"/>
              <w:jc w:val="center"/>
              <w:rPr>
                <w:rFonts w:ascii="宋体"/>
              </w:rPr>
            </w:pPr>
          </w:p>
        </w:tc>
        <w:tc>
          <w:tcPr>
            <w:tcW w:w="2552" w:type="dxa"/>
            <w:vMerge w:val="continue"/>
            <w:vAlign w:val="center"/>
          </w:tcPr>
          <w:p w14:paraId="6FE3719D">
            <w:pPr>
              <w:spacing w:line="240" w:lineRule="exact"/>
              <w:jc w:val="center"/>
              <w:rPr>
                <w:rFonts w:ascii="宋体"/>
              </w:rPr>
            </w:pPr>
          </w:p>
        </w:tc>
        <w:tc>
          <w:tcPr>
            <w:tcW w:w="3118" w:type="dxa"/>
            <w:vMerge w:val="continue"/>
            <w:vAlign w:val="center"/>
          </w:tcPr>
          <w:p w14:paraId="7018A20D">
            <w:pPr>
              <w:spacing w:line="240" w:lineRule="exact"/>
              <w:jc w:val="center"/>
              <w:rPr>
                <w:rFonts w:ascii="宋体"/>
              </w:rPr>
            </w:pPr>
          </w:p>
        </w:tc>
        <w:tc>
          <w:tcPr>
            <w:tcW w:w="1843" w:type="dxa"/>
            <w:vMerge w:val="continue"/>
            <w:vAlign w:val="center"/>
          </w:tcPr>
          <w:p w14:paraId="620B6053">
            <w:pPr>
              <w:spacing w:line="240" w:lineRule="exact"/>
              <w:jc w:val="center"/>
              <w:rPr>
                <w:rFonts w:ascii="宋体"/>
              </w:rPr>
            </w:pPr>
          </w:p>
        </w:tc>
        <w:tc>
          <w:tcPr>
            <w:tcW w:w="3260" w:type="dxa"/>
            <w:vAlign w:val="center"/>
          </w:tcPr>
          <w:p w14:paraId="39FBFD88">
            <w:pPr>
              <w:spacing w:line="240" w:lineRule="exact"/>
              <w:jc w:val="left"/>
              <w:rPr>
                <w:rFonts w:ascii="宋体"/>
              </w:rPr>
            </w:pPr>
            <w:r>
              <w:rPr>
                <w:rFonts w:hint="eastAsia" w:ascii="宋体"/>
                <w:kern w:val="0"/>
              </w:rPr>
              <w:t>具有其他严重情节的</w:t>
            </w:r>
          </w:p>
        </w:tc>
        <w:tc>
          <w:tcPr>
            <w:tcW w:w="7859" w:type="dxa"/>
            <w:vAlign w:val="center"/>
          </w:tcPr>
          <w:p w14:paraId="51319989">
            <w:pPr>
              <w:spacing w:line="240" w:lineRule="exact"/>
              <w:jc w:val="center"/>
              <w:rPr>
                <w:rFonts w:ascii="宋体"/>
              </w:rPr>
            </w:pPr>
            <w:r>
              <w:rPr>
                <w:rFonts w:hint="eastAsia" w:ascii="宋体"/>
              </w:rPr>
              <w:t>1-2万元</w:t>
            </w:r>
          </w:p>
        </w:tc>
      </w:tr>
    </w:tbl>
    <w:p w14:paraId="4773CCB2">
      <w:pPr>
        <w:tabs>
          <w:tab w:val="left" w:pos="1967"/>
        </w:tabs>
        <w:spacing w:line="240" w:lineRule="exact"/>
        <w:jc w:val="left"/>
        <w:rPr>
          <w:rFonts w:ascii="宋体"/>
        </w:rPr>
      </w:pPr>
      <w:r>
        <w:rPr>
          <w:rFonts w:ascii="宋体"/>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6"/>
        <w:gridCol w:w="1915"/>
        <w:gridCol w:w="2835"/>
        <w:gridCol w:w="1843"/>
        <w:gridCol w:w="3544"/>
        <w:gridCol w:w="7717"/>
      </w:tblGrid>
      <w:tr w14:paraId="0796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296" w:type="dxa"/>
            <w:vMerge w:val="restart"/>
            <w:vAlign w:val="center"/>
          </w:tcPr>
          <w:p w14:paraId="683448EB">
            <w:pPr>
              <w:spacing w:line="240" w:lineRule="exact"/>
              <w:jc w:val="center"/>
              <w:rPr>
                <w:rFonts w:ascii="宋体"/>
                <w:b/>
                <w:bCs/>
              </w:rPr>
            </w:pPr>
            <w:r>
              <w:rPr>
                <w:rFonts w:hint="eastAsia" w:ascii="宋体"/>
                <w:b/>
                <w:bCs/>
              </w:rPr>
              <w:t>案由101</w:t>
            </w:r>
          </w:p>
        </w:tc>
        <w:tc>
          <w:tcPr>
            <w:tcW w:w="4750" w:type="dxa"/>
            <w:gridSpan w:val="2"/>
            <w:vAlign w:val="center"/>
          </w:tcPr>
          <w:p w14:paraId="5BB1E2C5">
            <w:pPr>
              <w:spacing w:line="240" w:lineRule="exact"/>
              <w:jc w:val="center"/>
              <w:rPr>
                <w:rFonts w:ascii="宋体"/>
                <w:b/>
                <w:bCs/>
              </w:rPr>
            </w:pPr>
            <w:r>
              <w:rPr>
                <w:rFonts w:hint="eastAsia" w:ascii="宋体"/>
                <w:b/>
                <w:bCs/>
              </w:rPr>
              <w:t>法律依据</w:t>
            </w:r>
          </w:p>
        </w:tc>
        <w:tc>
          <w:tcPr>
            <w:tcW w:w="1843" w:type="dxa"/>
            <w:vMerge w:val="restart"/>
            <w:vAlign w:val="center"/>
          </w:tcPr>
          <w:p w14:paraId="2BD37CD7">
            <w:pPr>
              <w:spacing w:line="240" w:lineRule="exact"/>
              <w:jc w:val="center"/>
              <w:rPr>
                <w:rFonts w:ascii="宋体"/>
                <w:b/>
                <w:bCs/>
              </w:rPr>
            </w:pPr>
            <w:r>
              <w:rPr>
                <w:rFonts w:hint="eastAsia" w:ascii="宋体"/>
                <w:b/>
                <w:bCs/>
              </w:rPr>
              <w:t>违法情节</w:t>
            </w:r>
          </w:p>
        </w:tc>
        <w:tc>
          <w:tcPr>
            <w:tcW w:w="3544" w:type="dxa"/>
            <w:vMerge w:val="restart"/>
            <w:vAlign w:val="center"/>
          </w:tcPr>
          <w:p w14:paraId="4ECBBF86">
            <w:pPr>
              <w:spacing w:line="240" w:lineRule="exact"/>
              <w:jc w:val="center"/>
              <w:rPr>
                <w:rFonts w:ascii="宋体"/>
                <w:b/>
                <w:bCs/>
              </w:rPr>
            </w:pPr>
            <w:r>
              <w:rPr>
                <w:rFonts w:hint="eastAsia" w:ascii="宋体"/>
                <w:b/>
                <w:bCs/>
              </w:rPr>
              <w:t>主要考虑因素（事实、性质、情节、危害程度和实际后果等）</w:t>
            </w:r>
          </w:p>
        </w:tc>
        <w:tc>
          <w:tcPr>
            <w:tcW w:w="7717" w:type="dxa"/>
            <w:vMerge w:val="restart"/>
            <w:vAlign w:val="center"/>
          </w:tcPr>
          <w:p w14:paraId="24E3BC61">
            <w:pPr>
              <w:spacing w:line="240" w:lineRule="exact"/>
              <w:jc w:val="center"/>
              <w:rPr>
                <w:rFonts w:ascii="宋体"/>
              </w:rPr>
            </w:pPr>
            <w:r>
              <w:rPr>
                <w:rFonts w:hint="eastAsia" w:ascii="宋体"/>
                <w:b/>
                <w:bCs/>
              </w:rPr>
              <w:t>【法定幅度和种类】</w:t>
            </w:r>
            <w:r>
              <w:rPr>
                <w:rFonts w:hint="eastAsia" w:ascii="宋体"/>
              </w:rPr>
              <w:t>处1万元及以上10万元及以下的罚款</w:t>
            </w:r>
          </w:p>
        </w:tc>
      </w:tr>
      <w:tr w14:paraId="2A29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96" w:type="dxa"/>
            <w:vMerge w:val="continue"/>
            <w:vAlign w:val="center"/>
          </w:tcPr>
          <w:p w14:paraId="6B0BD5B9">
            <w:pPr>
              <w:spacing w:line="240" w:lineRule="exact"/>
              <w:jc w:val="center"/>
              <w:rPr>
                <w:rFonts w:ascii="宋体"/>
              </w:rPr>
            </w:pPr>
          </w:p>
        </w:tc>
        <w:tc>
          <w:tcPr>
            <w:tcW w:w="1915" w:type="dxa"/>
            <w:vMerge w:val="restart"/>
            <w:vAlign w:val="center"/>
          </w:tcPr>
          <w:p w14:paraId="0F4698B2">
            <w:pPr>
              <w:spacing w:line="240" w:lineRule="exact"/>
              <w:jc w:val="center"/>
              <w:rPr>
                <w:rFonts w:ascii="宋体"/>
                <w:b/>
                <w:bCs/>
              </w:rPr>
            </w:pPr>
            <w:r>
              <w:rPr>
                <w:rFonts w:hint="eastAsia" w:ascii="宋体"/>
                <w:b/>
                <w:bCs/>
              </w:rPr>
              <w:t>违反条款</w:t>
            </w:r>
          </w:p>
        </w:tc>
        <w:tc>
          <w:tcPr>
            <w:tcW w:w="2835" w:type="dxa"/>
            <w:vMerge w:val="restart"/>
            <w:vAlign w:val="center"/>
          </w:tcPr>
          <w:p w14:paraId="14651538">
            <w:pPr>
              <w:spacing w:line="240" w:lineRule="exact"/>
              <w:jc w:val="center"/>
              <w:rPr>
                <w:rFonts w:ascii="宋体"/>
                <w:b/>
                <w:bCs/>
              </w:rPr>
            </w:pPr>
            <w:r>
              <w:rPr>
                <w:rFonts w:hint="eastAsia" w:ascii="宋体"/>
                <w:b/>
                <w:bCs/>
              </w:rPr>
              <w:t>处罚依据</w:t>
            </w:r>
          </w:p>
        </w:tc>
        <w:tc>
          <w:tcPr>
            <w:tcW w:w="1843" w:type="dxa"/>
            <w:vMerge w:val="continue"/>
            <w:vAlign w:val="center"/>
          </w:tcPr>
          <w:p w14:paraId="1AA707AC">
            <w:pPr>
              <w:spacing w:line="240" w:lineRule="exact"/>
              <w:jc w:val="center"/>
              <w:rPr>
                <w:rFonts w:ascii="宋体"/>
              </w:rPr>
            </w:pPr>
          </w:p>
        </w:tc>
        <w:tc>
          <w:tcPr>
            <w:tcW w:w="3544" w:type="dxa"/>
            <w:vMerge w:val="continue"/>
            <w:vAlign w:val="center"/>
          </w:tcPr>
          <w:p w14:paraId="01553CF6">
            <w:pPr>
              <w:spacing w:line="240" w:lineRule="exact"/>
              <w:jc w:val="center"/>
              <w:rPr>
                <w:rFonts w:ascii="宋体"/>
              </w:rPr>
            </w:pPr>
          </w:p>
        </w:tc>
        <w:tc>
          <w:tcPr>
            <w:tcW w:w="7717" w:type="dxa"/>
            <w:vMerge w:val="continue"/>
            <w:vAlign w:val="center"/>
          </w:tcPr>
          <w:p w14:paraId="1CF4B1FB">
            <w:pPr>
              <w:spacing w:line="240" w:lineRule="exact"/>
              <w:jc w:val="center"/>
              <w:rPr>
                <w:rFonts w:ascii="宋体"/>
              </w:rPr>
            </w:pPr>
          </w:p>
        </w:tc>
      </w:tr>
      <w:tr w14:paraId="18E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96" w:type="dxa"/>
            <w:vMerge w:val="continue"/>
            <w:vAlign w:val="center"/>
          </w:tcPr>
          <w:p w14:paraId="61DD70FF">
            <w:pPr>
              <w:spacing w:line="240" w:lineRule="exact"/>
              <w:jc w:val="center"/>
              <w:rPr>
                <w:rFonts w:ascii="宋体"/>
              </w:rPr>
            </w:pPr>
          </w:p>
        </w:tc>
        <w:tc>
          <w:tcPr>
            <w:tcW w:w="1915" w:type="dxa"/>
            <w:vMerge w:val="continue"/>
            <w:vAlign w:val="center"/>
          </w:tcPr>
          <w:p w14:paraId="5B74DB50">
            <w:pPr>
              <w:spacing w:line="240" w:lineRule="exact"/>
              <w:jc w:val="center"/>
              <w:rPr>
                <w:rFonts w:ascii="宋体"/>
              </w:rPr>
            </w:pPr>
          </w:p>
        </w:tc>
        <w:tc>
          <w:tcPr>
            <w:tcW w:w="2835" w:type="dxa"/>
            <w:vMerge w:val="continue"/>
            <w:vAlign w:val="center"/>
          </w:tcPr>
          <w:p w14:paraId="32B6994E">
            <w:pPr>
              <w:spacing w:line="240" w:lineRule="exact"/>
              <w:jc w:val="center"/>
              <w:rPr>
                <w:rFonts w:ascii="宋体"/>
              </w:rPr>
            </w:pPr>
          </w:p>
        </w:tc>
        <w:tc>
          <w:tcPr>
            <w:tcW w:w="1843" w:type="dxa"/>
            <w:vMerge w:val="continue"/>
            <w:vAlign w:val="center"/>
          </w:tcPr>
          <w:p w14:paraId="1BDF1304">
            <w:pPr>
              <w:spacing w:line="240" w:lineRule="exact"/>
              <w:jc w:val="center"/>
              <w:rPr>
                <w:rFonts w:ascii="宋体"/>
              </w:rPr>
            </w:pPr>
          </w:p>
        </w:tc>
        <w:tc>
          <w:tcPr>
            <w:tcW w:w="3544" w:type="dxa"/>
            <w:vMerge w:val="continue"/>
            <w:vAlign w:val="center"/>
          </w:tcPr>
          <w:p w14:paraId="577D95FC">
            <w:pPr>
              <w:spacing w:line="240" w:lineRule="exact"/>
              <w:jc w:val="center"/>
              <w:rPr>
                <w:rFonts w:ascii="宋体"/>
              </w:rPr>
            </w:pPr>
          </w:p>
        </w:tc>
        <w:tc>
          <w:tcPr>
            <w:tcW w:w="7717" w:type="dxa"/>
            <w:vAlign w:val="center"/>
          </w:tcPr>
          <w:p w14:paraId="494F738C">
            <w:pPr>
              <w:spacing w:line="240" w:lineRule="exact"/>
              <w:jc w:val="center"/>
              <w:rPr>
                <w:rFonts w:ascii="宋体"/>
              </w:rPr>
            </w:pPr>
            <w:r>
              <w:rPr>
                <w:rFonts w:hint="eastAsia" w:ascii="宋体"/>
                <w:b/>
                <w:bCs/>
              </w:rPr>
              <w:t>【对象】</w:t>
            </w:r>
            <w:r>
              <w:rPr>
                <w:rFonts w:hint="eastAsia" w:ascii="宋体"/>
              </w:rPr>
              <w:t>所有人或经营人</w:t>
            </w:r>
          </w:p>
        </w:tc>
      </w:tr>
      <w:tr w14:paraId="7E65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296" w:type="dxa"/>
            <w:vMerge w:val="restart"/>
            <w:vAlign w:val="center"/>
          </w:tcPr>
          <w:p w14:paraId="6005652E">
            <w:pPr>
              <w:widowControl/>
              <w:spacing w:line="240" w:lineRule="exact"/>
              <w:jc w:val="left"/>
              <w:textAlignment w:val="center"/>
              <w:rPr>
                <w:rFonts w:ascii="宋体"/>
              </w:rPr>
            </w:pPr>
            <w:r>
              <w:rPr>
                <w:rFonts w:hint="eastAsia" w:ascii="宋体"/>
                <w:kern w:val="0"/>
              </w:rPr>
              <w:t>废油船未经洗舱、排污、清舱和测爆即行拆解</w:t>
            </w:r>
          </w:p>
        </w:tc>
        <w:tc>
          <w:tcPr>
            <w:tcW w:w="1915" w:type="dxa"/>
            <w:vMerge w:val="restart"/>
            <w:vAlign w:val="center"/>
          </w:tcPr>
          <w:p w14:paraId="1A3D8777">
            <w:pPr>
              <w:spacing w:line="240" w:lineRule="exact"/>
              <w:jc w:val="left"/>
              <w:rPr>
                <w:rFonts w:ascii="宋体"/>
              </w:rPr>
            </w:pPr>
            <w:r>
              <w:rPr>
                <w:rFonts w:hint="eastAsia" w:ascii="宋体"/>
              </w:rPr>
              <w:t>1.《防止拆船污染环境管理条例》第十一条第二款。</w:t>
            </w:r>
          </w:p>
        </w:tc>
        <w:tc>
          <w:tcPr>
            <w:tcW w:w="2835" w:type="dxa"/>
            <w:vMerge w:val="restart"/>
            <w:vAlign w:val="center"/>
          </w:tcPr>
          <w:p w14:paraId="38001DB3">
            <w:pPr>
              <w:spacing w:line="240" w:lineRule="exact"/>
              <w:jc w:val="left"/>
              <w:rPr>
                <w:rFonts w:ascii="宋体"/>
              </w:rPr>
            </w:pPr>
            <w:r>
              <w:rPr>
                <w:rFonts w:hint="eastAsia" w:ascii="宋体"/>
              </w:rPr>
              <w:t>1.《防止拆船污染环境管理条例》第十七条第一款第（二）项、《中华人民共和国海上海事行政处罚规定》第三十六条第（二）项。</w:t>
            </w:r>
          </w:p>
          <w:p w14:paraId="214F1E3B">
            <w:pPr>
              <w:spacing w:line="240" w:lineRule="exact"/>
              <w:jc w:val="left"/>
              <w:rPr>
                <w:rFonts w:ascii="宋体"/>
                <w:kern w:val="0"/>
              </w:rPr>
            </w:pPr>
            <w:r>
              <w:rPr>
                <w:rFonts w:hint="eastAsia" w:ascii="宋体"/>
                <w:kern w:val="0"/>
              </w:rPr>
              <w:t>2. 《中华人民共和国海上海事行政处罚规定》第七条。</w:t>
            </w:r>
          </w:p>
        </w:tc>
        <w:tc>
          <w:tcPr>
            <w:tcW w:w="1843" w:type="dxa"/>
            <w:vAlign w:val="center"/>
          </w:tcPr>
          <w:p w14:paraId="4C025DBE">
            <w:pPr>
              <w:spacing w:line="240" w:lineRule="exact"/>
              <w:jc w:val="center"/>
              <w:rPr>
                <w:rFonts w:ascii="宋体"/>
              </w:rPr>
            </w:pPr>
            <w:r>
              <w:rPr>
                <w:rFonts w:hint="eastAsia" w:ascii="宋体"/>
              </w:rPr>
              <w:t>从轻</w:t>
            </w:r>
          </w:p>
        </w:tc>
        <w:tc>
          <w:tcPr>
            <w:tcW w:w="3544" w:type="dxa"/>
            <w:vAlign w:val="center"/>
          </w:tcPr>
          <w:p w14:paraId="551DDCCE">
            <w:pPr>
              <w:spacing w:line="240" w:lineRule="exact"/>
              <w:jc w:val="left"/>
              <w:rPr>
                <w:rFonts w:ascii="宋体"/>
              </w:rPr>
            </w:pPr>
            <w:r>
              <w:rPr>
                <w:rFonts w:hint="eastAsia" w:ascii="宋体"/>
              </w:rPr>
              <w:t>具有法定从轻处罚情节的</w:t>
            </w:r>
          </w:p>
        </w:tc>
        <w:tc>
          <w:tcPr>
            <w:tcW w:w="7717" w:type="dxa"/>
            <w:vAlign w:val="center"/>
          </w:tcPr>
          <w:p w14:paraId="78E59AA9">
            <w:pPr>
              <w:spacing w:line="240" w:lineRule="exact"/>
              <w:jc w:val="center"/>
              <w:rPr>
                <w:rFonts w:ascii="宋体"/>
              </w:rPr>
            </w:pPr>
            <w:r>
              <w:rPr>
                <w:rFonts w:hint="eastAsia" w:ascii="宋体"/>
              </w:rPr>
              <w:t>1-3万元</w:t>
            </w:r>
          </w:p>
        </w:tc>
      </w:tr>
      <w:tr w14:paraId="7BA3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3296" w:type="dxa"/>
            <w:vMerge w:val="continue"/>
            <w:vAlign w:val="center"/>
          </w:tcPr>
          <w:p w14:paraId="26DC072B">
            <w:pPr>
              <w:spacing w:line="240" w:lineRule="exact"/>
              <w:jc w:val="left"/>
              <w:rPr>
                <w:rFonts w:ascii="宋体"/>
              </w:rPr>
            </w:pPr>
          </w:p>
        </w:tc>
        <w:tc>
          <w:tcPr>
            <w:tcW w:w="1915" w:type="dxa"/>
            <w:vMerge w:val="continue"/>
            <w:vAlign w:val="center"/>
          </w:tcPr>
          <w:p w14:paraId="5D136F9D">
            <w:pPr>
              <w:spacing w:line="240" w:lineRule="exact"/>
              <w:jc w:val="left"/>
              <w:rPr>
                <w:rFonts w:ascii="宋体"/>
              </w:rPr>
            </w:pPr>
          </w:p>
        </w:tc>
        <w:tc>
          <w:tcPr>
            <w:tcW w:w="2835" w:type="dxa"/>
            <w:vMerge w:val="continue"/>
            <w:vAlign w:val="center"/>
          </w:tcPr>
          <w:p w14:paraId="5CC48A60">
            <w:pPr>
              <w:spacing w:line="240" w:lineRule="exact"/>
              <w:jc w:val="left"/>
              <w:rPr>
                <w:rFonts w:ascii="宋体"/>
              </w:rPr>
            </w:pPr>
          </w:p>
        </w:tc>
        <w:tc>
          <w:tcPr>
            <w:tcW w:w="1843" w:type="dxa"/>
            <w:vMerge w:val="restart"/>
            <w:vAlign w:val="center"/>
          </w:tcPr>
          <w:p w14:paraId="0F5F5D80">
            <w:pPr>
              <w:spacing w:line="240" w:lineRule="exact"/>
              <w:jc w:val="center"/>
              <w:rPr>
                <w:rFonts w:ascii="宋体"/>
              </w:rPr>
            </w:pPr>
            <w:r>
              <w:rPr>
                <w:rFonts w:hint="eastAsia" w:ascii="宋体"/>
              </w:rPr>
              <w:t>一般</w:t>
            </w:r>
          </w:p>
        </w:tc>
        <w:tc>
          <w:tcPr>
            <w:tcW w:w="3544" w:type="dxa"/>
            <w:vAlign w:val="center"/>
          </w:tcPr>
          <w:p w14:paraId="0DBC47DC">
            <w:pPr>
              <w:spacing w:line="240" w:lineRule="exact"/>
              <w:jc w:val="left"/>
              <w:rPr>
                <w:rFonts w:ascii="宋体"/>
              </w:rPr>
            </w:pPr>
            <w:r>
              <w:rPr>
                <w:rFonts w:hint="eastAsia" w:ascii="宋体"/>
                <w:kern w:val="0"/>
              </w:rPr>
              <w:t>废油船未经洗舱、排污、清舱和测爆即行拆解</w:t>
            </w:r>
            <w:r>
              <w:rPr>
                <w:rFonts w:hint="eastAsia" w:ascii="宋体"/>
              </w:rPr>
              <w:t>，未造成事故或者险情的</w:t>
            </w:r>
          </w:p>
        </w:tc>
        <w:tc>
          <w:tcPr>
            <w:tcW w:w="7717" w:type="dxa"/>
            <w:vAlign w:val="center"/>
          </w:tcPr>
          <w:p w14:paraId="46532427">
            <w:pPr>
              <w:spacing w:line="240" w:lineRule="exact"/>
              <w:jc w:val="center"/>
              <w:rPr>
                <w:rFonts w:ascii="宋体"/>
              </w:rPr>
            </w:pPr>
            <w:r>
              <w:rPr>
                <w:rFonts w:hint="eastAsia" w:ascii="宋体"/>
              </w:rPr>
              <w:t>3-5万元</w:t>
            </w:r>
          </w:p>
        </w:tc>
      </w:tr>
      <w:tr w14:paraId="521F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296" w:type="dxa"/>
            <w:vMerge w:val="continue"/>
            <w:vAlign w:val="center"/>
          </w:tcPr>
          <w:p w14:paraId="01B55C59">
            <w:pPr>
              <w:spacing w:line="240" w:lineRule="exact"/>
              <w:jc w:val="left"/>
              <w:rPr>
                <w:rFonts w:ascii="宋体"/>
              </w:rPr>
            </w:pPr>
          </w:p>
        </w:tc>
        <w:tc>
          <w:tcPr>
            <w:tcW w:w="1915" w:type="dxa"/>
            <w:vMerge w:val="continue"/>
            <w:vAlign w:val="center"/>
          </w:tcPr>
          <w:p w14:paraId="2D768051">
            <w:pPr>
              <w:spacing w:line="240" w:lineRule="exact"/>
              <w:jc w:val="left"/>
              <w:rPr>
                <w:rFonts w:ascii="宋体"/>
              </w:rPr>
            </w:pPr>
          </w:p>
        </w:tc>
        <w:tc>
          <w:tcPr>
            <w:tcW w:w="2835" w:type="dxa"/>
            <w:vMerge w:val="continue"/>
            <w:vAlign w:val="center"/>
          </w:tcPr>
          <w:p w14:paraId="55601260">
            <w:pPr>
              <w:spacing w:line="240" w:lineRule="exact"/>
              <w:jc w:val="left"/>
              <w:rPr>
                <w:rFonts w:ascii="宋体"/>
              </w:rPr>
            </w:pPr>
          </w:p>
        </w:tc>
        <w:tc>
          <w:tcPr>
            <w:tcW w:w="1843" w:type="dxa"/>
            <w:vMerge w:val="continue"/>
            <w:vAlign w:val="center"/>
          </w:tcPr>
          <w:p w14:paraId="470CBA90">
            <w:pPr>
              <w:spacing w:line="240" w:lineRule="exact"/>
              <w:jc w:val="center"/>
              <w:rPr>
                <w:rFonts w:ascii="宋体"/>
              </w:rPr>
            </w:pPr>
          </w:p>
        </w:tc>
        <w:tc>
          <w:tcPr>
            <w:tcW w:w="3544" w:type="dxa"/>
            <w:vAlign w:val="center"/>
          </w:tcPr>
          <w:p w14:paraId="26B22824">
            <w:pPr>
              <w:spacing w:line="240" w:lineRule="exact"/>
              <w:jc w:val="left"/>
              <w:rPr>
                <w:rFonts w:ascii="宋体"/>
                <w:kern w:val="0"/>
              </w:rPr>
            </w:pPr>
            <w:r>
              <w:rPr>
                <w:rFonts w:hint="eastAsia" w:ascii="宋体"/>
                <w:kern w:val="0"/>
              </w:rPr>
              <w:t>1、废油船未经洗舱、排污、清舱和测爆即行拆解，造成小事故或者险情的</w:t>
            </w:r>
          </w:p>
          <w:p w14:paraId="23999730">
            <w:pPr>
              <w:spacing w:line="240" w:lineRule="exact"/>
              <w:jc w:val="left"/>
              <w:rPr>
                <w:rFonts w:ascii="宋体"/>
                <w:kern w:val="0"/>
              </w:rPr>
            </w:pPr>
            <w:r>
              <w:rPr>
                <w:rFonts w:hint="eastAsia" w:ascii="宋体"/>
                <w:kern w:val="0"/>
              </w:rPr>
              <w:t>2、具有其他较重情节的</w:t>
            </w:r>
          </w:p>
        </w:tc>
        <w:tc>
          <w:tcPr>
            <w:tcW w:w="7717" w:type="dxa"/>
            <w:vAlign w:val="center"/>
          </w:tcPr>
          <w:p w14:paraId="322887BE">
            <w:pPr>
              <w:spacing w:line="240" w:lineRule="exact"/>
              <w:jc w:val="center"/>
              <w:rPr>
                <w:rFonts w:ascii="宋体"/>
              </w:rPr>
            </w:pPr>
            <w:r>
              <w:rPr>
                <w:rFonts w:hint="eastAsia" w:ascii="宋体"/>
              </w:rPr>
              <w:t>5-7万元</w:t>
            </w:r>
          </w:p>
        </w:tc>
      </w:tr>
      <w:tr w14:paraId="2B4B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96" w:type="dxa"/>
            <w:vMerge w:val="continue"/>
            <w:vAlign w:val="center"/>
          </w:tcPr>
          <w:p w14:paraId="0B9D01DE">
            <w:pPr>
              <w:spacing w:line="240" w:lineRule="exact"/>
              <w:jc w:val="left"/>
              <w:rPr>
                <w:rFonts w:ascii="宋体"/>
              </w:rPr>
            </w:pPr>
          </w:p>
        </w:tc>
        <w:tc>
          <w:tcPr>
            <w:tcW w:w="1915" w:type="dxa"/>
            <w:vMerge w:val="continue"/>
            <w:vAlign w:val="center"/>
          </w:tcPr>
          <w:p w14:paraId="17052FCE">
            <w:pPr>
              <w:spacing w:line="240" w:lineRule="exact"/>
              <w:jc w:val="left"/>
              <w:rPr>
                <w:rFonts w:ascii="宋体"/>
              </w:rPr>
            </w:pPr>
          </w:p>
        </w:tc>
        <w:tc>
          <w:tcPr>
            <w:tcW w:w="2835" w:type="dxa"/>
            <w:vMerge w:val="continue"/>
            <w:vAlign w:val="center"/>
          </w:tcPr>
          <w:p w14:paraId="05BFE8EB">
            <w:pPr>
              <w:spacing w:line="240" w:lineRule="exact"/>
              <w:jc w:val="left"/>
              <w:rPr>
                <w:rFonts w:ascii="宋体"/>
              </w:rPr>
            </w:pPr>
          </w:p>
        </w:tc>
        <w:tc>
          <w:tcPr>
            <w:tcW w:w="1843" w:type="dxa"/>
            <w:vMerge w:val="continue"/>
            <w:vAlign w:val="center"/>
          </w:tcPr>
          <w:p w14:paraId="5C15AB93">
            <w:pPr>
              <w:spacing w:line="240" w:lineRule="exact"/>
              <w:jc w:val="left"/>
              <w:rPr>
                <w:rFonts w:ascii="宋体"/>
              </w:rPr>
            </w:pPr>
          </w:p>
        </w:tc>
        <w:tc>
          <w:tcPr>
            <w:tcW w:w="3544" w:type="dxa"/>
            <w:vAlign w:val="center"/>
          </w:tcPr>
          <w:p w14:paraId="69653CB5">
            <w:pPr>
              <w:spacing w:line="240" w:lineRule="exact"/>
              <w:jc w:val="left"/>
              <w:rPr>
                <w:rFonts w:ascii="宋体"/>
              </w:rPr>
            </w:pPr>
            <w:r>
              <w:rPr>
                <w:rFonts w:hint="eastAsia" w:ascii="宋体"/>
                <w:kern w:val="0"/>
              </w:rPr>
              <w:t>废油船未经洗舱、排污、清舱和测爆即行拆解</w:t>
            </w:r>
            <w:r>
              <w:rPr>
                <w:rFonts w:hint="eastAsia" w:ascii="宋体"/>
              </w:rPr>
              <w:t>，造成一般等级以上事故等较严重后果的</w:t>
            </w:r>
          </w:p>
        </w:tc>
        <w:tc>
          <w:tcPr>
            <w:tcW w:w="7717" w:type="dxa"/>
            <w:vAlign w:val="center"/>
          </w:tcPr>
          <w:p w14:paraId="7961309B">
            <w:pPr>
              <w:spacing w:line="240" w:lineRule="exact"/>
              <w:jc w:val="center"/>
              <w:rPr>
                <w:rFonts w:ascii="宋体"/>
              </w:rPr>
            </w:pPr>
            <w:r>
              <w:rPr>
                <w:rFonts w:hint="eastAsia" w:ascii="宋体"/>
              </w:rPr>
              <w:t>7-10万元</w:t>
            </w:r>
          </w:p>
        </w:tc>
      </w:tr>
    </w:tbl>
    <w:p w14:paraId="3420BA63">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85"/>
        <w:gridCol w:w="1213"/>
        <w:gridCol w:w="1403"/>
        <w:gridCol w:w="992"/>
        <w:gridCol w:w="5853"/>
        <w:gridCol w:w="5346"/>
        <w:gridCol w:w="4252"/>
      </w:tblGrid>
      <w:tr w14:paraId="04086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85" w:type="dxa"/>
            <w:vMerge w:val="restart"/>
            <w:vAlign w:val="center"/>
          </w:tcPr>
          <w:p w14:paraId="380EB927">
            <w:pPr>
              <w:jc w:val="left"/>
              <w:rPr>
                <w:rFonts w:ascii="宋体"/>
                <w:b/>
                <w:kern w:val="0"/>
              </w:rPr>
            </w:pPr>
            <w:r>
              <w:rPr>
                <w:rFonts w:hint="eastAsia" w:ascii="宋体"/>
                <w:b/>
                <w:kern w:val="0"/>
              </w:rPr>
              <w:t>案由102</w:t>
            </w:r>
          </w:p>
        </w:tc>
        <w:tc>
          <w:tcPr>
            <w:tcW w:w="2616" w:type="dxa"/>
            <w:gridSpan w:val="2"/>
            <w:vAlign w:val="center"/>
          </w:tcPr>
          <w:p w14:paraId="70B331E1">
            <w:pPr>
              <w:jc w:val="center"/>
              <w:rPr>
                <w:rFonts w:ascii="宋体"/>
                <w:b/>
                <w:kern w:val="0"/>
              </w:rPr>
            </w:pPr>
            <w:r>
              <w:rPr>
                <w:rFonts w:hint="eastAsia" w:ascii="宋体"/>
                <w:b/>
                <w:kern w:val="0"/>
              </w:rPr>
              <w:t>法律依据</w:t>
            </w:r>
          </w:p>
        </w:tc>
        <w:tc>
          <w:tcPr>
            <w:tcW w:w="992" w:type="dxa"/>
            <w:vMerge w:val="restart"/>
            <w:vAlign w:val="center"/>
          </w:tcPr>
          <w:p w14:paraId="1F7697DB">
            <w:pPr>
              <w:jc w:val="center"/>
              <w:rPr>
                <w:rFonts w:ascii="宋体"/>
                <w:b/>
                <w:kern w:val="0"/>
              </w:rPr>
            </w:pPr>
            <w:r>
              <w:rPr>
                <w:rFonts w:hint="eastAsia" w:ascii="宋体"/>
                <w:b/>
                <w:kern w:val="0"/>
              </w:rPr>
              <w:t>违法情节</w:t>
            </w:r>
          </w:p>
        </w:tc>
        <w:tc>
          <w:tcPr>
            <w:tcW w:w="5853" w:type="dxa"/>
            <w:vMerge w:val="restart"/>
            <w:vAlign w:val="center"/>
          </w:tcPr>
          <w:p w14:paraId="701C9A75">
            <w:pPr>
              <w:jc w:val="center"/>
              <w:rPr>
                <w:rFonts w:ascii="宋体"/>
                <w:b/>
                <w:kern w:val="0"/>
              </w:rPr>
            </w:pPr>
            <w:r>
              <w:rPr>
                <w:rFonts w:hint="eastAsia" w:ascii="宋体"/>
                <w:b/>
                <w:kern w:val="0"/>
              </w:rPr>
              <w:t>主要考虑因素（事实、性质、情节、危害程度和实际后果等）</w:t>
            </w:r>
          </w:p>
        </w:tc>
        <w:tc>
          <w:tcPr>
            <w:tcW w:w="9598" w:type="dxa"/>
            <w:gridSpan w:val="2"/>
            <w:vAlign w:val="center"/>
          </w:tcPr>
          <w:p w14:paraId="7C13E775">
            <w:pPr>
              <w:jc w:val="left"/>
              <w:rPr>
                <w:rFonts w:ascii="宋体"/>
                <w:b/>
                <w:kern w:val="0"/>
              </w:rPr>
            </w:pPr>
            <w:r>
              <w:rPr>
                <w:rFonts w:hint="eastAsia" w:ascii="宋体"/>
                <w:b/>
                <w:kern w:val="0"/>
              </w:rPr>
              <w:t>【法定幅度和种类】</w:t>
            </w:r>
            <w:r>
              <w:rPr>
                <w:rFonts w:hint="eastAsia" w:ascii="宋体"/>
              </w:rPr>
              <w:t>由海事管理机构对船舶的所有人、经营人或者管理人处一万元以上十万元以下的罚款，对责任船员处三千元以上三万元以下的罚款；情节严重的，对船舶的所有人、经营人或者管理人处三万元以上三十万元以下的罚款，暂扣责任船员的船员适任证书六个月至十二个月，直至吊销船员适任证书。</w:t>
            </w:r>
          </w:p>
        </w:tc>
      </w:tr>
      <w:tr w14:paraId="527CF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92" w:hRule="atLeast"/>
        </w:trPr>
        <w:tc>
          <w:tcPr>
            <w:tcW w:w="985" w:type="dxa"/>
            <w:vMerge w:val="continue"/>
            <w:tcBorders>
              <w:bottom w:val="single" w:color="000000" w:sz="4" w:space="0"/>
            </w:tcBorders>
            <w:vAlign w:val="center"/>
          </w:tcPr>
          <w:p w14:paraId="37760969">
            <w:pPr>
              <w:jc w:val="left"/>
              <w:rPr>
                <w:rFonts w:ascii="宋体"/>
                <w:b/>
                <w:kern w:val="0"/>
              </w:rPr>
            </w:pPr>
          </w:p>
        </w:tc>
        <w:tc>
          <w:tcPr>
            <w:tcW w:w="1213" w:type="dxa"/>
            <w:tcBorders>
              <w:bottom w:val="single" w:color="000000" w:sz="4" w:space="0"/>
            </w:tcBorders>
            <w:vAlign w:val="center"/>
          </w:tcPr>
          <w:p w14:paraId="62D8A5EF">
            <w:pPr>
              <w:jc w:val="center"/>
              <w:rPr>
                <w:rFonts w:ascii="宋体"/>
                <w:b/>
                <w:kern w:val="0"/>
              </w:rPr>
            </w:pPr>
            <w:r>
              <w:rPr>
                <w:rFonts w:hint="eastAsia" w:ascii="宋体"/>
                <w:b/>
                <w:kern w:val="0"/>
              </w:rPr>
              <w:t>违反条款</w:t>
            </w:r>
          </w:p>
        </w:tc>
        <w:tc>
          <w:tcPr>
            <w:tcW w:w="1403" w:type="dxa"/>
            <w:tcBorders>
              <w:bottom w:val="single" w:color="000000" w:sz="4" w:space="0"/>
            </w:tcBorders>
            <w:vAlign w:val="center"/>
          </w:tcPr>
          <w:p w14:paraId="1A99575A">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6891FAB8">
            <w:pPr>
              <w:jc w:val="center"/>
              <w:rPr>
                <w:rFonts w:ascii="宋体"/>
                <w:b/>
                <w:kern w:val="0"/>
              </w:rPr>
            </w:pPr>
          </w:p>
        </w:tc>
        <w:tc>
          <w:tcPr>
            <w:tcW w:w="5853" w:type="dxa"/>
            <w:vMerge w:val="continue"/>
            <w:tcBorders>
              <w:bottom w:val="single" w:color="000000" w:sz="4" w:space="0"/>
            </w:tcBorders>
            <w:vAlign w:val="center"/>
          </w:tcPr>
          <w:p w14:paraId="194CBB7B">
            <w:pPr>
              <w:jc w:val="left"/>
              <w:rPr>
                <w:rFonts w:ascii="宋体"/>
                <w:b/>
                <w:kern w:val="0"/>
              </w:rPr>
            </w:pPr>
          </w:p>
        </w:tc>
        <w:tc>
          <w:tcPr>
            <w:tcW w:w="5346" w:type="dxa"/>
            <w:tcBorders>
              <w:top w:val="single" w:color="auto" w:sz="4" w:space="0"/>
              <w:right w:val="single" w:color="auto" w:sz="4" w:space="0"/>
            </w:tcBorders>
            <w:vAlign w:val="center"/>
          </w:tcPr>
          <w:p w14:paraId="082A77FF">
            <w:pPr>
              <w:jc w:val="center"/>
              <w:rPr>
                <w:rFonts w:ascii="宋体"/>
                <w:b/>
                <w:kern w:val="0"/>
              </w:rPr>
            </w:pPr>
            <w:r>
              <w:rPr>
                <w:rFonts w:hint="eastAsia" w:ascii="宋体"/>
                <w:b/>
                <w:kern w:val="0"/>
              </w:rPr>
              <w:t>【对象】对船舶的所有人、经营人或者管理人</w:t>
            </w:r>
          </w:p>
        </w:tc>
        <w:tc>
          <w:tcPr>
            <w:tcW w:w="4252" w:type="dxa"/>
            <w:tcBorders>
              <w:top w:val="single" w:color="auto" w:sz="4" w:space="0"/>
              <w:left w:val="single" w:color="auto" w:sz="4" w:space="0"/>
            </w:tcBorders>
            <w:vAlign w:val="center"/>
          </w:tcPr>
          <w:p w14:paraId="3C568148">
            <w:pPr>
              <w:jc w:val="center"/>
              <w:rPr>
                <w:rFonts w:ascii="宋体"/>
                <w:b/>
                <w:kern w:val="0"/>
              </w:rPr>
            </w:pPr>
            <w:r>
              <w:rPr>
                <w:rFonts w:hint="eastAsia" w:ascii="宋体"/>
                <w:b/>
                <w:kern w:val="0"/>
              </w:rPr>
              <w:t>【对象】责任船员</w:t>
            </w:r>
          </w:p>
        </w:tc>
      </w:tr>
      <w:tr w14:paraId="7ECD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9" w:hRule="atLeast"/>
        </w:trPr>
        <w:tc>
          <w:tcPr>
            <w:tcW w:w="985" w:type="dxa"/>
            <w:vMerge w:val="restart"/>
            <w:vAlign w:val="center"/>
          </w:tcPr>
          <w:p w14:paraId="323AB712">
            <w:pPr>
              <w:widowControl/>
              <w:jc w:val="left"/>
              <w:rPr>
                <w:rFonts w:ascii="宋体"/>
                <w:kern w:val="0"/>
              </w:rPr>
            </w:pPr>
            <w:r>
              <w:rPr>
                <w:rFonts w:hint="eastAsia" w:ascii="宋体"/>
                <w:kern w:val="0"/>
              </w:rPr>
              <w:t>在船舶上工作未持有船员适任证书、船员健康证明或者所持船员适任证书、船员健康证明不符合要求</w:t>
            </w:r>
          </w:p>
        </w:tc>
        <w:tc>
          <w:tcPr>
            <w:tcW w:w="1213" w:type="dxa"/>
            <w:vMerge w:val="restart"/>
            <w:vAlign w:val="center"/>
          </w:tcPr>
          <w:p w14:paraId="6190C425">
            <w:pPr>
              <w:widowControl/>
              <w:rPr>
                <w:rFonts w:ascii="宋体"/>
                <w:kern w:val="0"/>
              </w:rPr>
            </w:pPr>
            <w:r>
              <w:rPr>
                <w:rFonts w:hint="eastAsia" w:ascii="宋体"/>
                <w:kern w:val="0"/>
              </w:rPr>
              <w:t>1.《中华人民共和国海上交通安全法》第十三条；</w:t>
            </w:r>
          </w:p>
          <w:p w14:paraId="1F4BABC9">
            <w:pPr>
              <w:widowControl/>
              <w:rPr>
                <w:rFonts w:ascii="宋体"/>
              </w:rPr>
            </w:pPr>
            <w:r>
              <w:rPr>
                <w:rFonts w:hint="eastAsia" w:ascii="宋体"/>
              </w:rPr>
              <w:t>2.其他法律、法规、规章等。</w:t>
            </w:r>
          </w:p>
        </w:tc>
        <w:tc>
          <w:tcPr>
            <w:tcW w:w="1403" w:type="dxa"/>
            <w:vMerge w:val="restart"/>
            <w:vAlign w:val="center"/>
          </w:tcPr>
          <w:p w14:paraId="3EAE7B68">
            <w:pPr>
              <w:jc w:val="left"/>
              <w:rPr>
                <w:rFonts w:ascii="宋体"/>
                <w:kern w:val="0"/>
              </w:rPr>
            </w:pPr>
            <w:r>
              <w:rPr>
                <w:rFonts w:hint="eastAsia" w:ascii="宋体"/>
                <w:kern w:val="0"/>
              </w:rPr>
              <w:t>1. 《中华人民共和国海上交通安全法》第九十七条、《中华人民共和国海上海事行政处罚规定》第十二条；</w:t>
            </w:r>
          </w:p>
          <w:p w14:paraId="669D3C9E">
            <w:pPr>
              <w:jc w:val="left"/>
              <w:rPr>
                <w:rFonts w:ascii="宋体"/>
                <w:b/>
                <w:kern w:val="0"/>
              </w:rPr>
            </w:pPr>
            <w:r>
              <w:rPr>
                <w:rFonts w:hint="eastAsia" w:ascii="宋体"/>
                <w:kern w:val="0"/>
              </w:rPr>
              <w:t>2.《中华人民共和国海上海事行政处罚规定》第七条。</w:t>
            </w:r>
          </w:p>
        </w:tc>
        <w:tc>
          <w:tcPr>
            <w:tcW w:w="992" w:type="dxa"/>
            <w:vAlign w:val="center"/>
          </w:tcPr>
          <w:p w14:paraId="1EA8AAD0">
            <w:pPr>
              <w:jc w:val="center"/>
              <w:rPr>
                <w:rFonts w:ascii="宋体"/>
                <w:kern w:val="0"/>
              </w:rPr>
            </w:pPr>
            <w:r>
              <w:rPr>
                <w:rFonts w:hint="eastAsia" w:ascii="宋体"/>
                <w:kern w:val="0"/>
              </w:rPr>
              <w:t>从轻</w:t>
            </w:r>
          </w:p>
        </w:tc>
        <w:tc>
          <w:tcPr>
            <w:tcW w:w="5853" w:type="dxa"/>
            <w:vAlign w:val="center"/>
          </w:tcPr>
          <w:p w14:paraId="5B0EBF15">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5346" w:type="dxa"/>
            <w:tcBorders>
              <w:right w:val="single" w:color="auto" w:sz="4" w:space="0"/>
            </w:tcBorders>
            <w:vAlign w:val="center"/>
          </w:tcPr>
          <w:p w14:paraId="10477EE9">
            <w:pPr>
              <w:jc w:val="center"/>
              <w:rPr>
                <w:rFonts w:ascii="宋体"/>
                <w:kern w:val="0"/>
              </w:rPr>
            </w:pPr>
            <w:r>
              <w:rPr>
                <w:rFonts w:hint="eastAsia" w:ascii="宋体"/>
                <w:kern w:val="0"/>
              </w:rPr>
              <w:t>1-2万元</w:t>
            </w:r>
          </w:p>
        </w:tc>
        <w:tc>
          <w:tcPr>
            <w:tcW w:w="4252" w:type="dxa"/>
            <w:tcBorders>
              <w:left w:val="single" w:color="auto" w:sz="4" w:space="0"/>
              <w:bottom w:val="single" w:color="auto" w:sz="4" w:space="0"/>
            </w:tcBorders>
            <w:vAlign w:val="center"/>
          </w:tcPr>
          <w:p w14:paraId="2E298AE0">
            <w:pPr>
              <w:jc w:val="center"/>
              <w:rPr>
                <w:rFonts w:ascii="宋体"/>
                <w:kern w:val="0"/>
              </w:rPr>
            </w:pPr>
            <w:r>
              <w:rPr>
                <w:rFonts w:hint="eastAsia" w:ascii="宋体"/>
                <w:kern w:val="0"/>
              </w:rPr>
              <w:t>3000-4000元</w:t>
            </w:r>
          </w:p>
        </w:tc>
      </w:tr>
      <w:tr w14:paraId="1DDA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4" w:hRule="atLeast"/>
        </w:trPr>
        <w:tc>
          <w:tcPr>
            <w:tcW w:w="985" w:type="dxa"/>
            <w:vMerge w:val="continue"/>
            <w:vAlign w:val="center"/>
          </w:tcPr>
          <w:p w14:paraId="62D7F7D9">
            <w:pPr>
              <w:jc w:val="left"/>
              <w:rPr>
                <w:rFonts w:ascii="宋体"/>
                <w:kern w:val="0"/>
              </w:rPr>
            </w:pPr>
          </w:p>
        </w:tc>
        <w:tc>
          <w:tcPr>
            <w:tcW w:w="1213" w:type="dxa"/>
            <w:vMerge w:val="continue"/>
            <w:vAlign w:val="center"/>
          </w:tcPr>
          <w:p w14:paraId="312C8282">
            <w:pPr>
              <w:widowControl/>
              <w:jc w:val="left"/>
              <w:rPr>
                <w:rFonts w:ascii="宋体"/>
                <w:kern w:val="0"/>
              </w:rPr>
            </w:pPr>
          </w:p>
        </w:tc>
        <w:tc>
          <w:tcPr>
            <w:tcW w:w="1403" w:type="dxa"/>
            <w:vMerge w:val="continue"/>
            <w:vAlign w:val="center"/>
          </w:tcPr>
          <w:p w14:paraId="7A66D1D1">
            <w:pPr>
              <w:jc w:val="left"/>
              <w:rPr>
                <w:rFonts w:ascii="宋体"/>
                <w:kern w:val="0"/>
              </w:rPr>
            </w:pPr>
          </w:p>
        </w:tc>
        <w:tc>
          <w:tcPr>
            <w:tcW w:w="992" w:type="dxa"/>
            <w:vMerge w:val="restart"/>
            <w:vAlign w:val="center"/>
          </w:tcPr>
          <w:p w14:paraId="56B0FB13">
            <w:pPr>
              <w:jc w:val="center"/>
              <w:rPr>
                <w:rFonts w:ascii="宋体"/>
                <w:kern w:val="0"/>
              </w:rPr>
            </w:pPr>
            <w:r>
              <w:rPr>
                <w:rFonts w:hint="eastAsia" w:ascii="宋体"/>
                <w:kern w:val="0"/>
              </w:rPr>
              <w:t>一般</w:t>
            </w:r>
          </w:p>
        </w:tc>
        <w:tc>
          <w:tcPr>
            <w:tcW w:w="5853" w:type="dxa"/>
            <w:vAlign w:val="center"/>
          </w:tcPr>
          <w:p w14:paraId="0076F595">
            <w:pPr>
              <w:pStyle w:val="13"/>
              <w:jc w:val="left"/>
              <w:rPr>
                <w:rFonts w:ascii="宋体"/>
              </w:rPr>
            </w:pPr>
            <w:r>
              <w:rPr>
                <w:rFonts w:hint="eastAsia" w:ascii="宋体"/>
              </w:rPr>
              <w:t>未持有有效船员健康证明的</w:t>
            </w:r>
          </w:p>
        </w:tc>
        <w:tc>
          <w:tcPr>
            <w:tcW w:w="5346" w:type="dxa"/>
            <w:tcBorders>
              <w:right w:val="single" w:color="auto" w:sz="4" w:space="0"/>
            </w:tcBorders>
            <w:vAlign w:val="center"/>
          </w:tcPr>
          <w:p w14:paraId="4812F989">
            <w:pPr>
              <w:jc w:val="center"/>
              <w:rPr>
                <w:rFonts w:ascii="宋体"/>
                <w:kern w:val="0"/>
              </w:rPr>
            </w:pPr>
            <w:r>
              <w:rPr>
                <w:rFonts w:hint="eastAsia" w:ascii="宋体"/>
                <w:kern w:val="0"/>
              </w:rPr>
              <w:t>2-4万元</w:t>
            </w:r>
          </w:p>
        </w:tc>
        <w:tc>
          <w:tcPr>
            <w:tcW w:w="4252" w:type="dxa"/>
            <w:tcBorders>
              <w:top w:val="single" w:color="auto" w:sz="4" w:space="0"/>
              <w:left w:val="single" w:color="auto" w:sz="4" w:space="0"/>
            </w:tcBorders>
            <w:vAlign w:val="center"/>
          </w:tcPr>
          <w:p w14:paraId="3BB0EF81">
            <w:pPr>
              <w:jc w:val="center"/>
              <w:rPr>
                <w:rFonts w:ascii="宋体"/>
                <w:kern w:val="0"/>
              </w:rPr>
            </w:pPr>
            <w:r>
              <w:rPr>
                <w:rFonts w:hint="eastAsia" w:ascii="宋体"/>
                <w:kern w:val="0"/>
              </w:rPr>
              <w:t>4000元-6000</w:t>
            </w:r>
          </w:p>
        </w:tc>
      </w:tr>
      <w:tr w14:paraId="776F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33" w:hRule="atLeast"/>
        </w:trPr>
        <w:tc>
          <w:tcPr>
            <w:tcW w:w="985" w:type="dxa"/>
            <w:vMerge w:val="continue"/>
            <w:vAlign w:val="center"/>
          </w:tcPr>
          <w:p w14:paraId="21377EDD">
            <w:pPr>
              <w:jc w:val="left"/>
              <w:rPr>
                <w:rFonts w:ascii="宋体"/>
                <w:kern w:val="0"/>
              </w:rPr>
            </w:pPr>
          </w:p>
        </w:tc>
        <w:tc>
          <w:tcPr>
            <w:tcW w:w="1213" w:type="dxa"/>
            <w:vMerge w:val="continue"/>
            <w:vAlign w:val="center"/>
          </w:tcPr>
          <w:p w14:paraId="15588AF7">
            <w:pPr>
              <w:widowControl/>
              <w:jc w:val="left"/>
              <w:rPr>
                <w:rFonts w:ascii="宋体"/>
                <w:kern w:val="0"/>
              </w:rPr>
            </w:pPr>
          </w:p>
        </w:tc>
        <w:tc>
          <w:tcPr>
            <w:tcW w:w="1403" w:type="dxa"/>
            <w:vMerge w:val="continue"/>
            <w:vAlign w:val="center"/>
          </w:tcPr>
          <w:p w14:paraId="7CF6F901">
            <w:pPr>
              <w:jc w:val="left"/>
              <w:rPr>
                <w:rFonts w:ascii="宋体"/>
                <w:kern w:val="0"/>
              </w:rPr>
            </w:pPr>
          </w:p>
        </w:tc>
        <w:tc>
          <w:tcPr>
            <w:tcW w:w="992" w:type="dxa"/>
            <w:vMerge w:val="continue"/>
            <w:vAlign w:val="center"/>
          </w:tcPr>
          <w:p w14:paraId="220D86AB">
            <w:pPr>
              <w:jc w:val="center"/>
              <w:rPr>
                <w:rFonts w:ascii="宋体"/>
                <w:kern w:val="0"/>
              </w:rPr>
            </w:pPr>
          </w:p>
        </w:tc>
        <w:tc>
          <w:tcPr>
            <w:tcW w:w="5853" w:type="dxa"/>
            <w:vAlign w:val="center"/>
          </w:tcPr>
          <w:p w14:paraId="3F7CC776">
            <w:pPr>
              <w:pStyle w:val="13"/>
              <w:jc w:val="left"/>
              <w:rPr>
                <w:rFonts w:ascii="宋体"/>
              </w:rPr>
            </w:pPr>
            <w:r>
              <w:rPr>
                <w:rFonts w:hint="eastAsia" w:ascii="宋体"/>
              </w:rPr>
              <w:t>船员所服务船舶的航区（线）、种类和等级或者所任职务超越所持船员适任证书限定的范围，或所任职务超越所持船员健康证明限定的范围</w:t>
            </w:r>
          </w:p>
        </w:tc>
        <w:tc>
          <w:tcPr>
            <w:tcW w:w="5346" w:type="dxa"/>
            <w:tcBorders>
              <w:right w:val="single" w:color="auto" w:sz="4" w:space="0"/>
            </w:tcBorders>
            <w:vAlign w:val="center"/>
          </w:tcPr>
          <w:p w14:paraId="2E64E3E0">
            <w:pPr>
              <w:jc w:val="center"/>
              <w:rPr>
                <w:rFonts w:ascii="宋体"/>
                <w:kern w:val="0"/>
              </w:rPr>
            </w:pPr>
            <w:r>
              <w:rPr>
                <w:rFonts w:hint="eastAsia" w:ascii="宋体"/>
                <w:kern w:val="0"/>
              </w:rPr>
              <w:t>3-5万元</w:t>
            </w:r>
          </w:p>
        </w:tc>
        <w:tc>
          <w:tcPr>
            <w:tcW w:w="4252" w:type="dxa"/>
            <w:tcBorders>
              <w:left w:val="single" w:color="auto" w:sz="4" w:space="0"/>
            </w:tcBorders>
            <w:vAlign w:val="center"/>
          </w:tcPr>
          <w:p w14:paraId="4E03D394">
            <w:pPr>
              <w:jc w:val="center"/>
              <w:rPr>
                <w:rFonts w:ascii="宋体"/>
                <w:kern w:val="0"/>
              </w:rPr>
            </w:pPr>
            <w:r>
              <w:rPr>
                <w:rFonts w:hint="eastAsia" w:ascii="宋体"/>
                <w:kern w:val="0"/>
              </w:rPr>
              <w:t>5000-8000</w:t>
            </w:r>
          </w:p>
        </w:tc>
      </w:tr>
      <w:tr w14:paraId="6A134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9" w:hRule="atLeast"/>
        </w:trPr>
        <w:tc>
          <w:tcPr>
            <w:tcW w:w="985" w:type="dxa"/>
            <w:vMerge w:val="continue"/>
            <w:vAlign w:val="center"/>
          </w:tcPr>
          <w:p w14:paraId="54604D31">
            <w:pPr>
              <w:jc w:val="left"/>
              <w:rPr>
                <w:rFonts w:ascii="宋体"/>
                <w:kern w:val="0"/>
              </w:rPr>
            </w:pPr>
          </w:p>
        </w:tc>
        <w:tc>
          <w:tcPr>
            <w:tcW w:w="1213" w:type="dxa"/>
            <w:vMerge w:val="continue"/>
            <w:vAlign w:val="center"/>
          </w:tcPr>
          <w:p w14:paraId="6F709A2C">
            <w:pPr>
              <w:widowControl/>
              <w:jc w:val="left"/>
              <w:rPr>
                <w:rFonts w:ascii="宋体"/>
                <w:kern w:val="0"/>
              </w:rPr>
            </w:pPr>
          </w:p>
        </w:tc>
        <w:tc>
          <w:tcPr>
            <w:tcW w:w="1403" w:type="dxa"/>
            <w:vMerge w:val="continue"/>
            <w:vAlign w:val="center"/>
          </w:tcPr>
          <w:p w14:paraId="7DD74ACC">
            <w:pPr>
              <w:jc w:val="left"/>
              <w:rPr>
                <w:rFonts w:ascii="宋体"/>
                <w:kern w:val="0"/>
              </w:rPr>
            </w:pPr>
          </w:p>
        </w:tc>
        <w:tc>
          <w:tcPr>
            <w:tcW w:w="992" w:type="dxa"/>
            <w:vMerge w:val="continue"/>
            <w:vAlign w:val="center"/>
          </w:tcPr>
          <w:p w14:paraId="30A13D9D">
            <w:pPr>
              <w:jc w:val="center"/>
              <w:rPr>
                <w:rFonts w:ascii="宋体"/>
                <w:kern w:val="0"/>
              </w:rPr>
            </w:pPr>
          </w:p>
        </w:tc>
        <w:tc>
          <w:tcPr>
            <w:tcW w:w="5853" w:type="dxa"/>
            <w:vAlign w:val="center"/>
          </w:tcPr>
          <w:p w14:paraId="4D4347D5">
            <w:pPr>
              <w:pStyle w:val="13"/>
              <w:jc w:val="left"/>
              <w:rPr>
                <w:rFonts w:ascii="宋体"/>
              </w:rPr>
            </w:pPr>
            <w:r>
              <w:rPr>
                <w:rFonts w:hint="eastAsia" w:ascii="宋体"/>
              </w:rPr>
              <w:t>在特殊类型船舶上工作无特殊船舶培训合格证的</w:t>
            </w:r>
          </w:p>
        </w:tc>
        <w:tc>
          <w:tcPr>
            <w:tcW w:w="5346" w:type="dxa"/>
            <w:tcBorders>
              <w:right w:val="single" w:color="auto" w:sz="4" w:space="0"/>
            </w:tcBorders>
            <w:vAlign w:val="center"/>
          </w:tcPr>
          <w:p w14:paraId="59D00AB4">
            <w:pPr>
              <w:jc w:val="center"/>
              <w:rPr>
                <w:rFonts w:ascii="宋体"/>
                <w:kern w:val="0"/>
              </w:rPr>
            </w:pPr>
            <w:r>
              <w:rPr>
                <w:rFonts w:hint="eastAsia" w:ascii="宋体"/>
                <w:kern w:val="0"/>
              </w:rPr>
              <w:t>4-6万元</w:t>
            </w:r>
          </w:p>
        </w:tc>
        <w:tc>
          <w:tcPr>
            <w:tcW w:w="4252" w:type="dxa"/>
            <w:tcBorders>
              <w:left w:val="single" w:color="auto" w:sz="4" w:space="0"/>
            </w:tcBorders>
            <w:vAlign w:val="center"/>
          </w:tcPr>
          <w:p w14:paraId="7C54A4F6">
            <w:pPr>
              <w:jc w:val="center"/>
              <w:rPr>
                <w:rFonts w:ascii="宋体"/>
                <w:bCs/>
                <w:kern w:val="0"/>
              </w:rPr>
            </w:pPr>
            <w:r>
              <w:rPr>
                <w:rFonts w:hint="eastAsia" w:ascii="宋体"/>
                <w:bCs/>
                <w:kern w:val="0"/>
              </w:rPr>
              <w:t>7000-1万元</w:t>
            </w:r>
          </w:p>
        </w:tc>
      </w:tr>
      <w:tr w14:paraId="58A8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7" w:hRule="atLeast"/>
        </w:trPr>
        <w:tc>
          <w:tcPr>
            <w:tcW w:w="985" w:type="dxa"/>
            <w:vMerge w:val="continue"/>
            <w:vAlign w:val="center"/>
          </w:tcPr>
          <w:p w14:paraId="5DF62CEA">
            <w:pPr>
              <w:jc w:val="left"/>
              <w:rPr>
                <w:rFonts w:ascii="宋体"/>
                <w:kern w:val="0"/>
              </w:rPr>
            </w:pPr>
          </w:p>
        </w:tc>
        <w:tc>
          <w:tcPr>
            <w:tcW w:w="1213" w:type="dxa"/>
            <w:vMerge w:val="continue"/>
            <w:vAlign w:val="center"/>
          </w:tcPr>
          <w:p w14:paraId="7CE7C8A9">
            <w:pPr>
              <w:jc w:val="left"/>
              <w:rPr>
                <w:rFonts w:ascii="宋体"/>
                <w:kern w:val="0"/>
              </w:rPr>
            </w:pPr>
          </w:p>
        </w:tc>
        <w:tc>
          <w:tcPr>
            <w:tcW w:w="1403" w:type="dxa"/>
            <w:vMerge w:val="continue"/>
            <w:vAlign w:val="center"/>
          </w:tcPr>
          <w:p w14:paraId="3559335F">
            <w:pPr>
              <w:jc w:val="left"/>
              <w:rPr>
                <w:rFonts w:ascii="宋体"/>
                <w:kern w:val="0"/>
              </w:rPr>
            </w:pPr>
          </w:p>
        </w:tc>
        <w:tc>
          <w:tcPr>
            <w:tcW w:w="992" w:type="dxa"/>
            <w:vMerge w:val="continue"/>
            <w:vAlign w:val="center"/>
          </w:tcPr>
          <w:p w14:paraId="10F9B41C">
            <w:pPr>
              <w:jc w:val="center"/>
              <w:rPr>
                <w:rFonts w:ascii="宋体"/>
                <w:kern w:val="0"/>
              </w:rPr>
            </w:pPr>
          </w:p>
        </w:tc>
        <w:tc>
          <w:tcPr>
            <w:tcW w:w="5853" w:type="dxa"/>
            <w:tcBorders>
              <w:top w:val="single" w:color="auto" w:sz="4" w:space="0"/>
              <w:bottom w:val="single" w:color="auto" w:sz="4" w:space="0"/>
            </w:tcBorders>
            <w:vAlign w:val="center"/>
          </w:tcPr>
          <w:p w14:paraId="0CC77E1C">
            <w:pPr>
              <w:jc w:val="left"/>
              <w:rPr>
                <w:rFonts w:ascii="宋体"/>
                <w:kern w:val="0"/>
              </w:rPr>
            </w:pPr>
            <w:r>
              <w:rPr>
                <w:rFonts w:hint="eastAsia" w:ascii="宋体"/>
              </w:rPr>
              <w:t>船员未持有适任证书的（船长除外）</w:t>
            </w:r>
          </w:p>
        </w:tc>
        <w:tc>
          <w:tcPr>
            <w:tcW w:w="5346" w:type="dxa"/>
            <w:tcBorders>
              <w:top w:val="single" w:color="auto" w:sz="4" w:space="0"/>
              <w:bottom w:val="single" w:color="auto" w:sz="4" w:space="0"/>
              <w:right w:val="single" w:color="auto" w:sz="4" w:space="0"/>
            </w:tcBorders>
            <w:vAlign w:val="center"/>
          </w:tcPr>
          <w:p w14:paraId="23345600">
            <w:pPr>
              <w:jc w:val="center"/>
              <w:rPr>
                <w:rFonts w:ascii="宋体"/>
                <w:kern w:val="0"/>
              </w:rPr>
            </w:pPr>
            <w:r>
              <w:rPr>
                <w:rFonts w:hint="eastAsia" w:ascii="宋体"/>
                <w:kern w:val="0"/>
              </w:rPr>
              <w:t>5-10万元</w:t>
            </w:r>
          </w:p>
        </w:tc>
        <w:tc>
          <w:tcPr>
            <w:tcW w:w="4252" w:type="dxa"/>
            <w:tcBorders>
              <w:left w:val="single" w:color="auto" w:sz="4" w:space="0"/>
              <w:bottom w:val="single" w:color="auto" w:sz="4" w:space="0"/>
            </w:tcBorders>
            <w:vAlign w:val="center"/>
          </w:tcPr>
          <w:p w14:paraId="16419E47">
            <w:pPr>
              <w:jc w:val="center"/>
              <w:rPr>
                <w:rFonts w:ascii="宋体"/>
                <w:bCs/>
                <w:kern w:val="0"/>
              </w:rPr>
            </w:pPr>
            <w:r>
              <w:rPr>
                <w:rFonts w:hint="eastAsia" w:ascii="宋体"/>
                <w:bCs/>
                <w:kern w:val="0"/>
              </w:rPr>
              <w:t>1-2万元</w:t>
            </w:r>
          </w:p>
        </w:tc>
      </w:tr>
      <w:tr w14:paraId="3F2C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05" w:hRule="atLeast"/>
        </w:trPr>
        <w:tc>
          <w:tcPr>
            <w:tcW w:w="985" w:type="dxa"/>
            <w:vMerge w:val="continue"/>
            <w:vAlign w:val="center"/>
          </w:tcPr>
          <w:p w14:paraId="2E879761">
            <w:pPr>
              <w:jc w:val="left"/>
              <w:rPr>
                <w:rFonts w:ascii="宋体"/>
                <w:kern w:val="0"/>
              </w:rPr>
            </w:pPr>
          </w:p>
        </w:tc>
        <w:tc>
          <w:tcPr>
            <w:tcW w:w="1213" w:type="dxa"/>
            <w:vMerge w:val="continue"/>
            <w:vAlign w:val="center"/>
          </w:tcPr>
          <w:p w14:paraId="4899D860">
            <w:pPr>
              <w:jc w:val="left"/>
              <w:rPr>
                <w:rFonts w:ascii="宋体"/>
                <w:kern w:val="0"/>
              </w:rPr>
            </w:pPr>
          </w:p>
        </w:tc>
        <w:tc>
          <w:tcPr>
            <w:tcW w:w="1403" w:type="dxa"/>
            <w:vMerge w:val="continue"/>
            <w:vAlign w:val="center"/>
          </w:tcPr>
          <w:p w14:paraId="0822C94F">
            <w:pPr>
              <w:jc w:val="left"/>
              <w:rPr>
                <w:rFonts w:ascii="宋体"/>
                <w:kern w:val="0"/>
              </w:rPr>
            </w:pPr>
          </w:p>
        </w:tc>
        <w:tc>
          <w:tcPr>
            <w:tcW w:w="992" w:type="dxa"/>
            <w:vMerge w:val="continue"/>
            <w:tcBorders>
              <w:bottom w:val="single" w:color="auto" w:sz="4" w:space="0"/>
            </w:tcBorders>
            <w:vAlign w:val="center"/>
          </w:tcPr>
          <w:p w14:paraId="78C2BD8E">
            <w:pPr>
              <w:jc w:val="center"/>
              <w:rPr>
                <w:rFonts w:ascii="宋体"/>
                <w:kern w:val="0"/>
              </w:rPr>
            </w:pPr>
          </w:p>
        </w:tc>
        <w:tc>
          <w:tcPr>
            <w:tcW w:w="5853" w:type="dxa"/>
            <w:tcBorders>
              <w:top w:val="single" w:color="auto" w:sz="4" w:space="0"/>
              <w:bottom w:val="single" w:color="auto" w:sz="4" w:space="0"/>
            </w:tcBorders>
            <w:vAlign w:val="center"/>
          </w:tcPr>
          <w:p w14:paraId="40AE4DA0">
            <w:pPr>
              <w:jc w:val="left"/>
              <w:rPr>
                <w:rFonts w:ascii="宋体"/>
                <w:kern w:val="0"/>
              </w:rPr>
            </w:pPr>
            <w:r>
              <w:rPr>
                <w:rFonts w:hint="eastAsia" w:ascii="宋体"/>
                <w:kern w:val="0"/>
              </w:rPr>
              <w:t>1.在特殊类型船舶上工作无适任证书的</w:t>
            </w:r>
          </w:p>
          <w:p w14:paraId="61870B82">
            <w:pPr>
              <w:jc w:val="left"/>
              <w:rPr>
                <w:rFonts w:ascii="宋体"/>
                <w:kern w:val="0"/>
              </w:rPr>
            </w:pPr>
            <w:r>
              <w:rPr>
                <w:rFonts w:hint="eastAsia" w:ascii="宋体"/>
                <w:kern w:val="0"/>
              </w:rPr>
              <w:t>2.具有其他较重情节的。</w:t>
            </w:r>
          </w:p>
        </w:tc>
        <w:tc>
          <w:tcPr>
            <w:tcW w:w="5346" w:type="dxa"/>
            <w:tcBorders>
              <w:top w:val="single" w:color="auto" w:sz="4" w:space="0"/>
              <w:bottom w:val="single" w:color="auto" w:sz="4" w:space="0"/>
              <w:right w:val="single" w:color="auto" w:sz="4" w:space="0"/>
            </w:tcBorders>
            <w:vAlign w:val="center"/>
          </w:tcPr>
          <w:p w14:paraId="3445F14B">
            <w:pPr>
              <w:jc w:val="center"/>
              <w:rPr>
                <w:rFonts w:ascii="宋体"/>
                <w:kern w:val="0"/>
              </w:rPr>
            </w:pPr>
            <w:r>
              <w:rPr>
                <w:rFonts w:hint="eastAsia" w:ascii="宋体"/>
                <w:kern w:val="0"/>
              </w:rPr>
              <w:t>6-10万元</w:t>
            </w:r>
          </w:p>
        </w:tc>
        <w:tc>
          <w:tcPr>
            <w:tcW w:w="4252" w:type="dxa"/>
            <w:tcBorders>
              <w:left w:val="single" w:color="auto" w:sz="4" w:space="0"/>
              <w:bottom w:val="single" w:color="auto" w:sz="4" w:space="0"/>
            </w:tcBorders>
            <w:vAlign w:val="center"/>
          </w:tcPr>
          <w:p w14:paraId="08E6FBC9">
            <w:pPr>
              <w:jc w:val="center"/>
              <w:rPr>
                <w:rFonts w:ascii="宋体"/>
                <w:bCs/>
                <w:kern w:val="0"/>
              </w:rPr>
            </w:pPr>
            <w:r>
              <w:rPr>
                <w:rFonts w:hint="eastAsia" w:ascii="宋体"/>
                <w:bCs/>
                <w:kern w:val="0"/>
              </w:rPr>
              <w:t>2-3万元</w:t>
            </w:r>
          </w:p>
        </w:tc>
      </w:tr>
      <w:tr w14:paraId="3DAD4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8" w:hRule="atLeast"/>
        </w:trPr>
        <w:tc>
          <w:tcPr>
            <w:tcW w:w="985" w:type="dxa"/>
            <w:vMerge w:val="continue"/>
            <w:vAlign w:val="center"/>
          </w:tcPr>
          <w:p w14:paraId="5131805B">
            <w:pPr>
              <w:jc w:val="left"/>
              <w:rPr>
                <w:rFonts w:ascii="宋体"/>
                <w:kern w:val="0"/>
              </w:rPr>
            </w:pPr>
          </w:p>
        </w:tc>
        <w:tc>
          <w:tcPr>
            <w:tcW w:w="1213" w:type="dxa"/>
            <w:vMerge w:val="continue"/>
            <w:vAlign w:val="center"/>
          </w:tcPr>
          <w:p w14:paraId="450DC543">
            <w:pPr>
              <w:jc w:val="left"/>
              <w:rPr>
                <w:rFonts w:ascii="宋体"/>
                <w:kern w:val="0"/>
              </w:rPr>
            </w:pPr>
          </w:p>
        </w:tc>
        <w:tc>
          <w:tcPr>
            <w:tcW w:w="1403" w:type="dxa"/>
            <w:vMerge w:val="continue"/>
            <w:vAlign w:val="center"/>
          </w:tcPr>
          <w:p w14:paraId="5D389CE3">
            <w:pPr>
              <w:jc w:val="left"/>
              <w:rPr>
                <w:rFonts w:ascii="宋体"/>
                <w:kern w:val="0"/>
              </w:rPr>
            </w:pPr>
          </w:p>
        </w:tc>
        <w:tc>
          <w:tcPr>
            <w:tcW w:w="992" w:type="dxa"/>
            <w:vMerge w:val="restart"/>
            <w:vAlign w:val="center"/>
          </w:tcPr>
          <w:p w14:paraId="1C1046CF">
            <w:pPr>
              <w:jc w:val="center"/>
              <w:rPr>
                <w:rFonts w:ascii="宋体"/>
                <w:kern w:val="0"/>
              </w:rPr>
            </w:pPr>
            <w:r>
              <w:rPr>
                <w:rFonts w:hint="eastAsia" w:ascii="宋体"/>
                <w:kern w:val="0"/>
              </w:rPr>
              <w:t>情节严重</w:t>
            </w:r>
          </w:p>
        </w:tc>
        <w:tc>
          <w:tcPr>
            <w:tcW w:w="5853" w:type="dxa"/>
            <w:tcBorders>
              <w:top w:val="single" w:color="auto" w:sz="4" w:space="0"/>
              <w:bottom w:val="single" w:color="auto" w:sz="4" w:space="0"/>
            </w:tcBorders>
            <w:vAlign w:val="center"/>
          </w:tcPr>
          <w:p w14:paraId="2C5785F3">
            <w:pPr>
              <w:jc w:val="left"/>
              <w:rPr>
                <w:rFonts w:ascii="宋体"/>
                <w:kern w:val="0"/>
              </w:rPr>
            </w:pPr>
            <w:r>
              <w:rPr>
                <w:rFonts w:hint="eastAsia" w:ascii="宋体"/>
                <w:kern w:val="0"/>
              </w:rPr>
              <w:t>造成小事故或险情的；</w:t>
            </w:r>
          </w:p>
        </w:tc>
        <w:tc>
          <w:tcPr>
            <w:tcW w:w="5346" w:type="dxa"/>
            <w:tcBorders>
              <w:top w:val="single" w:color="auto" w:sz="4" w:space="0"/>
              <w:bottom w:val="single" w:color="auto" w:sz="4" w:space="0"/>
              <w:right w:val="single" w:color="auto" w:sz="4" w:space="0"/>
            </w:tcBorders>
            <w:vAlign w:val="center"/>
          </w:tcPr>
          <w:p w14:paraId="196A61DC">
            <w:pPr>
              <w:jc w:val="center"/>
              <w:rPr>
                <w:rFonts w:ascii="宋体"/>
                <w:kern w:val="0"/>
              </w:rPr>
            </w:pPr>
            <w:r>
              <w:rPr>
                <w:rFonts w:hint="eastAsia" w:ascii="宋体"/>
                <w:kern w:val="0"/>
              </w:rPr>
              <w:t>10-15万元</w:t>
            </w:r>
          </w:p>
        </w:tc>
        <w:tc>
          <w:tcPr>
            <w:tcW w:w="4252" w:type="dxa"/>
            <w:tcBorders>
              <w:left w:val="single" w:color="auto" w:sz="4" w:space="0"/>
              <w:bottom w:val="single" w:color="auto" w:sz="4" w:space="0"/>
            </w:tcBorders>
            <w:vAlign w:val="center"/>
          </w:tcPr>
          <w:p w14:paraId="5D99437F">
            <w:pPr>
              <w:jc w:val="center"/>
              <w:rPr>
                <w:rFonts w:ascii="宋体"/>
                <w:bCs/>
                <w:kern w:val="0"/>
              </w:rPr>
            </w:pPr>
            <w:r>
              <w:rPr>
                <w:rFonts w:hint="eastAsia" w:ascii="宋体"/>
                <w:bCs/>
              </w:rPr>
              <w:t>暂扣船员适任证书6个月至9个月</w:t>
            </w:r>
          </w:p>
        </w:tc>
      </w:tr>
      <w:tr w14:paraId="25D27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trPr>
        <w:tc>
          <w:tcPr>
            <w:tcW w:w="985" w:type="dxa"/>
            <w:vMerge w:val="continue"/>
            <w:vAlign w:val="center"/>
          </w:tcPr>
          <w:p w14:paraId="7971F44A">
            <w:pPr>
              <w:jc w:val="left"/>
              <w:rPr>
                <w:rFonts w:ascii="宋体"/>
                <w:kern w:val="0"/>
              </w:rPr>
            </w:pPr>
          </w:p>
        </w:tc>
        <w:tc>
          <w:tcPr>
            <w:tcW w:w="1213" w:type="dxa"/>
            <w:vMerge w:val="continue"/>
            <w:vAlign w:val="center"/>
          </w:tcPr>
          <w:p w14:paraId="48466D99">
            <w:pPr>
              <w:jc w:val="left"/>
              <w:rPr>
                <w:rFonts w:ascii="宋体"/>
                <w:kern w:val="0"/>
              </w:rPr>
            </w:pPr>
          </w:p>
        </w:tc>
        <w:tc>
          <w:tcPr>
            <w:tcW w:w="1403" w:type="dxa"/>
            <w:vMerge w:val="continue"/>
            <w:vAlign w:val="center"/>
          </w:tcPr>
          <w:p w14:paraId="531C0D8C">
            <w:pPr>
              <w:jc w:val="left"/>
              <w:rPr>
                <w:rFonts w:ascii="宋体"/>
                <w:kern w:val="0"/>
              </w:rPr>
            </w:pPr>
          </w:p>
        </w:tc>
        <w:tc>
          <w:tcPr>
            <w:tcW w:w="992" w:type="dxa"/>
            <w:vMerge w:val="continue"/>
            <w:vAlign w:val="center"/>
          </w:tcPr>
          <w:p w14:paraId="639C90F6">
            <w:pPr>
              <w:jc w:val="center"/>
              <w:rPr>
                <w:rFonts w:ascii="宋体"/>
                <w:kern w:val="0"/>
              </w:rPr>
            </w:pPr>
          </w:p>
        </w:tc>
        <w:tc>
          <w:tcPr>
            <w:tcW w:w="5853" w:type="dxa"/>
            <w:tcBorders>
              <w:top w:val="single" w:color="auto" w:sz="4" w:space="0"/>
              <w:bottom w:val="single" w:color="auto" w:sz="4" w:space="0"/>
            </w:tcBorders>
            <w:vAlign w:val="center"/>
          </w:tcPr>
          <w:p w14:paraId="5A64D841">
            <w:pPr>
              <w:jc w:val="left"/>
              <w:rPr>
                <w:rFonts w:ascii="宋体"/>
                <w:kern w:val="0"/>
              </w:rPr>
            </w:pPr>
            <w:r>
              <w:rPr>
                <w:rFonts w:hint="eastAsia" w:ascii="宋体"/>
                <w:kern w:val="0"/>
              </w:rPr>
              <w:t>1.造成一般事故的；</w:t>
            </w:r>
          </w:p>
          <w:p w14:paraId="497E6681">
            <w:pPr>
              <w:jc w:val="left"/>
              <w:rPr>
                <w:rFonts w:ascii="宋体"/>
                <w:kern w:val="0"/>
              </w:rPr>
            </w:pPr>
            <w:r>
              <w:rPr>
                <w:rFonts w:hint="eastAsia" w:ascii="宋体"/>
                <w:kern w:val="0"/>
              </w:rPr>
              <w:t>2.船长未持有适任证书的；</w:t>
            </w:r>
          </w:p>
          <w:p w14:paraId="0242E4B5">
            <w:pPr>
              <w:jc w:val="left"/>
              <w:rPr>
                <w:rFonts w:ascii="宋体"/>
                <w:kern w:val="0"/>
              </w:rPr>
            </w:pPr>
            <w:r>
              <w:rPr>
                <w:rFonts w:hint="eastAsia" w:ascii="宋体"/>
                <w:kern w:val="0"/>
              </w:rPr>
              <w:t>3.持伪造、变造（他人）、转让、买卖或者租借证书、证明的；</w:t>
            </w:r>
          </w:p>
          <w:p w14:paraId="41BC054C">
            <w:pPr>
              <w:jc w:val="left"/>
              <w:rPr>
                <w:rFonts w:ascii="宋体"/>
                <w:kern w:val="0"/>
              </w:rPr>
            </w:pPr>
            <w:r>
              <w:rPr>
                <w:rFonts w:hint="eastAsia" w:ascii="宋体"/>
                <w:kern w:val="0"/>
              </w:rPr>
              <w:t>4.具有其他严重情节的。</w:t>
            </w:r>
          </w:p>
        </w:tc>
        <w:tc>
          <w:tcPr>
            <w:tcW w:w="5346" w:type="dxa"/>
            <w:tcBorders>
              <w:top w:val="single" w:color="auto" w:sz="4" w:space="0"/>
              <w:bottom w:val="single" w:color="auto" w:sz="4" w:space="0"/>
              <w:right w:val="single" w:color="auto" w:sz="4" w:space="0"/>
            </w:tcBorders>
            <w:vAlign w:val="center"/>
          </w:tcPr>
          <w:p w14:paraId="551B3F4C">
            <w:pPr>
              <w:jc w:val="center"/>
              <w:rPr>
                <w:rFonts w:ascii="宋体"/>
                <w:kern w:val="0"/>
              </w:rPr>
            </w:pPr>
            <w:r>
              <w:rPr>
                <w:rFonts w:hint="eastAsia" w:ascii="宋体"/>
                <w:kern w:val="0"/>
              </w:rPr>
              <w:t>15-25万元</w:t>
            </w:r>
          </w:p>
        </w:tc>
        <w:tc>
          <w:tcPr>
            <w:tcW w:w="4252" w:type="dxa"/>
            <w:tcBorders>
              <w:left w:val="single" w:color="auto" w:sz="4" w:space="0"/>
              <w:bottom w:val="single" w:color="auto" w:sz="4" w:space="0"/>
            </w:tcBorders>
            <w:vAlign w:val="center"/>
          </w:tcPr>
          <w:p w14:paraId="004BBA2B">
            <w:pPr>
              <w:jc w:val="center"/>
              <w:rPr>
                <w:rFonts w:ascii="宋体"/>
                <w:bCs/>
                <w:kern w:val="0"/>
              </w:rPr>
            </w:pPr>
            <w:r>
              <w:rPr>
                <w:rFonts w:hint="eastAsia" w:ascii="宋体"/>
                <w:bCs/>
              </w:rPr>
              <w:t>暂扣船员适任证书9个月至12个月</w:t>
            </w:r>
          </w:p>
        </w:tc>
      </w:tr>
      <w:tr w14:paraId="05D0F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3" w:hRule="atLeast"/>
        </w:trPr>
        <w:tc>
          <w:tcPr>
            <w:tcW w:w="985" w:type="dxa"/>
            <w:vMerge w:val="continue"/>
            <w:vAlign w:val="center"/>
          </w:tcPr>
          <w:p w14:paraId="243D8E39">
            <w:pPr>
              <w:jc w:val="left"/>
              <w:rPr>
                <w:rFonts w:ascii="宋体"/>
                <w:kern w:val="0"/>
              </w:rPr>
            </w:pPr>
          </w:p>
        </w:tc>
        <w:tc>
          <w:tcPr>
            <w:tcW w:w="1213" w:type="dxa"/>
            <w:vMerge w:val="continue"/>
            <w:vAlign w:val="center"/>
          </w:tcPr>
          <w:p w14:paraId="550A8526">
            <w:pPr>
              <w:jc w:val="left"/>
              <w:rPr>
                <w:rFonts w:ascii="宋体"/>
                <w:kern w:val="0"/>
              </w:rPr>
            </w:pPr>
          </w:p>
        </w:tc>
        <w:tc>
          <w:tcPr>
            <w:tcW w:w="1403" w:type="dxa"/>
            <w:vMerge w:val="continue"/>
            <w:vAlign w:val="center"/>
          </w:tcPr>
          <w:p w14:paraId="0DE2FC05">
            <w:pPr>
              <w:jc w:val="left"/>
              <w:rPr>
                <w:rFonts w:ascii="宋体"/>
                <w:kern w:val="0"/>
              </w:rPr>
            </w:pPr>
          </w:p>
        </w:tc>
        <w:tc>
          <w:tcPr>
            <w:tcW w:w="992" w:type="dxa"/>
            <w:vMerge w:val="continue"/>
            <w:vAlign w:val="center"/>
          </w:tcPr>
          <w:p w14:paraId="2D784747">
            <w:pPr>
              <w:jc w:val="center"/>
              <w:rPr>
                <w:rFonts w:ascii="宋体"/>
                <w:kern w:val="0"/>
              </w:rPr>
            </w:pPr>
          </w:p>
        </w:tc>
        <w:tc>
          <w:tcPr>
            <w:tcW w:w="5853" w:type="dxa"/>
            <w:tcBorders>
              <w:top w:val="single" w:color="auto" w:sz="4" w:space="0"/>
              <w:left w:val="single" w:color="auto" w:sz="4" w:space="0"/>
              <w:bottom w:val="single" w:color="auto" w:sz="4" w:space="0"/>
            </w:tcBorders>
            <w:vAlign w:val="center"/>
          </w:tcPr>
          <w:p w14:paraId="0C2899BC">
            <w:pPr>
              <w:jc w:val="left"/>
              <w:rPr>
                <w:rFonts w:ascii="宋体"/>
                <w:kern w:val="0"/>
                <w:bdr w:val="single" w:color="auto" w:sz="4" w:space="0"/>
              </w:rPr>
            </w:pPr>
            <w:r>
              <w:rPr>
                <w:rFonts w:hint="eastAsia" w:ascii="宋体"/>
                <w:kern w:val="0"/>
              </w:rPr>
              <w:t>造成较大等级以上事故的</w:t>
            </w:r>
          </w:p>
        </w:tc>
        <w:tc>
          <w:tcPr>
            <w:tcW w:w="5346" w:type="dxa"/>
            <w:tcBorders>
              <w:top w:val="single" w:color="auto" w:sz="4" w:space="0"/>
              <w:right w:val="single" w:color="auto" w:sz="4" w:space="0"/>
            </w:tcBorders>
            <w:vAlign w:val="center"/>
          </w:tcPr>
          <w:p w14:paraId="0E1E9956">
            <w:pPr>
              <w:jc w:val="center"/>
              <w:rPr>
                <w:rFonts w:ascii="宋体"/>
                <w:kern w:val="0"/>
              </w:rPr>
            </w:pPr>
            <w:r>
              <w:rPr>
                <w:rFonts w:hint="eastAsia" w:ascii="宋体"/>
                <w:kern w:val="0"/>
              </w:rPr>
              <w:t>25-30万元</w:t>
            </w:r>
          </w:p>
        </w:tc>
        <w:tc>
          <w:tcPr>
            <w:tcW w:w="4252" w:type="dxa"/>
            <w:tcBorders>
              <w:top w:val="single" w:color="auto" w:sz="4" w:space="0"/>
              <w:left w:val="single" w:color="auto" w:sz="4" w:space="0"/>
            </w:tcBorders>
            <w:vAlign w:val="center"/>
          </w:tcPr>
          <w:p w14:paraId="38F86E91">
            <w:pPr>
              <w:jc w:val="center"/>
              <w:rPr>
                <w:rFonts w:ascii="宋体"/>
                <w:bCs/>
                <w:kern w:val="0"/>
              </w:rPr>
            </w:pPr>
            <w:r>
              <w:rPr>
                <w:rFonts w:hint="eastAsia" w:ascii="宋体"/>
                <w:bCs/>
              </w:rPr>
              <w:t>吊销船员适任证书</w:t>
            </w:r>
          </w:p>
        </w:tc>
      </w:tr>
      <w:tr w14:paraId="73750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03" w:hRule="atLeast"/>
        </w:trPr>
        <w:tc>
          <w:tcPr>
            <w:tcW w:w="20044" w:type="dxa"/>
            <w:gridSpan w:val="7"/>
            <w:vAlign w:val="center"/>
          </w:tcPr>
          <w:p w14:paraId="704BD81F">
            <w:pPr>
              <w:widowControl/>
              <w:jc w:val="left"/>
              <w:rPr>
                <w:rFonts w:ascii="宋体"/>
                <w:kern w:val="0"/>
              </w:rPr>
            </w:pPr>
            <w:r>
              <w:rPr>
                <w:rFonts w:hint="eastAsia" w:ascii="宋体"/>
                <w:kern w:val="0"/>
              </w:rPr>
              <w:t>注：</w:t>
            </w:r>
          </w:p>
          <w:p w14:paraId="756E3F85">
            <w:pPr>
              <w:widowControl/>
              <w:jc w:val="left"/>
              <w:rPr>
                <w:rFonts w:ascii="宋体"/>
                <w:kern w:val="0"/>
              </w:rPr>
            </w:pPr>
            <w:r>
              <w:rPr>
                <w:rFonts w:hint="eastAsia" w:ascii="宋体"/>
                <w:kern w:val="0"/>
              </w:rPr>
              <w:t>1.对持伪造、变造的船员适任证书的违法情形，除处以罚款外，并收缴相关证书。</w:t>
            </w:r>
          </w:p>
          <w:p w14:paraId="1767E39C">
            <w:pPr>
              <w:jc w:val="left"/>
              <w:rPr>
                <w:rFonts w:ascii="宋体"/>
                <w:kern w:val="0"/>
              </w:rPr>
            </w:pPr>
            <w:r>
              <w:rPr>
                <w:rFonts w:hint="eastAsia" w:ascii="宋体"/>
                <w:kern w:val="0"/>
              </w:rPr>
              <w:t>2.特殊类型船舶指油船、化学品船、液化气船、客船、高速船、使用气体或者其他低闪点燃料船舶等。</w:t>
            </w:r>
          </w:p>
          <w:p w14:paraId="47344CA1">
            <w:pPr>
              <w:jc w:val="left"/>
              <w:rPr>
                <w:rFonts w:ascii="宋体"/>
                <w:kern w:val="0"/>
              </w:rPr>
            </w:pPr>
            <w:r>
              <w:rPr>
                <w:rFonts w:hint="eastAsia" w:ascii="宋体"/>
                <w:kern w:val="0"/>
              </w:rPr>
              <w:t>3.健康证明在航行途中有效期期满的，在到达下一个有《1978年海员培训、发证和值班标准国际公约》缔约国认可的主检医师的停靠港之前，该健康证明仍然有效，但为期不得超过3个月。</w:t>
            </w:r>
          </w:p>
          <w:p w14:paraId="21749FE8">
            <w:pPr>
              <w:jc w:val="left"/>
              <w:rPr>
                <w:rFonts w:ascii="宋体"/>
                <w:kern w:val="0"/>
              </w:rPr>
            </w:pPr>
            <w:r>
              <w:rPr>
                <w:rFonts w:hint="eastAsia" w:ascii="宋体"/>
                <w:kern w:val="0"/>
              </w:rPr>
              <w:t>4.对船舶所有人、经营人或者管理人处罚裁量时应考虑未持有船员适任证书、船员健康证明或者所持船员适任证书、船员健康证明不符合要求的人数，原则上每增加1人在所在档幅度的下限基础上增加1万。</w:t>
            </w:r>
          </w:p>
        </w:tc>
      </w:tr>
    </w:tbl>
    <w:p w14:paraId="57F179AE">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38"/>
        <w:gridCol w:w="1429"/>
        <w:gridCol w:w="1701"/>
        <w:gridCol w:w="1134"/>
        <w:gridCol w:w="6095"/>
        <w:gridCol w:w="8080"/>
      </w:tblGrid>
      <w:tr w14:paraId="29841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38" w:type="dxa"/>
            <w:vMerge w:val="restart"/>
            <w:vAlign w:val="center"/>
          </w:tcPr>
          <w:p w14:paraId="1807BF5A">
            <w:pPr>
              <w:jc w:val="left"/>
              <w:rPr>
                <w:rFonts w:ascii="宋体"/>
                <w:b/>
                <w:kern w:val="0"/>
              </w:rPr>
            </w:pPr>
            <w:r>
              <w:rPr>
                <w:rFonts w:hint="eastAsia" w:ascii="宋体"/>
                <w:b/>
                <w:kern w:val="0"/>
              </w:rPr>
              <w:t>案由</w:t>
            </w:r>
            <w:r>
              <w:rPr>
                <w:rFonts w:hint="eastAsia" w:ascii="宋体"/>
                <w:b/>
                <w:bCs/>
                <w:kern w:val="0"/>
              </w:rPr>
              <w:t>103</w:t>
            </w:r>
          </w:p>
        </w:tc>
        <w:tc>
          <w:tcPr>
            <w:tcW w:w="3130" w:type="dxa"/>
            <w:gridSpan w:val="2"/>
            <w:vAlign w:val="center"/>
          </w:tcPr>
          <w:p w14:paraId="0A1EEFCA">
            <w:pPr>
              <w:jc w:val="center"/>
              <w:rPr>
                <w:rFonts w:ascii="宋体"/>
                <w:b/>
                <w:kern w:val="0"/>
              </w:rPr>
            </w:pPr>
            <w:r>
              <w:rPr>
                <w:rFonts w:hint="eastAsia" w:ascii="宋体"/>
                <w:b/>
                <w:kern w:val="0"/>
              </w:rPr>
              <w:t>法律依据</w:t>
            </w:r>
          </w:p>
        </w:tc>
        <w:tc>
          <w:tcPr>
            <w:tcW w:w="1134" w:type="dxa"/>
            <w:vMerge w:val="restart"/>
            <w:vAlign w:val="center"/>
          </w:tcPr>
          <w:p w14:paraId="16E9569F">
            <w:pPr>
              <w:jc w:val="left"/>
              <w:rPr>
                <w:rFonts w:ascii="宋体"/>
                <w:b/>
                <w:kern w:val="0"/>
              </w:rPr>
            </w:pPr>
            <w:r>
              <w:rPr>
                <w:rFonts w:hint="eastAsia" w:ascii="宋体"/>
                <w:b/>
                <w:kern w:val="0"/>
              </w:rPr>
              <w:t>违法情节</w:t>
            </w:r>
          </w:p>
        </w:tc>
        <w:tc>
          <w:tcPr>
            <w:tcW w:w="6095" w:type="dxa"/>
            <w:vMerge w:val="restart"/>
            <w:vAlign w:val="center"/>
          </w:tcPr>
          <w:p w14:paraId="1916FDFE">
            <w:pPr>
              <w:jc w:val="center"/>
              <w:rPr>
                <w:rFonts w:ascii="宋体"/>
                <w:b/>
                <w:kern w:val="0"/>
              </w:rPr>
            </w:pPr>
            <w:r>
              <w:rPr>
                <w:rFonts w:hint="eastAsia" w:ascii="宋体"/>
                <w:b/>
                <w:kern w:val="0"/>
              </w:rPr>
              <w:t>主要考虑因素（事实、性质、情节、危害程度和实际后果等）</w:t>
            </w:r>
          </w:p>
        </w:tc>
        <w:tc>
          <w:tcPr>
            <w:tcW w:w="8080" w:type="dxa"/>
            <w:vAlign w:val="center"/>
          </w:tcPr>
          <w:p w14:paraId="49D597F6">
            <w:pPr>
              <w:jc w:val="left"/>
              <w:rPr>
                <w:rFonts w:ascii="宋体"/>
                <w:b/>
                <w:kern w:val="0"/>
              </w:rPr>
            </w:pPr>
            <w:r>
              <w:rPr>
                <w:rFonts w:hint="eastAsia" w:ascii="宋体"/>
                <w:b/>
                <w:kern w:val="0"/>
              </w:rPr>
              <w:t>【法定幅度和种类】</w:t>
            </w:r>
            <w:r>
              <w:rPr>
                <w:rFonts w:hint="eastAsia" w:ascii="宋体"/>
              </w:rPr>
              <w:t>由海事管理机构撤销有关许可，没收船员适任证书，对责任人员处五千元以上五万元以下的罚款。</w:t>
            </w:r>
          </w:p>
        </w:tc>
      </w:tr>
      <w:tr w14:paraId="35E4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38" w:type="dxa"/>
            <w:vMerge w:val="continue"/>
            <w:tcBorders>
              <w:bottom w:val="single" w:color="000000" w:sz="4" w:space="0"/>
            </w:tcBorders>
            <w:vAlign w:val="center"/>
          </w:tcPr>
          <w:p w14:paraId="538E13E8">
            <w:pPr>
              <w:jc w:val="left"/>
              <w:rPr>
                <w:rFonts w:ascii="宋体"/>
                <w:b/>
                <w:kern w:val="0"/>
              </w:rPr>
            </w:pPr>
          </w:p>
        </w:tc>
        <w:tc>
          <w:tcPr>
            <w:tcW w:w="1429" w:type="dxa"/>
            <w:vMerge w:val="restart"/>
            <w:tcBorders>
              <w:bottom w:val="single" w:color="000000" w:sz="4" w:space="0"/>
            </w:tcBorders>
            <w:vAlign w:val="center"/>
          </w:tcPr>
          <w:p w14:paraId="143EE1A9">
            <w:pPr>
              <w:jc w:val="center"/>
              <w:rPr>
                <w:rFonts w:ascii="宋体"/>
                <w:b/>
                <w:kern w:val="0"/>
              </w:rPr>
            </w:pPr>
            <w:r>
              <w:rPr>
                <w:rFonts w:hint="eastAsia" w:ascii="宋体"/>
                <w:b/>
                <w:kern w:val="0"/>
              </w:rPr>
              <w:t>违反条款</w:t>
            </w:r>
          </w:p>
        </w:tc>
        <w:tc>
          <w:tcPr>
            <w:tcW w:w="1701" w:type="dxa"/>
            <w:vMerge w:val="restart"/>
            <w:tcBorders>
              <w:bottom w:val="single" w:color="000000" w:sz="4" w:space="0"/>
            </w:tcBorders>
            <w:vAlign w:val="center"/>
          </w:tcPr>
          <w:p w14:paraId="0627A5B6">
            <w:pPr>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2AFA6ADD">
            <w:pPr>
              <w:jc w:val="left"/>
              <w:rPr>
                <w:rFonts w:ascii="宋体"/>
                <w:b/>
                <w:kern w:val="0"/>
              </w:rPr>
            </w:pPr>
          </w:p>
        </w:tc>
        <w:tc>
          <w:tcPr>
            <w:tcW w:w="6095" w:type="dxa"/>
            <w:vMerge w:val="continue"/>
            <w:tcBorders>
              <w:bottom w:val="single" w:color="000000" w:sz="4" w:space="0"/>
            </w:tcBorders>
            <w:vAlign w:val="center"/>
          </w:tcPr>
          <w:p w14:paraId="79628A55">
            <w:pPr>
              <w:jc w:val="left"/>
              <w:rPr>
                <w:rFonts w:ascii="宋体"/>
                <w:b/>
                <w:kern w:val="0"/>
              </w:rPr>
            </w:pPr>
          </w:p>
        </w:tc>
        <w:tc>
          <w:tcPr>
            <w:tcW w:w="8080" w:type="dxa"/>
            <w:vMerge w:val="restart"/>
            <w:tcBorders>
              <w:top w:val="single" w:color="auto" w:sz="4" w:space="0"/>
              <w:left w:val="single" w:color="auto" w:sz="4" w:space="0"/>
            </w:tcBorders>
            <w:vAlign w:val="center"/>
          </w:tcPr>
          <w:p w14:paraId="4338A3CF">
            <w:pPr>
              <w:jc w:val="center"/>
              <w:rPr>
                <w:rFonts w:ascii="宋体"/>
                <w:b/>
                <w:kern w:val="0"/>
              </w:rPr>
            </w:pPr>
            <w:r>
              <w:rPr>
                <w:rFonts w:hint="eastAsia" w:ascii="宋体"/>
                <w:b/>
                <w:kern w:val="0"/>
              </w:rPr>
              <w:t>【对象】责任人员</w:t>
            </w:r>
          </w:p>
        </w:tc>
      </w:tr>
      <w:tr w14:paraId="0AA5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1038" w:type="dxa"/>
            <w:vMerge w:val="continue"/>
            <w:vAlign w:val="center"/>
          </w:tcPr>
          <w:p w14:paraId="412A5F02">
            <w:pPr>
              <w:jc w:val="left"/>
              <w:rPr>
                <w:rFonts w:ascii="宋体"/>
                <w:b/>
                <w:kern w:val="0"/>
              </w:rPr>
            </w:pPr>
          </w:p>
        </w:tc>
        <w:tc>
          <w:tcPr>
            <w:tcW w:w="1429" w:type="dxa"/>
            <w:vMerge w:val="continue"/>
            <w:vAlign w:val="center"/>
          </w:tcPr>
          <w:p w14:paraId="01DD2B09">
            <w:pPr>
              <w:jc w:val="left"/>
              <w:rPr>
                <w:rFonts w:ascii="宋体"/>
                <w:b/>
                <w:kern w:val="0"/>
              </w:rPr>
            </w:pPr>
          </w:p>
        </w:tc>
        <w:tc>
          <w:tcPr>
            <w:tcW w:w="1701" w:type="dxa"/>
            <w:vMerge w:val="continue"/>
            <w:vAlign w:val="center"/>
          </w:tcPr>
          <w:p w14:paraId="17A9C8CD">
            <w:pPr>
              <w:jc w:val="left"/>
              <w:rPr>
                <w:rFonts w:ascii="宋体"/>
                <w:b/>
                <w:kern w:val="0"/>
              </w:rPr>
            </w:pPr>
          </w:p>
        </w:tc>
        <w:tc>
          <w:tcPr>
            <w:tcW w:w="1134" w:type="dxa"/>
            <w:vMerge w:val="continue"/>
            <w:vAlign w:val="center"/>
          </w:tcPr>
          <w:p w14:paraId="4C745D25">
            <w:pPr>
              <w:jc w:val="left"/>
              <w:rPr>
                <w:rFonts w:ascii="宋体"/>
                <w:b/>
                <w:kern w:val="0"/>
              </w:rPr>
            </w:pPr>
          </w:p>
        </w:tc>
        <w:tc>
          <w:tcPr>
            <w:tcW w:w="6095" w:type="dxa"/>
            <w:vMerge w:val="continue"/>
            <w:vAlign w:val="center"/>
          </w:tcPr>
          <w:p w14:paraId="6579ACBA">
            <w:pPr>
              <w:jc w:val="left"/>
              <w:rPr>
                <w:rFonts w:ascii="宋体"/>
                <w:b/>
                <w:kern w:val="0"/>
              </w:rPr>
            </w:pPr>
          </w:p>
        </w:tc>
        <w:tc>
          <w:tcPr>
            <w:tcW w:w="8080" w:type="dxa"/>
            <w:vMerge w:val="continue"/>
            <w:tcBorders>
              <w:left w:val="single" w:color="auto" w:sz="4" w:space="0"/>
            </w:tcBorders>
            <w:vAlign w:val="center"/>
          </w:tcPr>
          <w:p w14:paraId="3064933C">
            <w:pPr>
              <w:jc w:val="left"/>
              <w:rPr>
                <w:rFonts w:ascii="宋体"/>
                <w:b/>
                <w:kern w:val="0"/>
              </w:rPr>
            </w:pPr>
          </w:p>
        </w:tc>
      </w:tr>
      <w:tr w14:paraId="4633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038" w:type="dxa"/>
            <w:vMerge w:val="restart"/>
            <w:vAlign w:val="center"/>
          </w:tcPr>
          <w:p w14:paraId="71D3C1CC">
            <w:pPr>
              <w:widowControl/>
              <w:jc w:val="left"/>
              <w:rPr>
                <w:rFonts w:ascii="宋体"/>
                <w:kern w:val="0"/>
              </w:rPr>
            </w:pPr>
            <w:r>
              <w:rPr>
                <w:rFonts w:hint="eastAsia" w:ascii="宋体"/>
                <w:kern w:val="0"/>
              </w:rPr>
              <w:t>以欺骗、贿赂等不正当手段取得船员适任证书的</w:t>
            </w:r>
          </w:p>
        </w:tc>
        <w:tc>
          <w:tcPr>
            <w:tcW w:w="1429" w:type="dxa"/>
            <w:vMerge w:val="restart"/>
            <w:vAlign w:val="center"/>
          </w:tcPr>
          <w:p w14:paraId="28EF719C">
            <w:pPr>
              <w:widowControl/>
              <w:rPr>
                <w:rFonts w:ascii="宋体"/>
                <w:kern w:val="0"/>
              </w:rPr>
            </w:pPr>
            <w:r>
              <w:rPr>
                <w:rFonts w:hint="eastAsia" w:ascii="宋体"/>
                <w:kern w:val="0"/>
              </w:rPr>
              <w:t>1.《中华人民共和国海上交通安全法》第十三条；</w:t>
            </w:r>
          </w:p>
          <w:p w14:paraId="6F233B14">
            <w:pPr>
              <w:widowControl/>
              <w:rPr>
                <w:rFonts w:ascii="宋体"/>
              </w:rPr>
            </w:pPr>
            <w:r>
              <w:rPr>
                <w:rFonts w:hint="eastAsia" w:ascii="宋体"/>
              </w:rPr>
              <w:t>2.其他法律、法规、规章等。</w:t>
            </w:r>
          </w:p>
        </w:tc>
        <w:tc>
          <w:tcPr>
            <w:tcW w:w="1701" w:type="dxa"/>
            <w:vMerge w:val="restart"/>
            <w:vAlign w:val="center"/>
          </w:tcPr>
          <w:p w14:paraId="74906E58">
            <w:pPr>
              <w:jc w:val="left"/>
              <w:rPr>
                <w:rFonts w:ascii="宋体"/>
                <w:kern w:val="0"/>
              </w:rPr>
            </w:pPr>
            <w:r>
              <w:rPr>
                <w:rFonts w:hint="eastAsia" w:ascii="宋体"/>
                <w:kern w:val="0"/>
              </w:rPr>
              <w:t>1.《中华人民共和国海上交通安全法》第九十八条第二款、《中华人民共和国海上海事行政处罚规定》第十二条第三款；</w:t>
            </w:r>
          </w:p>
          <w:p w14:paraId="1F75DC1D">
            <w:pPr>
              <w:jc w:val="left"/>
              <w:rPr>
                <w:rFonts w:ascii="宋体"/>
                <w:kern w:val="0"/>
              </w:rPr>
            </w:pPr>
            <w:r>
              <w:rPr>
                <w:rFonts w:hint="eastAsia" w:ascii="宋体"/>
                <w:kern w:val="0"/>
              </w:rPr>
              <w:t>2. 《中华人民共和国海上海事行政处罚规定》第七条。</w:t>
            </w:r>
          </w:p>
        </w:tc>
        <w:tc>
          <w:tcPr>
            <w:tcW w:w="1134" w:type="dxa"/>
            <w:vAlign w:val="center"/>
          </w:tcPr>
          <w:p w14:paraId="293546B3">
            <w:pPr>
              <w:jc w:val="center"/>
              <w:rPr>
                <w:rFonts w:ascii="宋体"/>
                <w:kern w:val="0"/>
              </w:rPr>
            </w:pPr>
            <w:r>
              <w:rPr>
                <w:rFonts w:hint="eastAsia" w:ascii="宋体"/>
                <w:kern w:val="0"/>
              </w:rPr>
              <w:t>从轻</w:t>
            </w:r>
          </w:p>
        </w:tc>
        <w:tc>
          <w:tcPr>
            <w:tcW w:w="6095" w:type="dxa"/>
            <w:vAlign w:val="center"/>
          </w:tcPr>
          <w:p w14:paraId="65255199">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8080" w:type="dxa"/>
            <w:tcBorders>
              <w:left w:val="single" w:color="auto" w:sz="4" w:space="0"/>
              <w:bottom w:val="single" w:color="auto" w:sz="4" w:space="0"/>
            </w:tcBorders>
            <w:vAlign w:val="center"/>
          </w:tcPr>
          <w:p w14:paraId="284A9815">
            <w:pPr>
              <w:jc w:val="center"/>
              <w:rPr>
                <w:rFonts w:ascii="宋体"/>
                <w:kern w:val="0"/>
              </w:rPr>
            </w:pPr>
            <w:r>
              <w:rPr>
                <w:rFonts w:hint="eastAsia" w:ascii="宋体"/>
                <w:kern w:val="0"/>
              </w:rPr>
              <w:t>5000元-1万，</w:t>
            </w:r>
            <w:r>
              <w:rPr>
                <w:rFonts w:hint="eastAsia" w:ascii="宋体"/>
              </w:rPr>
              <w:t>撤销有关许可，没收船员适任证书</w:t>
            </w:r>
            <w:r>
              <w:rPr>
                <w:rFonts w:hint="eastAsia" w:ascii="宋体"/>
                <w:kern w:val="0"/>
              </w:rPr>
              <w:t xml:space="preserve"> </w:t>
            </w:r>
          </w:p>
        </w:tc>
      </w:tr>
      <w:tr w14:paraId="37F5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61" w:hRule="atLeast"/>
        </w:trPr>
        <w:tc>
          <w:tcPr>
            <w:tcW w:w="1038" w:type="dxa"/>
            <w:vMerge w:val="continue"/>
            <w:vAlign w:val="center"/>
          </w:tcPr>
          <w:p w14:paraId="6364308E">
            <w:pPr>
              <w:jc w:val="left"/>
              <w:rPr>
                <w:rFonts w:ascii="宋体"/>
                <w:kern w:val="0"/>
              </w:rPr>
            </w:pPr>
          </w:p>
        </w:tc>
        <w:tc>
          <w:tcPr>
            <w:tcW w:w="1429" w:type="dxa"/>
            <w:vMerge w:val="continue"/>
            <w:vAlign w:val="center"/>
          </w:tcPr>
          <w:p w14:paraId="40005043">
            <w:pPr>
              <w:widowControl/>
              <w:jc w:val="left"/>
              <w:rPr>
                <w:rFonts w:ascii="宋体"/>
                <w:kern w:val="0"/>
              </w:rPr>
            </w:pPr>
          </w:p>
        </w:tc>
        <w:tc>
          <w:tcPr>
            <w:tcW w:w="1701" w:type="dxa"/>
            <w:vMerge w:val="continue"/>
            <w:vAlign w:val="center"/>
          </w:tcPr>
          <w:p w14:paraId="6A7A4B08">
            <w:pPr>
              <w:jc w:val="left"/>
              <w:rPr>
                <w:rFonts w:ascii="宋体"/>
                <w:kern w:val="0"/>
              </w:rPr>
            </w:pPr>
          </w:p>
        </w:tc>
        <w:tc>
          <w:tcPr>
            <w:tcW w:w="1134" w:type="dxa"/>
            <w:vMerge w:val="restart"/>
            <w:vAlign w:val="center"/>
          </w:tcPr>
          <w:p w14:paraId="14337DDB">
            <w:pPr>
              <w:jc w:val="center"/>
              <w:rPr>
                <w:rFonts w:ascii="宋体"/>
                <w:kern w:val="0"/>
              </w:rPr>
            </w:pPr>
            <w:r>
              <w:rPr>
                <w:rFonts w:hint="eastAsia" w:ascii="宋体"/>
                <w:kern w:val="0"/>
              </w:rPr>
              <w:t>一般</w:t>
            </w:r>
          </w:p>
        </w:tc>
        <w:tc>
          <w:tcPr>
            <w:tcW w:w="6095" w:type="dxa"/>
            <w:vAlign w:val="center"/>
          </w:tcPr>
          <w:p w14:paraId="487E4A95">
            <w:pPr>
              <w:pStyle w:val="13"/>
              <w:jc w:val="left"/>
              <w:rPr>
                <w:rFonts w:ascii="宋体"/>
              </w:rPr>
            </w:pPr>
            <w:r>
              <w:rPr>
                <w:rFonts w:hint="eastAsia" w:ascii="宋体"/>
              </w:rPr>
              <w:t>以欺骗手段取得普通船舶适任证书2本以内</w:t>
            </w:r>
          </w:p>
        </w:tc>
        <w:tc>
          <w:tcPr>
            <w:tcW w:w="8080" w:type="dxa"/>
            <w:tcBorders>
              <w:top w:val="single" w:color="auto" w:sz="4" w:space="0"/>
              <w:left w:val="single" w:color="auto" w:sz="4" w:space="0"/>
            </w:tcBorders>
            <w:vAlign w:val="center"/>
          </w:tcPr>
          <w:p w14:paraId="2D7A00AA">
            <w:pPr>
              <w:jc w:val="center"/>
              <w:rPr>
                <w:rFonts w:ascii="宋体"/>
                <w:kern w:val="0"/>
              </w:rPr>
            </w:pPr>
            <w:r>
              <w:rPr>
                <w:rFonts w:hint="eastAsia" w:ascii="宋体"/>
                <w:kern w:val="0"/>
              </w:rPr>
              <w:t>1-1.5万元，</w:t>
            </w:r>
            <w:r>
              <w:rPr>
                <w:rFonts w:hint="eastAsia" w:ascii="宋体"/>
              </w:rPr>
              <w:t>撤销有关许可，没收船员适任证书</w:t>
            </w:r>
            <w:r>
              <w:rPr>
                <w:rFonts w:hint="eastAsia" w:ascii="宋体"/>
                <w:kern w:val="0"/>
              </w:rPr>
              <w:t xml:space="preserve"> </w:t>
            </w:r>
          </w:p>
        </w:tc>
      </w:tr>
      <w:tr w14:paraId="0A09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2" w:hRule="atLeast"/>
        </w:trPr>
        <w:tc>
          <w:tcPr>
            <w:tcW w:w="1038" w:type="dxa"/>
            <w:vMerge w:val="continue"/>
            <w:vAlign w:val="center"/>
          </w:tcPr>
          <w:p w14:paraId="631D2918">
            <w:pPr>
              <w:jc w:val="left"/>
              <w:rPr>
                <w:rFonts w:ascii="宋体"/>
                <w:kern w:val="0"/>
              </w:rPr>
            </w:pPr>
          </w:p>
        </w:tc>
        <w:tc>
          <w:tcPr>
            <w:tcW w:w="1429" w:type="dxa"/>
            <w:vMerge w:val="continue"/>
            <w:vAlign w:val="center"/>
          </w:tcPr>
          <w:p w14:paraId="061AA3E3">
            <w:pPr>
              <w:widowControl/>
              <w:jc w:val="left"/>
              <w:rPr>
                <w:rFonts w:ascii="宋体"/>
                <w:kern w:val="0"/>
              </w:rPr>
            </w:pPr>
          </w:p>
        </w:tc>
        <w:tc>
          <w:tcPr>
            <w:tcW w:w="1701" w:type="dxa"/>
            <w:vMerge w:val="continue"/>
            <w:vAlign w:val="center"/>
          </w:tcPr>
          <w:p w14:paraId="32F6790C">
            <w:pPr>
              <w:jc w:val="left"/>
              <w:rPr>
                <w:rFonts w:ascii="宋体"/>
                <w:kern w:val="0"/>
              </w:rPr>
            </w:pPr>
          </w:p>
        </w:tc>
        <w:tc>
          <w:tcPr>
            <w:tcW w:w="1134" w:type="dxa"/>
            <w:vMerge w:val="continue"/>
            <w:vAlign w:val="center"/>
          </w:tcPr>
          <w:p w14:paraId="04F360F4">
            <w:pPr>
              <w:jc w:val="center"/>
              <w:rPr>
                <w:rFonts w:ascii="宋体"/>
                <w:kern w:val="0"/>
              </w:rPr>
            </w:pPr>
          </w:p>
        </w:tc>
        <w:tc>
          <w:tcPr>
            <w:tcW w:w="6095" w:type="dxa"/>
            <w:vAlign w:val="center"/>
          </w:tcPr>
          <w:p w14:paraId="471E44BA">
            <w:pPr>
              <w:pStyle w:val="13"/>
              <w:jc w:val="left"/>
              <w:rPr>
                <w:rFonts w:ascii="宋体"/>
              </w:rPr>
            </w:pPr>
            <w:r>
              <w:rPr>
                <w:rFonts w:hint="eastAsia" w:ascii="宋体"/>
              </w:rPr>
              <w:t>以贿赂手段取得普通船舶适任证书的2本以内</w:t>
            </w:r>
          </w:p>
        </w:tc>
        <w:tc>
          <w:tcPr>
            <w:tcW w:w="8080" w:type="dxa"/>
            <w:tcBorders>
              <w:left w:val="single" w:color="auto" w:sz="4" w:space="0"/>
            </w:tcBorders>
            <w:vAlign w:val="center"/>
          </w:tcPr>
          <w:p w14:paraId="2701FD5F">
            <w:pPr>
              <w:jc w:val="center"/>
              <w:rPr>
                <w:rFonts w:ascii="宋体"/>
                <w:kern w:val="0"/>
              </w:rPr>
            </w:pPr>
            <w:r>
              <w:rPr>
                <w:rFonts w:hint="eastAsia" w:ascii="宋体"/>
                <w:kern w:val="0"/>
              </w:rPr>
              <w:t>1.5-2.5万元，</w:t>
            </w:r>
            <w:r>
              <w:rPr>
                <w:rFonts w:hint="eastAsia" w:ascii="宋体"/>
              </w:rPr>
              <w:t>撤销有关许可，没收船员适任证书</w:t>
            </w:r>
          </w:p>
        </w:tc>
      </w:tr>
      <w:tr w14:paraId="5EE7F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038" w:type="dxa"/>
            <w:vMerge w:val="continue"/>
            <w:vAlign w:val="center"/>
          </w:tcPr>
          <w:p w14:paraId="19DBBD4E">
            <w:pPr>
              <w:jc w:val="left"/>
              <w:rPr>
                <w:rFonts w:ascii="宋体"/>
                <w:kern w:val="0"/>
              </w:rPr>
            </w:pPr>
          </w:p>
        </w:tc>
        <w:tc>
          <w:tcPr>
            <w:tcW w:w="1429" w:type="dxa"/>
            <w:vMerge w:val="continue"/>
            <w:vAlign w:val="center"/>
          </w:tcPr>
          <w:p w14:paraId="25286AD1">
            <w:pPr>
              <w:jc w:val="left"/>
              <w:rPr>
                <w:rFonts w:ascii="宋体"/>
                <w:kern w:val="0"/>
              </w:rPr>
            </w:pPr>
          </w:p>
        </w:tc>
        <w:tc>
          <w:tcPr>
            <w:tcW w:w="1701" w:type="dxa"/>
            <w:vMerge w:val="continue"/>
            <w:vAlign w:val="center"/>
          </w:tcPr>
          <w:p w14:paraId="0BCA27E9">
            <w:pPr>
              <w:jc w:val="left"/>
              <w:rPr>
                <w:rFonts w:ascii="宋体"/>
                <w:kern w:val="0"/>
              </w:rPr>
            </w:pPr>
          </w:p>
        </w:tc>
        <w:tc>
          <w:tcPr>
            <w:tcW w:w="1134" w:type="dxa"/>
            <w:vMerge w:val="continue"/>
            <w:vAlign w:val="center"/>
          </w:tcPr>
          <w:p w14:paraId="44177766">
            <w:pPr>
              <w:jc w:val="center"/>
              <w:rPr>
                <w:rFonts w:ascii="宋体"/>
                <w:kern w:val="0"/>
              </w:rPr>
            </w:pPr>
          </w:p>
        </w:tc>
        <w:tc>
          <w:tcPr>
            <w:tcW w:w="6095" w:type="dxa"/>
            <w:tcBorders>
              <w:top w:val="single" w:color="auto" w:sz="4" w:space="0"/>
              <w:bottom w:val="single" w:color="auto" w:sz="4" w:space="0"/>
            </w:tcBorders>
            <w:vAlign w:val="center"/>
          </w:tcPr>
          <w:p w14:paraId="50A98E1C">
            <w:pPr>
              <w:jc w:val="left"/>
              <w:rPr>
                <w:rFonts w:ascii="宋体"/>
                <w:kern w:val="0"/>
              </w:rPr>
            </w:pPr>
            <w:r>
              <w:rPr>
                <w:rFonts w:hint="eastAsia" w:ascii="宋体"/>
                <w:kern w:val="0"/>
              </w:rPr>
              <w:t>1.以欺骗、贿赂等不正当手段取得船员适任证书超过2个项目的；</w:t>
            </w:r>
          </w:p>
          <w:p w14:paraId="283EABAB">
            <w:pPr>
              <w:jc w:val="left"/>
              <w:rPr>
                <w:rFonts w:ascii="宋体"/>
                <w:kern w:val="0"/>
              </w:rPr>
            </w:pPr>
            <w:r>
              <w:rPr>
                <w:rFonts w:hint="eastAsia" w:ascii="宋体"/>
              </w:rPr>
              <w:t>2.</w:t>
            </w:r>
            <w:r>
              <w:rPr>
                <w:rFonts w:hint="eastAsia" w:ascii="宋体"/>
                <w:kern w:val="0"/>
              </w:rPr>
              <w:t>造成小事故或险情的；</w:t>
            </w:r>
          </w:p>
          <w:p w14:paraId="5DC79ABA">
            <w:pPr>
              <w:jc w:val="left"/>
              <w:rPr>
                <w:rFonts w:ascii="宋体"/>
                <w:kern w:val="0"/>
              </w:rPr>
            </w:pPr>
            <w:r>
              <w:rPr>
                <w:rFonts w:hint="eastAsia" w:ascii="宋体"/>
                <w:kern w:val="0"/>
              </w:rPr>
              <w:t>3.具有其他较重情节的。</w:t>
            </w:r>
          </w:p>
        </w:tc>
        <w:tc>
          <w:tcPr>
            <w:tcW w:w="8080" w:type="dxa"/>
            <w:tcBorders>
              <w:top w:val="single" w:color="auto" w:sz="4" w:space="0"/>
              <w:left w:val="single" w:color="auto" w:sz="4" w:space="0"/>
              <w:bottom w:val="single" w:color="auto" w:sz="4" w:space="0"/>
            </w:tcBorders>
            <w:vAlign w:val="center"/>
          </w:tcPr>
          <w:p w14:paraId="39DD89EB">
            <w:pPr>
              <w:jc w:val="center"/>
              <w:rPr>
                <w:rFonts w:ascii="宋体"/>
                <w:kern w:val="0"/>
              </w:rPr>
            </w:pPr>
            <w:r>
              <w:rPr>
                <w:rFonts w:hint="eastAsia" w:ascii="宋体"/>
                <w:kern w:val="0"/>
              </w:rPr>
              <w:t>2.5-3万元，</w:t>
            </w:r>
            <w:r>
              <w:rPr>
                <w:rFonts w:hint="eastAsia" w:ascii="宋体"/>
              </w:rPr>
              <w:t>撤销有关许可，没收船员适任证书</w:t>
            </w:r>
          </w:p>
        </w:tc>
      </w:tr>
      <w:tr w14:paraId="22CB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038" w:type="dxa"/>
            <w:vMerge w:val="continue"/>
            <w:vAlign w:val="center"/>
          </w:tcPr>
          <w:p w14:paraId="1E363185">
            <w:pPr>
              <w:jc w:val="left"/>
              <w:rPr>
                <w:rFonts w:ascii="宋体"/>
                <w:kern w:val="0"/>
              </w:rPr>
            </w:pPr>
          </w:p>
        </w:tc>
        <w:tc>
          <w:tcPr>
            <w:tcW w:w="1429" w:type="dxa"/>
            <w:vMerge w:val="continue"/>
            <w:vAlign w:val="center"/>
          </w:tcPr>
          <w:p w14:paraId="365C231E">
            <w:pPr>
              <w:jc w:val="left"/>
              <w:rPr>
                <w:rFonts w:ascii="宋体"/>
                <w:kern w:val="0"/>
              </w:rPr>
            </w:pPr>
          </w:p>
        </w:tc>
        <w:tc>
          <w:tcPr>
            <w:tcW w:w="1701" w:type="dxa"/>
            <w:vMerge w:val="continue"/>
            <w:vAlign w:val="center"/>
          </w:tcPr>
          <w:p w14:paraId="54E32259">
            <w:pPr>
              <w:jc w:val="left"/>
              <w:rPr>
                <w:rFonts w:ascii="宋体"/>
                <w:kern w:val="0"/>
              </w:rPr>
            </w:pPr>
          </w:p>
        </w:tc>
        <w:tc>
          <w:tcPr>
            <w:tcW w:w="1134" w:type="dxa"/>
            <w:vMerge w:val="continue"/>
            <w:tcBorders>
              <w:bottom w:val="single" w:color="auto" w:sz="4" w:space="0"/>
            </w:tcBorders>
            <w:vAlign w:val="center"/>
          </w:tcPr>
          <w:p w14:paraId="44579D33">
            <w:pPr>
              <w:jc w:val="center"/>
              <w:rPr>
                <w:rFonts w:ascii="宋体"/>
                <w:kern w:val="0"/>
              </w:rPr>
            </w:pPr>
          </w:p>
        </w:tc>
        <w:tc>
          <w:tcPr>
            <w:tcW w:w="6095" w:type="dxa"/>
            <w:tcBorders>
              <w:top w:val="single" w:color="auto" w:sz="4" w:space="0"/>
              <w:left w:val="single" w:color="auto" w:sz="4" w:space="0"/>
              <w:bottom w:val="single" w:color="auto" w:sz="4" w:space="0"/>
            </w:tcBorders>
            <w:vAlign w:val="center"/>
          </w:tcPr>
          <w:p w14:paraId="4DB212BB">
            <w:pPr>
              <w:jc w:val="left"/>
              <w:rPr>
                <w:rFonts w:ascii="宋体"/>
                <w:kern w:val="0"/>
                <w:bdr w:val="single" w:color="auto" w:sz="4" w:space="0"/>
              </w:rPr>
            </w:pPr>
            <w:r>
              <w:rPr>
                <w:rFonts w:hint="eastAsia" w:ascii="宋体"/>
                <w:kern w:val="0"/>
              </w:rPr>
              <w:t>1.造成一般等级以上事故的；</w:t>
            </w:r>
          </w:p>
          <w:p w14:paraId="1379811E">
            <w:pPr>
              <w:jc w:val="left"/>
              <w:rPr>
                <w:rFonts w:ascii="宋体"/>
                <w:kern w:val="0"/>
              </w:rPr>
            </w:pPr>
            <w:r>
              <w:rPr>
                <w:rFonts w:hint="eastAsia" w:ascii="宋体"/>
                <w:kern w:val="0"/>
              </w:rPr>
              <w:t>2.具有其他严重情节的。</w:t>
            </w:r>
          </w:p>
        </w:tc>
        <w:tc>
          <w:tcPr>
            <w:tcW w:w="8080" w:type="dxa"/>
            <w:tcBorders>
              <w:top w:val="single" w:color="auto" w:sz="4" w:space="0"/>
              <w:left w:val="single" w:color="auto" w:sz="4" w:space="0"/>
              <w:bottom w:val="single" w:color="auto" w:sz="4" w:space="0"/>
            </w:tcBorders>
            <w:vAlign w:val="center"/>
          </w:tcPr>
          <w:p w14:paraId="0B4163A0">
            <w:pPr>
              <w:jc w:val="center"/>
              <w:rPr>
                <w:rFonts w:ascii="宋体"/>
                <w:kern w:val="0"/>
              </w:rPr>
            </w:pPr>
            <w:r>
              <w:rPr>
                <w:rFonts w:hint="eastAsia" w:ascii="宋体"/>
                <w:kern w:val="0"/>
              </w:rPr>
              <w:t>3-5万元，</w:t>
            </w:r>
            <w:r>
              <w:rPr>
                <w:rFonts w:hint="eastAsia" w:ascii="宋体"/>
              </w:rPr>
              <w:t>撤销有关许可，没收船员适任证书</w:t>
            </w:r>
          </w:p>
        </w:tc>
      </w:tr>
    </w:tbl>
    <w:p w14:paraId="3966C605">
      <w:pPr>
        <w:widowControl/>
        <w:jc w:val="lef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06"/>
        <w:gridCol w:w="1395"/>
        <w:gridCol w:w="1545"/>
        <w:gridCol w:w="1155"/>
        <w:gridCol w:w="3720"/>
        <w:gridCol w:w="11223"/>
      </w:tblGrid>
      <w:tr w14:paraId="6560C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006" w:type="dxa"/>
            <w:vMerge w:val="restart"/>
            <w:vAlign w:val="center"/>
          </w:tcPr>
          <w:p w14:paraId="7885BD93">
            <w:pPr>
              <w:spacing w:line="240" w:lineRule="exact"/>
              <w:jc w:val="center"/>
              <w:rPr>
                <w:rFonts w:ascii="宋体"/>
                <w:b/>
                <w:kern w:val="0"/>
              </w:rPr>
            </w:pPr>
            <w:r>
              <w:rPr>
                <w:rFonts w:hint="eastAsia" w:ascii="宋体"/>
                <w:b/>
                <w:kern w:val="0"/>
              </w:rPr>
              <w:t>案由104</w:t>
            </w:r>
          </w:p>
        </w:tc>
        <w:tc>
          <w:tcPr>
            <w:tcW w:w="2940" w:type="dxa"/>
            <w:gridSpan w:val="2"/>
            <w:vAlign w:val="center"/>
          </w:tcPr>
          <w:p w14:paraId="4CA4A622">
            <w:pPr>
              <w:spacing w:line="240" w:lineRule="exact"/>
              <w:jc w:val="center"/>
              <w:rPr>
                <w:rFonts w:ascii="宋体"/>
                <w:b/>
                <w:kern w:val="0"/>
              </w:rPr>
            </w:pPr>
            <w:r>
              <w:rPr>
                <w:rFonts w:hint="eastAsia" w:ascii="宋体"/>
                <w:b/>
                <w:kern w:val="0"/>
              </w:rPr>
              <w:t>法律依据</w:t>
            </w:r>
          </w:p>
        </w:tc>
        <w:tc>
          <w:tcPr>
            <w:tcW w:w="1155" w:type="dxa"/>
            <w:vMerge w:val="restart"/>
            <w:vAlign w:val="center"/>
          </w:tcPr>
          <w:p w14:paraId="61964E34">
            <w:pPr>
              <w:spacing w:line="240" w:lineRule="exact"/>
              <w:jc w:val="center"/>
              <w:rPr>
                <w:rFonts w:ascii="宋体"/>
                <w:b/>
                <w:kern w:val="0"/>
              </w:rPr>
            </w:pPr>
            <w:r>
              <w:rPr>
                <w:rFonts w:hint="eastAsia" w:ascii="宋体"/>
                <w:b/>
                <w:kern w:val="0"/>
              </w:rPr>
              <w:t>违法情节</w:t>
            </w:r>
          </w:p>
        </w:tc>
        <w:tc>
          <w:tcPr>
            <w:tcW w:w="3720" w:type="dxa"/>
            <w:vMerge w:val="restart"/>
            <w:vAlign w:val="center"/>
          </w:tcPr>
          <w:p w14:paraId="3EE93DC6">
            <w:pPr>
              <w:spacing w:line="240" w:lineRule="exact"/>
              <w:jc w:val="center"/>
              <w:rPr>
                <w:rFonts w:ascii="宋体"/>
                <w:b/>
                <w:kern w:val="0"/>
              </w:rPr>
            </w:pPr>
            <w:r>
              <w:rPr>
                <w:rFonts w:hint="eastAsia" w:ascii="宋体"/>
                <w:b/>
                <w:kern w:val="0"/>
              </w:rPr>
              <w:t>主要考虑因素（事实、性质、情节、危害程度和实际后果等）</w:t>
            </w:r>
          </w:p>
        </w:tc>
        <w:tc>
          <w:tcPr>
            <w:tcW w:w="11223" w:type="dxa"/>
            <w:vMerge w:val="restart"/>
            <w:vAlign w:val="center"/>
          </w:tcPr>
          <w:p w14:paraId="7C1036FD">
            <w:pPr>
              <w:spacing w:line="240" w:lineRule="exact"/>
              <w:jc w:val="left"/>
              <w:rPr>
                <w:rFonts w:ascii="宋体"/>
                <w:b/>
                <w:kern w:val="0"/>
              </w:rPr>
            </w:pPr>
            <w:r>
              <w:rPr>
                <w:rFonts w:hint="eastAsia" w:ascii="宋体"/>
                <w:b/>
                <w:kern w:val="0"/>
              </w:rPr>
              <w:t>【法定幅度和种类】由海事管理机构处2000元以上2万元以下罚款；情节严重的，并给予暂扣船员适任证书6个月以上2年以下直至吊销船员适任证书的处罚。</w:t>
            </w:r>
          </w:p>
        </w:tc>
      </w:tr>
      <w:tr w14:paraId="2952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006" w:type="dxa"/>
            <w:vMerge w:val="continue"/>
            <w:vAlign w:val="center"/>
          </w:tcPr>
          <w:p w14:paraId="730FF604">
            <w:pPr>
              <w:spacing w:line="240" w:lineRule="exact"/>
              <w:jc w:val="center"/>
              <w:rPr>
                <w:rFonts w:ascii="宋体"/>
                <w:b/>
                <w:kern w:val="0"/>
              </w:rPr>
            </w:pPr>
          </w:p>
        </w:tc>
        <w:tc>
          <w:tcPr>
            <w:tcW w:w="1395" w:type="dxa"/>
            <w:vMerge w:val="restart"/>
            <w:vAlign w:val="center"/>
          </w:tcPr>
          <w:p w14:paraId="28734493">
            <w:pPr>
              <w:spacing w:line="240" w:lineRule="exact"/>
              <w:jc w:val="center"/>
              <w:rPr>
                <w:rFonts w:ascii="宋体"/>
                <w:b/>
                <w:kern w:val="0"/>
              </w:rPr>
            </w:pPr>
            <w:r>
              <w:rPr>
                <w:rFonts w:hint="eastAsia" w:ascii="宋体"/>
                <w:b/>
                <w:kern w:val="0"/>
              </w:rPr>
              <w:t>违反条款</w:t>
            </w:r>
          </w:p>
        </w:tc>
        <w:tc>
          <w:tcPr>
            <w:tcW w:w="1545" w:type="dxa"/>
            <w:vMerge w:val="restart"/>
            <w:vAlign w:val="center"/>
          </w:tcPr>
          <w:p w14:paraId="7AE6EAB3">
            <w:pPr>
              <w:spacing w:line="240" w:lineRule="exact"/>
              <w:jc w:val="center"/>
              <w:rPr>
                <w:rFonts w:ascii="宋体"/>
                <w:b/>
                <w:kern w:val="0"/>
              </w:rPr>
            </w:pPr>
            <w:r>
              <w:rPr>
                <w:rFonts w:hint="eastAsia" w:ascii="宋体"/>
                <w:b/>
                <w:kern w:val="0"/>
              </w:rPr>
              <w:t>处罚依据</w:t>
            </w:r>
          </w:p>
        </w:tc>
        <w:tc>
          <w:tcPr>
            <w:tcW w:w="1155" w:type="dxa"/>
            <w:vMerge w:val="continue"/>
            <w:tcBorders>
              <w:bottom w:val="single" w:color="000000" w:sz="4" w:space="0"/>
            </w:tcBorders>
            <w:vAlign w:val="center"/>
          </w:tcPr>
          <w:p w14:paraId="7D0F2989">
            <w:pPr>
              <w:spacing w:line="240" w:lineRule="exact"/>
              <w:jc w:val="center"/>
              <w:rPr>
                <w:rFonts w:ascii="宋体"/>
                <w:b/>
                <w:kern w:val="0"/>
              </w:rPr>
            </w:pPr>
          </w:p>
        </w:tc>
        <w:tc>
          <w:tcPr>
            <w:tcW w:w="3720" w:type="dxa"/>
            <w:vMerge w:val="continue"/>
            <w:tcBorders>
              <w:bottom w:val="single" w:color="000000" w:sz="4" w:space="0"/>
            </w:tcBorders>
            <w:vAlign w:val="center"/>
          </w:tcPr>
          <w:p w14:paraId="17AF47ED">
            <w:pPr>
              <w:spacing w:line="240" w:lineRule="exact"/>
              <w:jc w:val="center"/>
              <w:rPr>
                <w:rFonts w:ascii="宋体"/>
                <w:b/>
                <w:kern w:val="0"/>
              </w:rPr>
            </w:pPr>
          </w:p>
        </w:tc>
        <w:tc>
          <w:tcPr>
            <w:tcW w:w="11223" w:type="dxa"/>
            <w:vMerge w:val="continue"/>
            <w:tcBorders>
              <w:bottom w:val="single" w:color="auto" w:sz="4" w:space="0"/>
            </w:tcBorders>
            <w:vAlign w:val="center"/>
          </w:tcPr>
          <w:p w14:paraId="0DFC860D">
            <w:pPr>
              <w:spacing w:line="240" w:lineRule="exact"/>
              <w:jc w:val="center"/>
              <w:rPr>
                <w:rFonts w:ascii="宋体"/>
                <w:b/>
                <w:kern w:val="0"/>
              </w:rPr>
            </w:pPr>
          </w:p>
        </w:tc>
      </w:tr>
      <w:tr w14:paraId="4D04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61" w:hRule="atLeast"/>
        </w:trPr>
        <w:tc>
          <w:tcPr>
            <w:tcW w:w="1006" w:type="dxa"/>
            <w:vMerge w:val="continue"/>
            <w:vAlign w:val="center"/>
          </w:tcPr>
          <w:p w14:paraId="2D332494">
            <w:pPr>
              <w:spacing w:line="240" w:lineRule="exact"/>
              <w:jc w:val="center"/>
              <w:rPr>
                <w:rFonts w:ascii="宋体"/>
                <w:b/>
                <w:kern w:val="0"/>
              </w:rPr>
            </w:pPr>
          </w:p>
        </w:tc>
        <w:tc>
          <w:tcPr>
            <w:tcW w:w="1395" w:type="dxa"/>
            <w:vMerge w:val="continue"/>
            <w:vAlign w:val="center"/>
          </w:tcPr>
          <w:p w14:paraId="1263E0E8">
            <w:pPr>
              <w:spacing w:line="240" w:lineRule="exact"/>
              <w:jc w:val="center"/>
              <w:rPr>
                <w:rFonts w:ascii="宋体"/>
                <w:b/>
                <w:kern w:val="0"/>
              </w:rPr>
            </w:pPr>
          </w:p>
        </w:tc>
        <w:tc>
          <w:tcPr>
            <w:tcW w:w="1545" w:type="dxa"/>
            <w:vMerge w:val="continue"/>
            <w:vAlign w:val="center"/>
          </w:tcPr>
          <w:p w14:paraId="72E31C35">
            <w:pPr>
              <w:spacing w:line="240" w:lineRule="exact"/>
              <w:jc w:val="center"/>
              <w:rPr>
                <w:rFonts w:ascii="宋体"/>
                <w:b/>
                <w:kern w:val="0"/>
              </w:rPr>
            </w:pPr>
          </w:p>
        </w:tc>
        <w:tc>
          <w:tcPr>
            <w:tcW w:w="1155" w:type="dxa"/>
            <w:vMerge w:val="continue"/>
            <w:vAlign w:val="center"/>
          </w:tcPr>
          <w:p w14:paraId="32165A09">
            <w:pPr>
              <w:spacing w:line="240" w:lineRule="exact"/>
              <w:jc w:val="center"/>
              <w:rPr>
                <w:rFonts w:ascii="宋体"/>
                <w:b/>
                <w:kern w:val="0"/>
              </w:rPr>
            </w:pPr>
          </w:p>
        </w:tc>
        <w:tc>
          <w:tcPr>
            <w:tcW w:w="3720" w:type="dxa"/>
            <w:vMerge w:val="continue"/>
            <w:vAlign w:val="center"/>
          </w:tcPr>
          <w:p w14:paraId="149765C1">
            <w:pPr>
              <w:spacing w:line="240" w:lineRule="exact"/>
              <w:jc w:val="center"/>
              <w:rPr>
                <w:rFonts w:ascii="宋体"/>
                <w:b/>
                <w:kern w:val="0"/>
              </w:rPr>
            </w:pPr>
          </w:p>
        </w:tc>
        <w:tc>
          <w:tcPr>
            <w:tcW w:w="11223" w:type="dxa"/>
            <w:tcBorders>
              <w:top w:val="single" w:color="auto" w:sz="4" w:space="0"/>
              <w:right w:val="single" w:color="auto" w:sz="4" w:space="0"/>
            </w:tcBorders>
            <w:vAlign w:val="center"/>
          </w:tcPr>
          <w:p w14:paraId="51DA107C">
            <w:pPr>
              <w:spacing w:line="240" w:lineRule="exact"/>
              <w:jc w:val="center"/>
              <w:rPr>
                <w:rFonts w:ascii="宋体"/>
                <w:b/>
                <w:kern w:val="0"/>
              </w:rPr>
            </w:pPr>
            <w:r>
              <w:rPr>
                <w:rFonts w:hint="eastAsia" w:ascii="宋体"/>
                <w:b/>
                <w:kern w:val="0"/>
              </w:rPr>
              <w:t>【对象】船长</w:t>
            </w:r>
          </w:p>
        </w:tc>
      </w:tr>
      <w:tr w14:paraId="72C70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9" w:hRule="atLeast"/>
        </w:trPr>
        <w:tc>
          <w:tcPr>
            <w:tcW w:w="1006" w:type="dxa"/>
            <w:vMerge w:val="restart"/>
            <w:vAlign w:val="center"/>
          </w:tcPr>
          <w:p w14:paraId="5255053F">
            <w:pPr>
              <w:spacing w:line="240" w:lineRule="exact"/>
              <w:jc w:val="left"/>
              <w:rPr>
                <w:rFonts w:ascii="宋体"/>
                <w:kern w:val="0"/>
              </w:rPr>
            </w:pPr>
            <w:r>
              <w:rPr>
                <w:rFonts w:hint="eastAsia" w:ascii="宋体"/>
                <w:kern w:val="0"/>
              </w:rPr>
              <w:t>船长未保证船舶和船员携带证书、文书以及有关航行资料的</w:t>
            </w:r>
          </w:p>
        </w:tc>
        <w:tc>
          <w:tcPr>
            <w:tcW w:w="1395" w:type="dxa"/>
            <w:vMerge w:val="restart"/>
            <w:vAlign w:val="center"/>
          </w:tcPr>
          <w:p w14:paraId="6B52A22A">
            <w:pPr>
              <w:widowControl/>
              <w:spacing w:line="240" w:lineRule="exact"/>
              <w:jc w:val="left"/>
              <w:rPr>
                <w:rFonts w:ascii="宋体"/>
                <w:kern w:val="0"/>
              </w:rPr>
            </w:pPr>
            <w:r>
              <w:rPr>
                <w:rFonts w:hint="eastAsia" w:ascii="宋体"/>
                <w:kern w:val="0"/>
              </w:rPr>
              <w:t>1.《中华人民共和国船员条例》第十八条第（一）项。</w:t>
            </w:r>
          </w:p>
        </w:tc>
        <w:tc>
          <w:tcPr>
            <w:tcW w:w="1545" w:type="dxa"/>
            <w:vMerge w:val="restart"/>
            <w:vAlign w:val="center"/>
          </w:tcPr>
          <w:p w14:paraId="6A6B9D5A">
            <w:pPr>
              <w:widowControl/>
              <w:spacing w:line="240" w:lineRule="exact"/>
              <w:jc w:val="left"/>
              <w:rPr>
                <w:rFonts w:ascii="宋体"/>
                <w:kern w:val="0"/>
              </w:rPr>
            </w:pPr>
            <w:r>
              <w:rPr>
                <w:rFonts w:hint="eastAsia" w:ascii="宋体"/>
                <w:kern w:val="0"/>
              </w:rPr>
              <w:t>1.《中华人民共和国船员条例》第五十三条第（一）项；</w:t>
            </w:r>
          </w:p>
          <w:p w14:paraId="44157AD3">
            <w:pPr>
              <w:spacing w:line="240" w:lineRule="exact"/>
              <w:jc w:val="left"/>
              <w:rPr>
                <w:rFonts w:ascii="宋体"/>
                <w:kern w:val="0"/>
              </w:rPr>
            </w:pPr>
            <w:r>
              <w:rPr>
                <w:rFonts w:hint="eastAsia" w:ascii="宋体"/>
                <w:kern w:val="0"/>
              </w:rPr>
              <w:t>2. 《中华人民共和国海上海事行政处罚规定》第七条</w:t>
            </w:r>
          </w:p>
        </w:tc>
        <w:tc>
          <w:tcPr>
            <w:tcW w:w="1155" w:type="dxa"/>
            <w:vAlign w:val="center"/>
          </w:tcPr>
          <w:p w14:paraId="19D42EF5">
            <w:pPr>
              <w:spacing w:line="240" w:lineRule="exact"/>
              <w:jc w:val="center"/>
              <w:rPr>
                <w:rFonts w:ascii="宋体"/>
                <w:kern w:val="0"/>
              </w:rPr>
            </w:pPr>
            <w:r>
              <w:rPr>
                <w:rFonts w:hint="eastAsia" w:ascii="宋体"/>
                <w:kern w:val="0"/>
              </w:rPr>
              <w:t>从轻</w:t>
            </w:r>
          </w:p>
        </w:tc>
        <w:tc>
          <w:tcPr>
            <w:tcW w:w="3720" w:type="dxa"/>
            <w:vAlign w:val="center"/>
          </w:tcPr>
          <w:p w14:paraId="02F72C3A">
            <w:pPr>
              <w:spacing w:line="240" w:lineRule="exact"/>
              <w:jc w:val="left"/>
              <w:rPr>
                <w:rFonts w:ascii="宋体"/>
                <w:kern w:val="0"/>
              </w:rPr>
            </w:pPr>
            <w:r>
              <w:rPr>
                <w:rFonts w:hint="eastAsia" w:ascii="宋体"/>
                <w:kern w:val="0"/>
              </w:rPr>
              <w:t>具有法定从轻处罚情节的</w:t>
            </w:r>
          </w:p>
        </w:tc>
        <w:tc>
          <w:tcPr>
            <w:tcW w:w="11223" w:type="dxa"/>
            <w:tcBorders>
              <w:right w:val="single" w:color="auto" w:sz="4" w:space="0"/>
            </w:tcBorders>
            <w:vAlign w:val="center"/>
          </w:tcPr>
          <w:p w14:paraId="7263B221">
            <w:pPr>
              <w:spacing w:line="240" w:lineRule="exact"/>
              <w:jc w:val="center"/>
              <w:rPr>
                <w:rFonts w:ascii="宋体"/>
                <w:kern w:val="0"/>
              </w:rPr>
            </w:pPr>
            <w:r>
              <w:rPr>
                <w:rFonts w:hint="eastAsia" w:ascii="宋体"/>
                <w:kern w:val="0"/>
              </w:rPr>
              <w:t>2000-2500元</w:t>
            </w:r>
          </w:p>
        </w:tc>
      </w:tr>
      <w:tr w14:paraId="45BC0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30" w:hRule="atLeast"/>
        </w:trPr>
        <w:tc>
          <w:tcPr>
            <w:tcW w:w="1006" w:type="dxa"/>
            <w:vMerge w:val="continue"/>
            <w:vAlign w:val="center"/>
          </w:tcPr>
          <w:p w14:paraId="4055C22B">
            <w:pPr>
              <w:spacing w:line="240" w:lineRule="exact"/>
              <w:jc w:val="left"/>
              <w:rPr>
                <w:rFonts w:ascii="宋体"/>
                <w:kern w:val="0"/>
              </w:rPr>
            </w:pPr>
          </w:p>
        </w:tc>
        <w:tc>
          <w:tcPr>
            <w:tcW w:w="1395" w:type="dxa"/>
            <w:vMerge w:val="continue"/>
            <w:vAlign w:val="center"/>
          </w:tcPr>
          <w:p w14:paraId="77FBE095">
            <w:pPr>
              <w:widowControl/>
              <w:spacing w:line="240" w:lineRule="exact"/>
              <w:jc w:val="left"/>
              <w:rPr>
                <w:rFonts w:ascii="宋体"/>
                <w:kern w:val="0"/>
              </w:rPr>
            </w:pPr>
          </w:p>
        </w:tc>
        <w:tc>
          <w:tcPr>
            <w:tcW w:w="1545" w:type="dxa"/>
            <w:vMerge w:val="continue"/>
            <w:vAlign w:val="center"/>
          </w:tcPr>
          <w:p w14:paraId="7F69E488">
            <w:pPr>
              <w:spacing w:line="240" w:lineRule="exact"/>
              <w:jc w:val="left"/>
              <w:rPr>
                <w:rFonts w:ascii="宋体"/>
                <w:kern w:val="0"/>
              </w:rPr>
            </w:pPr>
          </w:p>
        </w:tc>
        <w:tc>
          <w:tcPr>
            <w:tcW w:w="1155" w:type="dxa"/>
            <w:vMerge w:val="restart"/>
            <w:vAlign w:val="center"/>
          </w:tcPr>
          <w:p w14:paraId="163C6CBB">
            <w:pPr>
              <w:spacing w:line="240" w:lineRule="exact"/>
              <w:jc w:val="center"/>
              <w:rPr>
                <w:rFonts w:ascii="宋体"/>
                <w:kern w:val="0"/>
              </w:rPr>
            </w:pPr>
            <w:r>
              <w:rPr>
                <w:rFonts w:hint="eastAsia" w:ascii="宋体"/>
                <w:kern w:val="0"/>
              </w:rPr>
              <w:t>一般</w:t>
            </w:r>
          </w:p>
        </w:tc>
        <w:tc>
          <w:tcPr>
            <w:tcW w:w="3720" w:type="dxa"/>
            <w:vAlign w:val="center"/>
          </w:tcPr>
          <w:p w14:paraId="18E3CEA8">
            <w:pPr>
              <w:spacing w:line="240" w:lineRule="exact"/>
              <w:jc w:val="left"/>
              <w:rPr>
                <w:rFonts w:ascii="宋体"/>
                <w:kern w:val="0"/>
              </w:rPr>
            </w:pPr>
            <w:r>
              <w:rPr>
                <w:rFonts w:hint="eastAsia" w:ascii="宋体"/>
                <w:kern w:val="0"/>
              </w:rPr>
              <w:t>1.缺1本船舶证书或1本船舶文书或1本船员证书的；</w:t>
            </w:r>
          </w:p>
          <w:p w14:paraId="1849D9F2">
            <w:pPr>
              <w:spacing w:line="240" w:lineRule="exact"/>
              <w:jc w:val="left"/>
              <w:rPr>
                <w:rFonts w:ascii="宋体"/>
                <w:kern w:val="0"/>
              </w:rPr>
            </w:pPr>
            <w:r>
              <w:rPr>
                <w:rFonts w:hint="eastAsia" w:ascii="宋体"/>
                <w:kern w:val="0"/>
              </w:rPr>
              <w:t>2.未持有有关航行资料的。</w:t>
            </w:r>
          </w:p>
        </w:tc>
        <w:tc>
          <w:tcPr>
            <w:tcW w:w="11223" w:type="dxa"/>
            <w:tcBorders>
              <w:right w:val="single" w:color="auto" w:sz="4" w:space="0"/>
            </w:tcBorders>
            <w:vAlign w:val="center"/>
          </w:tcPr>
          <w:p w14:paraId="687C66ED">
            <w:pPr>
              <w:spacing w:line="240" w:lineRule="exact"/>
              <w:jc w:val="center"/>
              <w:rPr>
                <w:rFonts w:ascii="宋体"/>
                <w:kern w:val="0"/>
              </w:rPr>
            </w:pPr>
            <w:r>
              <w:rPr>
                <w:rFonts w:hint="eastAsia" w:ascii="宋体"/>
                <w:kern w:val="0"/>
              </w:rPr>
              <w:t>2500-3500元</w:t>
            </w:r>
          </w:p>
        </w:tc>
      </w:tr>
      <w:tr w14:paraId="7C31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5" w:hRule="atLeast"/>
        </w:trPr>
        <w:tc>
          <w:tcPr>
            <w:tcW w:w="1006" w:type="dxa"/>
            <w:vMerge w:val="continue"/>
            <w:vAlign w:val="center"/>
          </w:tcPr>
          <w:p w14:paraId="2B44DCFD">
            <w:pPr>
              <w:spacing w:line="240" w:lineRule="exact"/>
              <w:jc w:val="left"/>
              <w:rPr>
                <w:rFonts w:ascii="宋体"/>
                <w:kern w:val="0"/>
              </w:rPr>
            </w:pPr>
          </w:p>
        </w:tc>
        <w:tc>
          <w:tcPr>
            <w:tcW w:w="1395" w:type="dxa"/>
            <w:vMerge w:val="continue"/>
            <w:vAlign w:val="center"/>
          </w:tcPr>
          <w:p w14:paraId="1F83B32F">
            <w:pPr>
              <w:widowControl/>
              <w:spacing w:line="240" w:lineRule="exact"/>
              <w:jc w:val="left"/>
              <w:rPr>
                <w:rFonts w:ascii="宋体"/>
                <w:kern w:val="0"/>
              </w:rPr>
            </w:pPr>
          </w:p>
        </w:tc>
        <w:tc>
          <w:tcPr>
            <w:tcW w:w="1545" w:type="dxa"/>
            <w:vMerge w:val="continue"/>
            <w:vAlign w:val="center"/>
          </w:tcPr>
          <w:p w14:paraId="6377211B">
            <w:pPr>
              <w:spacing w:line="240" w:lineRule="exact"/>
              <w:jc w:val="left"/>
              <w:rPr>
                <w:rFonts w:ascii="宋体"/>
                <w:kern w:val="0"/>
              </w:rPr>
            </w:pPr>
          </w:p>
        </w:tc>
        <w:tc>
          <w:tcPr>
            <w:tcW w:w="1155" w:type="dxa"/>
            <w:vMerge w:val="continue"/>
            <w:vAlign w:val="center"/>
          </w:tcPr>
          <w:p w14:paraId="74C5E572">
            <w:pPr>
              <w:spacing w:line="240" w:lineRule="exact"/>
              <w:jc w:val="center"/>
              <w:rPr>
                <w:rFonts w:ascii="宋体"/>
                <w:kern w:val="0"/>
              </w:rPr>
            </w:pPr>
          </w:p>
        </w:tc>
        <w:tc>
          <w:tcPr>
            <w:tcW w:w="3720" w:type="dxa"/>
            <w:vAlign w:val="center"/>
          </w:tcPr>
          <w:p w14:paraId="2D623FDF">
            <w:pPr>
              <w:spacing w:line="240" w:lineRule="exact"/>
              <w:jc w:val="left"/>
              <w:rPr>
                <w:rFonts w:ascii="宋体"/>
                <w:kern w:val="0"/>
              </w:rPr>
            </w:pPr>
            <w:r>
              <w:rPr>
                <w:rFonts w:hint="eastAsia" w:ascii="宋体"/>
                <w:kern w:val="0"/>
              </w:rPr>
              <w:t>缺船舶证书、文书或船员证书累计达2本及以上的。</w:t>
            </w:r>
          </w:p>
        </w:tc>
        <w:tc>
          <w:tcPr>
            <w:tcW w:w="11223" w:type="dxa"/>
            <w:tcBorders>
              <w:right w:val="single" w:color="auto" w:sz="4" w:space="0"/>
            </w:tcBorders>
            <w:vAlign w:val="center"/>
          </w:tcPr>
          <w:p w14:paraId="54C89F5A">
            <w:pPr>
              <w:spacing w:line="240" w:lineRule="exact"/>
              <w:jc w:val="center"/>
              <w:rPr>
                <w:rFonts w:ascii="宋体"/>
                <w:kern w:val="0"/>
              </w:rPr>
            </w:pPr>
            <w:r>
              <w:rPr>
                <w:rFonts w:hint="eastAsia" w:ascii="宋体"/>
                <w:kern w:val="0"/>
              </w:rPr>
              <w:t>每多缺1本，加罚1000元（在3500元的基准上累加），最高不超过1万元</w:t>
            </w:r>
          </w:p>
        </w:tc>
      </w:tr>
      <w:tr w14:paraId="742F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2" w:hRule="atLeast"/>
        </w:trPr>
        <w:tc>
          <w:tcPr>
            <w:tcW w:w="1006" w:type="dxa"/>
            <w:vMerge w:val="continue"/>
            <w:vAlign w:val="center"/>
          </w:tcPr>
          <w:p w14:paraId="4C9AC21F">
            <w:pPr>
              <w:spacing w:line="240" w:lineRule="exact"/>
              <w:jc w:val="left"/>
              <w:rPr>
                <w:rFonts w:ascii="宋体"/>
                <w:kern w:val="0"/>
              </w:rPr>
            </w:pPr>
          </w:p>
        </w:tc>
        <w:tc>
          <w:tcPr>
            <w:tcW w:w="1395" w:type="dxa"/>
            <w:vMerge w:val="continue"/>
            <w:vAlign w:val="center"/>
          </w:tcPr>
          <w:p w14:paraId="170BE34E">
            <w:pPr>
              <w:widowControl/>
              <w:spacing w:line="240" w:lineRule="exact"/>
              <w:jc w:val="left"/>
              <w:rPr>
                <w:rFonts w:ascii="宋体"/>
                <w:kern w:val="0"/>
              </w:rPr>
            </w:pPr>
          </w:p>
        </w:tc>
        <w:tc>
          <w:tcPr>
            <w:tcW w:w="1545" w:type="dxa"/>
            <w:vMerge w:val="continue"/>
            <w:vAlign w:val="center"/>
          </w:tcPr>
          <w:p w14:paraId="7E06132D">
            <w:pPr>
              <w:spacing w:line="240" w:lineRule="exact"/>
              <w:jc w:val="left"/>
              <w:rPr>
                <w:rFonts w:ascii="宋体"/>
                <w:kern w:val="0"/>
              </w:rPr>
            </w:pPr>
          </w:p>
        </w:tc>
        <w:tc>
          <w:tcPr>
            <w:tcW w:w="1155" w:type="dxa"/>
            <w:vMerge w:val="continue"/>
            <w:vAlign w:val="center"/>
          </w:tcPr>
          <w:p w14:paraId="037546B4">
            <w:pPr>
              <w:spacing w:line="240" w:lineRule="exact"/>
              <w:jc w:val="center"/>
              <w:rPr>
                <w:rFonts w:ascii="宋体"/>
                <w:kern w:val="0"/>
              </w:rPr>
            </w:pPr>
          </w:p>
        </w:tc>
        <w:tc>
          <w:tcPr>
            <w:tcW w:w="3720" w:type="dxa"/>
            <w:vAlign w:val="center"/>
          </w:tcPr>
          <w:p w14:paraId="129414E2">
            <w:pPr>
              <w:spacing w:line="240" w:lineRule="exact"/>
              <w:jc w:val="left"/>
              <w:rPr>
                <w:rFonts w:ascii="宋体"/>
                <w:kern w:val="0"/>
              </w:rPr>
            </w:pPr>
            <w:r>
              <w:rPr>
                <w:rFonts w:hint="eastAsia" w:ascii="宋体"/>
                <w:kern w:val="0"/>
              </w:rPr>
              <w:t>1.造成小事故或险情的；</w:t>
            </w:r>
          </w:p>
          <w:p w14:paraId="5D36186D">
            <w:pPr>
              <w:spacing w:line="240" w:lineRule="exact"/>
              <w:jc w:val="left"/>
              <w:rPr>
                <w:rFonts w:ascii="宋体"/>
                <w:kern w:val="0"/>
              </w:rPr>
            </w:pPr>
            <w:r>
              <w:rPr>
                <w:rFonts w:hint="eastAsia" w:ascii="宋体"/>
                <w:kern w:val="0"/>
              </w:rPr>
              <w:t>2.具有其他较重情节的。</w:t>
            </w:r>
          </w:p>
        </w:tc>
        <w:tc>
          <w:tcPr>
            <w:tcW w:w="11223" w:type="dxa"/>
            <w:tcBorders>
              <w:right w:val="single" w:color="auto" w:sz="4" w:space="0"/>
            </w:tcBorders>
            <w:vAlign w:val="center"/>
          </w:tcPr>
          <w:p w14:paraId="000015CA">
            <w:pPr>
              <w:spacing w:line="240" w:lineRule="exact"/>
              <w:jc w:val="center"/>
              <w:rPr>
                <w:rFonts w:ascii="宋体"/>
                <w:kern w:val="0"/>
              </w:rPr>
            </w:pPr>
            <w:r>
              <w:rPr>
                <w:rFonts w:hint="eastAsia" w:ascii="宋体"/>
                <w:kern w:val="0"/>
              </w:rPr>
              <w:t>1-2万</w:t>
            </w:r>
          </w:p>
        </w:tc>
      </w:tr>
      <w:tr w14:paraId="6D66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90" w:hRule="atLeast"/>
        </w:trPr>
        <w:tc>
          <w:tcPr>
            <w:tcW w:w="1006" w:type="dxa"/>
            <w:vMerge w:val="continue"/>
            <w:vAlign w:val="center"/>
          </w:tcPr>
          <w:p w14:paraId="7ECBAE98">
            <w:pPr>
              <w:spacing w:line="240" w:lineRule="exact"/>
              <w:jc w:val="left"/>
              <w:rPr>
                <w:rFonts w:ascii="宋体"/>
                <w:kern w:val="0"/>
              </w:rPr>
            </w:pPr>
          </w:p>
        </w:tc>
        <w:tc>
          <w:tcPr>
            <w:tcW w:w="1395" w:type="dxa"/>
            <w:vMerge w:val="continue"/>
            <w:vAlign w:val="center"/>
          </w:tcPr>
          <w:p w14:paraId="5E4D6262">
            <w:pPr>
              <w:widowControl/>
              <w:spacing w:line="240" w:lineRule="exact"/>
              <w:jc w:val="left"/>
              <w:rPr>
                <w:rFonts w:ascii="宋体"/>
                <w:kern w:val="0"/>
              </w:rPr>
            </w:pPr>
          </w:p>
        </w:tc>
        <w:tc>
          <w:tcPr>
            <w:tcW w:w="1545" w:type="dxa"/>
            <w:vMerge w:val="continue"/>
            <w:vAlign w:val="center"/>
          </w:tcPr>
          <w:p w14:paraId="3082A4C1">
            <w:pPr>
              <w:spacing w:line="240" w:lineRule="exact"/>
              <w:jc w:val="left"/>
              <w:rPr>
                <w:rFonts w:ascii="宋体"/>
                <w:kern w:val="0"/>
              </w:rPr>
            </w:pPr>
          </w:p>
        </w:tc>
        <w:tc>
          <w:tcPr>
            <w:tcW w:w="1155" w:type="dxa"/>
            <w:vAlign w:val="center"/>
          </w:tcPr>
          <w:p w14:paraId="7584EDDC">
            <w:pPr>
              <w:spacing w:line="240" w:lineRule="exact"/>
              <w:jc w:val="center"/>
              <w:rPr>
                <w:rFonts w:ascii="宋体"/>
                <w:kern w:val="0"/>
              </w:rPr>
            </w:pPr>
            <w:r>
              <w:rPr>
                <w:rFonts w:hint="eastAsia" w:ascii="宋体"/>
                <w:kern w:val="0"/>
              </w:rPr>
              <w:t>情节严重</w:t>
            </w:r>
          </w:p>
        </w:tc>
        <w:tc>
          <w:tcPr>
            <w:tcW w:w="3720" w:type="dxa"/>
            <w:vAlign w:val="center"/>
          </w:tcPr>
          <w:p w14:paraId="52628D08">
            <w:pPr>
              <w:spacing w:line="240" w:lineRule="exact"/>
              <w:jc w:val="left"/>
              <w:rPr>
                <w:rFonts w:ascii="宋体"/>
                <w:kern w:val="0"/>
              </w:rPr>
            </w:pPr>
            <w:r>
              <w:rPr>
                <w:rFonts w:hint="eastAsia" w:ascii="宋体"/>
                <w:kern w:val="0"/>
              </w:rPr>
              <w:t>1.造成一般等级以上事故；</w:t>
            </w:r>
          </w:p>
          <w:p w14:paraId="648377C1">
            <w:pPr>
              <w:spacing w:line="240" w:lineRule="exact"/>
              <w:jc w:val="left"/>
              <w:rPr>
                <w:rFonts w:ascii="宋体"/>
                <w:kern w:val="0"/>
              </w:rPr>
            </w:pPr>
            <w:r>
              <w:rPr>
                <w:rFonts w:hint="eastAsia" w:ascii="宋体"/>
                <w:kern w:val="0"/>
              </w:rPr>
              <w:t>2.具有其他严重情节的。</w:t>
            </w:r>
          </w:p>
        </w:tc>
        <w:tc>
          <w:tcPr>
            <w:tcW w:w="11223" w:type="dxa"/>
            <w:tcBorders>
              <w:right w:val="single" w:color="auto" w:sz="4" w:space="0"/>
            </w:tcBorders>
            <w:vAlign w:val="center"/>
          </w:tcPr>
          <w:p w14:paraId="466AA1C8">
            <w:pPr>
              <w:spacing w:line="240" w:lineRule="exact"/>
              <w:jc w:val="center"/>
              <w:rPr>
                <w:rFonts w:ascii="宋体"/>
                <w:kern w:val="0"/>
              </w:rPr>
            </w:pPr>
            <w:r>
              <w:rPr>
                <w:rFonts w:hint="eastAsia" w:ascii="宋体"/>
                <w:kern w:val="0"/>
              </w:rPr>
              <w:t>1.5-2万元，并给予暂扣船员适任证书6个月以上2年以下直至吊销船员适任证书的处罚</w:t>
            </w:r>
          </w:p>
        </w:tc>
      </w:tr>
    </w:tbl>
    <w:p w14:paraId="1E005E6B">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61"/>
        <w:gridCol w:w="1230"/>
        <w:gridCol w:w="1650"/>
        <w:gridCol w:w="1650"/>
        <w:gridCol w:w="4545"/>
        <w:gridCol w:w="9708"/>
      </w:tblGrid>
      <w:tr w14:paraId="64E3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50" w:hRule="atLeast"/>
        </w:trPr>
        <w:tc>
          <w:tcPr>
            <w:tcW w:w="1261" w:type="dxa"/>
            <w:vMerge w:val="restart"/>
            <w:vAlign w:val="center"/>
          </w:tcPr>
          <w:p w14:paraId="19ABD387">
            <w:pPr>
              <w:spacing w:line="240" w:lineRule="exact"/>
              <w:jc w:val="center"/>
              <w:rPr>
                <w:rFonts w:ascii="宋体"/>
                <w:b/>
                <w:kern w:val="0"/>
              </w:rPr>
            </w:pPr>
            <w:r>
              <w:rPr>
                <w:rFonts w:hint="eastAsia" w:ascii="宋体"/>
                <w:b/>
                <w:kern w:val="0"/>
              </w:rPr>
              <w:t>案由105</w:t>
            </w:r>
          </w:p>
        </w:tc>
        <w:tc>
          <w:tcPr>
            <w:tcW w:w="2880" w:type="dxa"/>
            <w:gridSpan w:val="2"/>
            <w:vAlign w:val="center"/>
          </w:tcPr>
          <w:p w14:paraId="7B37551F">
            <w:pPr>
              <w:spacing w:line="240" w:lineRule="exact"/>
              <w:jc w:val="center"/>
              <w:rPr>
                <w:rFonts w:ascii="宋体"/>
                <w:b/>
                <w:kern w:val="0"/>
              </w:rPr>
            </w:pPr>
            <w:r>
              <w:rPr>
                <w:rFonts w:hint="eastAsia" w:ascii="宋体"/>
                <w:b/>
              </w:rPr>
              <w:t>法律依据</w:t>
            </w:r>
          </w:p>
        </w:tc>
        <w:tc>
          <w:tcPr>
            <w:tcW w:w="1650" w:type="dxa"/>
            <w:vMerge w:val="restart"/>
            <w:vAlign w:val="center"/>
          </w:tcPr>
          <w:p w14:paraId="1C99BA25">
            <w:pPr>
              <w:spacing w:line="240" w:lineRule="exact"/>
              <w:jc w:val="center"/>
              <w:rPr>
                <w:rFonts w:ascii="宋体"/>
                <w:b/>
                <w:kern w:val="0"/>
              </w:rPr>
            </w:pPr>
            <w:r>
              <w:rPr>
                <w:rFonts w:hint="eastAsia" w:ascii="宋体"/>
                <w:b/>
              </w:rPr>
              <w:t>违法情节</w:t>
            </w:r>
          </w:p>
        </w:tc>
        <w:tc>
          <w:tcPr>
            <w:tcW w:w="4545" w:type="dxa"/>
            <w:vMerge w:val="restart"/>
            <w:vAlign w:val="center"/>
          </w:tcPr>
          <w:p w14:paraId="55849095">
            <w:pPr>
              <w:spacing w:line="240" w:lineRule="exact"/>
              <w:jc w:val="center"/>
              <w:rPr>
                <w:rFonts w:ascii="宋体"/>
                <w:b/>
                <w:kern w:val="0"/>
              </w:rPr>
            </w:pPr>
            <w:r>
              <w:rPr>
                <w:rFonts w:hint="eastAsia" w:ascii="宋体"/>
                <w:b/>
              </w:rPr>
              <w:t>主要考虑因素（事实、性质、情节、危害程度和实际后果等）</w:t>
            </w:r>
          </w:p>
        </w:tc>
        <w:tc>
          <w:tcPr>
            <w:tcW w:w="9708" w:type="dxa"/>
            <w:vAlign w:val="center"/>
          </w:tcPr>
          <w:p w14:paraId="69D5D2DA">
            <w:pPr>
              <w:spacing w:line="240" w:lineRule="exact"/>
              <w:jc w:val="left"/>
              <w:rPr>
                <w:rFonts w:ascii="宋体"/>
                <w:b/>
                <w:kern w:val="0"/>
              </w:rPr>
            </w:pPr>
            <w:r>
              <w:rPr>
                <w:rFonts w:hint="eastAsia" w:ascii="宋体"/>
                <w:b/>
              </w:rPr>
              <w:t>【法定幅度和种类】</w:t>
            </w:r>
            <w:r>
              <w:rPr>
                <w:rFonts w:hint="eastAsia" w:ascii="宋体"/>
                <w:bCs/>
              </w:rPr>
              <w:t>责令改正，可以处1000元以下罚款。</w:t>
            </w:r>
          </w:p>
        </w:tc>
      </w:tr>
      <w:tr w14:paraId="3E59D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97" w:hRule="atLeast"/>
        </w:trPr>
        <w:tc>
          <w:tcPr>
            <w:tcW w:w="1261" w:type="dxa"/>
            <w:vMerge w:val="continue"/>
            <w:vAlign w:val="center"/>
          </w:tcPr>
          <w:p w14:paraId="22B6E11A">
            <w:pPr>
              <w:spacing w:line="240" w:lineRule="exact"/>
              <w:jc w:val="center"/>
              <w:rPr>
                <w:rFonts w:ascii="宋体"/>
                <w:b/>
                <w:kern w:val="0"/>
              </w:rPr>
            </w:pPr>
          </w:p>
        </w:tc>
        <w:tc>
          <w:tcPr>
            <w:tcW w:w="1230" w:type="dxa"/>
            <w:vAlign w:val="center"/>
          </w:tcPr>
          <w:p w14:paraId="03812096">
            <w:pPr>
              <w:spacing w:line="240" w:lineRule="exact"/>
              <w:jc w:val="center"/>
              <w:rPr>
                <w:rFonts w:ascii="宋体"/>
                <w:b/>
                <w:kern w:val="0"/>
              </w:rPr>
            </w:pPr>
            <w:r>
              <w:rPr>
                <w:rFonts w:hint="eastAsia" w:ascii="宋体"/>
                <w:b/>
              </w:rPr>
              <w:t>违反条款</w:t>
            </w:r>
          </w:p>
        </w:tc>
        <w:tc>
          <w:tcPr>
            <w:tcW w:w="1650" w:type="dxa"/>
            <w:vAlign w:val="center"/>
          </w:tcPr>
          <w:p w14:paraId="23CD6569">
            <w:pPr>
              <w:spacing w:line="240" w:lineRule="exact"/>
              <w:jc w:val="center"/>
              <w:rPr>
                <w:rFonts w:ascii="宋体"/>
                <w:b/>
                <w:kern w:val="0"/>
              </w:rPr>
            </w:pPr>
            <w:r>
              <w:rPr>
                <w:rFonts w:hint="eastAsia" w:ascii="宋体"/>
                <w:b/>
              </w:rPr>
              <w:t>处罚依据</w:t>
            </w:r>
          </w:p>
        </w:tc>
        <w:tc>
          <w:tcPr>
            <w:tcW w:w="1650" w:type="dxa"/>
            <w:vMerge w:val="continue"/>
            <w:vAlign w:val="center"/>
          </w:tcPr>
          <w:p w14:paraId="3D729B53">
            <w:pPr>
              <w:spacing w:line="240" w:lineRule="exact"/>
              <w:jc w:val="center"/>
              <w:rPr>
                <w:rFonts w:ascii="宋体"/>
                <w:b/>
                <w:kern w:val="0"/>
              </w:rPr>
            </w:pPr>
          </w:p>
        </w:tc>
        <w:tc>
          <w:tcPr>
            <w:tcW w:w="4545" w:type="dxa"/>
            <w:vMerge w:val="continue"/>
            <w:vAlign w:val="center"/>
          </w:tcPr>
          <w:p w14:paraId="20B59AC8">
            <w:pPr>
              <w:spacing w:line="240" w:lineRule="exact"/>
              <w:jc w:val="center"/>
              <w:rPr>
                <w:rFonts w:ascii="宋体"/>
                <w:b/>
                <w:kern w:val="0"/>
              </w:rPr>
            </w:pPr>
          </w:p>
        </w:tc>
        <w:tc>
          <w:tcPr>
            <w:tcW w:w="9708" w:type="dxa"/>
            <w:tcBorders>
              <w:top w:val="single" w:color="auto" w:sz="4" w:space="0"/>
              <w:right w:val="single" w:color="auto" w:sz="4" w:space="0"/>
            </w:tcBorders>
            <w:vAlign w:val="center"/>
          </w:tcPr>
          <w:p w14:paraId="02AF8A3E">
            <w:pPr>
              <w:spacing w:line="240" w:lineRule="exact"/>
              <w:jc w:val="center"/>
              <w:rPr>
                <w:rFonts w:ascii="宋体"/>
                <w:b/>
                <w:kern w:val="0"/>
              </w:rPr>
            </w:pPr>
            <w:r>
              <w:rPr>
                <w:rFonts w:hint="eastAsia" w:ascii="宋体"/>
                <w:b/>
              </w:rPr>
              <w:t>【对象】持证人</w:t>
            </w:r>
          </w:p>
        </w:tc>
      </w:tr>
      <w:tr w14:paraId="74312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61" w:type="dxa"/>
            <w:vMerge w:val="restart"/>
            <w:vAlign w:val="center"/>
          </w:tcPr>
          <w:p w14:paraId="189DE4CD">
            <w:pPr>
              <w:spacing w:line="240" w:lineRule="exact"/>
              <w:jc w:val="left"/>
              <w:rPr>
                <w:rFonts w:ascii="宋体"/>
                <w:kern w:val="0"/>
              </w:rPr>
            </w:pPr>
            <w:r>
              <w:rPr>
                <w:rFonts w:hint="eastAsia" w:ascii="宋体"/>
                <w:kern w:val="0"/>
              </w:rPr>
              <w:t>船员服务簿记载的事项发生变更，船员未办理变更手续</w:t>
            </w:r>
          </w:p>
        </w:tc>
        <w:tc>
          <w:tcPr>
            <w:tcW w:w="1230" w:type="dxa"/>
            <w:vMerge w:val="restart"/>
            <w:vAlign w:val="center"/>
          </w:tcPr>
          <w:p w14:paraId="4E2DF028">
            <w:pPr>
              <w:spacing w:line="240" w:lineRule="exact"/>
              <w:jc w:val="left"/>
              <w:rPr>
                <w:rFonts w:ascii="宋体"/>
                <w:kern w:val="0"/>
              </w:rPr>
            </w:pPr>
            <w:r>
              <w:rPr>
                <w:rFonts w:hint="eastAsia" w:ascii="宋体"/>
                <w:kern w:val="0"/>
              </w:rPr>
              <w:t>1.《中华人民共和国船员条例》第七条第四款。</w:t>
            </w:r>
          </w:p>
        </w:tc>
        <w:tc>
          <w:tcPr>
            <w:tcW w:w="1650" w:type="dxa"/>
            <w:vMerge w:val="restart"/>
            <w:vAlign w:val="center"/>
          </w:tcPr>
          <w:p w14:paraId="3778CC7C">
            <w:pPr>
              <w:spacing w:line="240" w:lineRule="exact"/>
              <w:jc w:val="left"/>
              <w:rPr>
                <w:rFonts w:ascii="宋体"/>
                <w:kern w:val="0"/>
              </w:rPr>
            </w:pPr>
            <w:r>
              <w:rPr>
                <w:rFonts w:hint="eastAsia" w:ascii="宋体"/>
                <w:kern w:val="0"/>
              </w:rPr>
              <w:t>1. 《中华人民共和国船员条例》第五十条；</w:t>
            </w:r>
          </w:p>
          <w:p w14:paraId="4FAB4205">
            <w:pPr>
              <w:spacing w:line="240" w:lineRule="exact"/>
              <w:jc w:val="left"/>
              <w:rPr>
                <w:rFonts w:ascii="宋体"/>
                <w:kern w:val="0"/>
              </w:rPr>
            </w:pPr>
            <w:r>
              <w:rPr>
                <w:rFonts w:hint="eastAsia" w:ascii="宋体"/>
                <w:kern w:val="0"/>
              </w:rPr>
              <w:t>2. 《中华人民共和国海上海事行政处罚规定》第七条</w:t>
            </w:r>
          </w:p>
        </w:tc>
        <w:tc>
          <w:tcPr>
            <w:tcW w:w="1650" w:type="dxa"/>
            <w:vAlign w:val="center"/>
          </w:tcPr>
          <w:p w14:paraId="111D610F">
            <w:pPr>
              <w:spacing w:line="240" w:lineRule="exact"/>
              <w:jc w:val="center"/>
              <w:rPr>
                <w:rFonts w:ascii="宋体"/>
                <w:kern w:val="0"/>
              </w:rPr>
            </w:pPr>
            <w:r>
              <w:rPr>
                <w:rFonts w:hint="eastAsia" w:ascii="宋体"/>
                <w:kern w:val="0"/>
              </w:rPr>
              <w:t>从轻</w:t>
            </w:r>
          </w:p>
        </w:tc>
        <w:tc>
          <w:tcPr>
            <w:tcW w:w="4545" w:type="dxa"/>
            <w:vAlign w:val="center"/>
          </w:tcPr>
          <w:p w14:paraId="6AAAE23C">
            <w:pPr>
              <w:spacing w:line="240" w:lineRule="exact"/>
              <w:jc w:val="left"/>
              <w:rPr>
                <w:rFonts w:ascii="宋体"/>
                <w:kern w:val="0"/>
              </w:rPr>
            </w:pPr>
            <w:r>
              <w:rPr>
                <w:rFonts w:hint="eastAsia" w:ascii="宋体"/>
                <w:kern w:val="0"/>
              </w:rPr>
              <w:t>具有法定从轻处罚情节的</w:t>
            </w:r>
          </w:p>
        </w:tc>
        <w:tc>
          <w:tcPr>
            <w:tcW w:w="9708" w:type="dxa"/>
            <w:tcBorders>
              <w:right w:val="single" w:color="auto" w:sz="4" w:space="0"/>
            </w:tcBorders>
            <w:vAlign w:val="center"/>
          </w:tcPr>
          <w:p w14:paraId="5AE318E4">
            <w:pPr>
              <w:spacing w:line="240" w:lineRule="exact"/>
              <w:jc w:val="left"/>
              <w:rPr>
                <w:rFonts w:ascii="宋体"/>
                <w:kern w:val="0"/>
              </w:rPr>
            </w:pPr>
            <w:r>
              <w:rPr>
                <w:rFonts w:hint="eastAsia" w:ascii="宋体"/>
                <w:kern w:val="0"/>
              </w:rPr>
              <w:t>责令改正，不予处罚</w:t>
            </w:r>
          </w:p>
        </w:tc>
      </w:tr>
      <w:tr w14:paraId="1115D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8" w:hRule="atLeast"/>
        </w:trPr>
        <w:tc>
          <w:tcPr>
            <w:tcW w:w="1261" w:type="dxa"/>
            <w:vMerge w:val="continue"/>
            <w:vAlign w:val="center"/>
          </w:tcPr>
          <w:p w14:paraId="388FD959">
            <w:pPr>
              <w:spacing w:line="240" w:lineRule="exact"/>
              <w:jc w:val="left"/>
              <w:rPr>
                <w:rFonts w:ascii="宋体"/>
                <w:kern w:val="0"/>
              </w:rPr>
            </w:pPr>
          </w:p>
        </w:tc>
        <w:tc>
          <w:tcPr>
            <w:tcW w:w="1230" w:type="dxa"/>
            <w:vMerge w:val="continue"/>
            <w:vAlign w:val="center"/>
          </w:tcPr>
          <w:p w14:paraId="0056AF01">
            <w:pPr>
              <w:spacing w:line="240" w:lineRule="exact"/>
              <w:jc w:val="left"/>
              <w:rPr>
                <w:rFonts w:ascii="宋体"/>
                <w:kern w:val="0"/>
              </w:rPr>
            </w:pPr>
          </w:p>
        </w:tc>
        <w:tc>
          <w:tcPr>
            <w:tcW w:w="1650" w:type="dxa"/>
            <w:vMerge w:val="continue"/>
            <w:vAlign w:val="center"/>
          </w:tcPr>
          <w:p w14:paraId="6724346E">
            <w:pPr>
              <w:spacing w:line="240" w:lineRule="exact"/>
              <w:jc w:val="left"/>
              <w:rPr>
                <w:rFonts w:ascii="宋体"/>
                <w:kern w:val="0"/>
              </w:rPr>
            </w:pPr>
          </w:p>
        </w:tc>
        <w:tc>
          <w:tcPr>
            <w:tcW w:w="1650" w:type="dxa"/>
            <w:vMerge w:val="restart"/>
            <w:vAlign w:val="center"/>
          </w:tcPr>
          <w:p w14:paraId="225A97D8">
            <w:pPr>
              <w:spacing w:line="240" w:lineRule="exact"/>
              <w:jc w:val="center"/>
              <w:rPr>
                <w:rFonts w:ascii="宋体"/>
                <w:kern w:val="0"/>
              </w:rPr>
            </w:pPr>
            <w:r>
              <w:rPr>
                <w:rFonts w:hint="eastAsia" w:ascii="宋体"/>
                <w:kern w:val="0"/>
              </w:rPr>
              <w:t>一般</w:t>
            </w:r>
          </w:p>
        </w:tc>
        <w:tc>
          <w:tcPr>
            <w:tcW w:w="4545" w:type="dxa"/>
            <w:vAlign w:val="center"/>
          </w:tcPr>
          <w:p w14:paraId="2F3BF6A9">
            <w:pPr>
              <w:spacing w:line="240" w:lineRule="exact"/>
              <w:jc w:val="left"/>
              <w:rPr>
                <w:rFonts w:ascii="宋体"/>
                <w:kern w:val="0"/>
              </w:rPr>
            </w:pPr>
            <w:r>
              <w:rPr>
                <w:rFonts w:hint="eastAsia" w:ascii="宋体"/>
                <w:kern w:val="0"/>
              </w:rPr>
              <w:t>无法定从轻处罚情节的</w:t>
            </w:r>
          </w:p>
        </w:tc>
        <w:tc>
          <w:tcPr>
            <w:tcW w:w="9708" w:type="dxa"/>
            <w:tcBorders>
              <w:right w:val="single" w:color="auto" w:sz="4" w:space="0"/>
            </w:tcBorders>
            <w:vAlign w:val="center"/>
          </w:tcPr>
          <w:p w14:paraId="5A588FBE">
            <w:pPr>
              <w:spacing w:line="240" w:lineRule="exact"/>
              <w:jc w:val="left"/>
              <w:rPr>
                <w:rFonts w:ascii="宋体"/>
                <w:kern w:val="0"/>
              </w:rPr>
            </w:pPr>
            <w:r>
              <w:rPr>
                <w:rFonts w:hint="eastAsia" w:ascii="宋体"/>
                <w:kern w:val="0"/>
              </w:rPr>
              <w:t>500元</w:t>
            </w:r>
          </w:p>
        </w:tc>
      </w:tr>
      <w:tr w14:paraId="30E6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78" w:hRule="atLeast"/>
        </w:trPr>
        <w:tc>
          <w:tcPr>
            <w:tcW w:w="1261" w:type="dxa"/>
            <w:vMerge w:val="continue"/>
            <w:vAlign w:val="center"/>
          </w:tcPr>
          <w:p w14:paraId="6B47C2DA">
            <w:pPr>
              <w:spacing w:line="240" w:lineRule="exact"/>
              <w:jc w:val="left"/>
              <w:rPr>
                <w:rFonts w:ascii="宋体"/>
                <w:kern w:val="0"/>
              </w:rPr>
            </w:pPr>
          </w:p>
        </w:tc>
        <w:tc>
          <w:tcPr>
            <w:tcW w:w="1230" w:type="dxa"/>
            <w:vMerge w:val="continue"/>
            <w:vAlign w:val="center"/>
          </w:tcPr>
          <w:p w14:paraId="342103F0">
            <w:pPr>
              <w:spacing w:line="240" w:lineRule="exact"/>
              <w:jc w:val="left"/>
              <w:rPr>
                <w:rFonts w:ascii="宋体"/>
                <w:kern w:val="0"/>
              </w:rPr>
            </w:pPr>
          </w:p>
        </w:tc>
        <w:tc>
          <w:tcPr>
            <w:tcW w:w="1650" w:type="dxa"/>
            <w:vMerge w:val="continue"/>
            <w:vAlign w:val="center"/>
          </w:tcPr>
          <w:p w14:paraId="1B249E3A">
            <w:pPr>
              <w:spacing w:line="240" w:lineRule="exact"/>
              <w:jc w:val="left"/>
              <w:rPr>
                <w:rFonts w:ascii="宋体"/>
                <w:kern w:val="0"/>
              </w:rPr>
            </w:pPr>
          </w:p>
        </w:tc>
        <w:tc>
          <w:tcPr>
            <w:tcW w:w="1650" w:type="dxa"/>
            <w:vMerge w:val="continue"/>
            <w:vAlign w:val="center"/>
          </w:tcPr>
          <w:p w14:paraId="08E918F3">
            <w:pPr>
              <w:spacing w:line="240" w:lineRule="exact"/>
              <w:jc w:val="center"/>
              <w:rPr>
                <w:rFonts w:ascii="宋体"/>
                <w:kern w:val="0"/>
              </w:rPr>
            </w:pPr>
          </w:p>
        </w:tc>
        <w:tc>
          <w:tcPr>
            <w:tcW w:w="4545" w:type="dxa"/>
            <w:vAlign w:val="center"/>
          </w:tcPr>
          <w:p w14:paraId="68C34FA4">
            <w:pPr>
              <w:spacing w:line="240" w:lineRule="exact"/>
              <w:jc w:val="left"/>
              <w:rPr>
                <w:rFonts w:ascii="宋体"/>
                <w:kern w:val="0"/>
              </w:rPr>
            </w:pPr>
            <w:r>
              <w:rPr>
                <w:rFonts w:hint="eastAsia" w:ascii="宋体"/>
                <w:kern w:val="0"/>
              </w:rPr>
              <w:t>具有其他较重情节的</w:t>
            </w:r>
          </w:p>
        </w:tc>
        <w:tc>
          <w:tcPr>
            <w:tcW w:w="9708" w:type="dxa"/>
            <w:tcBorders>
              <w:right w:val="single" w:color="auto" w:sz="4" w:space="0"/>
            </w:tcBorders>
            <w:vAlign w:val="center"/>
          </w:tcPr>
          <w:p w14:paraId="56E6ACE3">
            <w:pPr>
              <w:spacing w:line="240" w:lineRule="exact"/>
              <w:jc w:val="left"/>
              <w:rPr>
                <w:rFonts w:ascii="宋体"/>
                <w:kern w:val="0"/>
              </w:rPr>
            </w:pPr>
            <w:r>
              <w:rPr>
                <w:rFonts w:hint="eastAsia" w:ascii="宋体"/>
                <w:kern w:val="0"/>
              </w:rPr>
              <w:t>1000元</w:t>
            </w:r>
          </w:p>
        </w:tc>
      </w:tr>
    </w:tbl>
    <w:p w14:paraId="023CDBF3">
      <w:pPr>
        <w:spacing w:line="240" w:lineRule="exact"/>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31"/>
        <w:gridCol w:w="1350"/>
        <w:gridCol w:w="1680"/>
        <w:gridCol w:w="1410"/>
        <w:gridCol w:w="4080"/>
        <w:gridCol w:w="10293"/>
      </w:tblGrid>
      <w:tr w14:paraId="1DD79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50" w:hRule="atLeast"/>
        </w:trPr>
        <w:tc>
          <w:tcPr>
            <w:tcW w:w="1231" w:type="dxa"/>
            <w:vMerge w:val="restart"/>
            <w:vAlign w:val="center"/>
          </w:tcPr>
          <w:p w14:paraId="6D317509">
            <w:pPr>
              <w:spacing w:line="240" w:lineRule="exact"/>
              <w:jc w:val="center"/>
              <w:rPr>
                <w:rFonts w:ascii="宋体"/>
                <w:b/>
                <w:kern w:val="0"/>
              </w:rPr>
            </w:pPr>
            <w:r>
              <w:rPr>
                <w:rFonts w:hint="eastAsia" w:ascii="宋体"/>
                <w:b/>
                <w:kern w:val="0"/>
              </w:rPr>
              <w:t>案由106</w:t>
            </w:r>
          </w:p>
        </w:tc>
        <w:tc>
          <w:tcPr>
            <w:tcW w:w="3030" w:type="dxa"/>
            <w:gridSpan w:val="2"/>
            <w:vAlign w:val="center"/>
          </w:tcPr>
          <w:p w14:paraId="562E8F7B">
            <w:pPr>
              <w:spacing w:line="240" w:lineRule="exact"/>
              <w:jc w:val="center"/>
              <w:rPr>
                <w:rFonts w:ascii="宋体"/>
                <w:b/>
                <w:kern w:val="0"/>
              </w:rPr>
            </w:pPr>
            <w:r>
              <w:rPr>
                <w:rFonts w:hint="eastAsia" w:ascii="宋体"/>
                <w:b/>
              </w:rPr>
              <w:t>法律依据</w:t>
            </w:r>
          </w:p>
        </w:tc>
        <w:tc>
          <w:tcPr>
            <w:tcW w:w="1410" w:type="dxa"/>
            <w:vMerge w:val="restart"/>
            <w:vAlign w:val="center"/>
          </w:tcPr>
          <w:p w14:paraId="43EA5BDE">
            <w:pPr>
              <w:spacing w:line="240" w:lineRule="exact"/>
              <w:jc w:val="center"/>
              <w:rPr>
                <w:rFonts w:ascii="宋体"/>
                <w:b/>
                <w:kern w:val="0"/>
              </w:rPr>
            </w:pPr>
            <w:r>
              <w:rPr>
                <w:rFonts w:hint="eastAsia" w:ascii="宋体"/>
                <w:b/>
              </w:rPr>
              <w:t>违法情节</w:t>
            </w:r>
          </w:p>
        </w:tc>
        <w:tc>
          <w:tcPr>
            <w:tcW w:w="4080" w:type="dxa"/>
            <w:vMerge w:val="restart"/>
            <w:vAlign w:val="center"/>
          </w:tcPr>
          <w:p w14:paraId="0FC0B0D8">
            <w:pPr>
              <w:spacing w:line="240" w:lineRule="exact"/>
              <w:jc w:val="center"/>
              <w:rPr>
                <w:rFonts w:ascii="宋体"/>
                <w:b/>
                <w:kern w:val="0"/>
              </w:rPr>
            </w:pPr>
            <w:r>
              <w:rPr>
                <w:rFonts w:hint="eastAsia" w:ascii="宋体"/>
                <w:b/>
              </w:rPr>
              <w:t>主要考虑因素（事实、性质、情节、危害程度和实际后果等）</w:t>
            </w:r>
          </w:p>
        </w:tc>
        <w:tc>
          <w:tcPr>
            <w:tcW w:w="10293" w:type="dxa"/>
            <w:vAlign w:val="center"/>
          </w:tcPr>
          <w:p w14:paraId="23483A34">
            <w:pPr>
              <w:spacing w:line="240" w:lineRule="exact"/>
              <w:jc w:val="left"/>
              <w:rPr>
                <w:rFonts w:ascii="宋体"/>
                <w:b/>
                <w:kern w:val="0"/>
              </w:rPr>
            </w:pPr>
            <w:r>
              <w:rPr>
                <w:rFonts w:hint="eastAsia" w:ascii="宋体"/>
                <w:b/>
              </w:rPr>
              <w:t>【法定幅度和种类】由海事管理机构处2000元以上2万元以下罚款；情节严重的，并给予暂扣</w:t>
            </w:r>
            <w:r>
              <w:fldChar w:fldCharType="begin"/>
            </w:r>
            <w:r>
              <w:instrText xml:space="preserve"> HYPERLINK "https://baike.baidu.com/item/%E8%88%B9%E5%91%98%E9%80%82%E4%BB%BB%E8%AF%81%E4%B9%A6/2873905" \t "https://baike.baidu.com/item/%E4%B8%AD%E5%8D%8E%E4%BA%BA%E6%B0%91%E5%85%B1%E5%92%8C%E5%9B%BD%E8%88%B9%E5%91%98%E6%9D%A1%E4%BE%8B/_blank" </w:instrText>
            </w:r>
            <w:r>
              <w:fldChar w:fldCharType="separate"/>
            </w:r>
            <w:r>
              <w:rPr>
                <w:rFonts w:hint="eastAsia" w:ascii="宋体"/>
                <w:b/>
              </w:rPr>
              <w:t>船员适任证书</w:t>
            </w:r>
            <w:r>
              <w:rPr>
                <w:rFonts w:hint="eastAsia" w:ascii="宋体"/>
                <w:b/>
              </w:rPr>
              <w:fldChar w:fldCharType="end"/>
            </w:r>
            <w:r>
              <w:rPr>
                <w:rFonts w:hint="eastAsia" w:ascii="宋体"/>
                <w:b/>
              </w:rPr>
              <w:t>6个月以上2年以下直至吊销船员适任证书的处罚。</w:t>
            </w:r>
          </w:p>
        </w:tc>
      </w:tr>
      <w:tr w14:paraId="01966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35" w:hRule="atLeast"/>
        </w:trPr>
        <w:tc>
          <w:tcPr>
            <w:tcW w:w="1231" w:type="dxa"/>
            <w:vMerge w:val="continue"/>
            <w:vAlign w:val="center"/>
          </w:tcPr>
          <w:p w14:paraId="1E140610">
            <w:pPr>
              <w:spacing w:line="240" w:lineRule="exact"/>
              <w:jc w:val="center"/>
              <w:rPr>
                <w:rFonts w:ascii="宋体"/>
                <w:b/>
                <w:kern w:val="0"/>
              </w:rPr>
            </w:pPr>
          </w:p>
        </w:tc>
        <w:tc>
          <w:tcPr>
            <w:tcW w:w="1350" w:type="dxa"/>
            <w:vAlign w:val="center"/>
          </w:tcPr>
          <w:p w14:paraId="1BADC81D">
            <w:pPr>
              <w:spacing w:line="240" w:lineRule="exact"/>
              <w:jc w:val="center"/>
              <w:rPr>
                <w:rFonts w:ascii="宋体"/>
                <w:b/>
                <w:kern w:val="0"/>
              </w:rPr>
            </w:pPr>
            <w:r>
              <w:rPr>
                <w:rFonts w:hint="eastAsia" w:ascii="宋体"/>
                <w:b/>
              </w:rPr>
              <w:t>违反条款</w:t>
            </w:r>
          </w:p>
        </w:tc>
        <w:tc>
          <w:tcPr>
            <w:tcW w:w="1680" w:type="dxa"/>
            <w:vAlign w:val="center"/>
          </w:tcPr>
          <w:p w14:paraId="5939AA76">
            <w:pPr>
              <w:spacing w:line="240" w:lineRule="exact"/>
              <w:jc w:val="center"/>
              <w:rPr>
                <w:rFonts w:ascii="宋体"/>
                <w:b/>
                <w:kern w:val="0"/>
              </w:rPr>
            </w:pPr>
            <w:r>
              <w:rPr>
                <w:rFonts w:hint="eastAsia" w:ascii="宋体"/>
                <w:b/>
              </w:rPr>
              <w:t>处罚依据</w:t>
            </w:r>
          </w:p>
        </w:tc>
        <w:tc>
          <w:tcPr>
            <w:tcW w:w="1410" w:type="dxa"/>
            <w:vMerge w:val="continue"/>
            <w:vAlign w:val="center"/>
          </w:tcPr>
          <w:p w14:paraId="5333B519">
            <w:pPr>
              <w:spacing w:line="240" w:lineRule="exact"/>
              <w:jc w:val="center"/>
              <w:rPr>
                <w:rFonts w:ascii="宋体"/>
                <w:b/>
                <w:kern w:val="0"/>
              </w:rPr>
            </w:pPr>
          </w:p>
        </w:tc>
        <w:tc>
          <w:tcPr>
            <w:tcW w:w="4080" w:type="dxa"/>
            <w:vMerge w:val="continue"/>
            <w:vAlign w:val="center"/>
          </w:tcPr>
          <w:p w14:paraId="471D0FF3">
            <w:pPr>
              <w:spacing w:line="240" w:lineRule="exact"/>
              <w:jc w:val="center"/>
              <w:rPr>
                <w:rFonts w:ascii="宋体"/>
                <w:b/>
                <w:kern w:val="0"/>
              </w:rPr>
            </w:pPr>
          </w:p>
        </w:tc>
        <w:tc>
          <w:tcPr>
            <w:tcW w:w="10293" w:type="dxa"/>
            <w:tcBorders>
              <w:top w:val="single" w:color="auto" w:sz="4" w:space="0"/>
              <w:right w:val="single" w:color="auto" w:sz="4" w:space="0"/>
            </w:tcBorders>
            <w:vAlign w:val="center"/>
          </w:tcPr>
          <w:p w14:paraId="6A0E7133">
            <w:pPr>
              <w:spacing w:line="240" w:lineRule="exact"/>
              <w:jc w:val="center"/>
              <w:rPr>
                <w:rFonts w:ascii="宋体"/>
                <w:b/>
                <w:kern w:val="0"/>
              </w:rPr>
            </w:pPr>
            <w:r>
              <w:rPr>
                <w:rFonts w:hint="eastAsia" w:ascii="宋体"/>
                <w:b/>
              </w:rPr>
              <w:t>【对象】船长</w:t>
            </w:r>
          </w:p>
        </w:tc>
      </w:tr>
      <w:tr w14:paraId="792D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231" w:type="dxa"/>
            <w:vMerge w:val="restart"/>
            <w:vAlign w:val="center"/>
          </w:tcPr>
          <w:p w14:paraId="2BA30B25">
            <w:pPr>
              <w:spacing w:line="240" w:lineRule="exact"/>
              <w:jc w:val="left"/>
              <w:rPr>
                <w:rFonts w:ascii="宋体"/>
                <w:kern w:val="0"/>
              </w:rPr>
            </w:pPr>
            <w:r>
              <w:rPr>
                <w:rFonts w:hint="eastAsia" w:ascii="宋体"/>
                <w:kern w:val="0"/>
              </w:rPr>
              <w:t>船长未在船员服务簿内如实记载船员的履职情况的</w:t>
            </w:r>
          </w:p>
        </w:tc>
        <w:tc>
          <w:tcPr>
            <w:tcW w:w="1350" w:type="dxa"/>
            <w:vMerge w:val="restart"/>
            <w:vAlign w:val="center"/>
          </w:tcPr>
          <w:p w14:paraId="09C1F4DB">
            <w:pPr>
              <w:widowControl/>
              <w:spacing w:line="240" w:lineRule="exact"/>
              <w:jc w:val="left"/>
              <w:rPr>
                <w:rFonts w:ascii="宋体"/>
                <w:kern w:val="0"/>
              </w:rPr>
            </w:pPr>
            <w:r>
              <w:rPr>
                <w:rFonts w:hint="eastAsia" w:ascii="宋体"/>
                <w:kern w:val="0"/>
              </w:rPr>
              <w:t>1.《中华人民共和国船员条例》第十八条第（五）项。</w:t>
            </w:r>
          </w:p>
        </w:tc>
        <w:tc>
          <w:tcPr>
            <w:tcW w:w="1680" w:type="dxa"/>
            <w:vMerge w:val="restart"/>
            <w:vAlign w:val="center"/>
          </w:tcPr>
          <w:p w14:paraId="7836B539">
            <w:pPr>
              <w:widowControl/>
              <w:spacing w:line="240" w:lineRule="exact"/>
              <w:jc w:val="left"/>
              <w:rPr>
                <w:rFonts w:ascii="宋体"/>
                <w:kern w:val="0"/>
              </w:rPr>
            </w:pPr>
            <w:r>
              <w:rPr>
                <w:rFonts w:hint="eastAsia" w:ascii="宋体"/>
                <w:kern w:val="0"/>
              </w:rPr>
              <w:t>1.《中华人民共和国船员条例》第五十三条第（三）项；</w:t>
            </w:r>
          </w:p>
          <w:p w14:paraId="67F3102B">
            <w:pPr>
              <w:spacing w:line="240" w:lineRule="exact"/>
              <w:jc w:val="left"/>
              <w:rPr>
                <w:rFonts w:ascii="宋体"/>
                <w:kern w:val="0"/>
              </w:rPr>
            </w:pPr>
            <w:r>
              <w:rPr>
                <w:rFonts w:hint="eastAsia" w:ascii="宋体"/>
                <w:kern w:val="0"/>
              </w:rPr>
              <w:t>2.《中华人民共和国海上海事行政处罚规定》第七条。</w:t>
            </w:r>
          </w:p>
        </w:tc>
        <w:tc>
          <w:tcPr>
            <w:tcW w:w="1410" w:type="dxa"/>
            <w:vAlign w:val="center"/>
          </w:tcPr>
          <w:p w14:paraId="64882207">
            <w:pPr>
              <w:spacing w:line="240" w:lineRule="exact"/>
              <w:jc w:val="center"/>
              <w:rPr>
                <w:rFonts w:ascii="宋体"/>
                <w:kern w:val="0"/>
              </w:rPr>
            </w:pPr>
            <w:r>
              <w:rPr>
                <w:rFonts w:hint="eastAsia" w:ascii="宋体"/>
              </w:rPr>
              <w:t>从轻</w:t>
            </w:r>
          </w:p>
        </w:tc>
        <w:tc>
          <w:tcPr>
            <w:tcW w:w="4080" w:type="dxa"/>
            <w:vAlign w:val="center"/>
          </w:tcPr>
          <w:p w14:paraId="73ACFF16">
            <w:pPr>
              <w:widowControl/>
              <w:spacing w:line="240" w:lineRule="exact"/>
              <w:jc w:val="left"/>
              <w:rPr>
                <w:rFonts w:ascii="宋体"/>
                <w:kern w:val="0"/>
              </w:rPr>
            </w:pPr>
            <w:r>
              <w:rPr>
                <w:rFonts w:hint="eastAsia" w:ascii="宋体"/>
                <w:kern w:val="0"/>
              </w:rPr>
              <w:t>具有法定从轻处罚情节的</w:t>
            </w:r>
          </w:p>
        </w:tc>
        <w:tc>
          <w:tcPr>
            <w:tcW w:w="10293" w:type="dxa"/>
            <w:tcBorders>
              <w:right w:val="single" w:color="auto" w:sz="4" w:space="0"/>
            </w:tcBorders>
            <w:vAlign w:val="center"/>
          </w:tcPr>
          <w:p w14:paraId="23E094A8">
            <w:pPr>
              <w:widowControl/>
              <w:spacing w:line="240" w:lineRule="exact"/>
              <w:jc w:val="center"/>
              <w:rPr>
                <w:rFonts w:ascii="宋体"/>
                <w:kern w:val="0"/>
              </w:rPr>
            </w:pPr>
            <w:r>
              <w:rPr>
                <w:rFonts w:hint="eastAsia" w:ascii="宋体"/>
                <w:kern w:val="0"/>
              </w:rPr>
              <w:t>2000-5000元</w:t>
            </w:r>
          </w:p>
        </w:tc>
      </w:tr>
      <w:tr w14:paraId="0BA9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4" w:hRule="atLeast"/>
        </w:trPr>
        <w:tc>
          <w:tcPr>
            <w:tcW w:w="1231" w:type="dxa"/>
            <w:vMerge w:val="continue"/>
            <w:vAlign w:val="center"/>
          </w:tcPr>
          <w:p w14:paraId="762AD555">
            <w:pPr>
              <w:spacing w:line="240" w:lineRule="exact"/>
              <w:jc w:val="left"/>
              <w:rPr>
                <w:rFonts w:ascii="宋体"/>
                <w:kern w:val="0"/>
              </w:rPr>
            </w:pPr>
          </w:p>
        </w:tc>
        <w:tc>
          <w:tcPr>
            <w:tcW w:w="1350" w:type="dxa"/>
            <w:vMerge w:val="continue"/>
            <w:vAlign w:val="center"/>
          </w:tcPr>
          <w:p w14:paraId="4177F83E">
            <w:pPr>
              <w:widowControl/>
              <w:spacing w:line="240" w:lineRule="exact"/>
              <w:jc w:val="left"/>
              <w:rPr>
                <w:rFonts w:ascii="宋体"/>
                <w:kern w:val="0"/>
              </w:rPr>
            </w:pPr>
          </w:p>
        </w:tc>
        <w:tc>
          <w:tcPr>
            <w:tcW w:w="1680" w:type="dxa"/>
            <w:vMerge w:val="continue"/>
            <w:vAlign w:val="center"/>
          </w:tcPr>
          <w:p w14:paraId="43BBB42A">
            <w:pPr>
              <w:spacing w:line="240" w:lineRule="exact"/>
              <w:jc w:val="left"/>
              <w:rPr>
                <w:rFonts w:ascii="宋体"/>
                <w:kern w:val="0"/>
              </w:rPr>
            </w:pPr>
          </w:p>
        </w:tc>
        <w:tc>
          <w:tcPr>
            <w:tcW w:w="1410" w:type="dxa"/>
            <w:vMerge w:val="restart"/>
            <w:vAlign w:val="center"/>
          </w:tcPr>
          <w:p w14:paraId="398666CC">
            <w:pPr>
              <w:spacing w:line="240" w:lineRule="exact"/>
              <w:jc w:val="center"/>
              <w:rPr>
                <w:rFonts w:ascii="宋体"/>
                <w:kern w:val="0"/>
              </w:rPr>
            </w:pPr>
            <w:r>
              <w:rPr>
                <w:rFonts w:hint="eastAsia" w:ascii="宋体"/>
              </w:rPr>
              <w:t>一般</w:t>
            </w:r>
          </w:p>
        </w:tc>
        <w:tc>
          <w:tcPr>
            <w:tcW w:w="4080" w:type="dxa"/>
            <w:vAlign w:val="center"/>
          </w:tcPr>
          <w:p w14:paraId="021847CD">
            <w:pPr>
              <w:widowControl/>
              <w:spacing w:line="240" w:lineRule="exact"/>
              <w:jc w:val="left"/>
              <w:rPr>
                <w:rFonts w:ascii="宋体"/>
                <w:kern w:val="0"/>
              </w:rPr>
            </w:pPr>
            <w:r>
              <w:rPr>
                <w:rFonts w:hint="eastAsia" w:ascii="宋体"/>
                <w:kern w:val="0"/>
              </w:rPr>
              <w:t>未如实记载的</w:t>
            </w:r>
          </w:p>
        </w:tc>
        <w:tc>
          <w:tcPr>
            <w:tcW w:w="10293" w:type="dxa"/>
            <w:tcBorders>
              <w:right w:val="single" w:color="auto" w:sz="4" w:space="0"/>
            </w:tcBorders>
            <w:vAlign w:val="center"/>
          </w:tcPr>
          <w:p w14:paraId="216C56FB">
            <w:pPr>
              <w:widowControl/>
              <w:spacing w:line="240" w:lineRule="exact"/>
              <w:jc w:val="center"/>
              <w:rPr>
                <w:rFonts w:ascii="宋体"/>
                <w:kern w:val="0"/>
              </w:rPr>
            </w:pPr>
            <w:r>
              <w:rPr>
                <w:rFonts w:hint="eastAsia" w:ascii="宋体"/>
                <w:kern w:val="0"/>
              </w:rPr>
              <w:t>5000元，每增加1名船员，加罚1000元</w:t>
            </w:r>
          </w:p>
        </w:tc>
      </w:tr>
      <w:tr w14:paraId="0FCB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2" w:hRule="atLeast"/>
        </w:trPr>
        <w:tc>
          <w:tcPr>
            <w:tcW w:w="1231" w:type="dxa"/>
            <w:vMerge w:val="continue"/>
            <w:vAlign w:val="center"/>
          </w:tcPr>
          <w:p w14:paraId="7081033F">
            <w:pPr>
              <w:spacing w:line="240" w:lineRule="exact"/>
              <w:jc w:val="left"/>
              <w:rPr>
                <w:rFonts w:ascii="宋体"/>
                <w:kern w:val="0"/>
              </w:rPr>
            </w:pPr>
          </w:p>
        </w:tc>
        <w:tc>
          <w:tcPr>
            <w:tcW w:w="1350" w:type="dxa"/>
            <w:vMerge w:val="continue"/>
            <w:vAlign w:val="center"/>
          </w:tcPr>
          <w:p w14:paraId="247A90D5">
            <w:pPr>
              <w:spacing w:line="240" w:lineRule="exact"/>
              <w:jc w:val="left"/>
              <w:rPr>
                <w:rFonts w:ascii="宋体"/>
                <w:kern w:val="0"/>
              </w:rPr>
            </w:pPr>
          </w:p>
        </w:tc>
        <w:tc>
          <w:tcPr>
            <w:tcW w:w="1680" w:type="dxa"/>
            <w:vMerge w:val="continue"/>
            <w:vAlign w:val="center"/>
          </w:tcPr>
          <w:p w14:paraId="5C8901EC">
            <w:pPr>
              <w:spacing w:line="240" w:lineRule="exact"/>
              <w:jc w:val="left"/>
              <w:rPr>
                <w:rFonts w:ascii="宋体"/>
                <w:kern w:val="0"/>
              </w:rPr>
            </w:pPr>
          </w:p>
        </w:tc>
        <w:tc>
          <w:tcPr>
            <w:tcW w:w="1410" w:type="dxa"/>
            <w:vMerge w:val="continue"/>
            <w:vAlign w:val="center"/>
          </w:tcPr>
          <w:p w14:paraId="4D3E4056">
            <w:pPr>
              <w:spacing w:line="240" w:lineRule="exact"/>
              <w:jc w:val="center"/>
              <w:rPr>
                <w:rFonts w:ascii="宋体"/>
                <w:kern w:val="0"/>
              </w:rPr>
            </w:pPr>
          </w:p>
        </w:tc>
        <w:tc>
          <w:tcPr>
            <w:tcW w:w="4080" w:type="dxa"/>
            <w:vAlign w:val="center"/>
          </w:tcPr>
          <w:p w14:paraId="1018F933">
            <w:pPr>
              <w:widowControl/>
              <w:spacing w:line="240" w:lineRule="exact"/>
              <w:jc w:val="left"/>
              <w:rPr>
                <w:rFonts w:ascii="宋体"/>
                <w:kern w:val="0"/>
              </w:rPr>
            </w:pPr>
            <w:r>
              <w:rPr>
                <w:rFonts w:hint="eastAsia" w:ascii="宋体"/>
                <w:kern w:val="0"/>
              </w:rPr>
              <w:t>具有其他较重情节的</w:t>
            </w:r>
          </w:p>
        </w:tc>
        <w:tc>
          <w:tcPr>
            <w:tcW w:w="10293" w:type="dxa"/>
            <w:tcBorders>
              <w:right w:val="single" w:color="auto" w:sz="4" w:space="0"/>
            </w:tcBorders>
            <w:vAlign w:val="center"/>
          </w:tcPr>
          <w:p w14:paraId="7EF36074">
            <w:pPr>
              <w:widowControl/>
              <w:spacing w:line="240" w:lineRule="exact"/>
              <w:jc w:val="center"/>
              <w:rPr>
                <w:rFonts w:ascii="宋体"/>
                <w:kern w:val="0"/>
              </w:rPr>
            </w:pPr>
            <w:r>
              <w:rPr>
                <w:rFonts w:hint="eastAsia" w:ascii="宋体"/>
                <w:kern w:val="0"/>
              </w:rPr>
              <w:t>1-2万元</w:t>
            </w:r>
          </w:p>
        </w:tc>
      </w:tr>
      <w:tr w14:paraId="692F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0" w:hRule="atLeast"/>
        </w:trPr>
        <w:tc>
          <w:tcPr>
            <w:tcW w:w="1231" w:type="dxa"/>
            <w:vMerge w:val="continue"/>
            <w:vAlign w:val="center"/>
          </w:tcPr>
          <w:p w14:paraId="765C8E54">
            <w:pPr>
              <w:spacing w:line="240" w:lineRule="exact"/>
              <w:jc w:val="left"/>
              <w:rPr>
                <w:rFonts w:ascii="宋体"/>
                <w:kern w:val="0"/>
              </w:rPr>
            </w:pPr>
          </w:p>
        </w:tc>
        <w:tc>
          <w:tcPr>
            <w:tcW w:w="1350" w:type="dxa"/>
            <w:vMerge w:val="continue"/>
            <w:vAlign w:val="center"/>
          </w:tcPr>
          <w:p w14:paraId="68351B21">
            <w:pPr>
              <w:spacing w:line="240" w:lineRule="exact"/>
              <w:jc w:val="left"/>
              <w:rPr>
                <w:rFonts w:ascii="宋体"/>
                <w:kern w:val="0"/>
              </w:rPr>
            </w:pPr>
          </w:p>
        </w:tc>
        <w:tc>
          <w:tcPr>
            <w:tcW w:w="1680" w:type="dxa"/>
            <w:vMerge w:val="continue"/>
            <w:vAlign w:val="center"/>
          </w:tcPr>
          <w:p w14:paraId="6E7E15BA">
            <w:pPr>
              <w:spacing w:line="240" w:lineRule="exact"/>
              <w:jc w:val="left"/>
              <w:rPr>
                <w:rFonts w:ascii="宋体"/>
                <w:kern w:val="0"/>
              </w:rPr>
            </w:pPr>
          </w:p>
        </w:tc>
        <w:tc>
          <w:tcPr>
            <w:tcW w:w="1410" w:type="dxa"/>
            <w:vAlign w:val="center"/>
          </w:tcPr>
          <w:p w14:paraId="05DD1E7F">
            <w:pPr>
              <w:spacing w:line="240" w:lineRule="exact"/>
              <w:jc w:val="center"/>
              <w:rPr>
                <w:rFonts w:ascii="宋体"/>
                <w:kern w:val="0"/>
              </w:rPr>
            </w:pPr>
            <w:r>
              <w:rPr>
                <w:rFonts w:hint="eastAsia" w:ascii="宋体"/>
                <w:kern w:val="0"/>
              </w:rPr>
              <w:t>情节严重</w:t>
            </w:r>
          </w:p>
        </w:tc>
        <w:tc>
          <w:tcPr>
            <w:tcW w:w="4080" w:type="dxa"/>
            <w:vAlign w:val="center"/>
          </w:tcPr>
          <w:p w14:paraId="0CFCC1DE">
            <w:pPr>
              <w:widowControl/>
              <w:numPr>
                <w:ilvl w:val="0"/>
                <w:numId w:val="18"/>
              </w:numPr>
              <w:spacing w:line="240" w:lineRule="exact"/>
              <w:jc w:val="left"/>
              <w:rPr>
                <w:rFonts w:ascii="宋体"/>
                <w:kern w:val="0"/>
              </w:rPr>
            </w:pPr>
            <w:r>
              <w:rPr>
                <w:rFonts w:hint="eastAsia" w:ascii="宋体"/>
                <w:kern w:val="0"/>
              </w:rPr>
              <w:t>为非本船船员记载的；</w:t>
            </w:r>
          </w:p>
          <w:p w14:paraId="5886145A">
            <w:pPr>
              <w:widowControl/>
              <w:numPr>
                <w:ilvl w:val="0"/>
                <w:numId w:val="18"/>
              </w:numPr>
              <w:spacing w:line="240" w:lineRule="exact"/>
              <w:jc w:val="left"/>
              <w:rPr>
                <w:rFonts w:ascii="宋体"/>
                <w:kern w:val="0"/>
              </w:rPr>
            </w:pPr>
            <w:r>
              <w:rPr>
                <w:rFonts w:hint="eastAsia" w:ascii="宋体"/>
                <w:kern w:val="0"/>
              </w:rPr>
              <w:t>具有其他严重情节的。</w:t>
            </w:r>
          </w:p>
        </w:tc>
        <w:tc>
          <w:tcPr>
            <w:tcW w:w="10293" w:type="dxa"/>
            <w:tcBorders>
              <w:right w:val="single" w:color="auto" w:sz="4" w:space="0"/>
            </w:tcBorders>
            <w:vAlign w:val="center"/>
          </w:tcPr>
          <w:p w14:paraId="68E5B3B7">
            <w:pPr>
              <w:widowControl/>
              <w:spacing w:line="240" w:lineRule="exact"/>
              <w:jc w:val="center"/>
              <w:rPr>
                <w:rFonts w:ascii="宋体"/>
                <w:kern w:val="0"/>
              </w:rPr>
            </w:pPr>
            <w:r>
              <w:rPr>
                <w:rFonts w:hint="eastAsia" w:ascii="宋体"/>
                <w:kern w:val="0"/>
              </w:rPr>
              <w:t>1-2万元，并给予暂扣船员适任证书6个月以上2年及以下直至吊销船员适任证书的处罚</w:t>
            </w:r>
          </w:p>
        </w:tc>
      </w:tr>
    </w:tbl>
    <w:p w14:paraId="3EDE160A">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23"/>
        <w:gridCol w:w="1119"/>
        <w:gridCol w:w="1559"/>
        <w:gridCol w:w="992"/>
        <w:gridCol w:w="5954"/>
        <w:gridCol w:w="4536"/>
        <w:gridCol w:w="4394"/>
      </w:tblGrid>
      <w:tr w14:paraId="2F711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923" w:type="dxa"/>
            <w:vMerge w:val="restart"/>
            <w:vAlign w:val="center"/>
          </w:tcPr>
          <w:p w14:paraId="295CADEE">
            <w:pPr>
              <w:jc w:val="left"/>
              <w:rPr>
                <w:rFonts w:ascii="宋体"/>
                <w:b/>
                <w:kern w:val="0"/>
              </w:rPr>
            </w:pPr>
            <w:r>
              <w:rPr>
                <w:rFonts w:hint="eastAsia" w:ascii="宋体"/>
                <w:b/>
                <w:kern w:val="0"/>
              </w:rPr>
              <w:t>案由107</w:t>
            </w:r>
          </w:p>
        </w:tc>
        <w:tc>
          <w:tcPr>
            <w:tcW w:w="2678" w:type="dxa"/>
            <w:gridSpan w:val="2"/>
            <w:vAlign w:val="center"/>
          </w:tcPr>
          <w:p w14:paraId="006C008A">
            <w:pPr>
              <w:jc w:val="center"/>
              <w:rPr>
                <w:rFonts w:ascii="宋体"/>
                <w:b/>
                <w:kern w:val="0"/>
              </w:rPr>
            </w:pPr>
            <w:r>
              <w:rPr>
                <w:rFonts w:hint="eastAsia" w:ascii="宋体"/>
                <w:b/>
                <w:kern w:val="0"/>
              </w:rPr>
              <w:t>法律依据</w:t>
            </w:r>
          </w:p>
        </w:tc>
        <w:tc>
          <w:tcPr>
            <w:tcW w:w="992" w:type="dxa"/>
            <w:vMerge w:val="restart"/>
            <w:vAlign w:val="center"/>
          </w:tcPr>
          <w:p w14:paraId="22EC0DFF">
            <w:pPr>
              <w:jc w:val="left"/>
              <w:rPr>
                <w:rFonts w:ascii="宋体"/>
                <w:b/>
                <w:kern w:val="0"/>
              </w:rPr>
            </w:pPr>
            <w:r>
              <w:rPr>
                <w:rFonts w:hint="eastAsia" w:ascii="宋体"/>
                <w:b/>
                <w:kern w:val="0"/>
              </w:rPr>
              <w:t>违法情节</w:t>
            </w:r>
          </w:p>
        </w:tc>
        <w:tc>
          <w:tcPr>
            <w:tcW w:w="5954" w:type="dxa"/>
            <w:vMerge w:val="restart"/>
            <w:vAlign w:val="center"/>
          </w:tcPr>
          <w:p w14:paraId="66AFDF97">
            <w:pPr>
              <w:jc w:val="center"/>
              <w:rPr>
                <w:rFonts w:ascii="宋体"/>
                <w:b/>
                <w:kern w:val="0"/>
              </w:rPr>
            </w:pPr>
            <w:r>
              <w:rPr>
                <w:rFonts w:hint="eastAsia" w:ascii="宋体"/>
                <w:b/>
                <w:kern w:val="0"/>
              </w:rPr>
              <w:t>主要考虑因素（事实、性质、情节、危害程度和实际后果等）</w:t>
            </w:r>
          </w:p>
        </w:tc>
        <w:tc>
          <w:tcPr>
            <w:tcW w:w="8930" w:type="dxa"/>
            <w:gridSpan w:val="2"/>
            <w:vAlign w:val="center"/>
          </w:tcPr>
          <w:p w14:paraId="2C5D2E44">
            <w:pPr>
              <w:jc w:val="left"/>
              <w:rPr>
                <w:rFonts w:ascii="宋体"/>
                <w:b/>
                <w:kern w:val="0"/>
              </w:rPr>
            </w:pPr>
            <w:r>
              <w:rPr>
                <w:rFonts w:hint="eastAsia" w:ascii="宋体"/>
                <w:b/>
                <w:kern w:val="0"/>
              </w:rPr>
              <w:t>【法定幅度和种类】</w:t>
            </w:r>
            <w:r>
              <w:rPr>
                <w:rFonts w:hint="eastAsia" w:ascii="宋体"/>
              </w:rPr>
              <w:t>由海事管理机构对船长、责任船员处一千元以上一万元以下的罚款，或者暂扣船员适任证书三个月至十二个月；情节严重的，吊销船长、责任船员的船员适任证书。</w:t>
            </w:r>
          </w:p>
        </w:tc>
      </w:tr>
      <w:tr w14:paraId="3F1F0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923" w:type="dxa"/>
            <w:vMerge w:val="continue"/>
            <w:tcBorders>
              <w:bottom w:val="single" w:color="000000" w:sz="4" w:space="0"/>
            </w:tcBorders>
            <w:vAlign w:val="center"/>
          </w:tcPr>
          <w:p w14:paraId="32CC6451">
            <w:pPr>
              <w:jc w:val="left"/>
              <w:rPr>
                <w:rFonts w:ascii="宋体"/>
                <w:b/>
                <w:kern w:val="0"/>
              </w:rPr>
            </w:pPr>
          </w:p>
        </w:tc>
        <w:tc>
          <w:tcPr>
            <w:tcW w:w="1119" w:type="dxa"/>
            <w:vMerge w:val="restart"/>
            <w:tcBorders>
              <w:bottom w:val="single" w:color="000000" w:sz="4" w:space="0"/>
            </w:tcBorders>
            <w:vAlign w:val="center"/>
          </w:tcPr>
          <w:p w14:paraId="6ED6CFDA">
            <w:pPr>
              <w:jc w:val="center"/>
              <w:rPr>
                <w:rFonts w:ascii="宋体"/>
                <w:b/>
                <w:kern w:val="0"/>
              </w:rPr>
            </w:pPr>
            <w:r>
              <w:rPr>
                <w:rFonts w:hint="eastAsia" w:ascii="宋体"/>
                <w:b/>
                <w:kern w:val="0"/>
              </w:rPr>
              <w:t>违反条款</w:t>
            </w:r>
          </w:p>
        </w:tc>
        <w:tc>
          <w:tcPr>
            <w:tcW w:w="1559" w:type="dxa"/>
            <w:vMerge w:val="restart"/>
            <w:tcBorders>
              <w:bottom w:val="single" w:color="000000" w:sz="4" w:space="0"/>
            </w:tcBorders>
            <w:vAlign w:val="center"/>
          </w:tcPr>
          <w:p w14:paraId="52746818">
            <w:pPr>
              <w:jc w:val="center"/>
              <w:rPr>
                <w:rFonts w:ascii="宋体"/>
                <w:b/>
                <w:kern w:val="0"/>
              </w:rPr>
            </w:pPr>
            <w:r>
              <w:rPr>
                <w:rFonts w:hint="eastAsia" w:ascii="宋体"/>
                <w:b/>
                <w:kern w:val="0"/>
              </w:rPr>
              <w:t>处罚依据</w:t>
            </w:r>
          </w:p>
        </w:tc>
        <w:tc>
          <w:tcPr>
            <w:tcW w:w="992" w:type="dxa"/>
            <w:vMerge w:val="continue"/>
            <w:tcBorders>
              <w:bottom w:val="single" w:color="000000" w:sz="4" w:space="0"/>
            </w:tcBorders>
            <w:vAlign w:val="center"/>
          </w:tcPr>
          <w:p w14:paraId="07C434E2">
            <w:pPr>
              <w:jc w:val="left"/>
              <w:rPr>
                <w:rFonts w:ascii="宋体"/>
                <w:b/>
                <w:kern w:val="0"/>
              </w:rPr>
            </w:pPr>
          </w:p>
        </w:tc>
        <w:tc>
          <w:tcPr>
            <w:tcW w:w="5954" w:type="dxa"/>
            <w:vMerge w:val="continue"/>
            <w:tcBorders>
              <w:bottom w:val="single" w:color="000000" w:sz="4" w:space="0"/>
            </w:tcBorders>
            <w:vAlign w:val="center"/>
          </w:tcPr>
          <w:p w14:paraId="7F91003B">
            <w:pPr>
              <w:jc w:val="left"/>
              <w:rPr>
                <w:rFonts w:ascii="宋体"/>
                <w:b/>
                <w:kern w:val="0"/>
              </w:rPr>
            </w:pPr>
          </w:p>
        </w:tc>
        <w:tc>
          <w:tcPr>
            <w:tcW w:w="4536" w:type="dxa"/>
            <w:vMerge w:val="restart"/>
            <w:tcBorders>
              <w:top w:val="single" w:color="auto" w:sz="4" w:space="0"/>
              <w:left w:val="single" w:color="auto" w:sz="4" w:space="0"/>
            </w:tcBorders>
            <w:vAlign w:val="center"/>
          </w:tcPr>
          <w:p w14:paraId="06CB6A13">
            <w:pPr>
              <w:jc w:val="center"/>
              <w:rPr>
                <w:rFonts w:ascii="宋体"/>
                <w:b/>
                <w:kern w:val="0"/>
              </w:rPr>
            </w:pPr>
            <w:r>
              <w:rPr>
                <w:rFonts w:hint="eastAsia" w:ascii="宋体"/>
                <w:b/>
                <w:kern w:val="0"/>
              </w:rPr>
              <w:t>【对象】船长</w:t>
            </w:r>
          </w:p>
        </w:tc>
        <w:tc>
          <w:tcPr>
            <w:tcW w:w="4394" w:type="dxa"/>
            <w:vMerge w:val="restart"/>
            <w:tcBorders>
              <w:top w:val="single" w:color="auto" w:sz="4" w:space="0"/>
              <w:left w:val="single" w:color="auto" w:sz="4" w:space="0"/>
            </w:tcBorders>
            <w:vAlign w:val="center"/>
          </w:tcPr>
          <w:p w14:paraId="64C0FDCA">
            <w:pPr>
              <w:jc w:val="center"/>
              <w:rPr>
                <w:rFonts w:ascii="宋体"/>
                <w:b/>
                <w:kern w:val="0"/>
              </w:rPr>
            </w:pPr>
            <w:r>
              <w:rPr>
                <w:rFonts w:hint="eastAsia" w:ascii="宋体"/>
                <w:b/>
                <w:kern w:val="0"/>
              </w:rPr>
              <w:t>【对象】责任船员</w:t>
            </w:r>
          </w:p>
        </w:tc>
      </w:tr>
      <w:tr w14:paraId="644D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923" w:type="dxa"/>
            <w:vMerge w:val="continue"/>
            <w:vAlign w:val="center"/>
          </w:tcPr>
          <w:p w14:paraId="64576ACB">
            <w:pPr>
              <w:jc w:val="left"/>
              <w:rPr>
                <w:rFonts w:ascii="宋体"/>
                <w:b/>
                <w:kern w:val="0"/>
              </w:rPr>
            </w:pPr>
          </w:p>
        </w:tc>
        <w:tc>
          <w:tcPr>
            <w:tcW w:w="1119" w:type="dxa"/>
            <w:vMerge w:val="continue"/>
            <w:vAlign w:val="center"/>
          </w:tcPr>
          <w:p w14:paraId="0CA8681A">
            <w:pPr>
              <w:jc w:val="left"/>
              <w:rPr>
                <w:rFonts w:ascii="宋体"/>
                <w:b/>
                <w:kern w:val="0"/>
              </w:rPr>
            </w:pPr>
          </w:p>
        </w:tc>
        <w:tc>
          <w:tcPr>
            <w:tcW w:w="1559" w:type="dxa"/>
            <w:vMerge w:val="continue"/>
            <w:vAlign w:val="center"/>
          </w:tcPr>
          <w:p w14:paraId="031E8197">
            <w:pPr>
              <w:jc w:val="left"/>
              <w:rPr>
                <w:rFonts w:ascii="宋体"/>
                <w:b/>
                <w:kern w:val="0"/>
              </w:rPr>
            </w:pPr>
          </w:p>
        </w:tc>
        <w:tc>
          <w:tcPr>
            <w:tcW w:w="992" w:type="dxa"/>
            <w:vMerge w:val="continue"/>
            <w:vAlign w:val="center"/>
          </w:tcPr>
          <w:p w14:paraId="71853294">
            <w:pPr>
              <w:jc w:val="left"/>
              <w:rPr>
                <w:rFonts w:ascii="宋体"/>
                <w:b/>
                <w:kern w:val="0"/>
              </w:rPr>
            </w:pPr>
          </w:p>
        </w:tc>
        <w:tc>
          <w:tcPr>
            <w:tcW w:w="5954" w:type="dxa"/>
            <w:vMerge w:val="continue"/>
            <w:vAlign w:val="center"/>
          </w:tcPr>
          <w:p w14:paraId="18C241C8">
            <w:pPr>
              <w:jc w:val="left"/>
              <w:rPr>
                <w:rFonts w:ascii="宋体"/>
                <w:b/>
                <w:kern w:val="0"/>
              </w:rPr>
            </w:pPr>
          </w:p>
        </w:tc>
        <w:tc>
          <w:tcPr>
            <w:tcW w:w="4536" w:type="dxa"/>
            <w:vMerge w:val="continue"/>
            <w:tcBorders>
              <w:left w:val="single" w:color="auto" w:sz="4" w:space="0"/>
              <w:right w:val="single" w:color="auto" w:sz="4" w:space="0"/>
            </w:tcBorders>
            <w:vAlign w:val="center"/>
          </w:tcPr>
          <w:p w14:paraId="4D651C1F">
            <w:pPr>
              <w:jc w:val="left"/>
              <w:rPr>
                <w:rFonts w:ascii="宋体"/>
                <w:b/>
                <w:kern w:val="0"/>
              </w:rPr>
            </w:pPr>
          </w:p>
        </w:tc>
        <w:tc>
          <w:tcPr>
            <w:tcW w:w="4394" w:type="dxa"/>
            <w:vMerge w:val="continue"/>
            <w:tcBorders>
              <w:left w:val="single" w:color="auto" w:sz="4" w:space="0"/>
            </w:tcBorders>
            <w:vAlign w:val="center"/>
          </w:tcPr>
          <w:p w14:paraId="6D39C235">
            <w:pPr>
              <w:jc w:val="left"/>
              <w:rPr>
                <w:rFonts w:ascii="宋体"/>
                <w:b/>
                <w:kern w:val="0"/>
              </w:rPr>
            </w:pPr>
          </w:p>
        </w:tc>
      </w:tr>
      <w:tr w14:paraId="1732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23" w:type="dxa"/>
            <w:vMerge w:val="restart"/>
            <w:vAlign w:val="center"/>
          </w:tcPr>
          <w:p w14:paraId="54C7E5B8">
            <w:pPr>
              <w:widowControl/>
              <w:jc w:val="left"/>
              <w:rPr>
                <w:rFonts w:ascii="宋体"/>
                <w:kern w:val="0"/>
              </w:rPr>
            </w:pPr>
            <w:r>
              <w:rPr>
                <w:rFonts w:hint="eastAsia" w:ascii="宋体"/>
                <w:kern w:val="0"/>
              </w:rPr>
              <w:t>船员未保持安全值班， 有违反海上船员值班规则的行为的</w:t>
            </w:r>
          </w:p>
        </w:tc>
        <w:tc>
          <w:tcPr>
            <w:tcW w:w="1119" w:type="dxa"/>
            <w:vMerge w:val="restart"/>
            <w:vAlign w:val="center"/>
          </w:tcPr>
          <w:p w14:paraId="0D0AFD90">
            <w:pPr>
              <w:widowControl/>
              <w:rPr>
                <w:rFonts w:ascii="宋体"/>
                <w:kern w:val="0"/>
              </w:rPr>
            </w:pPr>
            <w:r>
              <w:rPr>
                <w:rFonts w:hint="eastAsia" w:ascii="宋体"/>
                <w:kern w:val="0"/>
              </w:rPr>
              <w:t>1.《中华人民共和国海上交通安全法》第四十二条</w:t>
            </w:r>
          </w:p>
          <w:p w14:paraId="372894AC">
            <w:pPr>
              <w:widowControl/>
              <w:rPr>
                <w:rFonts w:ascii="宋体"/>
              </w:rPr>
            </w:pPr>
            <w:r>
              <w:rPr>
                <w:rFonts w:hint="eastAsia" w:ascii="宋体"/>
              </w:rPr>
              <w:t>2.其他法律、法规、规章等</w:t>
            </w:r>
          </w:p>
        </w:tc>
        <w:tc>
          <w:tcPr>
            <w:tcW w:w="1559" w:type="dxa"/>
            <w:vMerge w:val="restart"/>
            <w:vAlign w:val="center"/>
          </w:tcPr>
          <w:p w14:paraId="48CC8721">
            <w:pPr>
              <w:jc w:val="left"/>
              <w:rPr>
                <w:rFonts w:ascii="宋体"/>
                <w:kern w:val="0"/>
              </w:rPr>
            </w:pPr>
            <w:r>
              <w:rPr>
                <w:rFonts w:hint="eastAsia" w:ascii="宋体"/>
                <w:kern w:val="0"/>
              </w:rPr>
              <w:t>1.《中华人民共和国海上交通安全法》第九十九条、《中华人民共和国海上海事行政处罚规定》第十六条。</w:t>
            </w:r>
          </w:p>
          <w:p w14:paraId="05807BB1">
            <w:pPr>
              <w:jc w:val="left"/>
              <w:rPr>
                <w:rFonts w:ascii="宋体"/>
                <w:kern w:val="0"/>
              </w:rPr>
            </w:pPr>
            <w:r>
              <w:rPr>
                <w:rFonts w:hint="eastAsia" w:ascii="宋体"/>
                <w:kern w:val="0"/>
              </w:rPr>
              <w:t>2.《中华人民共和国海上海事行政处罚规定》第七条。</w:t>
            </w:r>
          </w:p>
        </w:tc>
        <w:tc>
          <w:tcPr>
            <w:tcW w:w="992" w:type="dxa"/>
            <w:vAlign w:val="center"/>
          </w:tcPr>
          <w:p w14:paraId="5B2512B5">
            <w:pPr>
              <w:jc w:val="center"/>
              <w:rPr>
                <w:rFonts w:ascii="宋体"/>
                <w:kern w:val="0"/>
              </w:rPr>
            </w:pPr>
            <w:r>
              <w:rPr>
                <w:rFonts w:hint="eastAsia" w:ascii="宋体"/>
                <w:kern w:val="0"/>
              </w:rPr>
              <w:t>从轻</w:t>
            </w:r>
          </w:p>
        </w:tc>
        <w:tc>
          <w:tcPr>
            <w:tcW w:w="5954" w:type="dxa"/>
            <w:vAlign w:val="center"/>
          </w:tcPr>
          <w:p w14:paraId="729FFB01">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4536" w:type="dxa"/>
            <w:tcBorders>
              <w:left w:val="single" w:color="auto" w:sz="4" w:space="0"/>
              <w:bottom w:val="single" w:color="auto" w:sz="4" w:space="0"/>
              <w:right w:val="single" w:color="auto" w:sz="4" w:space="0"/>
            </w:tcBorders>
            <w:vAlign w:val="center"/>
          </w:tcPr>
          <w:p w14:paraId="091AD7A8">
            <w:pPr>
              <w:jc w:val="center"/>
              <w:rPr>
                <w:rFonts w:ascii="宋体"/>
                <w:kern w:val="0"/>
              </w:rPr>
            </w:pPr>
            <w:r>
              <w:rPr>
                <w:rFonts w:hint="eastAsia" w:ascii="宋体"/>
                <w:kern w:val="0"/>
              </w:rPr>
              <w:t>1000-2000元</w:t>
            </w:r>
          </w:p>
        </w:tc>
        <w:tc>
          <w:tcPr>
            <w:tcW w:w="4394" w:type="dxa"/>
            <w:tcBorders>
              <w:left w:val="single" w:color="auto" w:sz="4" w:space="0"/>
              <w:bottom w:val="single" w:color="auto" w:sz="4" w:space="0"/>
            </w:tcBorders>
            <w:vAlign w:val="center"/>
          </w:tcPr>
          <w:p w14:paraId="6D78A27B">
            <w:pPr>
              <w:jc w:val="center"/>
              <w:rPr>
                <w:rFonts w:ascii="宋体"/>
                <w:kern w:val="0"/>
              </w:rPr>
            </w:pPr>
            <w:r>
              <w:rPr>
                <w:rFonts w:hint="eastAsia" w:ascii="宋体"/>
                <w:kern w:val="0"/>
              </w:rPr>
              <w:t>1000-2000元</w:t>
            </w:r>
          </w:p>
        </w:tc>
      </w:tr>
      <w:tr w14:paraId="3630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4" w:hRule="atLeast"/>
        </w:trPr>
        <w:tc>
          <w:tcPr>
            <w:tcW w:w="923" w:type="dxa"/>
            <w:vMerge w:val="continue"/>
            <w:vAlign w:val="center"/>
          </w:tcPr>
          <w:p w14:paraId="458FCCEB">
            <w:pPr>
              <w:jc w:val="left"/>
              <w:rPr>
                <w:rFonts w:ascii="宋体"/>
                <w:kern w:val="0"/>
              </w:rPr>
            </w:pPr>
          </w:p>
        </w:tc>
        <w:tc>
          <w:tcPr>
            <w:tcW w:w="1119" w:type="dxa"/>
            <w:vMerge w:val="continue"/>
            <w:vAlign w:val="center"/>
          </w:tcPr>
          <w:p w14:paraId="596F79AE">
            <w:pPr>
              <w:widowControl/>
              <w:jc w:val="left"/>
              <w:rPr>
                <w:rFonts w:ascii="宋体"/>
                <w:kern w:val="0"/>
              </w:rPr>
            </w:pPr>
          </w:p>
        </w:tc>
        <w:tc>
          <w:tcPr>
            <w:tcW w:w="1559" w:type="dxa"/>
            <w:vMerge w:val="continue"/>
            <w:vAlign w:val="center"/>
          </w:tcPr>
          <w:p w14:paraId="473BDAE7">
            <w:pPr>
              <w:jc w:val="left"/>
              <w:rPr>
                <w:rFonts w:ascii="宋体"/>
                <w:kern w:val="0"/>
              </w:rPr>
            </w:pPr>
          </w:p>
        </w:tc>
        <w:tc>
          <w:tcPr>
            <w:tcW w:w="992" w:type="dxa"/>
            <w:vMerge w:val="restart"/>
            <w:vAlign w:val="center"/>
          </w:tcPr>
          <w:p w14:paraId="600C5EF8">
            <w:pPr>
              <w:jc w:val="center"/>
              <w:rPr>
                <w:rFonts w:ascii="宋体"/>
                <w:kern w:val="0"/>
              </w:rPr>
            </w:pPr>
            <w:r>
              <w:rPr>
                <w:rFonts w:hint="eastAsia" w:ascii="宋体"/>
                <w:kern w:val="0"/>
              </w:rPr>
              <w:t>一般</w:t>
            </w:r>
          </w:p>
        </w:tc>
        <w:tc>
          <w:tcPr>
            <w:tcW w:w="5954" w:type="dxa"/>
            <w:vAlign w:val="center"/>
          </w:tcPr>
          <w:p w14:paraId="58F1DA56">
            <w:pPr>
              <w:pStyle w:val="13"/>
              <w:jc w:val="left"/>
              <w:rPr>
                <w:rFonts w:ascii="宋体"/>
              </w:rPr>
            </w:pPr>
            <w:r>
              <w:rPr>
                <w:rFonts w:hint="eastAsia" w:ascii="宋体"/>
              </w:rPr>
              <w:t>靠泊期间未保持安全值班，有违反海上船员值班规则的行为</w:t>
            </w:r>
          </w:p>
        </w:tc>
        <w:tc>
          <w:tcPr>
            <w:tcW w:w="4536" w:type="dxa"/>
            <w:tcBorders>
              <w:top w:val="single" w:color="auto" w:sz="4" w:space="0"/>
              <w:left w:val="single" w:color="auto" w:sz="4" w:space="0"/>
              <w:right w:val="single" w:color="auto" w:sz="4" w:space="0"/>
            </w:tcBorders>
            <w:vAlign w:val="center"/>
          </w:tcPr>
          <w:p w14:paraId="129D2088">
            <w:pPr>
              <w:jc w:val="center"/>
              <w:rPr>
                <w:rFonts w:ascii="宋体"/>
                <w:kern w:val="0"/>
              </w:rPr>
            </w:pPr>
            <w:r>
              <w:rPr>
                <w:rFonts w:hint="eastAsia" w:ascii="宋体"/>
                <w:kern w:val="0"/>
              </w:rPr>
              <w:t>2000-6000元</w:t>
            </w:r>
          </w:p>
        </w:tc>
        <w:tc>
          <w:tcPr>
            <w:tcW w:w="4394" w:type="dxa"/>
            <w:tcBorders>
              <w:top w:val="single" w:color="auto" w:sz="4" w:space="0"/>
              <w:left w:val="single" w:color="auto" w:sz="4" w:space="0"/>
            </w:tcBorders>
            <w:vAlign w:val="center"/>
          </w:tcPr>
          <w:p w14:paraId="2E640107">
            <w:pPr>
              <w:jc w:val="center"/>
              <w:rPr>
                <w:rFonts w:ascii="宋体"/>
                <w:kern w:val="0"/>
              </w:rPr>
            </w:pPr>
            <w:r>
              <w:rPr>
                <w:rFonts w:hint="eastAsia" w:ascii="宋体"/>
                <w:kern w:val="0"/>
              </w:rPr>
              <w:t>2000-6000元</w:t>
            </w:r>
          </w:p>
        </w:tc>
      </w:tr>
      <w:tr w14:paraId="65BAD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72" w:hRule="atLeast"/>
        </w:trPr>
        <w:tc>
          <w:tcPr>
            <w:tcW w:w="923" w:type="dxa"/>
            <w:vMerge w:val="continue"/>
            <w:vAlign w:val="center"/>
          </w:tcPr>
          <w:p w14:paraId="27FCBF98">
            <w:pPr>
              <w:jc w:val="left"/>
              <w:rPr>
                <w:rFonts w:ascii="宋体"/>
                <w:kern w:val="0"/>
              </w:rPr>
            </w:pPr>
          </w:p>
        </w:tc>
        <w:tc>
          <w:tcPr>
            <w:tcW w:w="1119" w:type="dxa"/>
            <w:vMerge w:val="continue"/>
            <w:vAlign w:val="center"/>
          </w:tcPr>
          <w:p w14:paraId="71FB22C8">
            <w:pPr>
              <w:widowControl/>
              <w:jc w:val="left"/>
              <w:rPr>
                <w:rFonts w:ascii="宋体"/>
                <w:kern w:val="0"/>
              </w:rPr>
            </w:pPr>
          </w:p>
        </w:tc>
        <w:tc>
          <w:tcPr>
            <w:tcW w:w="1559" w:type="dxa"/>
            <w:vMerge w:val="continue"/>
            <w:vAlign w:val="center"/>
          </w:tcPr>
          <w:p w14:paraId="331729CF">
            <w:pPr>
              <w:jc w:val="left"/>
              <w:rPr>
                <w:rFonts w:ascii="宋体"/>
                <w:kern w:val="0"/>
              </w:rPr>
            </w:pPr>
          </w:p>
        </w:tc>
        <w:tc>
          <w:tcPr>
            <w:tcW w:w="992" w:type="dxa"/>
            <w:vMerge w:val="continue"/>
            <w:vAlign w:val="center"/>
          </w:tcPr>
          <w:p w14:paraId="62BB3009">
            <w:pPr>
              <w:jc w:val="center"/>
              <w:rPr>
                <w:rFonts w:ascii="宋体"/>
                <w:kern w:val="0"/>
              </w:rPr>
            </w:pPr>
          </w:p>
        </w:tc>
        <w:tc>
          <w:tcPr>
            <w:tcW w:w="5954" w:type="dxa"/>
            <w:vAlign w:val="center"/>
          </w:tcPr>
          <w:p w14:paraId="1867E78C">
            <w:pPr>
              <w:pStyle w:val="13"/>
              <w:jc w:val="left"/>
              <w:rPr>
                <w:rFonts w:ascii="宋体"/>
              </w:rPr>
            </w:pPr>
            <w:r>
              <w:rPr>
                <w:rFonts w:hint="eastAsia" w:ascii="宋体"/>
              </w:rPr>
              <w:t>锚泊期间未保持安全值班，有违反海上船员值班规则的行为</w:t>
            </w:r>
          </w:p>
        </w:tc>
        <w:tc>
          <w:tcPr>
            <w:tcW w:w="4536" w:type="dxa"/>
            <w:tcBorders>
              <w:left w:val="single" w:color="auto" w:sz="4" w:space="0"/>
              <w:right w:val="single" w:color="auto" w:sz="4" w:space="0"/>
            </w:tcBorders>
            <w:vAlign w:val="center"/>
          </w:tcPr>
          <w:p w14:paraId="5DFC4CA9">
            <w:pPr>
              <w:jc w:val="center"/>
              <w:rPr>
                <w:rFonts w:ascii="宋体"/>
                <w:kern w:val="0"/>
              </w:rPr>
            </w:pPr>
            <w:r>
              <w:rPr>
                <w:rFonts w:hint="eastAsia" w:ascii="宋体"/>
                <w:kern w:val="0"/>
              </w:rPr>
              <w:t>4000-8000元</w:t>
            </w:r>
          </w:p>
        </w:tc>
        <w:tc>
          <w:tcPr>
            <w:tcW w:w="4394" w:type="dxa"/>
            <w:tcBorders>
              <w:left w:val="single" w:color="auto" w:sz="4" w:space="0"/>
            </w:tcBorders>
            <w:vAlign w:val="center"/>
          </w:tcPr>
          <w:p w14:paraId="266B03F2">
            <w:pPr>
              <w:jc w:val="center"/>
              <w:rPr>
                <w:rFonts w:ascii="宋体"/>
                <w:kern w:val="0"/>
              </w:rPr>
            </w:pPr>
            <w:r>
              <w:rPr>
                <w:rFonts w:hint="eastAsia" w:ascii="宋体"/>
                <w:kern w:val="0"/>
              </w:rPr>
              <w:t>4000-8000元</w:t>
            </w:r>
          </w:p>
        </w:tc>
      </w:tr>
      <w:tr w14:paraId="7D88B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38" w:hRule="atLeast"/>
        </w:trPr>
        <w:tc>
          <w:tcPr>
            <w:tcW w:w="923" w:type="dxa"/>
            <w:vMerge w:val="continue"/>
            <w:vAlign w:val="center"/>
          </w:tcPr>
          <w:p w14:paraId="65701A38">
            <w:pPr>
              <w:jc w:val="left"/>
              <w:rPr>
                <w:rFonts w:ascii="宋体"/>
                <w:kern w:val="0"/>
              </w:rPr>
            </w:pPr>
          </w:p>
        </w:tc>
        <w:tc>
          <w:tcPr>
            <w:tcW w:w="1119" w:type="dxa"/>
            <w:vMerge w:val="continue"/>
            <w:vAlign w:val="center"/>
          </w:tcPr>
          <w:p w14:paraId="56720E1C">
            <w:pPr>
              <w:widowControl/>
              <w:jc w:val="left"/>
              <w:rPr>
                <w:rFonts w:ascii="宋体"/>
                <w:kern w:val="0"/>
              </w:rPr>
            </w:pPr>
          </w:p>
        </w:tc>
        <w:tc>
          <w:tcPr>
            <w:tcW w:w="1559" w:type="dxa"/>
            <w:vMerge w:val="continue"/>
            <w:vAlign w:val="center"/>
          </w:tcPr>
          <w:p w14:paraId="5C11E2F0">
            <w:pPr>
              <w:jc w:val="left"/>
              <w:rPr>
                <w:rFonts w:ascii="宋体"/>
                <w:kern w:val="0"/>
              </w:rPr>
            </w:pPr>
          </w:p>
        </w:tc>
        <w:tc>
          <w:tcPr>
            <w:tcW w:w="992" w:type="dxa"/>
            <w:vMerge w:val="continue"/>
            <w:vAlign w:val="center"/>
          </w:tcPr>
          <w:p w14:paraId="70244C81">
            <w:pPr>
              <w:jc w:val="center"/>
              <w:rPr>
                <w:rFonts w:ascii="宋体"/>
                <w:kern w:val="0"/>
              </w:rPr>
            </w:pPr>
          </w:p>
        </w:tc>
        <w:tc>
          <w:tcPr>
            <w:tcW w:w="5954" w:type="dxa"/>
            <w:vAlign w:val="center"/>
          </w:tcPr>
          <w:p w14:paraId="19616496">
            <w:pPr>
              <w:pStyle w:val="13"/>
              <w:jc w:val="left"/>
              <w:rPr>
                <w:rFonts w:ascii="宋体"/>
              </w:rPr>
            </w:pPr>
            <w:r>
              <w:rPr>
                <w:rFonts w:hint="eastAsia" w:ascii="宋体"/>
              </w:rPr>
              <w:t>航行期间未保持安全值班，有违反海上船员值班规则的行为</w:t>
            </w:r>
          </w:p>
        </w:tc>
        <w:tc>
          <w:tcPr>
            <w:tcW w:w="4536" w:type="dxa"/>
            <w:tcBorders>
              <w:left w:val="single" w:color="auto" w:sz="4" w:space="0"/>
              <w:bottom w:val="single" w:color="auto" w:sz="4" w:space="0"/>
              <w:right w:val="single" w:color="auto" w:sz="4" w:space="0"/>
            </w:tcBorders>
            <w:vAlign w:val="center"/>
          </w:tcPr>
          <w:p w14:paraId="1D291537">
            <w:pPr>
              <w:jc w:val="center"/>
              <w:rPr>
                <w:rFonts w:ascii="宋体"/>
                <w:kern w:val="0"/>
              </w:rPr>
            </w:pPr>
            <w:r>
              <w:rPr>
                <w:rFonts w:hint="eastAsia" w:ascii="宋体"/>
                <w:kern w:val="0"/>
              </w:rPr>
              <w:t>6000-1万元</w:t>
            </w:r>
          </w:p>
        </w:tc>
        <w:tc>
          <w:tcPr>
            <w:tcW w:w="4394" w:type="dxa"/>
            <w:tcBorders>
              <w:left w:val="single" w:color="auto" w:sz="4" w:space="0"/>
              <w:bottom w:val="single" w:color="auto" w:sz="4" w:space="0"/>
            </w:tcBorders>
            <w:vAlign w:val="center"/>
          </w:tcPr>
          <w:p w14:paraId="7BC94869">
            <w:pPr>
              <w:jc w:val="center"/>
              <w:rPr>
                <w:rFonts w:ascii="宋体"/>
                <w:kern w:val="0"/>
              </w:rPr>
            </w:pPr>
            <w:r>
              <w:rPr>
                <w:rFonts w:hint="eastAsia" w:ascii="宋体"/>
                <w:kern w:val="0"/>
              </w:rPr>
              <w:t>6000-1万元</w:t>
            </w:r>
          </w:p>
        </w:tc>
      </w:tr>
      <w:tr w14:paraId="7D6F1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23" w:type="dxa"/>
            <w:vMerge w:val="continue"/>
            <w:vAlign w:val="center"/>
          </w:tcPr>
          <w:p w14:paraId="2CE68E25">
            <w:pPr>
              <w:jc w:val="left"/>
              <w:rPr>
                <w:rFonts w:ascii="宋体"/>
                <w:kern w:val="0"/>
              </w:rPr>
            </w:pPr>
          </w:p>
        </w:tc>
        <w:tc>
          <w:tcPr>
            <w:tcW w:w="1119" w:type="dxa"/>
            <w:vMerge w:val="continue"/>
            <w:vAlign w:val="center"/>
          </w:tcPr>
          <w:p w14:paraId="213BCB7C">
            <w:pPr>
              <w:jc w:val="left"/>
              <w:rPr>
                <w:rFonts w:ascii="宋体"/>
                <w:kern w:val="0"/>
              </w:rPr>
            </w:pPr>
          </w:p>
        </w:tc>
        <w:tc>
          <w:tcPr>
            <w:tcW w:w="1559" w:type="dxa"/>
            <w:vMerge w:val="continue"/>
            <w:vAlign w:val="center"/>
          </w:tcPr>
          <w:p w14:paraId="2A4986C8">
            <w:pPr>
              <w:jc w:val="left"/>
              <w:rPr>
                <w:rFonts w:ascii="宋体"/>
                <w:kern w:val="0"/>
              </w:rPr>
            </w:pPr>
          </w:p>
        </w:tc>
        <w:tc>
          <w:tcPr>
            <w:tcW w:w="992" w:type="dxa"/>
            <w:vMerge w:val="continue"/>
            <w:vAlign w:val="center"/>
          </w:tcPr>
          <w:p w14:paraId="061FEF82">
            <w:pPr>
              <w:jc w:val="center"/>
              <w:rPr>
                <w:rFonts w:ascii="宋体"/>
                <w:kern w:val="0"/>
              </w:rPr>
            </w:pPr>
          </w:p>
        </w:tc>
        <w:tc>
          <w:tcPr>
            <w:tcW w:w="5954" w:type="dxa"/>
            <w:tcBorders>
              <w:top w:val="single" w:color="auto" w:sz="4" w:space="0"/>
              <w:bottom w:val="single" w:color="auto" w:sz="4" w:space="0"/>
            </w:tcBorders>
            <w:vAlign w:val="center"/>
          </w:tcPr>
          <w:p w14:paraId="6D497853">
            <w:pPr>
              <w:jc w:val="left"/>
              <w:rPr>
                <w:rFonts w:ascii="宋体"/>
              </w:rPr>
            </w:pPr>
            <w:r>
              <w:rPr>
                <w:rFonts w:hint="eastAsia" w:ascii="宋体"/>
              </w:rPr>
              <w:t>1.在警戒区、分道通航水域；</w:t>
            </w:r>
          </w:p>
          <w:p w14:paraId="07E1F2D7">
            <w:pPr>
              <w:jc w:val="left"/>
              <w:rPr>
                <w:rFonts w:ascii="宋体"/>
                <w:kern w:val="0"/>
              </w:rPr>
            </w:pPr>
            <w:r>
              <w:rPr>
                <w:rFonts w:hint="eastAsia" w:ascii="宋体"/>
              </w:rPr>
              <w:t>2.在特殊类型船舶或者极地水域船舶上；</w:t>
            </w:r>
          </w:p>
        </w:tc>
        <w:tc>
          <w:tcPr>
            <w:tcW w:w="4536" w:type="dxa"/>
            <w:tcBorders>
              <w:top w:val="single" w:color="auto" w:sz="4" w:space="0"/>
              <w:left w:val="single" w:color="auto" w:sz="4" w:space="0"/>
              <w:bottom w:val="single" w:color="auto" w:sz="4" w:space="0"/>
              <w:right w:val="single" w:color="auto" w:sz="4" w:space="0"/>
            </w:tcBorders>
            <w:vAlign w:val="center"/>
          </w:tcPr>
          <w:p w14:paraId="2EC125D3">
            <w:pPr>
              <w:jc w:val="center"/>
              <w:rPr>
                <w:rFonts w:ascii="宋体"/>
                <w:kern w:val="0"/>
              </w:rPr>
            </w:pPr>
            <w:r>
              <w:rPr>
                <w:rFonts w:hint="eastAsia" w:ascii="宋体"/>
                <w:kern w:val="0"/>
              </w:rPr>
              <w:t>暂扣船员适任证书3-8个月</w:t>
            </w:r>
          </w:p>
        </w:tc>
        <w:tc>
          <w:tcPr>
            <w:tcW w:w="4394" w:type="dxa"/>
            <w:tcBorders>
              <w:top w:val="single" w:color="auto" w:sz="4" w:space="0"/>
              <w:left w:val="single" w:color="auto" w:sz="4" w:space="0"/>
            </w:tcBorders>
            <w:vAlign w:val="center"/>
          </w:tcPr>
          <w:p w14:paraId="78DAC896">
            <w:pPr>
              <w:jc w:val="center"/>
              <w:rPr>
                <w:rFonts w:ascii="宋体"/>
                <w:kern w:val="0"/>
              </w:rPr>
            </w:pPr>
            <w:r>
              <w:rPr>
                <w:rFonts w:hint="eastAsia" w:ascii="宋体"/>
                <w:kern w:val="0"/>
              </w:rPr>
              <w:t>暂扣船员适任证书3-8个月</w:t>
            </w:r>
          </w:p>
        </w:tc>
      </w:tr>
      <w:tr w14:paraId="700AB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23" w:type="dxa"/>
            <w:vMerge w:val="continue"/>
            <w:vAlign w:val="center"/>
          </w:tcPr>
          <w:p w14:paraId="10AAC92F">
            <w:pPr>
              <w:jc w:val="left"/>
              <w:rPr>
                <w:rFonts w:ascii="宋体"/>
                <w:kern w:val="0"/>
              </w:rPr>
            </w:pPr>
          </w:p>
        </w:tc>
        <w:tc>
          <w:tcPr>
            <w:tcW w:w="1119" w:type="dxa"/>
            <w:vMerge w:val="continue"/>
            <w:vAlign w:val="center"/>
          </w:tcPr>
          <w:p w14:paraId="27F08CE4">
            <w:pPr>
              <w:jc w:val="left"/>
              <w:rPr>
                <w:rFonts w:ascii="宋体"/>
                <w:kern w:val="0"/>
              </w:rPr>
            </w:pPr>
          </w:p>
        </w:tc>
        <w:tc>
          <w:tcPr>
            <w:tcW w:w="1559" w:type="dxa"/>
            <w:vMerge w:val="continue"/>
            <w:vAlign w:val="center"/>
          </w:tcPr>
          <w:p w14:paraId="50EF6D1B">
            <w:pPr>
              <w:jc w:val="left"/>
              <w:rPr>
                <w:rFonts w:ascii="宋体"/>
                <w:kern w:val="0"/>
              </w:rPr>
            </w:pPr>
          </w:p>
        </w:tc>
        <w:tc>
          <w:tcPr>
            <w:tcW w:w="992" w:type="dxa"/>
            <w:vMerge w:val="continue"/>
            <w:tcBorders>
              <w:bottom w:val="single" w:color="auto" w:sz="4" w:space="0"/>
            </w:tcBorders>
            <w:vAlign w:val="center"/>
          </w:tcPr>
          <w:p w14:paraId="5FB0A883">
            <w:pPr>
              <w:jc w:val="center"/>
              <w:rPr>
                <w:rFonts w:ascii="宋体"/>
                <w:kern w:val="0"/>
              </w:rPr>
            </w:pPr>
          </w:p>
        </w:tc>
        <w:tc>
          <w:tcPr>
            <w:tcW w:w="5954" w:type="dxa"/>
            <w:tcBorders>
              <w:top w:val="single" w:color="auto" w:sz="4" w:space="0"/>
              <w:bottom w:val="single" w:color="auto" w:sz="4" w:space="0"/>
            </w:tcBorders>
            <w:vAlign w:val="center"/>
          </w:tcPr>
          <w:p w14:paraId="3C989C35">
            <w:pPr>
              <w:numPr>
                <w:ilvl w:val="0"/>
                <w:numId w:val="19"/>
              </w:numPr>
              <w:jc w:val="left"/>
              <w:rPr>
                <w:rFonts w:ascii="宋体"/>
              </w:rPr>
            </w:pPr>
            <w:r>
              <w:rPr>
                <w:rFonts w:hint="eastAsia" w:ascii="宋体"/>
                <w:kern w:val="0"/>
              </w:rPr>
              <w:t>全船无人保持安全值班</w:t>
            </w:r>
            <w:r>
              <w:rPr>
                <w:rFonts w:hint="eastAsia" w:ascii="宋体"/>
              </w:rPr>
              <w:t>；</w:t>
            </w:r>
          </w:p>
          <w:p w14:paraId="651B60C1">
            <w:pPr>
              <w:numPr>
                <w:ilvl w:val="0"/>
                <w:numId w:val="19"/>
              </w:numPr>
              <w:jc w:val="left"/>
              <w:rPr>
                <w:rFonts w:ascii="宋体"/>
              </w:rPr>
            </w:pPr>
            <w:r>
              <w:rPr>
                <w:rFonts w:hint="eastAsia" w:ascii="宋体"/>
              </w:rPr>
              <w:t>造成险情或一般等级事故的；</w:t>
            </w:r>
          </w:p>
          <w:p w14:paraId="34BD77C4">
            <w:pPr>
              <w:numPr>
                <w:ilvl w:val="0"/>
                <w:numId w:val="19"/>
              </w:numPr>
              <w:jc w:val="left"/>
              <w:rPr>
                <w:rFonts w:ascii="宋体"/>
              </w:rPr>
            </w:pPr>
            <w:r>
              <w:rPr>
                <w:rFonts w:hint="eastAsia" w:ascii="宋体"/>
                <w:kern w:val="0"/>
              </w:rPr>
              <w:t>具有其他较重情节的。</w:t>
            </w:r>
          </w:p>
          <w:p w14:paraId="73C47226">
            <w:pPr>
              <w:jc w:val="left"/>
              <w:rPr>
                <w:rFonts w:ascii="宋体"/>
              </w:rPr>
            </w:pPr>
          </w:p>
        </w:tc>
        <w:tc>
          <w:tcPr>
            <w:tcW w:w="4536" w:type="dxa"/>
            <w:tcBorders>
              <w:top w:val="single" w:color="auto" w:sz="4" w:space="0"/>
              <w:left w:val="single" w:color="auto" w:sz="4" w:space="0"/>
              <w:bottom w:val="single" w:color="auto" w:sz="4" w:space="0"/>
              <w:right w:val="single" w:color="auto" w:sz="4" w:space="0"/>
            </w:tcBorders>
            <w:vAlign w:val="center"/>
          </w:tcPr>
          <w:p w14:paraId="5EB814A8">
            <w:pPr>
              <w:jc w:val="center"/>
              <w:rPr>
                <w:rFonts w:ascii="宋体"/>
                <w:kern w:val="0"/>
              </w:rPr>
            </w:pPr>
            <w:r>
              <w:rPr>
                <w:rFonts w:hint="eastAsia" w:ascii="宋体"/>
                <w:kern w:val="0"/>
              </w:rPr>
              <w:t>暂扣船员适任证书9-12个月</w:t>
            </w:r>
          </w:p>
        </w:tc>
        <w:tc>
          <w:tcPr>
            <w:tcW w:w="4394" w:type="dxa"/>
            <w:tcBorders>
              <w:top w:val="single" w:color="auto" w:sz="4" w:space="0"/>
              <w:left w:val="single" w:color="auto" w:sz="4" w:space="0"/>
            </w:tcBorders>
            <w:vAlign w:val="center"/>
          </w:tcPr>
          <w:p w14:paraId="3695FF14">
            <w:pPr>
              <w:jc w:val="center"/>
              <w:rPr>
                <w:rFonts w:ascii="宋体"/>
                <w:kern w:val="0"/>
              </w:rPr>
            </w:pPr>
            <w:r>
              <w:rPr>
                <w:rFonts w:hint="eastAsia" w:ascii="宋体"/>
                <w:kern w:val="0"/>
              </w:rPr>
              <w:t>暂扣船员适任证书9-12个月</w:t>
            </w:r>
          </w:p>
        </w:tc>
      </w:tr>
      <w:tr w14:paraId="55860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923" w:type="dxa"/>
            <w:vMerge w:val="continue"/>
            <w:vAlign w:val="center"/>
          </w:tcPr>
          <w:p w14:paraId="0CBD45C9">
            <w:pPr>
              <w:jc w:val="left"/>
              <w:rPr>
                <w:rFonts w:ascii="宋体"/>
                <w:kern w:val="0"/>
              </w:rPr>
            </w:pPr>
          </w:p>
        </w:tc>
        <w:tc>
          <w:tcPr>
            <w:tcW w:w="1119" w:type="dxa"/>
            <w:vMerge w:val="continue"/>
            <w:vAlign w:val="center"/>
          </w:tcPr>
          <w:p w14:paraId="4A06A4B1">
            <w:pPr>
              <w:jc w:val="left"/>
              <w:rPr>
                <w:rFonts w:ascii="宋体"/>
                <w:kern w:val="0"/>
              </w:rPr>
            </w:pPr>
          </w:p>
        </w:tc>
        <w:tc>
          <w:tcPr>
            <w:tcW w:w="1559" w:type="dxa"/>
            <w:vMerge w:val="continue"/>
            <w:vAlign w:val="center"/>
          </w:tcPr>
          <w:p w14:paraId="53415C47">
            <w:pPr>
              <w:jc w:val="left"/>
              <w:rPr>
                <w:rFonts w:ascii="宋体"/>
                <w:kern w:val="0"/>
              </w:rPr>
            </w:pPr>
          </w:p>
        </w:tc>
        <w:tc>
          <w:tcPr>
            <w:tcW w:w="992" w:type="dxa"/>
            <w:tcBorders>
              <w:top w:val="single" w:color="auto" w:sz="4" w:space="0"/>
              <w:right w:val="single" w:color="auto" w:sz="4" w:space="0"/>
            </w:tcBorders>
            <w:vAlign w:val="center"/>
          </w:tcPr>
          <w:p w14:paraId="3CBC91F2">
            <w:pPr>
              <w:jc w:val="center"/>
              <w:rPr>
                <w:rFonts w:ascii="宋体"/>
                <w:kern w:val="0"/>
              </w:rPr>
            </w:pPr>
            <w:r>
              <w:rPr>
                <w:rFonts w:hint="eastAsia" w:ascii="宋体"/>
                <w:kern w:val="0"/>
              </w:rPr>
              <w:t>情节严重</w:t>
            </w:r>
          </w:p>
        </w:tc>
        <w:tc>
          <w:tcPr>
            <w:tcW w:w="5954" w:type="dxa"/>
            <w:tcBorders>
              <w:top w:val="single" w:color="auto" w:sz="4" w:space="0"/>
              <w:left w:val="single" w:color="auto" w:sz="4" w:space="0"/>
              <w:bottom w:val="single" w:color="auto" w:sz="4" w:space="0"/>
            </w:tcBorders>
            <w:vAlign w:val="center"/>
          </w:tcPr>
          <w:p w14:paraId="322F24D2">
            <w:pPr>
              <w:jc w:val="left"/>
              <w:rPr>
                <w:rFonts w:ascii="宋体"/>
                <w:kern w:val="0"/>
              </w:rPr>
            </w:pPr>
            <w:r>
              <w:rPr>
                <w:rFonts w:hint="eastAsia" w:ascii="宋体"/>
                <w:kern w:val="0"/>
              </w:rPr>
              <w:t xml:space="preserve">1.造成较大等级以上事故的； </w:t>
            </w:r>
          </w:p>
          <w:p w14:paraId="36AA1511">
            <w:pPr>
              <w:jc w:val="left"/>
              <w:rPr>
                <w:rFonts w:ascii="宋体"/>
                <w:kern w:val="0"/>
              </w:rPr>
            </w:pPr>
            <w:r>
              <w:rPr>
                <w:rFonts w:hint="eastAsia" w:ascii="宋体"/>
                <w:kern w:val="0"/>
              </w:rPr>
              <w:t>2.具有其他严重情节的。</w:t>
            </w:r>
          </w:p>
        </w:tc>
        <w:tc>
          <w:tcPr>
            <w:tcW w:w="4536" w:type="dxa"/>
            <w:tcBorders>
              <w:top w:val="single" w:color="auto" w:sz="4" w:space="0"/>
              <w:left w:val="single" w:color="auto" w:sz="4" w:space="0"/>
              <w:right w:val="single" w:color="auto" w:sz="4" w:space="0"/>
            </w:tcBorders>
            <w:vAlign w:val="center"/>
          </w:tcPr>
          <w:p w14:paraId="71A40605">
            <w:pPr>
              <w:jc w:val="center"/>
              <w:rPr>
                <w:rFonts w:ascii="宋体"/>
                <w:kern w:val="0"/>
              </w:rPr>
            </w:pPr>
            <w:r>
              <w:rPr>
                <w:rFonts w:hint="eastAsia" w:ascii="宋体"/>
                <w:kern w:val="0"/>
              </w:rPr>
              <w:t>吊销船员适任证书</w:t>
            </w:r>
          </w:p>
        </w:tc>
        <w:tc>
          <w:tcPr>
            <w:tcW w:w="4394" w:type="dxa"/>
            <w:tcBorders>
              <w:left w:val="single" w:color="auto" w:sz="4" w:space="0"/>
            </w:tcBorders>
            <w:vAlign w:val="center"/>
          </w:tcPr>
          <w:p w14:paraId="1EDE578B">
            <w:pPr>
              <w:jc w:val="center"/>
              <w:rPr>
                <w:rFonts w:ascii="宋体"/>
                <w:kern w:val="0"/>
              </w:rPr>
            </w:pPr>
            <w:r>
              <w:rPr>
                <w:rFonts w:hint="eastAsia" w:ascii="宋体"/>
                <w:kern w:val="0"/>
              </w:rPr>
              <w:t>吊销船员适任证书</w:t>
            </w:r>
          </w:p>
        </w:tc>
      </w:tr>
      <w:tr w14:paraId="30F7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19477" w:type="dxa"/>
            <w:gridSpan w:val="7"/>
            <w:vAlign w:val="center"/>
          </w:tcPr>
          <w:p w14:paraId="127E7396">
            <w:pPr>
              <w:jc w:val="left"/>
              <w:rPr>
                <w:rFonts w:ascii="宋体"/>
                <w:b/>
                <w:kern w:val="0"/>
              </w:rPr>
            </w:pPr>
            <w:r>
              <w:rPr>
                <w:rFonts w:hint="eastAsia" w:ascii="宋体"/>
                <w:b/>
                <w:bCs/>
                <w:kern w:val="0"/>
              </w:rPr>
              <w:t>注：</w:t>
            </w:r>
            <w:r>
              <w:rPr>
                <w:rFonts w:hint="eastAsia" w:ascii="宋体"/>
                <w:kern w:val="0"/>
              </w:rPr>
              <w:t>特殊类型船舶指油船、化学品船、液化气船、客船、高速船、使用气体或者其他低闪点燃料的船舶。</w:t>
            </w:r>
          </w:p>
          <w:p w14:paraId="7EB4F4EE">
            <w:pPr>
              <w:jc w:val="left"/>
              <w:rPr>
                <w:rFonts w:ascii="宋体"/>
                <w:b/>
                <w:kern w:val="0"/>
              </w:rPr>
            </w:pPr>
          </w:p>
        </w:tc>
      </w:tr>
    </w:tbl>
    <w:p w14:paraId="551DE268">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276"/>
        <w:gridCol w:w="1559"/>
        <w:gridCol w:w="993"/>
        <w:gridCol w:w="5670"/>
        <w:gridCol w:w="4394"/>
        <w:gridCol w:w="4394"/>
      </w:tblGrid>
      <w:tr w14:paraId="325C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191" w:type="dxa"/>
            <w:vMerge w:val="restart"/>
            <w:vAlign w:val="center"/>
          </w:tcPr>
          <w:p w14:paraId="41EE15D9">
            <w:pPr>
              <w:jc w:val="left"/>
              <w:rPr>
                <w:rFonts w:ascii="宋体"/>
                <w:b/>
                <w:kern w:val="0"/>
              </w:rPr>
            </w:pPr>
            <w:r>
              <w:rPr>
                <w:rFonts w:hint="eastAsia" w:ascii="宋体"/>
                <w:b/>
                <w:kern w:val="0"/>
              </w:rPr>
              <w:t>案由108</w:t>
            </w:r>
          </w:p>
        </w:tc>
        <w:tc>
          <w:tcPr>
            <w:tcW w:w="2835" w:type="dxa"/>
            <w:gridSpan w:val="2"/>
            <w:vAlign w:val="center"/>
          </w:tcPr>
          <w:p w14:paraId="2A8D04D0">
            <w:pPr>
              <w:jc w:val="center"/>
              <w:rPr>
                <w:rFonts w:ascii="宋体"/>
                <w:b/>
                <w:kern w:val="0"/>
              </w:rPr>
            </w:pPr>
            <w:r>
              <w:rPr>
                <w:rFonts w:hint="eastAsia" w:ascii="宋体"/>
                <w:b/>
                <w:kern w:val="0"/>
              </w:rPr>
              <w:t>法律依据</w:t>
            </w:r>
          </w:p>
        </w:tc>
        <w:tc>
          <w:tcPr>
            <w:tcW w:w="993" w:type="dxa"/>
            <w:vMerge w:val="restart"/>
            <w:vAlign w:val="center"/>
          </w:tcPr>
          <w:p w14:paraId="78492F9A">
            <w:pPr>
              <w:jc w:val="center"/>
              <w:rPr>
                <w:rFonts w:ascii="宋体"/>
                <w:b/>
                <w:kern w:val="0"/>
              </w:rPr>
            </w:pPr>
            <w:r>
              <w:rPr>
                <w:rFonts w:hint="eastAsia" w:ascii="宋体"/>
                <w:b/>
                <w:kern w:val="0"/>
              </w:rPr>
              <w:t>违法情节</w:t>
            </w:r>
          </w:p>
        </w:tc>
        <w:tc>
          <w:tcPr>
            <w:tcW w:w="5670" w:type="dxa"/>
            <w:vMerge w:val="restart"/>
            <w:vAlign w:val="center"/>
          </w:tcPr>
          <w:p w14:paraId="0D47E282">
            <w:pPr>
              <w:jc w:val="center"/>
              <w:rPr>
                <w:rFonts w:ascii="宋体"/>
                <w:b/>
                <w:kern w:val="0"/>
              </w:rPr>
            </w:pPr>
            <w:r>
              <w:rPr>
                <w:rFonts w:hint="eastAsia" w:ascii="宋体"/>
                <w:b/>
                <w:kern w:val="0"/>
              </w:rPr>
              <w:t>主要考虑因素（事实、性质、情节、危害程度和实际后果等）</w:t>
            </w:r>
          </w:p>
        </w:tc>
        <w:tc>
          <w:tcPr>
            <w:tcW w:w="8788" w:type="dxa"/>
            <w:gridSpan w:val="2"/>
            <w:vAlign w:val="center"/>
          </w:tcPr>
          <w:p w14:paraId="211AD3CC">
            <w:pPr>
              <w:jc w:val="left"/>
              <w:rPr>
                <w:rFonts w:ascii="宋体"/>
                <w:b/>
                <w:kern w:val="0"/>
              </w:rPr>
            </w:pPr>
            <w:r>
              <w:rPr>
                <w:rFonts w:hint="eastAsia" w:ascii="宋体"/>
                <w:b/>
                <w:kern w:val="0"/>
              </w:rPr>
              <w:t>【法定幅度和种类】</w:t>
            </w:r>
            <w:r>
              <w:rPr>
                <w:rFonts w:hint="eastAsia" w:ascii="宋体"/>
                <w:kern w:val="0"/>
              </w:rPr>
              <w:t>由海事管理机构对船长、责任船员处一千元以上一万元以下的罚款，或者暂扣船员适任证书三个月至十二个月；情节严重的，吊销船长、责任船员的船员适任证书。</w:t>
            </w:r>
          </w:p>
        </w:tc>
      </w:tr>
      <w:tr w14:paraId="66BA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14:paraId="1789633E">
            <w:pPr>
              <w:jc w:val="left"/>
              <w:rPr>
                <w:rFonts w:ascii="宋体"/>
                <w:b/>
                <w:kern w:val="0"/>
              </w:rPr>
            </w:pPr>
          </w:p>
        </w:tc>
        <w:tc>
          <w:tcPr>
            <w:tcW w:w="1276" w:type="dxa"/>
            <w:vMerge w:val="restart"/>
            <w:tcBorders>
              <w:bottom w:val="single" w:color="000000" w:sz="4" w:space="0"/>
            </w:tcBorders>
            <w:vAlign w:val="center"/>
          </w:tcPr>
          <w:p w14:paraId="0373A61F">
            <w:pPr>
              <w:jc w:val="center"/>
              <w:rPr>
                <w:rFonts w:ascii="宋体"/>
                <w:b/>
                <w:kern w:val="0"/>
              </w:rPr>
            </w:pPr>
            <w:r>
              <w:rPr>
                <w:rFonts w:hint="eastAsia" w:ascii="宋体"/>
                <w:b/>
                <w:kern w:val="0"/>
              </w:rPr>
              <w:t>违反条款</w:t>
            </w:r>
          </w:p>
        </w:tc>
        <w:tc>
          <w:tcPr>
            <w:tcW w:w="1559" w:type="dxa"/>
            <w:vMerge w:val="restart"/>
            <w:tcBorders>
              <w:bottom w:val="single" w:color="000000" w:sz="4" w:space="0"/>
            </w:tcBorders>
            <w:vAlign w:val="center"/>
          </w:tcPr>
          <w:p w14:paraId="05FF09F1">
            <w:pPr>
              <w:jc w:val="center"/>
              <w:rPr>
                <w:rFonts w:ascii="宋体"/>
                <w:b/>
                <w:kern w:val="0"/>
              </w:rPr>
            </w:pPr>
            <w:r>
              <w:rPr>
                <w:rFonts w:hint="eastAsia" w:ascii="宋体"/>
                <w:b/>
                <w:kern w:val="0"/>
              </w:rPr>
              <w:t>处罚依据</w:t>
            </w:r>
          </w:p>
        </w:tc>
        <w:tc>
          <w:tcPr>
            <w:tcW w:w="993" w:type="dxa"/>
            <w:vMerge w:val="continue"/>
            <w:tcBorders>
              <w:bottom w:val="single" w:color="000000" w:sz="4" w:space="0"/>
            </w:tcBorders>
            <w:vAlign w:val="center"/>
          </w:tcPr>
          <w:p w14:paraId="5579A409">
            <w:pPr>
              <w:jc w:val="left"/>
              <w:rPr>
                <w:rFonts w:ascii="宋体"/>
                <w:b/>
                <w:kern w:val="0"/>
              </w:rPr>
            </w:pPr>
          </w:p>
        </w:tc>
        <w:tc>
          <w:tcPr>
            <w:tcW w:w="5670" w:type="dxa"/>
            <w:vMerge w:val="continue"/>
            <w:tcBorders>
              <w:bottom w:val="single" w:color="000000" w:sz="4" w:space="0"/>
            </w:tcBorders>
            <w:vAlign w:val="center"/>
          </w:tcPr>
          <w:p w14:paraId="2F09DD77">
            <w:pPr>
              <w:jc w:val="left"/>
              <w:rPr>
                <w:rFonts w:ascii="宋体"/>
                <w:b/>
                <w:kern w:val="0"/>
              </w:rPr>
            </w:pPr>
          </w:p>
        </w:tc>
        <w:tc>
          <w:tcPr>
            <w:tcW w:w="4394" w:type="dxa"/>
            <w:vMerge w:val="restart"/>
            <w:tcBorders>
              <w:top w:val="single" w:color="auto" w:sz="4" w:space="0"/>
              <w:left w:val="single" w:color="auto" w:sz="4" w:space="0"/>
            </w:tcBorders>
            <w:vAlign w:val="center"/>
          </w:tcPr>
          <w:p w14:paraId="091C134D">
            <w:pPr>
              <w:jc w:val="center"/>
              <w:rPr>
                <w:rFonts w:ascii="宋体"/>
                <w:b/>
                <w:kern w:val="0"/>
              </w:rPr>
            </w:pPr>
            <w:r>
              <w:rPr>
                <w:rFonts w:hint="eastAsia" w:ascii="宋体"/>
                <w:b/>
                <w:kern w:val="0"/>
              </w:rPr>
              <w:t>【对象】船长</w:t>
            </w:r>
          </w:p>
        </w:tc>
        <w:tc>
          <w:tcPr>
            <w:tcW w:w="4394" w:type="dxa"/>
            <w:vMerge w:val="restart"/>
            <w:tcBorders>
              <w:top w:val="single" w:color="auto" w:sz="4" w:space="0"/>
              <w:left w:val="single" w:color="auto" w:sz="4" w:space="0"/>
            </w:tcBorders>
            <w:vAlign w:val="center"/>
          </w:tcPr>
          <w:p w14:paraId="1090179C">
            <w:pPr>
              <w:jc w:val="center"/>
              <w:rPr>
                <w:rFonts w:ascii="宋体"/>
                <w:b/>
                <w:kern w:val="0"/>
              </w:rPr>
            </w:pPr>
            <w:r>
              <w:rPr>
                <w:rFonts w:hint="eastAsia" w:ascii="宋体"/>
                <w:b/>
                <w:kern w:val="0"/>
              </w:rPr>
              <w:t>【对象】责任船员</w:t>
            </w:r>
          </w:p>
        </w:tc>
      </w:tr>
      <w:tr w14:paraId="74A8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12" w:hRule="atLeast"/>
        </w:trPr>
        <w:tc>
          <w:tcPr>
            <w:tcW w:w="1191" w:type="dxa"/>
            <w:vMerge w:val="continue"/>
            <w:vAlign w:val="center"/>
          </w:tcPr>
          <w:p w14:paraId="15695806">
            <w:pPr>
              <w:jc w:val="left"/>
              <w:rPr>
                <w:rFonts w:ascii="宋体"/>
                <w:b/>
                <w:kern w:val="0"/>
              </w:rPr>
            </w:pPr>
          </w:p>
        </w:tc>
        <w:tc>
          <w:tcPr>
            <w:tcW w:w="1276" w:type="dxa"/>
            <w:vMerge w:val="continue"/>
            <w:vAlign w:val="center"/>
          </w:tcPr>
          <w:p w14:paraId="14E13E07">
            <w:pPr>
              <w:jc w:val="left"/>
              <w:rPr>
                <w:rFonts w:ascii="宋体"/>
                <w:b/>
                <w:kern w:val="0"/>
              </w:rPr>
            </w:pPr>
          </w:p>
        </w:tc>
        <w:tc>
          <w:tcPr>
            <w:tcW w:w="1559" w:type="dxa"/>
            <w:vMerge w:val="continue"/>
            <w:vAlign w:val="center"/>
          </w:tcPr>
          <w:p w14:paraId="775B93F6">
            <w:pPr>
              <w:jc w:val="left"/>
              <w:rPr>
                <w:rFonts w:ascii="宋体"/>
                <w:b/>
                <w:kern w:val="0"/>
              </w:rPr>
            </w:pPr>
          </w:p>
        </w:tc>
        <w:tc>
          <w:tcPr>
            <w:tcW w:w="993" w:type="dxa"/>
            <w:vMerge w:val="continue"/>
            <w:vAlign w:val="center"/>
          </w:tcPr>
          <w:p w14:paraId="5B4A1754">
            <w:pPr>
              <w:jc w:val="left"/>
              <w:rPr>
                <w:rFonts w:ascii="宋体"/>
                <w:b/>
                <w:kern w:val="0"/>
              </w:rPr>
            </w:pPr>
          </w:p>
        </w:tc>
        <w:tc>
          <w:tcPr>
            <w:tcW w:w="5670" w:type="dxa"/>
            <w:vMerge w:val="continue"/>
            <w:vAlign w:val="center"/>
          </w:tcPr>
          <w:p w14:paraId="689F71B5">
            <w:pPr>
              <w:jc w:val="left"/>
              <w:rPr>
                <w:rFonts w:ascii="宋体"/>
                <w:b/>
                <w:kern w:val="0"/>
              </w:rPr>
            </w:pPr>
          </w:p>
        </w:tc>
        <w:tc>
          <w:tcPr>
            <w:tcW w:w="4394" w:type="dxa"/>
            <w:vMerge w:val="continue"/>
            <w:tcBorders>
              <w:left w:val="single" w:color="auto" w:sz="4" w:space="0"/>
              <w:right w:val="single" w:color="auto" w:sz="4" w:space="0"/>
            </w:tcBorders>
            <w:vAlign w:val="center"/>
          </w:tcPr>
          <w:p w14:paraId="6C6DF2A1">
            <w:pPr>
              <w:jc w:val="left"/>
              <w:rPr>
                <w:rFonts w:ascii="宋体"/>
                <w:b/>
                <w:kern w:val="0"/>
              </w:rPr>
            </w:pPr>
          </w:p>
        </w:tc>
        <w:tc>
          <w:tcPr>
            <w:tcW w:w="4394" w:type="dxa"/>
            <w:vMerge w:val="continue"/>
            <w:tcBorders>
              <w:left w:val="single" w:color="auto" w:sz="4" w:space="0"/>
            </w:tcBorders>
            <w:vAlign w:val="center"/>
          </w:tcPr>
          <w:p w14:paraId="77113BFD">
            <w:pPr>
              <w:jc w:val="left"/>
              <w:rPr>
                <w:rFonts w:ascii="宋体"/>
                <w:b/>
                <w:kern w:val="0"/>
              </w:rPr>
            </w:pPr>
          </w:p>
        </w:tc>
      </w:tr>
      <w:tr w14:paraId="0547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14:paraId="19710C53">
            <w:pPr>
              <w:widowControl/>
              <w:jc w:val="left"/>
              <w:rPr>
                <w:rFonts w:ascii="宋体"/>
                <w:kern w:val="0"/>
              </w:rPr>
            </w:pPr>
            <w:r>
              <w:rPr>
                <w:rFonts w:hint="eastAsia" w:ascii="宋体"/>
                <w:kern w:val="0"/>
              </w:rPr>
              <w:t>船员未保持安全值班，违反规定摄入可能影响安全值班的食品、药品或其他物品</w:t>
            </w:r>
          </w:p>
        </w:tc>
        <w:tc>
          <w:tcPr>
            <w:tcW w:w="1276" w:type="dxa"/>
            <w:vMerge w:val="restart"/>
            <w:vAlign w:val="center"/>
          </w:tcPr>
          <w:p w14:paraId="713C93D2">
            <w:pPr>
              <w:widowControl/>
              <w:rPr>
                <w:rFonts w:ascii="宋体"/>
                <w:kern w:val="0"/>
              </w:rPr>
            </w:pPr>
            <w:r>
              <w:rPr>
                <w:rFonts w:hint="eastAsia" w:ascii="宋体"/>
                <w:kern w:val="0"/>
              </w:rPr>
              <w:t>1.《中华人民共和国海上交通安全法》第四十二条；</w:t>
            </w:r>
          </w:p>
          <w:p w14:paraId="3E91D268">
            <w:pPr>
              <w:widowControl/>
              <w:rPr>
                <w:rFonts w:ascii="宋体"/>
              </w:rPr>
            </w:pPr>
            <w:r>
              <w:rPr>
                <w:rFonts w:hint="eastAsia" w:ascii="宋体"/>
              </w:rPr>
              <w:t>2.其他法律、法规、规章等。</w:t>
            </w:r>
          </w:p>
        </w:tc>
        <w:tc>
          <w:tcPr>
            <w:tcW w:w="1559" w:type="dxa"/>
            <w:vMerge w:val="restart"/>
            <w:vAlign w:val="center"/>
          </w:tcPr>
          <w:p w14:paraId="536FFEFA">
            <w:pPr>
              <w:jc w:val="left"/>
              <w:rPr>
                <w:rFonts w:ascii="宋体"/>
                <w:kern w:val="0"/>
              </w:rPr>
            </w:pPr>
            <w:r>
              <w:rPr>
                <w:rFonts w:hint="eastAsia" w:ascii="宋体"/>
                <w:kern w:val="0"/>
              </w:rPr>
              <w:t>1.《中华人民共和国海上交通安全法》第九十九条、《中华人民共和国海上海事行政处罚规定》第十六条。</w:t>
            </w:r>
          </w:p>
          <w:p w14:paraId="55FDCB98">
            <w:pPr>
              <w:jc w:val="left"/>
              <w:rPr>
                <w:rFonts w:ascii="宋体"/>
                <w:kern w:val="0"/>
              </w:rPr>
            </w:pPr>
            <w:r>
              <w:rPr>
                <w:rFonts w:hint="eastAsia" w:ascii="宋体"/>
                <w:kern w:val="0"/>
              </w:rPr>
              <w:t>2. 《中华人民共和国海上海事行政处罚规定》第七条。</w:t>
            </w:r>
          </w:p>
        </w:tc>
        <w:tc>
          <w:tcPr>
            <w:tcW w:w="993" w:type="dxa"/>
            <w:vAlign w:val="center"/>
          </w:tcPr>
          <w:p w14:paraId="6A16C311">
            <w:pPr>
              <w:jc w:val="center"/>
              <w:rPr>
                <w:rFonts w:ascii="宋体"/>
                <w:kern w:val="0"/>
              </w:rPr>
            </w:pPr>
            <w:r>
              <w:rPr>
                <w:rFonts w:hint="eastAsia" w:ascii="宋体"/>
                <w:kern w:val="0"/>
              </w:rPr>
              <w:t>从轻</w:t>
            </w:r>
          </w:p>
        </w:tc>
        <w:tc>
          <w:tcPr>
            <w:tcW w:w="5670" w:type="dxa"/>
            <w:vAlign w:val="center"/>
          </w:tcPr>
          <w:p w14:paraId="4F24D051">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情节的(违反规定摄入可能影响安全值班的食品、药品或其他物品</w:t>
            </w:r>
            <w:r>
              <w:rPr>
                <w:rFonts w:hint="eastAsia" w:ascii="宋体"/>
              </w:rPr>
              <w:t>，意识处于清醒状态。</w:t>
            </w:r>
            <w:r>
              <w:rPr>
                <w:rFonts w:hint="eastAsia" w:ascii="宋体"/>
                <w:kern w:val="0"/>
              </w:rPr>
              <w:t xml:space="preserve">) </w:t>
            </w:r>
          </w:p>
        </w:tc>
        <w:tc>
          <w:tcPr>
            <w:tcW w:w="4394" w:type="dxa"/>
            <w:tcBorders>
              <w:left w:val="single" w:color="auto" w:sz="4" w:space="0"/>
              <w:bottom w:val="single" w:color="auto" w:sz="4" w:space="0"/>
              <w:right w:val="single" w:color="auto" w:sz="4" w:space="0"/>
            </w:tcBorders>
            <w:vAlign w:val="center"/>
          </w:tcPr>
          <w:p w14:paraId="1AEBB3E8">
            <w:pPr>
              <w:jc w:val="center"/>
              <w:rPr>
                <w:rFonts w:ascii="宋体"/>
                <w:kern w:val="0"/>
              </w:rPr>
            </w:pPr>
            <w:r>
              <w:rPr>
                <w:rFonts w:hint="eastAsia" w:ascii="宋体"/>
                <w:kern w:val="0"/>
              </w:rPr>
              <w:t>1000-2000元</w:t>
            </w:r>
          </w:p>
        </w:tc>
        <w:tc>
          <w:tcPr>
            <w:tcW w:w="4394" w:type="dxa"/>
            <w:tcBorders>
              <w:left w:val="single" w:color="auto" w:sz="4" w:space="0"/>
              <w:bottom w:val="single" w:color="auto" w:sz="4" w:space="0"/>
            </w:tcBorders>
            <w:vAlign w:val="center"/>
          </w:tcPr>
          <w:p w14:paraId="2BE3A716">
            <w:pPr>
              <w:jc w:val="center"/>
              <w:rPr>
                <w:rFonts w:ascii="宋体"/>
                <w:kern w:val="0"/>
              </w:rPr>
            </w:pPr>
            <w:r>
              <w:rPr>
                <w:rFonts w:hint="eastAsia" w:ascii="宋体"/>
                <w:kern w:val="0"/>
              </w:rPr>
              <w:t>1000-2000元</w:t>
            </w:r>
          </w:p>
        </w:tc>
      </w:tr>
      <w:tr w14:paraId="5E59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4" w:hRule="atLeast"/>
        </w:trPr>
        <w:tc>
          <w:tcPr>
            <w:tcW w:w="1191" w:type="dxa"/>
            <w:vMerge w:val="continue"/>
            <w:vAlign w:val="center"/>
          </w:tcPr>
          <w:p w14:paraId="2D59A233">
            <w:pPr>
              <w:jc w:val="left"/>
              <w:rPr>
                <w:rFonts w:ascii="宋体"/>
                <w:kern w:val="0"/>
              </w:rPr>
            </w:pPr>
          </w:p>
        </w:tc>
        <w:tc>
          <w:tcPr>
            <w:tcW w:w="1276" w:type="dxa"/>
            <w:vMerge w:val="continue"/>
            <w:vAlign w:val="center"/>
          </w:tcPr>
          <w:p w14:paraId="4443540F">
            <w:pPr>
              <w:widowControl/>
              <w:jc w:val="left"/>
              <w:rPr>
                <w:rFonts w:ascii="宋体"/>
                <w:kern w:val="0"/>
              </w:rPr>
            </w:pPr>
          </w:p>
        </w:tc>
        <w:tc>
          <w:tcPr>
            <w:tcW w:w="1559" w:type="dxa"/>
            <w:vMerge w:val="continue"/>
            <w:vAlign w:val="center"/>
          </w:tcPr>
          <w:p w14:paraId="508BD098">
            <w:pPr>
              <w:jc w:val="left"/>
              <w:rPr>
                <w:rFonts w:ascii="宋体"/>
                <w:kern w:val="0"/>
              </w:rPr>
            </w:pPr>
          </w:p>
        </w:tc>
        <w:tc>
          <w:tcPr>
            <w:tcW w:w="993" w:type="dxa"/>
            <w:vMerge w:val="restart"/>
            <w:vAlign w:val="center"/>
          </w:tcPr>
          <w:p w14:paraId="79C8BAE9">
            <w:pPr>
              <w:jc w:val="center"/>
              <w:rPr>
                <w:rFonts w:ascii="宋体"/>
                <w:kern w:val="0"/>
              </w:rPr>
            </w:pPr>
            <w:r>
              <w:rPr>
                <w:rFonts w:hint="eastAsia" w:ascii="宋体"/>
                <w:kern w:val="0"/>
              </w:rPr>
              <w:t>一般</w:t>
            </w:r>
          </w:p>
        </w:tc>
        <w:tc>
          <w:tcPr>
            <w:tcW w:w="5670" w:type="dxa"/>
            <w:vAlign w:val="center"/>
          </w:tcPr>
          <w:p w14:paraId="38656275">
            <w:pPr>
              <w:pStyle w:val="13"/>
              <w:jc w:val="left"/>
              <w:rPr>
                <w:rFonts w:ascii="宋体"/>
              </w:rPr>
            </w:pPr>
            <w:r>
              <w:rPr>
                <w:rFonts w:hint="eastAsia" w:ascii="宋体"/>
              </w:rPr>
              <w:t>靠泊期间违反规定摄入可能影响安全值班的食品、药品或其他物品，致使意识不清</w:t>
            </w:r>
          </w:p>
        </w:tc>
        <w:tc>
          <w:tcPr>
            <w:tcW w:w="4394" w:type="dxa"/>
            <w:tcBorders>
              <w:top w:val="single" w:color="auto" w:sz="4" w:space="0"/>
              <w:left w:val="single" w:color="auto" w:sz="4" w:space="0"/>
              <w:right w:val="single" w:color="auto" w:sz="4" w:space="0"/>
            </w:tcBorders>
            <w:vAlign w:val="center"/>
          </w:tcPr>
          <w:p w14:paraId="7A1ED796">
            <w:pPr>
              <w:jc w:val="center"/>
              <w:rPr>
                <w:rFonts w:ascii="宋体"/>
                <w:kern w:val="0"/>
              </w:rPr>
            </w:pPr>
            <w:r>
              <w:rPr>
                <w:rFonts w:hint="eastAsia" w:ascii="宋体"/>
                <w:kern w:val="0"/>
              </w:rPr>
              <w:t>2000-6000元</w:t>
            </w:r>
          </w:p>
        </w:tc>
        <w:tc>
          <w:tcPr>
            <w:tcW w:w="4394" w:type="dxa"/>
            <w:tcBorders>
              <w:top w:val="single" w:color="auto" w:sz="4" w:space="0"/>
              <w:left w:val="single" w:color="auto" w:sz="4" w:space="0"/>
            </w:tcBorders>
            <w:vAlign w:val="center"/>
          </w:tcPr>
          <w:p w14:paraId="7F6C5AA6">
            <w:pPr>
              <w:jc w:val="center"/>
              <w:rPr>
                <w:rFonts w:ascii="宋体"/>
                <w:kern w:val="0"/>
              </w:rPr>
            </w:pPr>
            <w:r>
              <w:rPr>
                <w:rFonts w:hint="eastAsia" w:ascii="宋体"/>
                <w:kern w:val="0"/>
              </w:rPr>
              <w:t>2000-6000元</w:t>
            </w:r>
          </w:p>
        </w:tc>
      </w:tr>
      <w:tr w14:paraId="22CCC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191" w:type="dxa"/>
            <w:vMerge w:val="continue"/>
            <w:vAlign w:val="center"/>
          </w:tcPr>
          <w:p w14:paraId="3CF9CD11">
            <w:pPr>
              <w:jc w:val="left"/>
              <w:rPr>
                <w:rFonts w:ascii="宋体"/>
                <w:kern w:val="0"/>
              </w:rPr>
            </w:pPr>
          </w:p>
        </w:tc>
        <w:tc>
          <w:tcPr>
            <w:tcW w:w="1276" w:type="dxa"/>
            <w:vMerge w:val="continue"/>
            <w:vAlign w:val="center"/>
          </w:tcPr>
          <w:p w14:paraId="3DDB6FC8">
            <w:pPr>
              <w:widowControl/>
              <w:jc w:val="left"/>
              <w:rPr>
                <w:rFonts w:ascii="宋体"/>
                <w:kern w:val="0"/>
              </w:rPr>
            </w:pPr>
          </w:p>
        </w:tc>
        <w:tc>
          <w:tcPr>
            <w:tcW w:w="1559" w:type="dxa"/>
            <w:vMerge w:val="continue"/>
            <w:vAlign w:val="center"/>
          </w:tcPr>
          <w:p w14:paraId="21A5FB97">
            <w:pPr>
              <w:jc w:val="left"/>
              <w:rPr>
                <w:rFonts w:ascii="宋体"/>
                <w:kern w:val="0"/>
              </w:rPr>
            </w:pPr>
          </w:p>
        </w:tc>
        <w:tc>
          <w:tcPr>
            <w:tcW w:w="993" w:type="dxa"/>
            <w:vMerge w:val="continue"/>
            <w:vAlign w:val="center"/>
          </w:tcPr>
          <w:p w14:paraId="38BB1C5D">
            <w:pPr>
              <w:jc w:val="center"/>
              <w:rPr>
                <w:rFonts w:ascii="宋体"/>
                <w:kern w:val="0"/>
              </w:rPr>
            </w:pPr>
          </w:p>
        </w:tc>
        <w:tc>
          <w:tcPr>
            <w:tcW w:w="5670" w:type="dxa"/>
            <w:vAlign w:val="center"/>
          </w:tcPr>
          <w:p w14:paraId="0D089878">
            <w:pPr>
              <w:pStyle w:val="13"/>
              <w:jc w:val="left"/>
              <w:rPr>
                <w:rFonts w:ascii="宋体"/>
              </w:rPr>
            </w:pPr>
            <w:r>
              <w:rPr>
                <w:rFonts w:hint="eastAsia" w:ascii="宋体"/>
              </w:rPr>
              <w:t>锚泊期间违反规定摄入可能影响安全值班的食品、药品或其他物品，致使意识不清</w:t>
            </w:r>
          </w:p>
        </w:tc>
        <w:tc>
          <w:tcPr>
            <w:tcW w:w="4394" w:type="dxa"/>
            <w:tcBorders>
              <w:left w:val="single" w:color="auto" w:sz="4" w:space="0"/>
              <w:right w:val="single" w:color="auto" w:sz="4" w:space="0"/>
            </w:tcBorders>
            <w:vAlign w:val="center"/>
          </w:tcPr>
          <w:p w14:paraId="200F5CD6">
            <w:pPr>
              <w:jc w:val="center"/>
              <w:rPr>
                <w:rFonts w:ascii="宋体"/>
                <w:kern w:val="0"/>
              </w:rPr>
            </w:pPr>
            <w:r>
              <w:rPr>
                <w:rFonts w:hint="eastAsia" w:ascii="宋体"/>
                <w:kern w:val="0"/>
              </w:rPr>
              <w:t>4000-8000元</w:t>
            </w:r>
          </w:p>
        </w:tc>
        <w:tc>
          <w:tcPr>
            <w:tcW w:w="4394" w:type="dxa"/>
            <w:tcBorders>
              <w:left w:val="single" w:color="auto" w:sz="4" w:space="0"/>
            </w:tcBorders>
            <w:vAlign w:val="center"/>
          </w:tcPr>
          <w:p w14:paraId="10F61991">
            <w:pPr>
              <w:jc w:val="center"/>
              <w:rPr>
                <w:rFonts w:ascii="宋体"/>
                <w:kern w:val="0"/>
              </w:rPr>
            </w:pPr>
            <w:r>
              <w:rPr>
                <w:rFonts w:hint="eastAsia" w:ascii="宋体"/>
                <w:kern w:val="0"/>
              </w:rPr>
              <w:t>4000-8000元</w:t>
            </w:r>
          </w:p>
        </w:tc>
      </w:tr>
      <w:tr w14:paraId="081A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2" w:hRule="atLeast"/>
        </w:trPr>
        <w:tc>
          <w:tcPr>
            <w:tcW w:w="1191" w:type="dxa"/>
            <w:vMerge w:val="continue"/>
            <w:vAlign w:val="center"/>
          </w:tcPr>
          <w:p w14:paraId="565EF4E2">
            <w:pPr>
              <w:jc w:val="left"/>
              <w:rPr>
                <w:rFonts w:ascii="宋体"/>
                <w:kern w:val="0"/>
              </w:rPr>
            </w:pPr>
          </w:p>
        </w:tc>
        <w:tc>
          <w:tcPr>
            <w:tcW w:w="1276" w:type="dxa"/>
            <w:vMerge w:val="continue"/>
            <w:vAlign w:val="center"/>
          </w:tcPr>
          <w:p w14:paraId="542633B3">
            <w:pPr>
              <w:widowControl/>
              <w:jc w:val="left"/>
              <w:rPr>
                <w:rFonts w:ascii="宋体"/>
                <w:kern w:val="0"/>
              </w:rPr>
            </w:pPr>
          </w:p>
        </w:tc>
        <w:tc>
          <w:tcPr>
            <w:tcW w:w="1559" w:type="dxa"/>
            <w:vMerge w:val="continue"/>
            <w:vAlign w:val="center"/>
          </w:tcPr>
          <w:p w14:paraId="5651B8DC">
            <w:pPr>
              <w:jc w:val="left"/>
              <w:rPr>
                <w:rFonts w:ascii="宋体"/>
                <w:kern w:val="0"/>
              </w:rPr>
            </w:pPr>
          </w:p>
        </w:tc>
        <w:tc>
          <w:tcPr>
            <w:tcW w:w="993" w:type="dxa"/>
            <w:vMerge w:val="continue"/>
            <w:vAlign w:val="center"/>
          </w:tcPr>
          <w:p w14:paraId="2D2B2DD0">
            <w:pPr>
              <w:jc w:val="center"/>
              <w:rPr>
                <w:rFonts w:ascii="宋体"/>
                <w:kern w:val="0"/>
              </w:rPr>
            </w:pPr>
          </w:p>
        </w:tc>
        <w:tc>
          <w:tcPr>
            <w:tcW w:w="5670" w:type="dxa"/>
            <w:vAlign w:val="center"/>
          </w:tcPr>
          <w:p w14:paraId="5A286D62">
            <w:pPr>
              <w:pStyle w:val="13"/>
              <w:jc w:val="left"/>
              <w:rPr>
                <w:rFonts w:ascii="宋体"/>
              </w:rPr>
            </w:pPr>
            <w:r>
              <w:rPr>
                <w:rFonts w:hint="eastAsia" w:ascii="宋体"/>
              </w:rPr>
              <w:t>航行期间违反规定摄入可能影响安全值班的食品、药品或其他物品，致使意识不清</w:t>
            </w:r>
          </w:p>
        </w:tc>
        <w:tc>
          <w:tcPr>
            <w:tcW w:w="4394" w:type="dxa"/>
            <w:tcBorders>
              <w:left w:val="single" w:color="auto" w:sz="4" w:space="0"/>
              <w:bottom w:val="single" w:color="auto" w:sz="4" w:space="0"/>
              <w:right w:val="single" w:color="auto" w:sz="4" w:space="0"/>
            </w:tcBorders>
            <w:vAlign w:val="center"/>
          </w:tcPr>
          <w:p w14:paraId="11504F89">
            <w:pPr>
              <w:jc w:val="center"/>
              <w:rPr>
                <w:rFonts w:ascii="宋体"/>
                <w:kern w:val="0"/>
              </w:rPr>
            </w:pPr>
            <w:r>
              <w:rPr>
                <w:rFonts w:hint="eastAsia" w:ascii="宋体"/>
                <w:kern w:val="0"/>
              </w:rPr>
              <w:t>6000-1万元</w:t>
            </w:r>
          </w:p>
        </w:tc>
        <w:tc>
          <w:tcPr>
            <w:tcW w:w="4394" w:type="dxa"/>
            <w:tcBorders>
              <w:left w:val="single" w:color="auto" w:sz="4" w:space="0"/>
              <w:bottom w:val="single" w:color="auto" w:sz="4" w:space="0"/>
            </w:tcBorders>
            <w:vAlign w:val="center"/>
          </w:tcPr>
          <w:p w14:paraId="22F6DFC1">
            <w:pPr>
              <w:jc w:val="center"/>
              <w:rPr>
                <w:rFonts w:ascii="宋体"/>
                <w:kern w:val="0"/>
              </w:rPr>
            </w:pPr>
            <w:r>
              <w:rPr>
                <w:rFonts w:hint="eastAsia" w:ascii="宋体"/>
                <w:kern w:val="0"/>
              </w:rPr>
              <w:t>6000-1万元</w:t>
            </w:r>
          </w:p>
        </w:tc>
      </w:tr>
      <w:tr w14:paraId="436E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191" w:type="dxa"/>
            <w:vMerge w:val="continue"/>
            <w:vAlign w:val="center"/>
          </w:tcPr>
          <w:p w14:paraId="36D5B18F">
            <w:pPr>
              <w:jc w:val="left"/>
              <w:rPr>
                <w:rFonts w:ascii="宋体"/>
                <w:kern w:val="0"/>
              </w:rPr>
            </w:pPr>
          </w:p>
        </w:tc>
        <w:tc>
          <w:tcPr>
            <w:tcW w:w="1276" w:type="dxa"/>
            <w:vMerge w:val="continue"/>
            <w:vAlign w:val="center"/>
          </w:tcPr>
          <w:p w14:paraId="4DD4708D">
            <w:pPr>
              <w:jc w:val="left"/>
              <w:rPr>
                <w:rFonts w:ascii="宋体"/>
                <w:kern w:val="0"/>
              </w:rPr>
            </w:pPr>
          </w:p>
        </w:tc>
        <w:tc>
          <w:tcPr>
            <w:tcW w:w="1559" w:type="dxa"/>
            <w:vMerge w:val="continue"/>
            <w:vAlign w:val="center"/>
          </w:tcPr>
          <w:p w14:paraId="3B20D621">
            <w:pPr>
              <w:jc w:val="left"/>
              <w:rPr>
                <w:rFonts w:ascii="宋体"/>
                <w:kern w:val="0"/>
              </w:rPr>
            </w:pPr>
          </w:p>
        </w:tc>
        <w:tc>
          <w:tcPr>
            <w:tcW w:w="993" w:type="dxa"/>
            <w:vMerge w:val="continue"/>
            <w:vAlign w:val="center"/>
          </w:tcPr>
          <w:p w14:paraId="5D345DA1">
            <w:pPr>
              <w:jc w:val="center"/>
              <w:rPr>
                <w:rFonts w:ascii="宋体"/>
                <w:kern w:val="0"/>
              </w:rPr>
            </w:pPr>
          </w:p>
        </w:tc>
        <w:tc>
          <w:tcPr>
            <w:tcW w:w="5670" w:type="dxa"/>
            <w:tcBorders>
              <w:top w:val="single" w:color="auto" w:sz="4" w:space="0"/>
              <w:bottom w:val="single" w:color="auto" w:sz="4" w:space="0"/>
            </w:tcBorders>
            <w:vAlign w:val="center"/>
          </w:tcPr>
          <w:p w14:paraId="3A80E241">
            <w:pPr>
              <w:jc w:val="left"/>
              <w:rPr>
                <w:rFonts w:ascii="宋体"/>
              </w:rPr>
            </w:pPr>
            <w:r>
              <w:rPr>
                <w:rFonts w:hint="eastAsia" w:ascii="宋体"/>
                <w:kern w:val="0"/>
              </w:rPr>
              <w:t>1.违反规定摄入可能影响安全值班的食品、药品或其他物品，致使意识丧失</w:t>
            </w:r>
            <w:r>
              <w:rPr>
                <w:rFonts w:hint="eastAsia" w:ascii="宋体"/>
              </w:rPr>
              <w:t>；</w:t>
            </w:r>
          </w:p>
          <w:p w14:paraId="16B48539">
            <w:pPr>
              <w:jc w:val="left"/>
              <w:rPr>
                <w:rFonts w:ascii="宋体"/>
              </w:rPr>
            </w:pPr>
            <w:r>
              <w:rPr>
                <w:rFonts w:hint="eastAsia" w:ascii="宋体"/>
              </w:rPr>
              <w:t>2.在警戒区、分道通航水域；</w:t>
            </w:r>
          </w:p>
          <w:p w14:paraId="3C00F531">
            <w:pPr>
              <w:jc w:val="left"/>
              <w:rPr>
                <w:rFonts w:ascii="宋体"/>
              </w:rPr>
            </w:pPr>
            <w:r>
              <w:rPr>
                <w:rFonts w:hint="eastAsia" w:ascii="宋体"/>
              </w:rPr>
              <w:t>3.在特殊类型船舶或者极地水域船舶上；</w:t>
            </w:r>
          </w:p>
        </w:tc>
        <w:tc>
          <w:tcPr>
            <w:tcW w:w="4394" w:type="dxa"/>
            <w:tcBorders>
              <w:top w:val="single" w:color="auto" w:sz="4" w:space="0"/>
              <w:left w:val="single" w:color="auto" w:sz="4" w:space="0"/>
              <w:bottom w:val="single" w:color="auto" w:sz="4" w:space="0"/>
              <w:right w:val="single" w:color="auto" w:sz="4" w:space="0"/>
            </w:tcBorders>
            <w:vAlign w:val="center"/>
          </w:tcPr>
          <w:p w14:paraId="5B38F9CA">
            <w:pPr>
              <w:jc w:val="center"/>
              <w:rPr>
                <w:rFonts w:ascii="宋体"/>
                <w:kern w:val="0"/>
              </w:rPr>
            </w:pPr>
            <w:r>
              <w:rPr>
                <w:rFonts w:hint="eastAsia" w:ascii="宋体"/>
                <w:kern w:val="0"/>
              </w:rPr>
              <w:t>暂扣船员适任证书3-8个月</w:t>
            </w:r>
          </w:p>
        </w:tc>
        <w:tc>
          <w:tcPr>
            <w:tcW w:w="4394" w:type="dxa"/>
            <w:tcBorders>
              <w:top w:val="single" w:color="auto" w:sz="4" w:space="0"/>
              <w:left w:val="single" w:color="auto" w:sz="4" w:space="0"/>
            </w:tcBorders>
            <w:vAlign w:val="center"/>
          </w:tcPr>
          <w:p w14:paraId="06FBED32">
            <w:pPr>
              <w:jc w:val="center"/>
              <w:rPr>
                <w:rFonts w:ascii="宋体"/>
                <w:kern w:val="0"/>
              </w:rPr>
            </w:pPr>
            <w:r>
              <w:rPr>
                <w:rFonts w:hint="eastAsia" w:ascii="宋体"/>
                <w:kern w:val="0"/>
              </w:rPr>
              <w:t>暂扣船员适任证书3-8个月</w:t>
            </w:r>
          </w:p>
        </w:tc>
      </w:tr>
      <w:tr w14:paraId="3EF8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1191" w:type="dxa"/>
            <w:vMerge w:val="continue"/>
            <w:vAlign w:val="center"/>
          </w:tcPr>
          <w:p w14:paraId="41A904EB">
            <w:pPr>
              <w:jc w:val="left"/>
              <w:rPr>
                <w:rFonts w:ascii="宋体"/>
                <w:kern w:val="0"/>
              </w:rPr>
            </w:pPr>
          </w:p>
        </w:tc>
        <w:tc>
          <w:tcPr>
            <w:tcW w:w="1276" w:type="dxa"/>
            <w:vMerge w:val="continue"/>
            <w:vAlign w:val="center"/>
          </w:tcPr>
          <w:p w14:paraId="61CDB6A0">
            <w:pPr>
              <w:jc w:val="left"/>
              <w:rPr>
                <w:rFonts w:ascii="宋体"/>
                <w:kern w:val="0"/>
              </w:rPr>
            </w:pPr>
          </w:p>
        </w:tc>
        <w:tc>
          <w:tcPr>
            <w:tcW w:w="1559" w:type="dxa"/>
            <w:vMerge w:val="continue"/>
            <w:vAlign w:val="center"/>
          </w:tcPr>
          <w:p w14:paraId="1D9CDA99">
            <w:pPr>
              <w:jc w:val="left"/>
              <w:rPr>
                <w:rFonts w:ascii="宋体"/>
                <w:kern w:val="0"/>
              </w:rPr>
            </w:pPr>
          </w:p>
        </w:tc>
        <w:tc>
          <w:tcPr>
            <w:tcW w:w="993" w:type="dxa"/>
            <w:vMerge w:val="continue"/>
            <w:tcBorders>
              <w:bottom w:val="single" w:color="auto" w:sz="4" w:space="0"/>
            </w:tcBorders>
            <w:vAlign w:val="center"/>
          </w:tcPr>
          <w:p w14:paraId="4D8E4945">
            <w:pPr>
              <w:jc w:val="center"/>
              <w:rPr>
                <w:rFonts w:ascii="宋体"/>
                <w:kern w:val="0"/>
              </w:rPr>
            </w:pPr>
          </w:p>
        </w:tc>
        <w:tc>
          <w:tcPr>
            <w:tcW w:w="5670" w:type="dxa"/>
            <w:tcBorders>
              <w:top w:val="single" w:color="auto" w:sz="4" w:space="0"/>
              <w:bottom w:val="single" w:color="auto" w:sz="4" w:space="0"/>
            </w:tcBorders>
            <w:vAlign w:val="center"/>
          </w:tcPr>
          <w:p w14:paraId="125EC126">
            <w:pPr>
              <w:jc w:val="left"/>
              <w:rPr>
                <w:rFonts w:ascii="宋体"/>
              </w:rPr>
            </w:pPr>
            <w:r>
              <w:rPr>
                <w:rFonts w:hint="eastAsia" w:ascii="宋体"/>
              </w:rPr>
              <w:t>1.造成险情或一般等级事故的；</w:t>
            </w:r>
          </w:p>
          <w:p w14:paraId="57981EB1">
            <w:pPr>
              <w:jc w:val="left"/>
              <w:rPr>
                <w:rFonts w:ascii="宋体"/>
              </w:rPr>
            </w:pPr>
            <w:r>
              <w:rPr>
                <w:rFonts w:hint="eastAsia" w:ascii="宋体"/>
              </w:rPr>
              <w:t>2.具有其他较重情节的。</w:t>
            </w:r>
          </w:p>
        </w:tc>
        <w:tc>
          <w:tcPr>
            <w:tcW w:w="4394" w:type="dxa"/>
            <w:tcBorders>
              <w:top w:val="single" w:color="auto" w:sz="4" w:space="0"/>
              <w:left w:val="single" w:color="auto" w:sz="4" w:space="0"/>
              <w:bottom w:val="single" w:color="auto" w:sz="4" w:space="0"/>
              <w:right w:val="single" w:color="auto" w:sz="4" w:space="0"/>
            </w:tcBorders>
            <w:vAlign w:val="center"/>
          </w:tcPr>
          <w:p w14:paraId="1DBBAFE5">
            <w:pPr>
              <w:jc w:val="center"/>
              <w:rPr>
                <w:rFonts w:ascii="宋体"/>
                <w:kern w:val="0"/>
              </w:rPr>
            </w:pPr>
            <w:r>
              <w:rPr>
                <w:rFonts w:hint="eastAsia" w:ascii="宋体"/>
                <w:kern w:val="0"/>
              </w:rPr>
              <w:t>暂扣船员适任证书9-12个月</w:t>
            </w:r>
          </w:p>
        </w:tc>
        <w:tc>
          <w:tcPr>
            <w:tcW w:w="4394" w:type="dxa"/>
            <w:tcBorders>
              <w:top w:val="single" w:color="auto" w:sz="4" w:space="0"/>
              <w:left w:val="single" w:color="auto" w:sz="4" w:space="0"/>
            </w:tcBorders>
            <w:vAlign w:val="center"/>
          </w:tcPr>
          <w:p w14:paraId="3E23CC1F">
            <w:pPr>
              <w:jc w:val="center"/>
              <w:rPr>
                <w:rFonts w:ascii="宋体"/>
                <w:kern w:val="0"/>
              </w:rPr>
            </w:pPr>
            <w:r>
              <w:rPr>
                <w:rFonts w:hint="eastAsia" w:ascii="宋体"/>
                <w:kern w:val="0"/>
              </w:rPr>
              <w:t>暂扣船员适任证书9-12个月</w:t>
            </w:r>
          </w:p>
        </w:tc>
      </w:tr>
      <w:tr w14:paraId="397F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3" w:hRule="atLeast"/>
        </w:trPr>
        <w:tc>
          <w:tcPr>
            <w:tcW w:w="1191" w:type="dxa"/>
            <w:vMerge w:val="continue"/>
            <w:vAlign w:val="center"/>
          </w:tcPr>
          <w:p w14:paraId="5B7C9836">
            <w:pPr>
              <w:jc w:val="left"/>
              <w:rPr>
                <w:rFonts w:ascii="宋体"/>
                <w:kern w:val="0"/>
              </w:rPr>
            </w:pPr>
          </w:p>
        </w:tc>
        <w:tc>
          <w:tcPr>
            <w:tcW w:w="1276" w:type="dxa"/>
            <w:vMerge w:val="continue"/>
            <w:vAlign w:val="center"/>
          </w:tcPr>
          <w:p w14:paraId="5E87122B">
            <w:pPr>
              <w:jc w:val="left"/>
              <w:rPr>
                <w:rFonts w:ascii="宋体"/>
                <w:kern w:val="0"/>
              </w:rPr>
            </w:pPr>
          </w:p>
        </w:tc>
        <w:tc>
          <w:tcPr>
            <w:tcW w:w="1559" w:type="dxa"/>
            <w:vMerge w:val="continue"/>
            <w:vAlign w:val="center"/>
          </w:tcPr>
          <w:p w14:paraId="21DF6E05">
            <w:pPr>
              <w:jc w:val="left"/>
              <w:rPr>
                <w:rFonts w:ascii="宋体"/>
                <w:kern w:val="0"/>
              </w:rPr>
            </w:pPr>
          </w:p>
        </w:tc>
        <w:tc>
          <w:tcPr>
            <w:tcW w:w="993" w:type="dxa"/>
            <w:tcBorders>
              <w:top w:val="single" w:color="auto" w:sz="4" w:space="0"/>
              <w:right w:val="single" w:color="auto" w:sz="4" w:space="0"/>
            </w:tcBorders>
            <w:vAlign w:val="center"/>
          </w:tcPr>
          <w:p w14:paraId="32BA4AE5">
            <w:pPr>
              <w:jc w:val="center"/>
              <w:rPr>
                <w:rFonts w:ascii="宋体"/>
                <w:kern w:val="0"/>
              </w:rPr>
            </w:pPr>
            <w:r>
              <w:rPr>
                <w:rFonts w:hint="eastAsia" w:ascii="宋体"/>
                <w:kern w:val="0"/>
              </w:rPr>
              <w:t>情节严重</w:t>
            </w:r>
          </w:p>
        </w:tc>
        <w:tc>
          <w:tcPr>
            <w:tcW w:w="5670" w:type="dxa"/>
            <w:tcBorders>
              <w:top w:val="single" w:color="auto" w:sz="4" w:space="0"/>
              <w:left w:val="single" w:color="auto" w:sz="4" w:space="0"/>
              <w:bottom w:val="single" w:color="auto" w:sz="4" w:space="0"/>
            </w:tcBorders>
            <w:vAlign w:val="center"/>
          </w:tcPr>
          <w:p w14:paraId="2911403B">
            <w:pPr>
              <w:jc w:val="left"/>
              <w:rPr>
                <w:rFonts w:ascii="宋体"/>
                <w:kern w:val="0"/>
              </w:rPr>
            </w:pPr>
            <w:r>
              <w:rPr>
                <w:rFonts w:hint="eastAsia" w:ascii="宋体"/>
                <w:kern w:val="0"/>
              </w:rPr>
              <w:t>1.造成较大等级以上事故的；</w:t>
            </w:r>
          </w:p>
          <w:p w14:paraId="429C71FB">
            <w:pPr>
              <w:jc w:val="left"/>
              <w:rPr>
                <w:rFonts w:ascii="宋体"/>
                <w:kern w:val="0"/>
              </w:rPr>
            </w:pPr>
            <w:r>
              <w:rPr>
                <w:rFonts w:hint="eastAsia" w:ascii="宋体"/>
                <w:kern w:val="0"/>
              </w:rPr>
              <w:t>2.具有其他严重情节的。</w:t>
            </w:r>
          </w:p>
        </w:tc>
        <w:tc>
          <w:tcPr>
            <w:tcW w:w="4394" w:type="dxa"/>
            <w:tcBorders>
              <w:top w:val="single" w:color="auto" w:sz="4" w:space="0"/>
              <w:left w:val="single" w:color="auto" w:sz="4" w:space="0"/>
              <w:right w:val="single" w:color="auto" w:sz="4" w:space="0"/>
            </w:tcBorders>
            <w:vAlign w:val="center"/>
          </w:tcPr>
          <w:p w14:paraId="3C99EFE9">
            <w:pPr>
              <w:jc w:val="center"/>
              <w:rPr>
                <w:rFonts w:ascii="宋体"/>
                <w:kern w:val="0"/>
              </w:rPr>
            </w:pPr>
            <w:r>
              <w:rPr>
                <w:rFonts w:hint="eastAsia" w:ascii="宋体"/>
                <w:kern w:val="0"/>
              </w:rPr>
              <w:t>吊销船员适任证书</w:t>
            </w:r>
          </w:p>
        </w:tc>
        <w:tc>
          <w:tcPr>
            <w:tcW w:w="4394" w:type="dxa"/>
            <w:tcBorders>
              <w:left w:val="single" w:color="auto" w:sz="4" w:space="0"/>
            </w:tcBorders>
            <w:vAlign w:val="center"/>
          </w:tcPr>
          <w:p w14:paraId="23F49500">
            <w:pPr>
              <w:jc w:val="center"/>
              <w:rPr>
                <w:rFonts w:ascii="宋体"/>
                <w:kern w:val="0"/>
              </w:rPr>
            </w:pPr>
            <w:r>
              <w:rPr>
                <w:rFonts w:hint="eastAsia" w:ascii="宋体"/>
                <w:kern w:val="0"/>
              </w:rPr>
              <w:t>吊销船员适任证书</w:t>
            </w:r>
          </w:p>
        </w:tc>
      </w:tr>
      <w:tr w14:paraId="4E80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53" w:hRule="atLeast"/>
        </w:trPr>
        <w:tc>
          <w:tcPr>
            <w:tcW w:w="19477" w:type="dxa"/>
            <w:gridSpan w:val="7"/>
            <w:vAlign w:val="center"/>
          </w:tcPr>
          <w:p w14:paraId="610351CF">
            <w:pPr>
              <w:jc w:val="left"/>
              <w:rPr>
                <w:rFonts w:ascii="宋体"/>
                <w:b/>
                <w:kern w:val="0"/>
              </w:rPr>
            </w:pPr>
            <w:r>
              <w:rPr>
                <w:rFonts w:hint="eastAsia" w:ascii="宋体"/>
                <w:bCs/>
                <w:kern w:val="0"/>
              </w:rPr>
              <w:t>注：特殊类型船舶指油船、化学品船、液化气船、客船、高速船、使用气体或者其他低闪点燃料的船舶等。</w:t>
            </w:r>
          </w:p>
        </w:tc>
      </w:tr>
    </w:tbl>
    <w:p w14:paraId="1352968D">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231"/>
        <w:gridCol w:w="2730"/>
        <w:gridCol w:w="1152"/>
        <w:gridCol w:w="5145"/>
        <w:gridCol w:w="7736"/>
      </w:tblGrid>
      <w:tr w14:paraId="1D72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1668" w:type="dxa"/>
            <w:vMerge w:val="restart"/>
            <w:vAlign w:val="center"/>
          </w:tcPr>
          <w:p w14:paraId="306D66BE">
            <w:pPr>
              <w:spacing w:line="240" w:lineRule="exact"/>
              <w:jc w:val="center"/>
              <w:rPr>
                <w:rFonts w:ascii="宋体"/>
                <w:b/>
              </w:rPr>
            </w:pPr>
            <w:r>
              <w:rPr>
                <w:rFonts w:hint="eastAsia" w:ascii="宋体"/>
                <w:b/>
              </w:rPr>
              <w:t>案由109</w:t>
            </w:r>
          </w:p>
        </w:tc>
        <w:tc>
          <w:tcPr>
            <w:tcW w:w="4961" w:type="dxa"/>
            <w:gridSpan w:val="2"/>
            <w:vAlign w:val="center"/>
          </w:tcPr>
          <w:p w14:paraId="7ABC438F">
            <w:pPr>
              <w:spacing w:line="240" w:lineRule="exact"/>
              <w:jc w:val="center"/>
              <w:rPr>
                <w:rFonts w:ascii="宋体"/>
                <w:b/>
              </w:rPr>
            </w:pPr>
            <w:r>
              <w:rPr>
                <w:rFonts w:hint="eastAsia" w:ascii="宋体"/>
                <w:b/>
              </w:rPr>
              <w:t>法律依据</w:t>
            </w:r>
          </w:p>
        </w:tc>
        <w:tc>
          <w:tcPr>
            <w:tcW w:w="1152" w:type="dxa"/>
            <w:vMerge w:val="restart"/>
            <w:vAlign w:val="center"/>
          </w:tcPr>
          <w:p w14:paraId="4D8D98A5">
            <w:pPr>
              <w:spacing w:line="240" w:lineRule="exact"/>
              <w:jc w:val="center"/>
              <w:rPr>
                <w:rFonts w:ascii="宋体"/>
                <w:b/>
              </w:rPr>
            </w:pPr>
            <w:r>
              <w:rPr>
                <w:rFonts w:hint="eastAsia" w:ascii="宋体"/>
                <w:b/>
              </w:rPr>
              <w:t>违法情节</w:t>
            </w:r>
          </w:p>
        </w:tc>
        <w:tc>
          <w:tcPr>
            <w:tcW w:w="5145" w:type="dxa"/>
            <w:vMerge w:val="restart"/>
            <w:vAlign w:val="center"/>
          </w:tcPr>
          <w:p w14:paraId="7474AA34">
            <w:pPr>
              <w:spacing w:line="240" w:lineRule="exact"/>
              <w:jc w:val="center"/>
              <w:rPr>
                <w:rFonts w:ascii="宋体"/>
                <w:b/>
              </w:rPr>
            </w:pPr>
            <w:r>
              <w:rPr>
                <w:rFonts w:hint="eastAsia" w:ascii="宋体"/>
                <w:b/>
              </w:rPr>
              <w:t>主要考虑因素（事实、性质、情节、危害程度和实际后果等）</w:t>
            </w:r>
          </w:p>
        </w:tc>
        <w:tc>
          <w:tcPr>
            <w:tcW w:w="7736" w:type="dxa"/>
            <w:tcBorders>
              <w:bottom w:val="single" w:color="auto" w:sz="4" w:space="0"/>
              <w:right w:val="single" w:color="auto" w:sz="4" w:space="0"/>
            </w:tcBorders>
            <w:vAlign w:val="center"/>
          </w:tcPr>
          <w:p w14:paraId="7F1F1284">
            <w:pPr>
              <w:spacing w:line="240" w:lineRule="exact"/>
              <w:jc w:val="left"/>
              <w:rPr>
                <w:rFonts w:ascii="宋体"/>
                <w:b/>
              </w:rPr>
            </w:pPr>
            <w:r>
              <w:rPr>
                <w:rFonts w:hint="eastAsia" w:ascii="宋体"/>
                <w:b/>
              </w:rPr>
              <w:t>【法定幅度和种类】</w:t>
            </w:r>
            <w:r>
              <w:rPr>
                <w:rFonts w:hint="eastAsia" w:ascii="宋体"/>
                <w:bCs/>
              </w:rPr>
              <w:t>责令改正，处5000元以上2万元以下罚款。</w:t>
            </w:r>
          </w:p>
        </w:tc>
      </w:tr>
      <w:tr w14:paraId="03A65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68" w:type="dxa"/>
            <w:vMerge w:val="continue"/>
            <w:vAlign w:val="center"/>
          </w:tcPr>
          <w:p w14:paraId="1AB46E4F">
            <w:pPr>
              <w:spacing w:line="240" w:lineRule="exact"/>
              <w:jc w:val="center"/>
              <w:rPr>
                <w:rFonts w:ascii="宋体"/>
                <w:b/>
              </w:rPr>
            </w:pPr>
          </w:p>
        </w:tc>
        <w:tc>
          <w:tcPr>
            <w:tcW w:w="2231" w:type="dxa"/>
            <w:vAlign w:val="center"/>
          </w:tcPr>
          <w:p w14:paraId="5A86AFB9">
            <w:pPr>
              <w:spacing w:line="240" w:lineRule="exact"/>
              <w:jc w:val="center"/>
              <w:rPr>
                <w:rFonts w:ascii="宋体"/>
                <w:b/>
              </w:rPr>
            </w:pPr>
            <w:r>
              <w:rPr>
                <w:rFonts w:hint="eastAsia" w:ascii="宋体"/>
                <w:b/>
              </w:rPr>
              <w:t>违反条款</w:t>
            </w:r>
          </w:p>
        </w:tc>
        <w:tc>
          <w:tcPr>
            <w:tcW w:w="2730" w:type="dxa"/>
            <w:vAlign w:val="center"/>
          </w:tcPr>
          <w:p w14:paraId="2030BA92">
            <w:pPr>
              <w:spacing w:line="240" w:lineRule="exact"/>
              <w:jc w:val="center"/>
              <w:rPr>
                <w:rFonts w:ascii="宋体"/>
                <w:b/>
              </w:rPr>
            </w:pPr>
            <w:r>
              <w:rPr>
                <w:rFonts w:hint="eastAsia" w:ascii="宋体"/>
                <w:b/>
              </w:rPr>
              <w:t>处罚依据</w:t>
            </w:r>
          </w:p>
        </w:tc>
        <w:tc>
          <w:tcPr>
            <w:tcW w:w="1152" w:type="dxa"/>
            <w:vMerge w:val="continue"/>
            <w:vAlign w:val="center"/>
          </w:tcPr>
          <w:p w14:paraId="17EAC28C">
            <w:pPr>
              <w:spacing w:line="240" w:lineRule="exact"/>
              <w:jc w:val="center"/>
              <w:rPr>
                <w:rFonts w:ascii="宋体"/>
                <w:b/>
              </w:rPr>
            </w:pPr>
          </w:p>
        </w:tc>
        <w:tc>
          <w:tcPr>
            <w:tcW w:w="5145" w:type="dxa"/>
            <w:vMerge w:val="continue"/>
            <w:vAlign w:val="center"/>
          </w:tcPr>
          <w:p w14:paraId="4F8BDDFC">
            <w:pPr>
              <w:spacing w:line="240" w:lineRule="exact"/>
              <w:jc w:val="center"/>
              <w:rPr>
                <w:rFonts w:ascii="宋体"/>
                <w:b/>
              </w:rPr>
            </w:pPr>
          </w:p>
        </w:tc>
        <w:tc>
          <w:tcPr>
            <w:tcW w:w="7736" w:type="dxa"/>
            <w:tcBorders>
              <w:top w:val="single" w:color="auto" w:sz="4" w:space="0"/>
              <w:bottom w:val="single" w:color="auto" w:sz="4" w:space="0"/>
              <w:right w:val="single" w:color="auto" w:sz="4" w:space="0"/>
            </w:tcBorders>
            <w:vAlign w:val="center"/>
          </w:tcPr>
          <w:p w14:paraId="74F92377">
            <w:pPr>
              <w:spacing w:line="240" w:lineRule="exact"/>
              <w:jc w:val="center"/>
              <w:rPr>
                <w:rFonts w:ascii="宋体"/>
                <w:b/>
              </w:rPr>
            </w:pPr>
            <w:r>
              <w:rPr>
                <w:rFonts w:hint="eastAsia" w:ascii="宋体"/>
                <w:b/>
              </w:rPr>
              <w:t>【对象】责任单位</w:t>
            </w:r>
          </w:p>
        </w:tc>
      </w:tr>
      <w:tr w14:paraId="5CB3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1668" w:type="dxa"/>
            <w:vMerge w:val="restart"/>
            <w:vAlign w:val="center"/>
          </w:tcPr>
          <w:p w14:paraId="685302EB">
            <w:pPr>
              <w:widowControl/>
              <w:spacing w:line="240" w:lineRule="exact"/>
              <w:jc w:val="left"/>
              <w:rPr>
                <w:rFonts w:ascii="宋体"/>
                <w:kern w:val="0"/>
              </w:rPr>
            </w:pPr>
            <w:r>
              <w:rPr>
                <w:rFonts w:hint="eastAsia" w:ascii="宋体"/>
                <w:kern w:val="0"/>
              </w:rPr>
              <w:t>船员服务机构和船员用人单位未将其招用或者管理的船员的有关情况定期报海事管理机构备案的</w:t>
            </w:r>
          </w:p>
        </w:tc>
        <w:tc>
          <w:tcPr>
            <w:tcW w:w="2231" w:type="dxa"/>
            <w:vMerge w:val="restart"/>
            <w:vAlign w:val="center"/>
          </w:tcPr>
          <w:p w14:paraId="3B0A09F9">
            <w:pPr>
              <w:widowControl/>
              <w:spacing w:line="240" w:lineRule="exact"/>
              <w:jc w:val="left"/>
              <w:rPr>
                <w:rFonts w:ascii="宋体"/>
                <w:kern w:val="0"/>
              </w:rPr>
            </w:pPr>
            <w:r>
              <w:rPr>
                <w:rFonts w:hint="eastAsia" w:ascii="宋体"/>
                <w:kern w:val="0"/>
              </w:rPr>
              <w:t>1.《中华人民共和国船员条例》第三十六条或相关法规规章或规范性文件的相关条款。</w:t>
            </w:r>
          </w:p>
        </w:tc>
        <w:tc>
          <w:tcPr>
            <w:tcW w:w="2730" w:type="dxa"/>
            <w:vMerge w:val="restart"/>
            <w:vAlign w:val="center"/>
          </w:tcPr>
          <w:p w14:paraId="2C82B4D2">
            <w:pPr>
              <w:widowControl/>
              <w:spacing w:line="240" w:lineRule="exact"/>
              <w:jc w:val="left"/>
              <w:rPr>
                <w:rFonts w:ascii="宋体"/>
                <w:kern w:val="0"/>
              </w:rPr>
            </w:pPr>
            <w:r>
              <w:rPr>
                <w:rFonts w:hint="eastAsia" w:ascii="宋体"/>
                <w:kern w:val="0"/>
              </w:rPr>
              <w:t>1. 《中华人民共和国船员条例》第五十八条、《中华人民共和国海上海事行政处罚规定》第十四条第一款。</w:t>
            </w:r>
          </w:p>
          <w:p w14:paraId="2214C354">
            <w:pPr>
              <w:widowControl/>
              <w:spacing w:line="240" w:lineRule="exact"/>
              <w:jc w:val="left"/>
              <w:rPr>
                <w:rFonts w:ascii="宋体"/>
                <w:kern w:val="0"/>
              </w:rPr>
            </w:pPr>
            <w:r>
              <w:rPr>
                <w:rFonts w:hint="eastAsia" w:ascii="宋体"/>
                <w:kern w:val="0"/>
              </w:rPr>
              <w:t>2. 《中华人民共和国海上海事行政处罚规定》第七条。</w:t>
            </w:r>
          </w:p>
        </w:tc>
        <w:tc>
          <w:tcPr>
            <w:tcW w:w="1152" w:type="dxa"/>
            <w:vAlign w:val="center"/>
          </w:tcPr>
          <w:p w14:paraId="6A9BCB7C">
            <w:pPr>
              <w:widowControl/>
              <w:spacing w:line="240" w:lineRule="exact"/>
              <w:jc w:val="center"/>
              <w:rPr>
                <w:rFonts w:ascii="宋体"/>
                <w:kern w:val="0"/>
              </w:rPr>
            </w:pPr>
            <w:r>
              <w:rPr>
                <w:rFonts w:hint="eastAsia" w:ascii="宋体"/>
                <w:kern w:val="0"/>
              </w:rPr>
              <w:t>从轻</w:t>
            </w:r>
          </w:p>
        </w:tc>
        <w:tc>
          <w:tcPr>
            <w:tcW w:w="5145" w:type="dxa"/>
            <w:vAlign w:val="center"/>
          </w:tcPr>
          <w:p w14:paraId="44AD7296">
            <w:pPr>
              <w:widowControl/>
              <w:spacing w:line="240" w:lineRule="exact"/>
              <w:jc w:val="left"/>
              <w:rPr>
                <w:rFonts w:ascii="宋体"/>
                <w:kern w:val="0"/>
              </w:rPr>
            </w:pPr>
            <w:r>
              <w:rPr>
                <w:rFonts w:hint="eastAsia" w:ascii="宋体"/>
                <w:kern w:val="0"/>
              </w:rPr>
              <w:t>具有法定从轻处罚情节的。</w:t>
            </w:r>
          </w:p>
        </w:tc>
        <w:tc>
          <w:tcPr>
            <w:tcW w:w="7736" w:type="dxa"/>
            <w:tcBorders>
              <w:bottom w:val="single" w:color="auto" w:sz="4" w:space="0"/>
              <w:right w:val="single" w:color="auto" w:sz="4" w:space="0"/>
            </w:tcBorders>
            <w:vAlign w:val="center"/>
          </w:tcPr>
          <w:p w14:paraId="502A459E">
            <w:pPr>
              <w:widowControl/>
              <w:spacing w:line="240" w:lineRule="exact"/>
              <w:jc w:val="center"/>
              <w:rPr>
                <w:rFonts w:ascii="宋体"/>
                <w:kern w:val="0"/>
              </w:rPr>
            </w:pPr>
            <w:r>
              <w:rPr>
                <w:rFonts w:hint="eastAsia" w:ascii="宋体"/>
                <w:kern w:val="0"/>
              </w:rPr>
              <w:t>5000-8000元</w:t>
            </w:r>
          </w:p>
        </w:tc>
      </w:tr>
      <w:tr w14:paraId="3055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trPr>
        <w:tc>
          <w:tcPr>
            <w:tcW w:w="1668" w:type="dxa"/>
            <w:vMerge w:val="continue"/>
            <w:vAlign w:val="center"/>
          </w:tcPr>
          <w:p w14:paraId="1528ED4B">
            <w:pPr>
              <w:widowControl/>
              <w:spacing w:line="240" w:lineRule="exact"/>
              <w:jc w:val="left"/>
              <w:rPr>
                <w:rFonts w:ascii="宋体"/>
                <w:kern w:val="0"/>
              </w:rPr>
            </w:pPr>
          </w:p>
        </w:tc>
        <w:tc>
          <w:tcPr>
            <w:tcW w:w="2231" w:type="dxa"/>
            <w:vMerge w:val="continue"/>
            <w:vAlign w:val="center"/>
          </w:tcPr>
          <w:p w14:paraId="58C5DA36">
            <w:pPr>
              <w:widowControl/>
              <w:spacing w:line="240" w:lineRule="exact"/>
              <w:jc w:val="left"/>
              <w:rPr>
                <w:rFonts w:ascii="宋体"/>
                <w:kern w:val="0"/>
              </w:rPr>
            </w:pPr>
          </w:p>
        </w:tc>
        <w:tc>
          <w:tcPr>
            <w:tcW w:w="2730" w:type="dxa"/>
            <w:vMerge w:val="continue"/>
            <w:vAlign w:val="center"/>
          </w:tcPr>
          <w:p w14:paraId="4DF4C649">
            <w:pPr>
              <w:widowControl/>
              <w:spacing w:line="240" w:lineRule="exact"/>
              <w:jc w:val="left"/>
              <w:rPr>
                <w:rFonts w:ascii="宋体"/>
                <w:kern w:val="0"/>
              </w:rPr>
            </w:pPr>
          </w:p>
        </w:tc>
        <w:tc>
          <w:tcPr>
            <w:tcW w:w="1152" w:type="dxa"/>
            <w:vMerge w:val="restart"/>
            <w:vAlign w:val="center"/>
          </w:tcPr>
          <w:p w14:paraId="516DAB95">
            <w:pPr>
              <w:widowControl/>
              <w:spacing w:line="240" w:lineRule="exact"/>
              <w:jc w:val="center"/>
              <w:rPr>
                <w:rFonts w:ascii="宋体"/>
                <w:kern w:val="0"/>
              </w:rPr>
            </w:pPr>
            <w:r>
              <w:rPr>
                <w:rFonts w:hint="eastAsia" w:ascii="宋体"/>
                <w:kern w:val="0"/>
              </w:rPr>
              <w:t>一般</w:t>
            </w:r>
          </w:p>
        </w:tc>
        <w:tc>
          <w:tcPr>
            <w:tcW w:w="5145" w:type="dxa"/>
            <w:tcBorders>
              <w:top w:val="single" w:color="auto" w:sz="4" w:space="0"/>
              <w:bottom w:val="single" w:color="auto" w:sz="4" w:space="0"/>
            </w:tcBorders>
            <w:vAlign w:val="center"/>
          </w:tcPr>
          <w:p w14:paraId="48311F0B">
            <w:pPr>
              <w:widowControl/>
              <w:spacing w:line="240" w:lineRule="exact"/>
              <w:jc w:val="left"/>
              <w:rPr>
                <w:rFonts w:ascii="宋体"/>
                <w:kern w:val="0"/>
              </w:rPr>
            </w:pPr>
            <w:r>
              <w:rPr>
                <w:rFonts w:hint="eastAsia" w:ascii="宋体"/>
                <w:kern w:val="0"/>
              </w:rPr>
              <w:t>仅一次未按规定时间、形式备案或者备案内容不全面、不真实的；</w:t>
            </w:r>
          </w:p>
        </w:tc>
        <w:tc>
          <w:tcPr>
            <w:tcW w:w="7736" w:type="dxa"/>
            <w:tcBorders>
              <w:right w:val="single" w:color="auto" w:sz="4" w:space="0"/>
            </w:tcBorders>
            <w:vAlign w:val="center"/>
          </w:tcPr>
          <w:p w14:paraId="35740DA7">
            <w:pPr>
              <w:widowControl/>
              <w:spacing w:line="240" w:lineRule="exact"/>
              <w:jc w:val="center"/>
              <w:rPr>
                <w:rFonts w:ascii="宋体"/>
                <w:kern w:val="0"/>
              </w:rPr>
            </w:pPr>
            <w:r>
              <w:rPr>
                <w:rFonts w:hint="eastAsia" w:ascii="宋体"/>
                <w:kern w:val="0"/>
              </w:rPr>
              <w:t>8000元-1万元</w:t>
            </w:r>
          </w:p>
        </w:tc>
      </w:tr>
      <w:tr w14:paraId="6BCF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trPr>
        <w:tc>
          <w:tcPr>
            <w:tcW w:w="1668" w:type="dxa"/>
            <w:vMerge w:val="continue"/>
            <w:vAlign w:val="center"/>
          </w:tcPr>
          <w:p w14:paraId="28462C11">
            <w:pPr>
              <w:widowControl/>
              <w:spacing w:line="240" w:lineRule="exact"/>
              <w:jc w:val="left"/>
              <w:rPr>
                <w:rFonts w:ascii="宋体"/>
                <w:kern w:val="0"/>
              </w:rPr>
            </w:pPr>
          </w:p>
        </w:tc>
        <w:tc>
          <w:tcPr>
            <w:tcW w:w="2231" w:type="dxa"/>
            <w:vMerge w:val="continue"/>
            <w:vAlign w:val="center"/>
          </w:tcPr>
          <w:p w14:paraId="21F0BE39">
            <w:pPr>
              <w:widowControl/>
              <w:spacing w:line="240" w:lineRule="exact"/>
              <w:jc w:val="left"/>
              <w:rPr>
                <w:rFonts w:ascii="宋体"/>
                <w:kern w:val="0"/>
              </w:rPr>
            </w:pPr>
          </w:p>
        </w:tc>
        <w:tc>
          <w:tcPr>
            <w:tcW w:w="2730" w:type="dxa"/>
            <w:vMerge w:val="continue"/>
            <w:vAlign w:val="center"/>
          </w:tcPr>
          <w:p w14:paraId="4F40D2C7">
            <w:pPr>
              <w:widowControl/>
              <w:spacing w:line="240" w:lineRule="exact"/>
              <w:jc w:val="left"/>
              <w:rPr>
                <w:rFonts w:ascii="宋体"/>
                <w:kern w:val="0"/>
              </w:rPr>
            </w:pPr>
          </w:p>
        </w:tc>
        <w:tc>
          <w:tcPr>
            <w:tcW w:w="1152" w:type="dxa"/>
            <w:vMerge w:val="continue"/>
            <w:vAlign w:val="center"/>
          </w:tcPr>
          <w:p w14:paraId="25682AB6">
            <w:pPr>
              <w:spacing w:line="240" w:lineRule="exact"/>
              <w:jc w:val="center"/>
              <w:rPr>
                <w:rFonts w:ascii="宋体"/>
                <w:kern w:val="0"/>
              </w:rPr>
            </w:pPr>
          </w:p>
        </w:tc>
        <w:tc>
          <w:tcPr>
            <w:tcW w:w="5145" w:type="dxa"/>
            <w:tcBorders>
              <w:top w:val="single" w:color="auto" w:sz="4" w:space="0"/>
            </w:tcBorders>
            <w:vAlign w:val="center"/>
          </w:tcPr>
          <w:p w14:paraId="6393219B">
            <w:pPr>
              <w:widowControl/>
              <w:spacing w:line="240" w:lineRule="exact"/>
              <w:jc w:val="left"/>
              <w:rPr>
                <w:rFonts w:ascii="宋体"/>
                <w:kern w:val="0"/>
              </w:rPr>
            </w:pPr>
            <w:r>
              <w:rPr>
                <w:rFonts w:hint="eastAsia" w:ascii="宋体"/>
                <w:kern w:val="0"/>
              </w:rPr>
              <w:t>多次未按规定时间、形式备案或备案内容不全面、不真实的。</w:t>
            </w:r>
          </w:p>
        </w:tc>
        <w:tc>
          <w:tcPr>
            <w:tcW w:w="7736" w:type="dxa"/>
            <w:tcBorders>
              <w:top w:val="single" w:color="auto" w:sz="4" w:space="0"/>
              <w:right w:val="single" w:color="auto" w:sz="4" w:space="0"/>
            </w:tcBorders>
            <w:vAlign w:val="center"/>
          </w:tcPr>
          <w:p w14:paraId="7E63633C">
            <w:pPr>
              <w:widowControl/>
              <w:spacing w:line="240" w:lineRule="exact"/>
              <w:jc w:val="center"/>
              <w:rPr>
                <w:rFonts w:ascii="宋体"/>
                <w:kern w:val="0"/>
              </w:rPr>
            </w:pPr>
            <w:r>
              <w:rPr>
                <w:rFonts w:hint="eastAsia" w:ascii="宋体"/>
                <w:kern w:val="0"/>
              </w:rPr>
              <w:t>1-1.5万元</w:t>
            </w:r>
          </w:p>
        </w:tc>
      </w:tr>
      <w:tr w14:paraId="77438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668" w:type="dxa"/>
            <w:vMerge w:val="continue"/>
            <w:vAlign w:val="center"/>
          </w:tcPr>
          <w:p w14:paraId="08691D11">
            <w:pPr>
              <w:widowControl/>
              <w:spacing w:line="240" w:lineRule="exact"/>
              <w:jc w:val="left"/>
              <w:rPr>
                <w:rFonts w:ascii="宋体"/>
                <w:kern w:val="0"/>
              </w:rPr>
            </w:pPr>
          </w:p>
        </w:tc>
        <w:tc>
          <w:tcPr>
            <w:tcW w:w="2231" w:type="dxa"/>
            <w:vMerge w:val="continue"/>
            <w:vAlign w:val="center"/>
          </w:tcPr>
          <w:p w14:paraId="36A49D0F">
            <w:pPr>
              <w:widowControl/>
              <w:spacing w:line="240" w:lineRule="exact"/>
              <w:jc w:val="left"/>
              <w:rPr>
                <w:rFonts w:ascii="宋体"/>
                <w:kern w:val="0"/>
              </w:rPr>
            </w:pPr>
          </w:p>
        </w:tc>
        <w:tc>
          <w:tcPr>
            <w:tcW w:w="2730" w:type="dxa"/>
            <w:vMerge w:val="continue"/>
            <w:vAlign w:val="center"/>
          </w:tcPr>
          <w:p w14:paraId="60862711">
            <w:pPr>
              <w:widowControl/>
              <w:spacing w:line="240" w:lineRule="exact"/>
              <w:jc w:val="left"/>
              <w:rPr>
                <w:rFonts w:ascii="宋体"/>
                <w:kern w:val="0"/>
              </w:rPr>
            </w:pPr>
          </w:p>
        </w:tc>
        <w:tc>
          <w:tcPr>
            <w:tcW w:w="1152" w:type="dxa"/>
            <w:vMerge w:val="continue"/>
            <w:vAlign w:val="center"/>
          </w:tcPr>
          <w:p w14:paraId="25C4048F">
            <w:pPr>
              <w:widowControl/>
              <w:spacing w:line="240" w:lineRule="exact"/>
              <w:jc w:val="center"/>
              <w:rPr>
                <w:rFonts w:ascii="宋体"/>
                <w:kern w:val="0"/>
              </w:rPr>
            </w:pPr>
          </w:p>
        </w:tc>
        <w:tc>
          <w:tcPr>
            <w:tcW w:w="5145" w:type="dxa"/>
            <w:tcBorders>
              <w:top w:val="single" w:color="auto" w:sz="4" w:space="0"/>
              <w:bottom w:val="single" w:color="auto" w:sz="4" w:space="0"/>
              <w:right w:val="single" w:color="auto" w:sz="4" w:space="0"/>
            </w:tcBorders>
            <w:vAlign w:val="center"/>
          </w:tcPr>
          <w:p w14:paraId="0BC799FC">
            <w:pPr>
              <w:widowControl/>
              <w:spacing w:line="240" w:lineRule="exact"/>
              <w:jc w:val="left"/>
              <w:rPr>
                <w:rFonts w:ascii="宋体"/>
                <w:kern w:val="0"/>
              </w:rPr>
            </w:pPr>
            <w:r>
              <w:rPr>
                <w:rFonts w:hint="eastAsia" w:ascii="宋体"/>
                <w:kern w:val="0"/>
              </w:rPr>
              <w:t>故意弄虚作假、伪造相关内容备案的；</w:t>
            </w:r>
          </w:p>
        </w:tc>
        <w:tc>
          <w:tcPr>
            <w:tcW w:w="7736" w:type="dxa"/>
            <w:tcBorders>
              <w:top w:val="single" w:color="auto" w:sz="4" w:space="0"/>
              <w:bottom w:val="single" w:color="auto" w:sz="4" w:space="0"/>
              <w:right w:val="single" w:color="auto" w:sz="4" w:space="0"/>
            </w:tcBorders>
            <w:vAlign w:val="center"/>
          </w:tcPr>
          <w:p w14:paraId="1370942C">
            <w:pPr>
              <w:widowControl/>
              <w:spacing w:line="240" w:lineRule="exact"/>
              <w:jc w:val="center"/>
              <w:rPr>
                <w:rFonts w:ascii="宋体"/>
                <w:kern w:val="0"/>
              </w:rPr>
            </w:pPr>
            <w:r>
              <w:rPr>
                <w:rFonts w:hint="eastAsia" w:ascii="宋体"/>
                <w:kern w:val="0"/>
              </w:rPr>
              <w:t>1.5-2万元</w:t>
            </w:r>
          </w:p>
        </w:tc>
      </w:tr>
      <w:tr w14:paraId="09B6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668" w:type="dxa"/>
            <w:vMerge w:val="continue"/>
            <w:vAlign w:val="center"/>
          </w:tcPr>
          <w:p w14:paraId="09973563">
            <w:pPr>
              <w:widowControl/>
              <w:spacing w:line="240" w:lineRule="exact"/>
              <w:jc w:val="left"/>
              <w:rPr>
                <w:rFonts w:ascii="宋体"/>
                <w:kern w:val="0"/>
              </w:rPr>
            </w:pPr>
          </w:p>
        </w:tc>
        <w:tc>
          <w:tcPr>
            <w:tcW w:w="2231" w:type="dxa"/>
            <w:vMerge w:val="continue"/>
            <w:vAlign w:val="center"/>
          </w:tcPr>
          <w:p w14:paraId="2838EF4D">
            <w:pPr>
              <w:widowControl/>
              <w:spacing w:line="240" w:lineRule="exact"/>
              <w:jc w:val="left"/>
              <w:rPr>
                <w:rFonts w:ascii="宋体"/>
                <w:kern w:val="0"/>
              </w:rPr>
            </w:pPr>
          </w:p>
        </w:tc>
        <w:tc>
          <w:tcPr>
            <w:tcW w:w="2730" w:type="dxa"/>
            <w:vMerge w:val="continue"/>
            <w:vAlign w:val="center"/>
          </w:tcPr>
          <w:p w14:paraId="340F9B32">
            <w:pPr>
              <w:widowControl/>
              <w:spacing w:line="240" w:lineRule="exact"/>
              <w:jc w:val="left"/>
              <w:rPr>
                <w:rFonts w:ascii="宋体"/>
                <w:kern w:val="0"/>
              </w:rPr>
            </w:pPr>
          </w:p>
        </w:tc>
        <w:tc>
          <w:tcPr>
            <w:tcW w:w="1152" w:type="dxa"/>
            <w:vMerge w:val="continue"/>
            <w:vAlign w:val="center"/>
          </w:tcPr>
          <w:p w14:paraId="7464A4AE">
            <w:pPr>
              <w:widowControl/>
              <w:spacing w:line="240" w:lineRule="exact"/>
              <w:jc w:val="left"/>
              <w:rPr>
                <w:rFonts w:ascii="宋体"/>
                <w:kern w:val="0"/>
              </w:rPr>
            </w:pPr>
          </w:p>
        </w:tc>
        <w:tc>
          <w:tcPr>
            <w:tcW w:w="5145" w:type="dxa"/>
            <w:tcBorders>
              <w:top w:val="single" w:color="auto" w:sz="4" w:space="0"/>
              <w:bottom w:val="single" w:color="auto" w:sz="4" w:space="0"/>
              <w:right w:val="single" w:color="auto" w:sz="4" w:space="0"/>
            </w:tcBorders>
            <w:vAlign w:val="center"/>
          </w:tcPr>
          <w:p w14:paraId="101BEF8C">
            <w:pPr>
              <w:widowControl/>
              <w:spacing w:line="240" w:lineRule="exact"/>
              <w:jc w:val="left"/>
              <w:rPr>
                <w:rFonts w:ascii="宋体"/>
                <w:kern w:val="0"/>
              </w:rPr>
            </w:pPr>
            <w:r>
              <w:rPr>
                <w:rFonts w:hint="eastAsia" w:ascii="宋体"/>
                <w:kern w:val="0"/>
              </w:rPr>
              <w:t>具有其他较重情节的。</w:t>
            </w:r>
          </w:p>
        </w:tc>
        <w:tc>
          <w:tcPr>
            <w:tcW w:w="7736" w:type="dxa"/>
            <w:tcBorders>
              <w:top w:val="single" w:color="auto" w:sz="4" w:space="0"/>
              <w:bottom w:val="single" w:color="auto" w:sz="4" w:space="0"/>
              <w:right w:val="single" w:color="auto" w:sz="4" w:space="0"/>
            </w:tcBorders>
            <w:vAlign w:val="center"/>
          </w:tcPr>
          <w:p w14:paraId="6B7EE417">
            <w:pPr>
              <w:widowControl/>
              <w:spacing w:line="240" w:lineRule="exact"/>
              <w:jc w:val="center"/>
              <w:rPr>
                <w:rFonts w:ascii="宋体"/>
                <w:kern w:val="0"/>
              </w:rPr>
            </w:pPr>
            <w:r>
              <w:rPr>
                <w:rFonts w:hint="eastAsia" w:ascii="宋体"/>
                <w:kern w:val="0"/>
              </w:rPr>
              <w:t>1-2万元</w:t>
            </w:r>
          </w:p>
        </w:tc>
      </w:tr>
    </w:tbl>
    <w:p w14:paraId="6A2241A4">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908"/>
        <w:gridCol w:w="1276"/>
        <w:gridCol w:w="1559"/>
        <w:gridCol w:w="1134"/>
        <w:gridCol w:w="7087"/>
        <w:gridCol w:w="7513"/>
      </w:tblGrid>
      <w:tr w14:paraId="3F1E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0" w:hRule="atLeast"/>
        </w:trPr>
        <w:tc>
          <w:tcPr>
            <w:tcW w:w="908" w:type="dxa"/>
            <w:vMerge w:val="restart"/>
            <w:vAlign w:val="center"/>
          </w:tcPr>
          <w:p w14:paraId="32A5A84F">
            <w:pPr>
              <w:jc w:val="left"/>
              <w:rPr>
                <w:rFonts w:ascii="宋体"/>
                <w:b/>
                <w:kern w:val="0"/>
              </w:rPr>
            </w:pPr>
            <w:r>
              <w:rPr>
                <w:rFonts w:hint="eastAsia" w:ascii="宋体"/>
                <w:b/>
                <w:kern w:val="0"/>
              </w:rPr>
              <w:t>案由110</w:t>
            </w:r>
          </w:p>
        </w:tc>
        <w:tc>
          <w:tcPr>
            <w:tcW w:w="2835" w:type="dxa"/>
            <w:gridSpan w:val="2"/>
            <w:vAlign w:val="center"/>
          </w:tcPr>
          <w:p w14:paraId="6AF713DD">
            <w:pPr>
              <w:jc w:val="center"/>
              <w:rPr>
                <w:rFonts w:ascii="宋体"/>
                <w:b/>
                <w:kern w:val="0"/>
              </w:rPr>
            </w:pPr>
            <w:r>
              <w:rPr>
                <w:rFonts w:hint="eastAsia" w:ascii="宋体"/>
                <w:b/>
                <w:kern w:val="0"/>
              </w:rPr>
              <w:t>法律依据</w:t>
            </w:r>
          </w:p>
        </w:tc>
        <w:tc>
          <w:tcPr>
            <w:tcW w:w="1134" w:type="dxa"/>
            <w:vMerge w:val="restart"/>
            <w:vAlign w:val="center"/>
          </w:tcPr>
          <w:p w14:paraId="00ABD178">
            <w:pPr>
              <w:jc w:val="center"/>
              <w:rPr>
                <w:rFonts w:ascii="宋体"/>
                <w:b/>
                <w:kern w:val="0"/>
              </w:rPr>
            </w:pPr>
            <w:r>
              <w:rPr>
                <w:rFonts w:hint="eastAsia" w:ascii="宋体"/>
                <w:b/>
                <w:kern w:val="0"/>
              </w:rPr>
              <w:t>违法情节</w:t>
            </w:r>
          </w:p>
        </w:tc>
        <w:tc>
          <w:tcPr>
            <w:tcW w:w="7087" w:type="dxa"/>
            <w:vMerge w:val="restart"/>
            <w:vAlign w:val="center"/>
          </w:tcPr>
          <w:p w14:paraId="44B27A76">
            <w:pPr>
              <w:jc w:val="center"/>
              <w:rPr>
                <w:rFonts w:ascii="宋体"/>
                <w:b/>
                <w:kern w:val="0"/>
              </w:rPr>
            </w:pPr>
            <w:r>
              <w:rPr>
                <w:rFonts w:hint="eastAsia" w:ascii="宋体"/>
                <w:b/>
                <w:kern w:val="0"/>
              </w:rPr>
              <w:t>主要考虑因素（事实、性质、情节、危害程度和实际后果等）</w:t>
            </w:r>
          </w:p>
        </w:tc>
        <w:tc>
          <w:tcPr>
            <w:tcW w:w="7513" w:type="dxa"/>
            <w:vAlign w:val="center"/>
          </w:tcPr>
          <w:p w14:paraId="22100C0C">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14:paraId="64E66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5" w:hRule="atLeast"/>
        </w:trPr>
        <w:tc>
          <w:tcPr>
            <w:tcW w:w="908" w:type="dxa"/>
            <w:vMerge w:val="continue"/>
            <w:tcBorders>
              <w:bottom w:val="single" w:color="000000" w:sz="4" w:space="0"/>
            </w:tcBorders>
            <w:vAlign w:val="center"/>
          </w:tcPr>
          <w:p w14:paraId="5543C345">
            <w:pPr>
              <w:jc w:val="left"/>
              <w:rPr>
                <w:rFonts w:ascii="宋体"/>
                <w:b/>
                <w:kern w:val="0"/>
              </w:rPr>
            </w:pPr>
          </w:p>
        </w:tc>
        <w:tc>
          <w:tcPr>
            <w:tcW w:w="1276" w:type="dxa"/>
            <w:tcBorders>
              <w:bottom w:val="single" w:color="000000" w:sz="4" w:space="0"/>
            </w:tcBorders>
            <w:vAlign w:val="center"/>
          </w:tcPr>
          <w:p w14:paraId="62A657B9">
            <w:pPr>
              <w:jc w:val="center"/>
              <w:rPr>
                <w:rFonts w:ascii="宋体"/>
                <w:b/>
                <w:kern w:val="0"/>
              </w:rPr>
            </w:pPr>
            <w:r>
              <w:rPr>
                <w:rFonts w:hint="eastAsia" w:ascii="宋体"/>
                <w:b/>
                <w:kern w:val="0"/>
              </w:rPr>
              <w:t>违反条款</w:t>
            </w:r>
          </w:p>
        </w:tc>
        <w:tc>
          <w:tcPr>
            <w:tcW w:w="1559" w:type="dxa"/>
            <w:tcBorders>
              <w:bottom w:val="single" w:color="000000" w:sz="4" w:space="0"/>
            </w:tcBorders>
            <w:vAlign w:val="center"/>
          </w:tcPr>
          <w:p w14:paraId="3F7A5327">
            <w:pPr>
              <w:jc w:val="center"/>
              <w:rPr>
                <w:rFonts w:ascii="宋体"/>
                <w:b/>
                <w:kern w:val="0"/>
              </w:rPr>
            </w:pPr>
            <w:r>
              <w:rPr>
                <w:rFonts w:hint="eastAsia" w:ascii="宋体"/>
                <w:b/>
                <w:kern w:val="0"/>
              </w:rPr>
              <w:t>处罚依据</w:t>
            </w:r>
          </w:p>
        </w:tc>
        <w:tc>
          <w:tcPr>
            <w:tcW w:w="1134" w:type="dxa"/>
            <w:vMerge w:val="continue"/>
            <w:tcBorders>
              <w:bottom w:val="single" w:color="000000" w:sz="4" w:space="0"/>
            </w:tcBorders>
            <w:vAlign w:val="center"/>
          </w:tcPr>
          <w:p w14:paraId="6A454A8F">
            <w:pPr>
              <w:jc w:val="left"/>
              <w:rPr>
                <w:rFonts w:ascii="宋体"/>
                <w:b/>
                <w:kern w:val="0"/>
              </w:rPr>
            </w:pPr>
          </w:p>
        </w:tc>
        <w:tc>
          <w:tcPr>
            <w:tcW w:w="7087" w:type="dxa"/>
            <w:vMerge w:val="continue"/>
            <w:tcBorders>
              <w:bottom w:val="single" w:color="000000" w:sz="4" w:space="0"/>
            </w:tcBorders>
            <w:vAlign w:val="center"/>
          </w:tcPr>
          <w:p w14:paraId="41A876FF">
            <w:pPr>
              <w:jc w:val="left"/>
              <w:rPr>
                <w:rFonts w:ascii="宋体"/>
                <w:b/>
                <w:kern w:val="0"/>
              </w:rPr>
            </w:pPr>
          </w:p>
        </w:tc>
        <w:tc>
          <w:tcPr>
            <w:tcW w:w="7513" w:type="dxa"/>
            <w:tcBorders>
              <w:top w:val="single" w:color="auto" w:sz="4" w:space="0"/>
              <w:bottom w:val="single" w:color="auto" w:sz="4" w:space="0"/>
              <w:right w:val="single" w:color="auto" w:sz="4" w:space="0"/>
            </w:tcBorders>
            <w:vAlign w:val="center"/>
          </w:tcPr>
          <w:p w14:paraId="5A22ED2C">
            <w:pPr>
              <w:jc w:val="center"/>
              <w:rPr>
                <w:rFonts w:ascii="宋体"/>
                <w:b/>
                <w:kern w:val="0"/>
              </w:rPr>
            </w:pPr>
            <w:r>
              <w:rPr>
                <w:rFonts w:hint="eastAsia" w:ascii="宋体"/>
                <w:b/>
                <w:kern w:val="0"/>
              </w:rPr>
              <w:t>【对象】</w:t>
            </w:r>
            <w:r>
              <w:rPr>
                <w:rFonts w:hint="eastAsia" w:ascii="宋体"/>
              </w:rPr>
              <w:t>责任单位或责任人员</w:t>
            </w:r>
          </w:p>
        </w:tc>
      </w:tr>
      <w:tr w14:paraId="0B98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908" w:type="dxa"/>
            <w:vMerge w:val="restart"/>
            <w:vAlign w:val="center"/>
          </w:tcPr>
          <w:p w14:paraId="6B5AAA56">
            <w:pPr>
              <w:widowControl/>
              <w:jc w:val="left"/>
              <w:rPr>
                <w:rFonts w:ascii="宋体"/>
                <w:kern w:val="0"/>
              </w:rPr>
            </w:pPr>
            <w:r>
              <w:rPr>
                <w:rFonts w:hint="eastAsia" w:ascii="宋体"/>
                <w:kern w:val="0"/>
              </w:rPr>
              <w:t>损坏海上交通支持服务系统或者妨碍其工作效能</w:t>
            </w:r>
          </w:p>
        </w:tc>
        <w:tc>
          <w:tcPr>
            <w:tcW w:w="1276" w:type="dxa"/>
            <w:vMerge w:val="restart"/>
            <w:vAlign w:val="center"/>
          </w:tcPr>
          <w:p w14:paraId="577B4434">
            <w:pPr>
              <w:widowControl/>
              <w:rPr>
                <w:rFonts w:ascii="宋体"/>
                <w:kern w:val="0"/>
              </w:rPr>
            </w:pPr>
            <w:r>
              <w:rPr>
                <w:rFonts w:hint="eastAsia" w:ascii="宋体"/>
                <w:kern w:val="0"/>
              </w:rPr>
              <w:t>1.《中华人民共和国海上交通安全法》第二十二条；</w:t>
            </w:r>
          </w:p>
          <w:p w14:paraId="3FC9CE22">
            <w:pPr>
              <w:widowControl/>
              <w:rPr>
                <w:rFonts w:ascii="宋体"/>
              </w:rPr>
            </w:pPr>
            <w:r>
              <w:rPr>
                <w:rFonts w:hint="eastAsia" w:ascii="宋体"/>
              </w:rPr>
              <w:t>2.其他法律、法规、规章等。</w:t>
            </w:r>
          </w:p>
        </w:tc>
        <w:tc>
          <w:tcPr>
            <w:tcW w:w="1559" w:type="dxa"/>
            <w:vMerge w:val="restart"/>
            <w:vAlign w:val="center"/>
          </w:tcPr>
          <w:p w14:paraId="44D48532">
            <w:pPr>
              <w:jc w:val="left"/>
              <w:rPr>
                <w:rFonts w:ascii="宋体"/>
                <w:kern w:val="0"/>
              </w:rPr>
            </w:pPr>
            <w:r>
              <w:rPr>
                <w:rFonts w:hint="eastAsia" w:ascii="宋体"/>
                <w:kern w:val="0"/>
              </w:rPr>
              <w:t>1.《中华人民共和国海上交通安全法》第一百条第（二）项、《中华人民共和国海上海事行政处罚规定》第十九条第（二）项；</w:t>
            </w:r>
          </w:p>
          <w:p w14:paraId="224A85AF">
            <w:pPr>
              <w:jc w:val="left"/>
              <w:rPr>
                <w:rFonts w:ascii="宋体"/>
                <w:kern w:val="0"/>
              </w:rPr>
            </w:pPr>
            <w:r>
              <w:rPr>
                <w:rFonts w:hint="eastAsia" w:ascii="宋体"/>
                <w:kern w:val="0"/>
              </w:rPr>
              <w:t>2. 《中华人民共和国海上海事行政处罚规定》第七条。</w:t>
            </w:r>
          </w:p>
        </w:tc>
        <w:tc>
          <w:tcPr>
            <w:tcW w:w="1134" w:type="dxa"/>
            <w:vAlign w:val="center"/>
          </w:tcPr>
          <w:p w14:paraId="454A4BE0">
            <w:pPr>
              <w:jc w:val="center"/>
              <w:rPr>
                <w:rFonts w:ascii="宋体"/>
                <w:kern w:val="0"/>
              </w:rPr>
            </w:pPr>
            <w:r>
              <w:rPr>
                <w:rFonts w:hint="eastAsia" w:ascii="宋体"/>
                <w:kern w:val="0"/>
              </w:rPr>
              <w:t>从轻</w:t>
            </w:r>
          </w:p>
        </w:tc>
        <w:tc>
          <w:tcPr>
            <w:tcW w:w="7087" w:type="dxa"/>
            <w:vAlign w:val="center"/>
          </w:tcPr>
          <w:p w14:paraId="6331759D">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513" w:type="dxa"/>
            <w:tcBorders>
              <w:right w:val="single" w:color="auto" w:sz="4" w:space="0"/>
            </w:tcBorders>
            <w:vAlign w:val="center"/>
          </w:tcPr>
          <w:p w14:paraId="1D31C73E">
            <w:pPr>
              <w:jc w:val="center"/>
              <w:rPr>
                <w:rFonts w:ascii="宋体"/>
                <w:kern w:val="0"/>
              </w:rPr>
            </w:pPr>
            <w:r>
              <w:rPr>
                <w:rFonts w:hint="eastAsia" w:ascii="宋体"/>
              </w:rPr>
              <w:t>责令改正</w:t>
            </w:r>
          </w:p>
        </w:tc>
      </w:tr>
      <w:tr w14:paraId="7F3A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6" w:hRule="atLeast"/>
        </w:trPr>
        <w:tc>
          <w:tcPr>
            <w:tcW w:w="908" w:type="dxa"/>
            <w:vMerge w:val="continue"/>
            <w:vAlign w:val="center"/>
          </w:tcPr>
          <w:p w14:paraId="3D7A74BA">
            <w:pPr>
              <w:jc w:val="left"/>
              <w:rPr>
                <w:rFonts w:ascii="宋体"/>
                <w:kern w:val="0"/>
              </w:rPr>
            </w:pPr>
          </w:p>
        </w:tc>
        <w:tc>
          <w:tcPr>
            <w:tcW w:w="1276" w:type="dxa"/>
            <w:vMerge w:val="continue"/>
            <w:vAlign w:val="center"/>
          </w:tcPr>
          <w:p w14:paraId="36504529">
            <w:pPr>
              <w:widowControl/>
              <w:jc w:val="left"/>
              <w:rPr>
                <w:rFonts w:ascii="宋体"/>
                <w:kern w:val="0"/>
              </w:rPr>
            </w:pPr>
          </w:p>
        </w:tc>
        <w:tc>
          <w:tcPr>
            <w:tcW w:w="1559" w:type="dxa"/>
            <w:vMerge w:val="continue"/>
            <w:vAlign w:val="center"/>
          </w:tcPr>
          <w:p w14:paraId="41C9DD0E">
            <w:pPr>
              <w:jc w:val="left"/>
              <w:rPr>
                <w:rFonts w:ascii="宋体"/>
                <w:kern w:val="0"/>
              </w:rPr>
            </w:pPr>
          </w:p>
        </w:tc>
        <w:tc>
          <w:tcPr>
            <w:tcW w:w="1134" w:type="dxa"/>
            <w:vMerge w:val="restart"/>
            <w:vAlign w:val="center"/>
          </w:tcPr>
          <w:p w14:paraId="17482D01">
            <w:pPr>
              <w:jc w:val="center"/>
              <w:rPr>
                <w:rFonts w:ascii="宋体"/>
                <w:kern w:val="0"/>
              </w:rPr>
            </w:pPr>
            <w:r>
              <w:rPr>
                <w:rFonts w:hint="eastAsia" w:ascii="宋体"/>
                <w:kern w:val="0"/>
              </w:rPr>
              <w:t>一般</w:t>
            </w:r>
          </w:p>
        </w:tc>
        <w:tc>
          <w:tcPr>
            <w:tcW w:w="7087" w:type="dxa"/>
            <w:vAlign w:val="center"/>
          </w:tcPr>
          <w:p w14:paraId="688BD830">
            <w:pPr>
              <w:pStyle w:val="13"/>
              <w:jc w:val="left"/>
              <w:rPr>
                <w:rFonts w:ascii="宋体"/>
              </w:rPr>
            </w:pPr>
            <w:r>
              <w:rPr>
                <w:rFonts w:hint="eastAsia" w:ascii="宋体"/>
              </w:rPr>
              <w:t>1.轻微损坏海上交通支持服务系统，不影响其正常使用的</w:t>
            </w:r>
          </w:p>
          <w:p w14:paraId="3F443FFA">
            <w:pPr>
              <w:pStyle w:val="13"/>
              <w:jc w:val="left"/>
              <w:rPr>
                <w:rFonts w:ascii="宋体"/>
              </w:rPr>
            </w:pPr>
            <w:r>
              <w:rPr>
                <w:rFonts w:hint="eastAsia" w:ascii="宋体"/>
              </w:rPr>
              <w:t>2.短暂妨碍海上交通支持服务系统工作效能，未造成影响的</w:t>
            </w:r>
          </w:p>
          <w:p w14:paraId="223CDC35">
            <w:pPr>
              <w:pStyle w:val="13"/>
              <w:jc w:val="left"/>
              <w:rPr>
                <w:rFonts w:ascii="宋体"/>
              </w:rPr>
            </w:pPr>
            <w:r>
              <w:rPr>
                <w:rFonts w:hint="eastAsia" w:ascii="宋体"/>
              </w:rPr>
              <w:t>3.不具有严重情节的</w:t>
            </w:r>
          </w:p>
        </w:tc>
        <w:tc>
          <w:tcPr>
            <w:tcW w:w="7513" w:type="dxa"/>
            <w:tcBorders>
              <w:right w:val="single" w:color="auto" w:sz="4" w:space="0"/>
            </w:tcBorders>
            <w:vAlign w:val="center"/>
          </w:tcPr>
          <w:p w14:paraId="3B969EC5">
            <w:pPr>
              <w:jc w:val="center"/>
              <w:rPr>
                <w:rFonts w:ascii="宋体"/>
                <w:kern w:val="0"/>
              </w:rPr>
            </w:pPr>
            <w:r>
              <w:rPr>
                <w:rFonts w:hint="eastAsia" w:ascii="宋体"/>
              </w:rPr>
              <w:t>责令改正</w:t>
            </w:r>
          </w:p>
        </w:tc>
      </w:tr>
      <w:tr w14:paraId="0C82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40" w:hRule="atLeast"/>
        </w:trPr>
        <w:tc>
          <w:tcPr>
            <w:tcW w:w="908" w:type="dxa"/>
            <w:vMerge w:val="continue"/>
            <w:vAlign w:val="center"/>
          </w:tcPr>
          <w:p w14:paraId="6081D35B">
            <w:pPr>
              <w:jc w:val="left"/>
              <w:rPr>
                <w:rFonts w:ascii="宋体"/>
                <w:kern w:val="0"/>
              </w:rPr>
            </w:pPr>
          </w:p>
        </w:tc>
        <w:tc>
          <w:tcPr>
            <w:tcW w:w="1276" w:type="dxa"/>
            <w:vMerge w:val="continue"/>
            <w:vAlign w:val="center"/>
          </w:tcPr>
          <w:p w14:paraId="19556987">
            <w:pPr>
              <w:jc w:val="left"/>
              <w:rPr>
                <w:rFonts w:ascii="宋体"/>
                <w:kern w:val="0"/>
              </w:rPr>
            </w:pPr>
          </w:p>
        </w:tc>
        <w:tc>
          <w:tcPr>
            <w:tcW w:w="1559" w:type="dxa"/>
            <w:vMerge w:val="continue"/>
            <w:vAlign w:val="center"/>
          </w:tcPr>
          <w:p w14:paraId="0F737C65">
            <w:pPr>
              <w:jc w:val="left"/>
              <w:rPr>
                <w:rFonts w:ascii="宋体"/>
                <w:kern w:val="0"/>
              </w:rPr>
            </w:pPr>
          </w:p>
        </w:tc>
        <w:tc>
          <w:tcPr>
            <w:tcW w:w="1134" w:type="dxa"/>
            <w:vMerge w:val="restart"/>
            <w:vAlign w:val="center"/>
          </w:tcPr>
          <w:p w14:paraId="68837782">
            <w:pPr>
              <w:jc w:val="center"/>
              <w:rPr>
                <w:rFonts w:ascii="宋体"/>
                <w:kern w:val="0"/>
              </w:rPr>
            </w:pPr>
            <w:r>
              <w:rPr>
                <w:rFonts w:hint="eastAsia" w:ascii="宋体"/>
                <w:kern w:val="0"/>
              </w:rPr>
              <w:t>情节严重</w:t>
            </w:r>
          </w:p>
        </w:tc>
        <w:tc>
          <w:tcPr>
            <w:tcW w:w="7087" w:type="dxa"/>
            <w:tcBorders>
              <w:top w:val="single" w:color="auto" w:sz="4" w:space="0"/>
              <w:bottom w:val="single" w:color="auto" w:sz="4" w:space="0"/>
            </w:tcBorders>
            <w:vAlign w:val="center"/>
          </w:tcPr>
          <w:p w14:paraId="584E6A21">
            <w:pPr>
              <w:pStyle w:val="13"/>
              <w:jc w:val="left"/>
              <w:rPr>
                <w:rFonts w:ascii="宋体"/>
              </w:rPr>
            </w:pPr>
            <w:r>
              <w:rPr>
                <w:rFonts w:hint="eastAsia" w:ascii="宋体"/>
              </w:rPr>
              <w:t>1.损坏海上交通支持服务系统，严重影响其正常使用的；</w:t>
            </w:r>
          </w:p>
          <w:p w14:paraId="79AA3CB7">
            <w:pPr>
              <w:pStyle w:val="13"/>
              <w:jc w:val="left"/>
              <w:rPr>
                <w:rFonts w:ascii="宋体"/>
              </w:rPr>
            </w:pPr>
            <w:r>
              <w:rPr>
                <w:rFonts w:hint="eastAsia" w:ascii="宋体"/>
              </w:rPr>
              <w:t>2.妨碍海上交通支持服务系统工作效能，并造成严重影响的；</w:t>
            </w:r>
          </w:p>
          <w:p w14:paraId="6B75C1B5">
            <w:pPr>
              <w:pStyle w:val="13"/>
              <w:jc w:val="left"/>
              <w:rPr>
                <w:rFonts w:ascii="宋体"/>
              </w:rPr>
            </w:pPr>
            <w:r>
              <w:rPr>
                <w:rFonts w:hint="eastAsia" w:ascii="宋体"/>
              </w:rPr>
              <w:t>3.造成小事故或险情的。</w:t>
            </w:r>
          </w:p>
        </w:tc>
        <w:tc>
          <w:tcPr>
            <w:tcW w:w="7513" w:type="dxa"/>
            <w:tcBorders>
              <w:top w:val="single" w:color="auto" w:sz="4" w:space="0"/>
              <w:bottom w:val="single" w:color="auto" w:sz="4" w:space="0"/>
              <w:right w:val="single" w:color="auto" w:sz="4" w:space="0"/>
            </w:tcBorders>
            <w:vAlign w:val="center"/>
          </w:tcPr>
          <w:p w14:paraId="55493C90">
            <w:pPr>
              <w:jc w:val="center"/>
              <w:rPr>
                <w:rFonts w:ascii="宋体"/>
                <w:kern w:val="0"/>
              </w:rPr>
            </w:pPr>
            <w:r>
              <w:rPr>
                <w:rFonts w:hint="eastAsia" w:ascii="宋体"/>
              </w:rPr>
              <w:t>3-5万元</w:t>
            </w:r>
          </w:p>
        </w:tc>
      </w:tr>
      <w:tr w14:paraId="3111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63" w:hRule="atLeast"/>
        </w:trPr>
        <w:tc>
          <w:tcPr>
            <w:tcW w:w="908" w:type="dxa"/>
            <w:vMerge w:val="continue"/>
            <w:vAlign w:val="center"/>
          </w:tcPr>
          <w:p w14:paraId="60750B58">
            <w:pPr>
              <w:jc w:val="left"/>
              <w:rPr>
                <w:rFonts w:ascii="宋体"/>
                <w:kern w:val="0"/>
              </w:rPr>
            </w:pPr>
          </w:p>
        </w:tc>
        <w:tc>
          <w:tcPr>
            <w:tcW w:w="1276" w:type="dxa"/>
            <w:vMerge w:val="continue"/>
            <w:vAlign w:val="center"/>
          </w:tcPr>
          <w:p w14:paraId="00D647EC">
            <w:pPr>
              <w:jc w:val="left"/>
              <w:rPr>
                <w:rFonts w:ascii="宋体"/>
                <w:kern w:val="0"/>
              </w:rPr>
            </w:pPr>
          </w:p>
        </w:tc>
        <w:tc>
          <w:tcPr>
            <w:tcW w:w="1559" w:type="dxa"/>
            <w:vMerge w:val="continue"/>
            <w:vAlign w:val="center"/>
          </w:tcPr>
          <w:p w14:paraId="5AA54C9A">
            <w:pPr>
              <w:jc w:val="left"/>
              <w:rPr>
                <w:rFonts w:ascii="宋体"/>
                <w:kern w:val="0"/>
              </w:rPr>
            </w:pPr>
          </w:p>
        </w:tc>
        <w:tc>
          <w:tcPr>
            <w:tcW w:w="1134" w:type="dxa"/>
            <w:vMerge w:val="continue"/>
            <w:tcBorders>
              <w:bottom w:val="single" w:color="auto" w:sz="4" w:space="0"/>
            </w:tcBorders>
            <w:vAlign w:val="center"/>
          </w:tcPr>
          <w:p w14:paraId="03A3CEE4">
            <w:pPr>
              <w:jc w:val="left"/>
              <w:rPr>
                <w:rFonts w:ascii="宋体"/>
                <w:kern w:val="0"/>
              </w:rPr>
            </w:pPr>
          </w:p>
        </w:tc>
        <w:tc>
          <w:tcPr>
            <w:tcW w:w="7087" w:type="dxa"/>
            <w:tcBorders>
              <w:top w:val="single" w:color="auto" w:sz="4" w:space="0"/>
              <w:left w:val="single" w:color="auto" w:sz="4" w:space="0"/>
              <w:bottom w:val="single" w:color="auto" w:sz="4" w:space="0"/>
            </w:tcBorders>
            <w:vAlign w:val="center"/>
          </w:tcPr>
          <w:p w14:paraId="63FF8B56">
            <w:pPr>
              <w:jc w:val="left"/>
              <w:rPr>
                <w:rFonts w:ascii="宋体"/>
                <w:kern w:val="0"/>
              </w:rPr>
            </w:pPr>
            <w:r>
              <w:rPr>
                <w:rFonts w:hint="eastAsia" w:ascii="宋体"/>
                <w:kern w:val="0"/>
              </w:rPr>
              <w:t>1.造成一般等级以上事故的；</w:t>
            </w:r>
          </w:p>
          <w:p w14:paraId="57AD9AE1">
            <w:pPr>
              <w:jc w:val="left"/>
              <w:rPr>
                <w:rFonts w:ascii="宋体"/>
                <w:kern w:val="0"/>
              </w:rPr>
            </w:pPr>
            <w:r>
              <w:rPr>
                <w:rFonts w:hint="eastAsia" w:ascii="宋体"/>
                <w:kern w:val="0"/>
              </w:rPr>
              <w:t>2.具有其他严重情节的。</w:t>
            </w:r>
          </w:p>
        </w:tc>
        <w:tc>
          <w:tcPr>
            <w:tcW w:w="7513" w:type="dxa"/>
            <w:tcBorders>
              <w:bottom w:val="single" w:color="auto" w:sz="4" w:space="0"/>
            </w:tcBorders>
            <w:vAlign w:val="center"/>
          </w:tcPr>
          <w:p w14:paraId="39C32A57">
            <w:pPr>
              <w:jc w:val="center"/>
              <w:rPr>
                <w:rFonts w:ascii="宋体"/>
                <w:kern w:val="0"/>
              </w:rPr>
            </w:pPr>
            <w:r>
              <w:rPr>
                <w:rFonts w:hint="eastAsia" w:ascii="宋体"/>
              </w:rPr>
              <w:t>5-10万元</w:t>
            </w:r>
          </w:p>
        </w:tc>
      </w:tr>
    </w:tbl>
    <w:p w14:paraId="1BB44EF8">
      <w:pPr>
        <w:widowControl/>
        <w:jc w:val="left"/>
        <w:rPr>
          <w:rFonts w:ascii="宋体"/>
        </w:rPr>
      </w:pPr>
      <w:r>
        <w:rPr>
          <w:rFonts w:hint="eastAsia"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5"/>
        <w:gridCol w:w="1134"/>
        <w:gridCol w:w="1843"/>
        <w:gridCol w:w="1701"/>
        <w:gridCol w:w="5670"/>
        <w:gridCol w:w="7654"/>
      </w:tblGrid>
      <w:tr w14:paraId="566D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70" w:hRule="atLeast"/>
        </w:trPr>
        <w:tc>
          <w:tcPr>
            <w:tcW w:w="1475" w:type="dxa"/>
            <w:vMerge w:val="restart"/>
            <w:vAlign w:val="center"/>
          </w:tcPr>
          <w:p w14:paraId="16327D9D">
            <w:pPr>
              <w:jc w:val="left"/>
              <w:rPr>
                <w:rFonts w:ascii="宋体"/>
                <w:b/>
                <w:kern w:val="0"/>
              </w:rPr>
            </w:pPr>
            <w:r>
              <w:rPr>
                <w:rFonts w:hint="eastAsia" w:ascii="宋体"/>
                <w:b/>
                <w:kern w:val="0"/>
              </w:rPr>
              <w:t>案由111</w:t>
            </w:r>
          </w:p>
        </w:tc>
        <w:tc>
          <w:tcPr>
            <w:tcW w:w="2977" w:type="dxa"/>
            <w:gridSpan w:val="2"/>
            <w:vAlign w:val="center"/>
          </w:tcPr>
          <w:p w14:paraId="753FC611">
            <w:pPr>
              <w:jc w:val="center"/>
              <w:rPr>
                <w:rFonts w:ascii="宋体"/>
                <w:b/>
                <w:kern w:val="0"/>
              </w:rPr>
            </w:pPr>
            <w:r>
              <w:rPr>
                <w:rFonts w:hint="eastAsia" w:ascii="宋体"/>
                <w:b/>
                <w:kern w:val="0"/>
              </w:rPr>
              <w:t>法律依据</w:t>
            </w:r>
          </w:p>
        </w:tc>
        <w:tc>
          <w:tcPr>
            <w:tcW w:w="1701" w:type="dxa"/>
            <w:vMerge w:val="restart"/>
            <w:vAlign w:val="center"/>
          </w:tcPr>
          <w:p w14:paraId="6EED46AA">
            <w:pPr>
              <w:jc w:val="center"/>
              <w:rPr>
                <w:rFonts w:ascii="宋体"/>
                <w:b/>
                <w:kern w:val="0"/>
              </w:rPr>
            </w:pPr>
            <w:r>
              <w:rPr>
                <w:rFonts w:hint="eastAsia" w:ascii="宋体"/>
                <w:b/>
                <w:kern w:val="0"/>
              </w:rPr>
              <w:t>违法情节</w:t>
            </w:r>
          </w:p>
        </w:tc>
        <w:tc>
          <w:tcPr>
            <w:tcW w:w="5670" w:type="dxa"/>
            <w:vMerge w:val="restart"/>
            <w:vAlign w:val="center"/>
          </w:tcPr>
          <w:p w14:paraId="57F96BC0">
            <w:pPr>
              <w:jc w:val="center"/>
              <w:rPr>
                <w:rFonts w:ascii="宋体"/>
                <w:b/>
                <w:kern w:val="0"/>
              </w:rPr>
            </w:pPr>
            <w:r>
              <w:rPr>
                <w:rFonts w:hint="eastAsia" w:ascii="宋体"/>
                <w:b/>
                <w:kern w:val="0"/>
              </w:rPr>
              <w:t>主要考虑因素（事实、性质、情节、危害程度和实际后果等）</w:t>
            </w:r>
          </w:p>
        </w:tc>
        <w:tc>
          <w:tcPr>
            <w:tcW w:w="7654" w:type="dxa"/>
            <w:vAlign w:val="center"/>
          </w:tcPr>
          <w:p w14:paraId="2D418E55">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14:paraId="20C4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475" w:type="dxa"/>
            <w:vMerge w:val="continue"/>
            <w:tcBorders>
              <w:bottom w:val="single" w:color="000000" w:sz="4" w:space="0"/>
            </w:tcBorders>
            <w:vAlign w:val="center"/>
          </w:tcPr>
          <w:p w14:paraId="2E017C90">
            <w:pPr>
              <w:jc w:val="left"/>
              <w:rPr>
                <w:rFonts w:ascii="宋体"/>
                <w:b/>
                <w:kern w:val="0"/>
              </w:rPr>
            </w:pPr>
          </w:p>
        </w:tc>
        <w:tc>
          <w:tcPr>
            <w:tcW w:w="1134" w:type="dxa"/>
            <w:tcBorders>
              <w:bottom w:val="single" w:color="000000" w:sz="4" w:space="0"/>
            </w:tcBorders>
            <w:vAlign w:val="center"/>
          </w:tcPr>
          <w:p w14:paraId="63D5D8A0">
            <w:pPr>
              <w:jc w:val="center"/>
              <w:rPr>
                <w:rFonts w:ascii="宋体"/>
                <w:b/>
                <w:kern w:val="0"/>
              </w:rPr>
            </w:pPr>
            <w:r>
              <w:rPr>
                <w:rFonts w:hint="eastAsia" w:ascii="宋体"/>
                <w:b/>
                <w:kern w:val="0"/>
              </w:rPr>
              <w:t>违反条款</w:t>
            </w:r>
          </w:p>
        </w:tc>
        <w:tc>
          <w:tcPr>
            <w:tcW w:w="1843" w:type="dxa"/>
            <w:tcBorders>
              <w:bottom w:val="single" w:color="000000" w:sz="4" w:space="0"/>
            </w:tcBorders>
            <w:vAlign w:val="center"/>
          </w:tcPr>
          <w:p w14:paraId="39B96D2E">
            <w:pPr>
              <w:jc w:val="center"/>
              <w:rPr>
                <w:rFonts w:ascii="宋体"/>
                <w:b/>
                <w:kern w:val="0"/>
              </w:rPr>
            </w:pPr>
            <w:r>
              <w:rPr>
                <w:rFonts w:hint="eastAsia" w:ascii="宋体"/>
                <w:b/>
                <w:kern w:val="0"/>
              </w:rPr>
              <w:t>处罚依据</w:t>
            </w:r>
          </w:p>
        </w:tc>
        <w:tc>
          <w:tcPr>
            <w:tcW w:w="1701" w:type="dxa"/>
            <w:vMerge w:val="continue"/>
            <w:tcBorders>
              <w:bottom w:val="single" w:color="000000" w:sz="4" w:space="0"/>
            </w:tcBorders>
            <w:vAlign w:val="center"/>
          </w:tcPr>
          <w:p w14:paraId="54C4FC01">
            <w:pPr>
              <w:jc w:val="left"/>
              <w:rPr>
                <w:rFonts w:ascii="宋体"/>
                <w:b/>
                <w:kern w:val="0"/>
              </w:rPr>
            </w:pPr>
          </w:p>
        </w:tc>
        <w:tc>
          <w:tcPr>
            <w:tcW w:w="5670" w:type="dxa"/>
            <w:vMerge w:val="continue"/>
            <w:tcBorders>
              <w:bottom w:val="single" w:color="000000" w:sz="4" w:space="0"/>
            </w:tcBorders>
            <w:vAlign w:val="center"/>
          </w:tcPr>
          <w:p w14:paraId="71CEF2A6">
            <w:pPr>
              <w:jc w:val="left"/>
              <w:rPr>
                <w:rFonts w:ascii="宋体"/>
                <w:b/>
                <w:kern w:val="0"/>
              </w:rPr>
            </w:pPr>
          </w:p>
        </w:tc>
        <w:tc>
          <w:tcPr>
            <w:tcW w:w="7654" w:type="dxa"/>
            <w:tcBorders>
              <w:top w:val="single" w:color="auto" w:sz="4" w:space="0"/>
              <w:bottom w:val="single" w:color="auto" w:sz="4" w:space="0"/>
              <w:right w:val="single" w:color="auto" w:sz="4" w:space="0"/>
            </w:tcBorders>
            <w:vAlign w:val="center"/>
          </w:tcPr>
          <w:p w14:paraId="07E22EE9">
            <w:pPr>
              <w:jc w:val="center"/>
              <w:rPr>
                <w:rFonts w:ascii="宋体"/>
                <w:b/>
                <w:kern w:val="0"/>
              </w:rPr>
            </w:pPr>
            <w:r>
              <w:rPr>
                <w:rFonts w:hint="eastAsia" w:ascii="宋体"/>
                <w:b/>
                <w:kern w:val="0"/>
              </w:rPr>
              <w:t>【对象】海洋工程、海岸工程的建设单位、所有人或者经营人</w:t>
            </w:r>
          </w:p>
        </w:tc>
      </w:tr>
      <w:tr w14:paraId="41CF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475" w:type="dxa"/>
            <w:vMerge w:val="restart"/>
            <w:vAlign w:val="center"/>
          </w:tcPr>
          <w:p w14:paraId="06282785">
            <w:pPr>
              <w:widowControl/>
              <w:jc w:val="left"/>
              <w:rPr>
                <w:rFonts w:ascii="宋体"/>
                <w:kern w:val="0"/>
              </w:rPr>
            </w:pPr>
            <w:r>
              <w:rPr>
                <w:rFonts w:hint="eastAsia" w:ascii="宋体"/>
                <w:kern w:val="0"/>
              </w:rPr>
              <w:t>未经海事管理机构同意设置、撤除专用航标，移动专用航标位置或者改变航标灯光、功率等其他状况，或者临时航标不符合海事管理机构确定的航标设置点</w:t>
            </w:r>
          </w:p>
        </w:tc>
        <w:tc>
          <w:tcPr>
            <w:tcW w:w="1134" w:type="dxa"/>
            <w:vMerge w:val="restart"/>
            <w:vAlign w:val="center"/>
          </w:tcPr>
          <w:p w14:paraId="313390EC">
            <w:pPr>
              <w:widowControl/>
              <w:rPr>
                <w:rFonts w:ascii="宋体"/>
                <w:kern w:val="0"/>
              </w:rPr>
            </w:pPr>
            <w:r>
              <w:rPr>
                <w:rFonts w:hint="eastAsia" w:ascii="宋体"/>
                <w:kern w:val="0"/>
              </w:rPr>
              <w:t>1.《中华人民共和国海上交通安全法》第二十六条第一款；</w:t>
            </w:r>
          </w:p>
          <w:p w14:paraId="0C8BC623">
            <w:pPr>
              <w:widowControl/>
              <w:rPr>
                <w:rFonts w:ascii="宋体"/>
              </w:rPr>
            </w:pPr>
            <w:r>
              <w:rPr>
                <w:rFonts w:hint="eastAsia" w:ascii="宋体"/>
              </w:rPr>
              <w:t>2.其他法律、法规、规章等。</w:t>
            </w:r>
          </w:p>
        </w:tc>
        <w:tc>
          <w:tcPr>
            <w:tcW w:w="1843" w:type="dxa"/>
            <w:vMerge w:val="restart"/>
            <w:vAlign w:val="center"/>
          </w:tcPr>
          <w:p w14:paraId="555811F1">
            <w:pPr>
              <w:jc w:val="left"/>
              <w:rPr>
                <w:rFonts w:ascii="宋体"/>
                <w:kern w:val="0"/>
              </w:rPr>
            </w:pPr>
            <w:r>
              <w:rPr>
                <w:rFonts w:hint="eastAsia" w:ascii="宋体"/>
                <w:kern w:val="0"/>
              </w:rPr>
              <w:t>1.《中华人民共和国海上交通安全法》第一百条第（三）项、《中华人民共和国海上海事行政处罚规定》第十九条第（三）项；</w:t>
            </w:r>
          </w:p>
          <w:p w14:paraId="10784B39">
            <w:pPr>
              <w:jc w:val="left"/>
              <w:rPr>
                <w:rFonts w:ascii="宋体"/>
                <w:kern w:val="0"/>
              </w:rPr>
            </w:pPr>
            <w:r>
              <w:rPr>
                <w:rFonts w:hint="eastAsia" w:ascii="宋体"/>
                <w:kern w:val="0"/>
              </w:rPr>
              <w:t>2. 《中华人民共和国海上海事行政处罚规定》第七条。</w:t>
            </w:r>
          </w:p>
        </w:tc>
        <w:tc>
          <w:tcPr>
            <w:tcW w:w="1701" w:type="dxa"/>
            <w:vAlign w:val="center"/>
          </w:tcPr>
          <w:p w14:paraId="10CF4A56">
            <w:pPr>
              <w:jc w:val="center"/>
              <w:rPr>
                <w:rFonts w:ascii="宋体"/>
                <w:kern w:val="0"/>
              </w:rPr>
            </w:pPr>
            <w:r>
              <w:rPr>
                <w:rFonts w:hint="eastAsia" w:ascii="宋体"/>
                <w:kern w:val="0"/>
              </w:rPr>
              <w:t>从轻</w:t>
            </w:r>
          </w:p>
        </w:tc>
        <w:tc>
          <w:tcPr>
            <w:tcW w:w="5670" w:type="dxa"/>
            <w:vAlign w:val="center"/>
          </w:tcPr>
          <w:p w14:paraId="3EDD1861">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 xml:space="preserve">情节的； </w:t>
            </w:r>
          </w:p>
        </w:tc>
        <w:tc>
          <w:tcPr>
            <w:tcW w:w="7654" w:type="dxa"/>
            <w:tcBorders>
              <w:right w:val="single" w:color="auto" w:sz="4" w:space="0"/>
            </w:tcBorders>
            <w:vAlign w:val="center"/>
          </w:tcPr>
          <w:p w14:paraId="2E6F2854">
            <w:pPr>
              <w:jc w:val="center"/>
              <w:rPr>
                <w:rFonts w:ascii="宋体"/>
                <w:kern w:val="0"/>
              </w:rPr>
            </w:pPr>
            <w:r>
              <w:rPr>
                <w:rFonts w:hint="eastAsia" w:ascii="宋体"/>
              </w:rPr>
              <w:t>责令改正</w:t>
            </w:r>
          </w:p>
        </w:tc>
      </w:tr>
      <w:tr w14:paraId="5423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82" w:hRule="atLeast"/>
        </w:trPr>
        <w:tc>
          <w:tcPr>
            <w:tcW w:w="1475" w:type="dxa"/>
            <w:vMerge w:val="continue"/>
            <w:vAlign w:val="center"/>
          </w:tcPr>
          <w:p w14:paraId="403E2437">
            <w:pPr>
              <w:jc w:val="left"/>
              <w:rPr>
                <w:rFonts w:ascii="宋体"/>
                <w:kern w:val="0"/>
              </w:rPr>
            </w:pPr>
          </w:p>
        </w:tc>
        <w:tc>
          <w:tcPr>
            <w:tcW w:w="1134" w:type="dxa"/>
            <w:vMerge w:val="continue"/>
            <w:vAlign w:val="center"/>
          </w:tcPr>
          <w:p w14:paraId="12E1C443">
            <w:pPr>
              <w:widowControl/>
              <w:jc w:val="left"/>
              <w:rPr>
                <w:rFonts w:ascii="宋体"/>
                <w:kern w:val="0"/>
              </w:rPr>
            </w:pPr>
          </w:p>
        </w:tc>
        <w:tc>
          <w:tcPr>
            <w:tcW w:w="1843" w:type="dxa"/>
            <w:vMerge w:val="continue"/>
            <w:vAlign w:val="center"/>
          </w:tcPr>
          <w:p w14:paraId="3B8F1274">
            <w:pPr>
              <w:jc w:val="left"/>
              <w:rPr>
                <w:rFonts w:ascii="宋体"/>
                <w:kern w:val="0"/>
              </w:rPr>
            </w:pPr>
          </w:p>
        </w:tc>
        <w:tc>
          <w:tcPr>
            <w:tcW w:w="1701" w:type="dxa"/>
            <w:vMerge w:val="restart"/>
            <w:vAlign w:val="center"/>
          </w:tcPr>
          <w:p w14:paraId="22FB3CBD">
            <w:pPr>
              <w:jc w:val="center"/>
              <w:rPr>
                <w:rFonts w:ascii="宋体"/>
                <w:kern w:val="0"/>
              </w:rPr>
            </w:pPr>
            <w:r>
              <w:rPr>
                <w:rFonts w:hint="eastAsia" w:ascii="宋体"/>
                <w:kern w:val="0"/>
              </w:rPr>
              <w:t>一般</w:t>
            </w:r>
          </w:p>
        </w:tc>
        <w:tc>
          <w:tcPr>
            <w:tcW w:w="5670" w:type="dxa"/>
            <w:tcBorders>
              <w:bottom w:val="single" w:color="auto" w:sz="4" w:space="0"/>
            </w:tcBorders>
            <w:vAlign w:val="center"/>
          </w:tcPr>
          <w:p w14:paraId="5B6292DD">
            <w:pPr>
              <w:pStyle w:val="13"/>
              <w:jc w:val="left"/>
              <w:rPr>
                <w:rFonts w:ascii="宋体"/>
              </w:rPr>
            </w:pPr>
            <w:r>
              <w:rPr>
                <w:rFonts w:hint="eastAsia" w:ascii="宋体"/>
              </w:rPr>
              <w:t>1.未经海事管理机构同意设置、撤除专用航标，不影响船舶通航</w:t>
            </w:r>
          </w:p>
          <w:p w14:paraId="4C820813">
            <w:pPr>
              <w:pStyle w:val="13"/>
              <w:jc w:val="left"/>
              <w:rPr>
                <w:rFonts w:ascii="宋体"/>
              </w:rPr>
            </w:pPr>
            <w:r>
              <w:rPr>
                <w:rFonts w:hint="eastAsia" w:ascii="宋体"/>
              </w:rPr>
              <w:t>2.移动专用航标位置或者改变航标灯光、功率等其他状况，不影响船舶通航</w:t>
            </w:r>
          </w:p>
          <w:p w14:paraId="29D15409">
            <w:pPr>
              <w:pStyle w:val="13"/>
              <w:jc w:val="left"/>
              <w:rPr>
                <w:rFonts w:ascii="宋体"/>
              </w:rPr>
            </w:pPr>
            <w:r>
              <w:rPr>
                <w:rFonts w:hint="eastAsia" w:ascii="宋体"/>
              </w:rPr>
              <w:t>3.专用航标所有人未对航标进行有效巡查和维护保养，未能保证航标处于良好使用状态，不影响船舶通航。</w:t>
            </w:r>
          </w:p>
          <w:p w14:paraId="3F2262C1">
            <w:pPr>
              <w:pStyle w:val="13"/>
              <w:numPr>
                <w:ilvl w:val="0"/>
                <w:numId w:val="20"/>
              </w:numPr>
              <w:ind w:left="5" w:hanging="5"/>
              <w:jc w:val="left"/>
              <w:rPr>
                <w:rFonts w:ascii="宋体"/>
              </w:rPr>
            </w:pPr>
            <w:r>
              <w:rPr>
                <w:rFonts w:hint="eastAsia" w:ascii="宋体"/>
              </w:rPr>
              <w:t>4.临时航标不符合海事管理机构确定的航标设置点，不影响船舶通航。</w:t>
            </w:r>
          </w:p>
        </w:tc>
        <w:tc>
          <w:tcPr>
            <w:tcW w:w="7654" w:type="dxa"/>
            <w:tcBorders>
              <w:right w:val="single" w:color="auto" w:sz="4" w:space="0"/>
            </w:tcBorders>
            <w:vAlign w:val="center"/>
          </w:tcPr>
          <w:p w14:paraId="11E56FF4">
            <w:pPr>
              <w:jc w:val="center"/>
              <w:rPr>
                <w:rFonts w:ascii="宋体"/>
                <w:kern w:val="0"/>
              </w:rPr>
            </w:pPr>
            <w:r>
              <w:rPr>
                <w:rFonts w:hint="eastAsia" w:ascii="宋体"/>
              </w:rPr>
              <w:t>责令改正</w:t>
            </w:r>
          </w:p>
        </w:tc>
      </w:tr>
      <w:tr w14:paraId="45C5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1" w:hRule="atLeast"/>
        </w:trPr>
        <w:tc>
          <w:tcPr>
            <w:tcW w:w="1475" w:type="dxa"/>
            <w:vMerge w:val="continue"/>
            <w:vAlign w:val="center"/>
          </w:tcPr>
          <w:p w14:paraId="59172A32">
            <w:pPr>
              <w:jc w:val="left"/>
              <w:rPr>
                <w:rFonts w:ascii="宋体"/>
                <w:kern w:val="0"/>
              </w:rPr>
            </w:pPr>
          </w:p>
        </w:tc>
        <w:tc>
          <w:tcPr>
            <w:tcW w:w="1134" w:type="dxa"/>
            <w:vMerge w:val="continue"/>
            <w:vAlign w:val="center"/>
          </w:tcPr>
          <w:p w14:paraId="25D37098">
            <w:pPr>
              <w:jc w:val="left"/>
              <w:rPr>
                <w:rFonts w:ascii="宋体"/>
                <w:kern w:val="0"/>
              </w:rPr>
            </w:pPr>
          </w:p>
        </w:tc>
        <w:tc>
          <w:tcPr>
            <w:tcW w:w="1843" w:type="dxa"/>
            <w:vMerge w:val="continue"/>
            <w:vAlign w:val="center"/>
          </w:tcPr>
          <w:p w14:paraId="6E1FCCDF">
            <w:pPr>
              <w:jc w:val="left"/>
              <w:rPr>
                <w:rFonts w:ascii="宋体"/>
                <w:kern w:val="0"/>
              </w:rPr>
            </w:pPr>
          </w:p>
        </w:tc>
        <w:tc>
          <w:tcPr>
            <w:tcW w:w="1701" w:type="dxa"/>
            <w:vMerge w:val="restart"/>
            <w:tcBorders>
              <w:top w:val="single" w:color="auto" w:sz="4" w:space="0"/>
              <w:right w:val="single" w:color="auto" w:sz="4" w:space="0"/>
            </w:tcBorders>
            <w:vAlign w:val="center"/>
          </w:tcPr>
          <w:p w14:paraId="36393E2C">
            <w:pPr>
              <w:jc w:val="center"/>
              <w:rPr>
                <w:rFonts w:ascii="宋体"/>
                <w:kern w:val="0"/>
              </w:rPr>
            </w:pPr>
            <w:r>
              <w:rPr>
                <w:rFonts w:hint="eastAsia" w:ascii="宋体"/>
                <w:kern w:val="0"/>
              </w:rPr>
              <w:t>情节严重</w:t>
            </w:r>
          </w:p>
        </w:tc>
        <w:tc>
          <w:tcPr>
            <w:tcW w:w="5670" w:type="dxa"/>
            <w:tcBorders>
              <w:top w:val="single" w:color="auto" w:sz="4" w:space="0"/>
              <w:left w:val="single" w:color="auto" w:sz="4" w:space="0"/>
              <w:bottom w:val="single" w:color="auto" w:sz="4" w:space="0"/>
            </w:tcBorders>
            <w:vAlign w:val="center"/>
          </w:tcPr>
          <w:p w14:paraId="47D8F051">
            <w:pPr>
              <w:jc w:val="left"/>
              <w:rPr>
                <w:rFonts w:ascii="宋体"/>
              </w:rPr>
            </w:pPr>
            <w:r>
              <w:rPr>
                <w:rFonts w:hint="eastAsia" w:ascii="宋体"/>
              </w:rPr>
              <w:t>1.未经海事管理机构同意设置、撤除专用航标，影响船舶通航；</w:t>
            </w:r>
          </w:p>
          <w:p w14:paraId="6D180F3A">
            <w:pPr>
              <w:jc w:val="left"/>
              <w:rPr>
                <w:rFonts w:ascii="宋体"/>
              </w:rPr>
            </w:pPr>
            <w:r>
              <w:rPr>
                <w:rFonts w:hint="eastAsia" w:ascii="宋体"/>
              </w:rPr>
              <w:t>2.移动专用航标位置或者改变航标灯光、功率等其他状况，影响船舶通航；</w:t>
            </w:r>
          </w:p>
          <w:p w14:paraId="39FF2463">
            <w:pPr>
              <w:jc w:val="left"/>
              <w:rPr>
                <w:rFonts w:ascii="宋体"/>
              </w:rPr>
            </w:pPr>
            <w:r>
              <w:rPr>
                <w:rFonts w:hint="eastAsia" w:ascii="宋体"/>
              </w:rPr>
              <w:t xml:space="preserve">3.专用航标所有人未对航标进行有效巡查和维护保养，未能保证航标处于良好使用状态，影响船舶通航； </w:t>
            </w:r>
          </w:p>
          <w:p w14:paraId="7D865CA8">
            <w:pPr>
              <w:jc w:val="left"/>
              <w:rPr>
                <w:rFonts w:ascii="宋体"/>
              </w:rPr>
            </w:pPr>
            <w:r>
              <w:rPr>
                <w:rFonts w:hint="eastAsia" w:ascii="宋体"/>
              </w:rPr>
              <w:t>4.临时航标不符合海事管理机构确定的航标设置点，位置偏差较大，严重影响船舶通航；</w:t>
            </w:r>
          </w:p>
          <w:p w14:paraId="3AB94EBC">
            <w:pPr>
              <w:jc w:val="left"/>
              <w:rPr>
                <w:rFonts w:ascii="宋体"/>
              </w:rPr>
            </w:pPr>
            <w:r>
              <w:rPr>
                <w:rFonts w:hint="eastAsia" w:ascii="宋体"/>
              </w:rPr>
              <w:t>5.造成小事故的或险情的；</w:t>
            </w:r>
          </w:p>
        </w:tc>
        <w:tc>
          <w:tcPr>
            <w:tcW w:w="7654" w:type="dxa"/>
            <w:tcBorders>
              <w:top w:val="single" w:color="auto" w:sz="4" w:space="0"/>
              <w:right w:val="single" w:color="auto" w:sz="4" w:space="0"/>
            </w:tcBorders>
            <w:vAlign w:val="center"/>
          </w:tcPr>
          <w:p w14:paraId="7CF929DC">
            <w:pPr>
              <w:jc w:val="center"/>
              <w:rPr>
                <w:rFonts w:ascii="宋体"/>
                <w:kern w:val="0"/>
              </w:rPr>
            </w:pPr>
            <w:r>
              <w:rPr>
                <w:rFonts w:hint="eastAsia" w:ascii="宋体"/>
              </w:rPr>
              <w:t>3-5万元</w:t>
            </w:r>
          </w:p>
        </w:tc>
      </w:tr>
      <w:tr w14:paraId="7264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73" w:hRule="atLeast"/>
        </w:trPr>
        <w:tc>
          <w:tcPr>
            <w:tcW w:w="1475" w:type="dxa"/>
            <w:vMerge w:val="continue"/>
            <w:vAlign w:val="center"/>
          </w:tcPr>
          <w:p w14:paraId="66DB9234">
            <w:pPr>
              <w:jc w:val="left"/>
              <w:rPr>
                <w:rFonts w:ascii="宋体"/>
                <w:kern w:val="0"/>
              </w:rPr>
            </w:pPr>
          </w:p>
        </w:tc>
        <w:tc>
          <w:tcPr>
            <w:tcW w:w="1134" w:type="dxa"/>
            <w:vMerge w:val="continue"/>
            <w:vAlign w:val="center"/>
          </w:tcPr>
          <w:p w14:paraId="7F3DCCAA">
            <w:pPr>
              <w:jc w:val="left"/>
              <w:rPr>
                <w:rFonts w:ascii="宋体"/>
                <w:kern w:val="0"/>
              </w:rPr>
            </w:pPr>
          </w:p>
        </w:tc>
        <w:tc>
          <w:tcPr>
            <w:tcW w:w="1843" w:type="dxa"/>
            <w:vMerge w:val="continue"/>
            <w:vAlign w:val="center"/>
          </w:tcPr>
          <w:p w14:paraId="454BE66F">
            <w:pPr>
              <w:jc w:val="left"/>
              <w:rPr>
                <w:rFonts w:ascii="宋体"/>
                <w:kern w:val="0"/>
              </w:rPr>
            </w:pPr>
          </w:p>
        </w:tc>
        <w:tc>
          <w:tcPr>
            <w:tcW w:w="1701" w:type="dxa"/>
            <w:vMerge w:val="continue"/>
            <w:tcBorders>
              <w:bottom w:val="single" w:color="auto" w:sz="4" w:space="0"/>
              <w:right w:val="single" w:color="auto" w:sz="4" w:space="0"/>
            </w:tcBorders>
            <w:vAlign w:val="center"/>
          </w:tcPr>
          <w:p w14:paraId="25A0D09A">
            <w:pPr>
              <w:jc w:val="left"/>
              <w:rPr>
                <w:rFonts w:ascii="宋体"/>
                <w:kern w:val="0"/>
              </w:rPr>
            </w:pPr>
          </w:p>
        </w:tc>
        <w:tc>
          <w:tcPr>
            <w:tcW w:w="5670" w:type="dxa"/>
            <w:tcBorders>
              <w:top w:val="single" w:color="auto" w:sz="4" w:space="0"/>
              <w:left w:val="single" w:color="auto" w:sz="4" w:space="0"/>
              <w:bottom w:val="single" w:color="auto" w:sz="4" w:space="0"/>
            </w:tcBorders>
            <w:vAlign w:val="center"/>
          </w:tcPr>
          <w:p w14:paraId="7419DE26">
            <w:pPr>
              <w:jc w:val="left"/>
              <w:rPr>
                <w:rFonts w:ascii="宋体"/>
              </w:rPr>
            </w:pPr>
            <w:r>
              <w:rPr>
                <w:rFonts w:hint="eastAsia" w:ascii="宋体"/>
              </w:rPr>
              <w:t>1.造成一般等级以上事故的；</w:t>
            </w:r>
          </w:p>
          <w:p w14:paraId="3E2852AC">
            <w:pPr>
              <w:jc w:val="left"/>
              <w:rPr>
                <w:rFonts w:ascii="宋体"/>
              </w:rPr>
            </w:pPr>
            <w:r>
              <w:rPr>
                <w:rFonts w:hint="eastAsia" w:ascii="宋体"/>
              </w:rPr>
              <w:t>2.具有严重影响船舶通航或其他严重情节的。</w:t>
            </w:r>
          </w:p>
        </w:tc>
        <w:tc>
          <w:tcPr>
            <w:tcW w:w="7654" w:type="dxa"/>
            <w:tcBorders>
              <w:bottom w:val="single" w:color="auto" w:sz="4" w:space="0"/>
            </w:tcBorders>
            <w:vAlign w:val="center"/>
          </w:tcPr>
          <w:p w14:paraId="2B7C9113">
            <w:pPr>
              <w:jc w:val="center"/>
              <w:rPr>
                <w:rFonts w:ascii="宋体"/>
                <w:kern w:val="0"/>
              </w:rPr>
            </w:pPr>
            <w:r>
              <w:rPr>
                <w:rFonts w:hint="eastAsia" w:ascii="宋体"/>
              </w:rPr>
              <w:t>5-10万元</w:t>
            </w:r>
          </w:p>
        </w:tc>
      </w:tr>
    </w:tbl>
    <w:p w14:paraId="5C35A981">
      <w: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536"/>
        <w:gridCol w:w="1714"/>
        <w:gridCol w:w="1950"/>
        <w:gridCol w:w="1586"/>
        <w:gridCol w:w="5178"/>
        <w:gridCol w:w="7513"/>
      </w:tblGrid>
      <w:tr w14:paraId="3C1D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0" w:hRule="atLeast"/>
        </w:trPr>
        <w:tc>
          <w:tcPr>
            <w:tcW w:w="1536" w:type="dxa"/>
            <w:vMerge w:val="restart"/>
            <w:vAlign w:val="center"/>
          </w:tcPr>
          <w:p w14:paraId="7A4A35B7">
            <w:pPr>
              <w:jc w:val="left"/>
              <w:rPr>
                <w:rFonts w:ascii="宋体"/>
                <w:b/>
                <w:kern w:val="0"/>
              </w:rPr>
            </w:pPr>
            <w:r>
              <w:rPr>
                <w:rFonts w:hint="eastAsia" w:ascii="宋体"/>
                <w:b/>
                <w:kern w:val="0"/>
              </w:rPr>
              <w:t>案由112</w:t>
            </w:r>
          </w:p>
        </w:tc>
        <w:tc>
          <w:tcPr>
            <w:tcW w:w="3664" w:type="dxa"/>
            <w:gridSpan w:val="2"/>
            <w:vAlign w:val="center"/>
          </w:tcPr>
          <w:p w14:paraId="0ACC88B1">
            <w:pPr>
              <w:jc w:val="center"/>
              <w:rPr>
                <w:rFonts w:ascii="宋体"/>
                <w:b/>
                <w:kern w:val="0"/>
              </w:rPr>
            </w:pPr>
            <w:r>
              <w:rPr>
                <w:rFonts w:hint="eastAsia" w:ascii="宋体"/>
                <w:b/>
                <w:kern w:val="0"/>
              </w:rPr>
              <w:t>法律依据</w:t>
            </w:r>
          </w:p>
        </w:tc>
        <w:tc>
          <w:tcPr>
            <w:tcW w:w="1586" w:type="dxa"/>
            <w:vMerge w:val="restart"/>
            <w:vAlign w:val="center"/>
          </w:tcPr>
          <w:p w14:paraId="6AC118E9">
            <w:pPr>
              <w:jc w:val="center"/>
              <w:rPr>
                <w:rFonts w:ascii="宋体"/>
                <w:b/>
                <w:kern w:val="0"/>
              </w:rPr>
            </w:pPr>
            <w:r>
              <w:rPr>
                <w:rFonts w:hint="eastAsia" w:ascii="宋体"/>
                <w:b/>
                <w:kern w:val="0"/>
              </w:rPr>
              <w:t>违法情节</w:t>
            </w:r>
          </w:p>
        </w:tc>
        <w:tc>
          <w:tcPr>
            <w:tcW w:w="5178" w:type="dxa"/>
            <w:vMerge w:val="restart"/>
            <w:vAlign w:val="center"/>
          </w:tcPr>
          <w:p w14:paraId="5CA17C03">
            <w:pPr>
              <w:jc w:val="center"/>
              <w:rPr>
                <w:rFonts w:ascii="宋体"/>
                <w:b/>
                <w:kern w:val="0"/>
              </w:rPr>
            </w:pPr>
            <w:r>
              <w:rPr>
                <w:rFonts w:hint="eastAsia" w:ascii="宋体"/>
                <w:b/>
                <w:kern w:val="0"/>
              </w:rPr>
              <w:t>主要考虑因素（事实、性质、情节、危害程度和实际后果等）</w:t>
            </w:r>
          </w:p>
        </w:tc>
        <w:tc>
          <w:tcPr>
            <w:tcW w:w="7513" w:type="dxa"/>
            <w:vAlign w:val="center"/>
          </w:tcPr>
          <w:p w14:paraId="10DD3C06">
            <w:pPr>
              <w:jc w:val="left"/>
              <w:rPr>
                <w:rFonts w:ascii="宋体"/>
                <w:b/>
                <w:kern w:val="0"/>
              </w:rPr>
            </w:pPr>
            <w:r>
              <w:rPr>
                <w:rFonts w:hint="eastAsia" w:ascii="宋体"/>
                <w:b/>
                <w:kern w:val="0"/>
              </w:rPr>
              <w:t>【法定幅度和种类】</w:t>
            </w:r>
            <w:r>
              <w:rPr>
                <w:rFonts w:hint="eastAsia" w:ascii="宋体"/>
              </w:rPr>
              <w:t>航标管理机构可以根据情节处以2万元以下罚款；造成损失的，应当依法赔偿。</w:t>
            </w:r>
          </w:p>
        </w:tc>
      </w:tr>
      <w:tr w14:paraId="5DD0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35" w:hRule="atLeast"/>
        </w:trPr>
        <w:tc>
          <w:tcPr>
            <w:tcW w:w="1536" w:type="dxa"/>
            <w:vMerge w:val="continue"/>
            <w:tcBorders>
              <w:bottom w:val="single" w:color="000000" w:sz="4" w:space="0"/>
            </w:tcBorders>
            <w:vAlign w:val="center"/>
          </w:tcPr>
          <w:p w14:paraId="4EA06262">
            <w:pPr>
              <w:jc w:val="left"/>
              <w:rPr>
                <w:rFonts w:ascii="宋体"/>
                <w:b/>
                <w:kern w:val="0"/>
              </w:rPr>
            </w:pPr>
          </w:p>
        </w:tc>
        <w:tc>
          <w:tcPr>
            <w:tcW w:w="1714" w:type="dxa"/>
            <w:tcBorders>
              <w:bottom w:val="single" w:color="000000" w:sz="4" w:space="0"/>
            </w:tcBorders>
            <w:vAlign w:val="center"/>
          </w:tcPr>
          <w:p w14:paraId="3A77F730">
            <w:pPr>
              <w:jc w:val="center"/>
              <w:rPr>
                <w:rFonts w:ascii="宋体"/>
                <w:b/>
                <w:kern w:val="0"/>
              </w:rPr>
            </w:pPr>
            <w:r>
              <w:rPr>
                <w:rFonts w:hint="eastAsia" w:ascii="宋体"/>
                <w:b/>
                <w:kern w:val="0"/>
              </w:rPr>
              <w:t>违反条款</w:t>
            </w:r>
          </w:p>
        </w:tc>
        <w:tc>
          <w:tcPr>
            <w:tcW w:w="1950" w:type="dxa"/>
            <w:tcBorders>
              <w:bottom w:val="single" w:color="000000" w:sz="4" w:space="0"/>
            </w:tcBorders>
            <w:vAlign w:val="center"/>
          </w:tcPr>
          <w:p w14:paraId="279F7FD0">
            <w:pPr>
              <w:jc w:val="center"/>
              <w:rPr>
                <w:rFonts w:ascii="宋体"/>
                <w:b/>
                <w:kern w:val="0"/>
              </w:rPr>
            </w:pPr>
            <w:r>
              <w:rPr>
                <w:rFonts w:hint="eastAsia" w:ascii="宋体"/>
                <w:b/>
                <w:kern w:val="0"/>
              </w:rPr>
              <w:t>处罚依据</w:t>
            </w:r>
          </w:p>
        </w:tc>
        <w:tc>
          <w:tcPr>
            <w:tcW w:w="1586" w:type="dxa"/>
            <w:vMerge w:val="continue"/>
            <w:tcBorders>
              <w:bottom w:val="single" w:color="000000" w:sz="4" w:space="0"/>
            </w:tcBorders>
            <w:vAlign w:val="center"/>
          </w:tcPr>
          <w:p w14:paraId="645E67AA">
            <w:pPr>
              <w:jc w:val="left"/>
              <w:rPr>
                <w:rFonts w:ascii="宋体"/>
                <w:b/>
                <w:kern w:val="0"/>
              </w:rPr>
            </w:pPr>
          </w:p>
        </w:tc>
        <w:tc>
          <w:tcPr>
            <w:tcW w:w="5178" w:type="dxa"/>
            <w:vMerge w:val="continue"/>
            <w:tcBorders>
              <w:bottom w:val="single" w:color="000000" w:sz="4" w:space="0"/>
            </w:tcBorders>
            <w:vAlign w:val="center"/>
          </w:tcPr>
          <w:p w14:paraId="10292342">
            <w:pPr>
              <w:jc w:val="left"/>
              <w:rPr>
                <w:rFonts w:ascii="宋体"/>
                <w:b/>
                <w:kern w:val="0"/>
              </w:rPr>
            </w:pPr>
          </w:p>
        </w:tc>
        <w:tc>
          <w:tcPr>
            <w:tcW w:w="7513" w:type="dxa"/>
            <w:tcBorders>
              <w:top w:val="single" w:color="auto" w:sz="4" w:space="0"/>
              <w:bottom w:val="single" w:color="auto" w:sz="4" w:space="0"/>
              <w:right w:val="single" w:color="auto" w:sz="4" w:space="0"/>
            </w:tcBorders>
            <w:vAlign w:val="center"/>
          </w:tcPr>
          <w:p w14:paraId="17F9CF2C">
            <w:pPr>
              <w:jc w:val="center"/>
              <w:rPr>
                <w:rFonts w:ascii="宋体"/>
                <w:b/>
                <w:kern w:val="0"/>
              </w:rPr>
            </w:pPr>
            <w:r>
              <w:rPr>
                <w:rFonts w:hint="eastAsia" w:ascii="宋体"/>
                <w:b/>
                <w:kern w:val="0"/>
              </w:rPr>
              <w:t>【对象】</w:t>
            </w:r>
            <w:r>
              <w:rPr>
                <w:rFonts w:hint="eastAsia" w:ascii="宋体"/>
              </w:rPr>
              <w:t>责任单位或责任人员</w:t>
            </w:r>
          </w:p>
        </w:tc>
      </w:tr>
      <w:tr w14:paraId="25AC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536" w:type="dxa"/>
            <w:vMerge w:val="restart"/>
            <w:vAlign w:val="center"/>
          </w:tcPr>
          <w:p w14:paraId="6468830B">
            <w:pPr>
              <w:widowControl/>
              <w:jc w:val="left"/>
              <w:rPr>
                <w:rFonts w:ascii="宋体"/>
                <w:kern w:val="0"/>
              </w:rPr>
            </w:pPr>
            <w:r>
              <w:rPr>
                <w:rFonts w:hint="eastAsia" w:ascii="宋体"/>
                <w:kern w:val="0"/>
              </w:rPr>
              <w:t>船舶违反规定，触碰航标不报告</w:t>
            </w:r>
          </w:p>
        </w:tc>
        <w:tc>
          <w:tcPr>
            <w:tcW w:w="1714" w:type="dxa"/>
            <w:vMerge w:val="restart"/>
            <w:vAlign w:val="center"/>
          </w:tcPr>
          <w:p w14:paraId="1A154B16">
            <w:pPr>
              <w:widowControl/>
              <w:rPr>
                <w:rFonts w:ascii="宋体"/>
                <w:kern w:val="0"/>
              </w:rPr>
            </w:pPr>
            <w:r>
              <w:rPr>
                <w:rFonts w:hint="eastAsia" w:ascii="宋体"/>
                <w:kern w:val="0"/>
              </w:rPr>
              <w:t>1.《中华人民共和国航标条例》第十四条第二款；</w:t>
            </w:r>
          </w:p>
          <w:p w14:paraId="7CEAA8AA">
            <w:pPr>
              <w:widowControl/>
              <w:rPr>
                <w:rFonts w:ascii="宋体"/>
              </w:rPr>
            </w:pPr>
            <w:r>
              <w:rPr>
                <w:rFonts w:hint="eastAsia" w:ascii="宋体"/>
              </w:rPr>
              <w:t>2.其他法律、法规、规章等。</w:t>
            </w:r>
          </w:p>
        </w:tc>
        <w:tc>
          <w:tcPr>
            <w:tcW w:w="1950" w:type="dxa"/>
            <w:vMerge w:val="restart"/>
            <w:vAlign w:val="center"/>
          </w:tcPr>
          <w:p w14:paraId="7FFCD131">
            <w:pPr>
              <w:jc w:val="left"/>
              <w:rPr>
                <w:rFonts w:ascii="宋体"/>
                <w:kern w:val="0"/>
              </w:rPr>
            </w:pPr>
            <w:r>
              <w:rPr>
                <w:rFonts w:hint="eastAsia" w:ascii="宋体"/>
                <w:kern w:val="0"/>
              </w:rPr>
              <w:t>《中华人民共和国航标条例》第二十一条。</w:t>
            </w:r>
          </w:p>
          <w:p w14:paraId="2AD920FD">
            <w:pPr>
              <w:jc w:val="left"/>
              <w:rPr>
                <w:rFonts w:ascii="宋体"/>
                <w:kern w:val="0"/>
              </w:rPr>
            </w:pPr>
          </w:p>
        </w:tc>
        <w:tc>
          <w:tcPr>
            <w:tcW w:w="1586" w:type="dxa"/>
            <w:vAlign w:val="center"/>
          </w:tcPr>
          <w:p w14:paraId="4E32B9F8">
            <w:pPr>
              <w:jc w:val="center"/>
              <w:rPr>
                <w:rFonts w:ascii="宋体"/>
                <w:kern w:val="0"/>
              </w:rPr>
            </w:pPr>
            <w:r>
              <w:rPr>
                <w:rFonts w:hint="eastAsia" w:ascii="宋体"/>
                <w:kern w:val="0"/>
              </w:rPr>
              <w:t>从轻</w:t>
            </w:r>
          </w:p>
        </w:tc>
        <w:tc>
          <w:tcPr>
            <w:tcW w:w="5178" w:type="dxa"/>
            <w:vAlign w:val="center"/>
          </w:tcPr>
          <w:p w14:paraId="37450971">
            <w:pPr>
              <w:widowControl/>
              <w:jc w:val="left"/>
              <w:rPr>
                <w:rFonts w:ascii="宋体"/>
                <w:kern w:val="0"/>
              </w:rPr>
            </w:pPr>
            <w:r>
              <w:rPr>
                <w:rFonts w:hint="eastAsia" w:ascii="宋体"/>
                <w:kern w:val="0"/>
              </w:rPr>
              <w:t xml:space="preserve">触碰航标，不影响其正常使用或未造成影响； </w:t>
            </w:r>
          </w:p>
        </w:tc>
        <w:tc>
          <w:tcPr>
            <w:tcW w:w="7513" w:type="dxa"/>
            <w:tcBorders>
              <w:right w:val="single" w:color="auto" w:sz="4" w:space="0"/>
            </w:tcBorders>
            <w:vAlign w:val="center"/>
          </w:tcPr>
          <w:p w14:paraId="54748036">
            <w:pPr>
              <w:jc w:val="center"/>
              <w:rPr>
                <w:rFonts w:ascii="宋体"/>
                <w:kern w:val="0"/>
              </w:rPr>
            </w:pPr>
            <w:r>
              <w:rPr>
                <w:rFonts w:hint="eastAsia" w:ascii="宋体"/>
                <w:kern w:val="0"/>
              </w:rPr>
              <w:t>1000元-1万元</w:t>
            </w:r>
          </w:p>
        </w:tc>
      </w:tr>
      <w:tr w14:paraId="5582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89" w:hRule="atLeast"/>
        </w:trPr>
        <w:tc>
          <w:tcPr>
            <w:tcW w:w="1536" w:type="dxa"/>
            <w:vMerge w:val="continue"/>
            <w:vAlign w:val="center"/>
          </w:tcPr>
          <w:p w14:paraId="6D4A51EC">
            <w:pPr>
              <w:jc w:val="left"/>
              <w:rPr>
                <w:rFonts w:ascii="宋体"/>
                <w:kern w:val="0"/>
              </w:rPr>
            </w:pPr>
          </w:p>
        </w:tc>
        <w:tc>
          <w:tcPr>
            <w:tcW w:w="1714" w:type="dxa"/>
            <w:vMerge w:val="continue"/>
            <w:vAlign w:val="center"/>
          </w:tcPr>
          <w:p w14:paraId="426CE4FA">
            <w:pPr>
              <w:widowControl/>
              <w:jc w:val="left"/>
              <w:rPr>
                <w:rFonts w:ascii="宋体"/>
                <w:kern w:val="0"/>
              </w:rPr>
            </w:pPr>
          </w:p>
        </w:tc>
        <w:tc>
          <w:tcPr>
            <w:tcW w:w="1950" w:type="dxa"/>
            <w:vMerge w:val="continue"/>
            <w:vAlign w:val="center"/>
          </w:tcPr>
          <w:p w14:paraId="1FE52997">
            <w:pPr>
              <w:jc w:val="left"/>
              <w:rPr>
                <w:rFonts w:ascii="宋体"/>
                <w:kern w:val="0"/>
              </w:rPr>
            </w:pPr>
          </w:p>
        </w:tc>
        <w:tc>
          <w:tcPr>
            <w:tcW w:w="1586" w:type="dxa"/>
            <w:vAlign w:val="center"/>
          </w:tcPr>
          <w:p w14:paraId="432CBB43">
            <w:pPr>
              <w:jc w:val="center"/>
              <w:rPr>
                <w:rFonts w:ascii="宋体"/>
                <w:kern w:val="0"/>
              </w:rPr>
            </w:pPr>
            <w:r>
              <w:rPr>
                <w:rFonts w:hint="eastAsia" w:ascii="宋体"/>
                <w:kern w:val="0"/>
              </w:rPr>
              <w:t>一般</w:t>
            </w:r>
          </w:p>
        </w:tc>
        <w:tc>
          <w:tcPr>
            <w:tcW w:w="5178" w:type="dxa"/>
            <w:vAlign w:val="center"/>
          </w:tcPr>
          <w:p w14:paraId="460F081A">
            <w:pPr>
              <w:pStyle w:val="13"/>
              <w:jc w:val="left"/>
              <w:rPr>
                <w:rFonts w:ascii="宋体"/>
              </w:rPr>
            </w:pPr>
            <w:r>
              <w:rPr>
                <w:rFonts w:hint="eastAsia" w:ascii="宋体"/>
              </w:rPr>
              <w:t>1.触碰航标，影响其正常使用，造成影响的</w:t>
            </w:r>
          </w:p>
          <w:p w14:paraId="76C39388">
            <w:pPr>
              <w:pStyle w:val="13"/>
              <w:jc w:val="left"/>
              <w:rPr>
                <w:rFonts w:ascii="宋体"/>
              </w:rPr>
            </w:pPr>
            <w:r>
              <w:rPr>
                <w:rFonts w:hint="eastAsia" w:ascii="宋体"/>
              </w:rPr>
              <w:t>2.具有其他较重情节的</w:t>
            </w:r>
          </w:p>
        </w:tc>
        <w:tc>
          <w:tcPr>
            <w:tcW w:w="7513" w:type="dxa"/>
            <w:tcBorders>
              <w:right w:val="single" w:color="auto" w:sz="4" w:space="0"/>
            </w:tcBorders>
            <w:vAlign w:val="center"/>
          </w:tcPr>
          <w:p w14:paraId="2412125F">
            <w:pPr>
              <w:jc w:val="center"/>
              <w:rPr>
                <w:rFonts w:ascii="宋体"/>
                <w:kern w:val="0"/>
              </w:rPr>
            </w:pPr>
            <w:r>
              <w:rPr>
                <w:rFonts w:hint="eastAsia" w:ascii="宋体"/>
              </w:rPr>
              <w:t>1-2万元</w:t>
            </w:r>
          </w:p>
        </w:tc>
      </w:tr>
    </w:tbl>
    <w:p w14:paraId="61701BDD">
      <w:pPr>
        <w:rPr>
          <w:rFonts w:ascii="宋体"/>
        </w:rPr>
      </w:pPr>
      <w:r>
        <w:rPr>
          <w:rFonts w:ascii="宋体"/>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1"/>
        <w:gridCol w:w="1560"/>
        <w:gridCol w:w="1842"/>
        <w:gridCol w:w="1843"/>
        <w:gridCol w:w="6379"/>
        <w:gridCol w:w="6662"/>
      </w:tblGrid>
      <w:tr w14:paraId="761CB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5" w:hRule="atLeast"/>
        </w:trPr>
        <w:tc>
          <w:tcPr>
            <w:tcW w:w="1191" w:type="dxa"/>
            <w:vMerge w:val="restart"/>
            <w:vAlign w:val="center"/>
          </w:tcPr>
          <w:p w14:paraId="6EF1A2B3">
            <w:pPr>
              <w:jc w:val="center"/>
              <w:rPr>
                <w:rFonts w:ascii="宋体"/>
                <w:b/>
                <w:kern w:val="0"/>
              </w:rPr>
            </w:pPr>
            <w:r>
              <w:rPr>
                <w:rFonts w:hint="eastAsia" w:ascii="宋体"/>
                <w:b/>
                <w:kern w:val="0"/>
              </w:rPr>
              <w:t>案由113</w:t>
            </w:r>
          </w:p>
        </w:tc>
        <w:tc>
          <w:tcPr>
            <w:tcW w:w="3402" w:type="dxa"/>
            <w:gridSpan w:val="2"/>
            <w:vAlign w:val="center"/>
          </w:tcPr>
          <w:p w14:paraId="43C12384">
            <w:pPr>
              <w:jc w:val="center"/>
              <w:rPr>
                <w:rFonts w:ascii="宋体"/>
                <w:b/>
                <w:kern w:val="0"/>
              </w:rPr>
            </w:pPr>
            <w:r>
              <w:rPr>
                <w:rFonts w:hint="eastAsia" w:ascii="宋体"/>
                <w:b/>
                <w:kern w:val="0"/>
              </w:rPr>
              <w:t>法律依据</w:t>
            </w:r>
          </w:p>
        </w:tc>
        <w:tc>
          <w:tcPr>
            <w:tcW w:w="1843" w:type="dxa"/>
            <w:vMerge w:val="restart"/>
            <w:vAlign w:val="center"/>
          </w:tcPr>
          <w:p w14:paraId="4A85D300">
            <w:pPr>
              <w:jc w:val="center"/>
              <w:rPr>
                <w:rFonts w:ascii="宋体"/>
                <w:b/>
                <w:kern w:val="0"/>
              </w:rPr>
            </w:pPr>
            <w:r>
              <w:rPr>
                <w:rFonts w:hint="eastAsia" w:ascii="宋体"/>
                <w:b/>
                <w:kern w:val="0"/>
              </w:rPr>
              <w:t>违法情节</w:t>
            </w:r>
          </w:p>
        </w:tc>
        <w:tc>
          <w:tcPr>
            <w:tcW w:w="6379" w:type="dxa"/>
            <w:vMerge w:val="restart"/>
            <w:vAlign w:val="center"/>
          </w:tcPr>
          <w:p w14:paraId="5A949150">
            <w:pPr>
              <w:jc w:val="center"/>
              <w:rPr>
                <w:rFonts w:ascii="宋体"/>
                <w:b/>
                <w:kern w:val="0"/>
              </w:rPr>
            </w:pPr>
            <w:r>
              <w:rPr>
                <w:rFonts w:hint="eastAsia" w:ascii="宋体"/>
                <w:b/>
                <w:kern w:val="0"/>
              </w:rPr>
              <w:t>主要考虑因素（事实、性质、情节、危害程度和实际后果等）</w:t>
            </w:r>
          </w:p>
        </w:tc>
        <w:tc>
          <w:tcPr>
            <w:tcW w:w="6662" w:type="dxa"/>
            <w:vAlign w:val="center"/>
          </w:tcPr>
          <w:p w14:paraId="63ED0E2D">
            <w:pPr>
              <w:jc w:val="left"/>
              <w:rPr>
                <w:rFonts w:ascii="宋体"/>
                <w:b/>
                <w:kern w:val="0"/>
              </w:rPr>
            </w:pPr>
            <w:r>
              <w:rPr>
                <w:rFonts w:hint="eastAsia" w:ascii="宋体"/>
                <w:b/>
                <w:kern w:val="0"/>
              </w:rPr>
              <w:t>【法定幅度和种类】</w:t>
            </w:r>
            <w:r>
              <w:rPr>
                <w:rFonts w:hint="eastAsia" w:ascii="宋体"/>
              </w:rPr>
              <w:t>由海事管理机构责令改正；情节严重的，处三万元以上十万元以下的罚款</w:t>
            </w:r>
          </w:p>
        </w:tc>
      </w:tr>
      <w:tr w14:paraId="63E1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0" w:hRule="atLeast"/>
        </w:trPr>
        <w:tc>
          <w:tcPr>
            <w:tcW w:w="1191" w:type="dxa"/>
            <w:vMerge w:val="continue"/>
            <w:tcBorders>
              <w:bottom w:val="single" w:color="000000" w:sz="4" w:space="0"/>
            </w:tcBorders>
            <w:vAlign w:val="center"/>
          </w:tcPr>
          <w:p w14:paraId="3E6143DE">
            <w:pPr>
              <w:jc w:val="left"/>
              <w:rPr>
                <w:rFonts w:ascii="宋体"/>
                <w:b/>
                <w:kern w:val="0"/>
              </w:rPr>
            </w:pPr>
          </w:p>
        </w:tc>
        <w:tc>
          <w:tcPr>
            <w:tcW w:w="1560" w:type="dxa"/>
            <w:tcBorders>
              <w:bottom w:val="single" w:color="000000" w:sz="4" w:space="0"/>
            </w:tcBorders>
            <w:vAlign w:val="center"/>
          </w:tcPr>
          <w:p w14:paraId="2D36D400">
            <w:pPr>
              <w:jc w:val="center"/>
              <w:rPr>
                <w:rFonts w:ascii="宋体"/>
                <w:b/>
                <w:kern w:val="0"/>
              </w:rPr>
            </w:pPr>
            <w:r>
              <w:rPr>
                <w:rFonts w:hint="eastAsia" w:ascii="宋体"/>
                <w:b/>
                <w:kern w:val="0"/>
              </w:rPr>
              <w:t>违反条款</w:t>
            </w:r>
          </w:p>
        </w:tc>
        <w:tc>
          <w:tcPr>
            <w:tcW w:w="1842" w:type="dxa"/>
            <w:tcBorders>
              <w:bottom w:val="single" w:color="000000" w:sz="4" w:space="0"/>
            </w:tcBorders>
            <w:vAlign w:val="center"/>
          </w:tcPr>
          <w:p w14:paraId="43A9D5B4">
            <w:pPr>
              <w:jc w:val="center"/>
              <w:rPr>
                <w:rFonts w:ascii="宋体"/>
                <w:b/>
                <w:kern w:val="0"/>
              </w:rPr>
            </w:pPr>
            <w:r>
              <w:rPr>
                <w:rFonts w:hint="eastAsia" w:ascii="宋体"/>
                <w:b/>
                <w:kern w:val="0"/>
              </w:rPr>
              <w:t>处罚依据</w:t>
            </w:r>
          </w:p>
        </w:tc>
        <w:tc>
          <w:tcPr>
            <w:tcW w:w="1843" w:type="dxa"/>
            <w:vMerge w:val="continue"/>
            <w:tcBorders>
              <w:bottom w:val="single" w:color="000000" w:sz="4" w:space="0"/>
            </w:tcBorders>
            <w:vAlign w:val="center"/>
          </w:tcPr>
          <w:p w14:paraId="1A6C5C49">
            <w:pPr>
              <w:jc w:val="left"/>
              <w:rPr>
                <w:rFonts w:ascii="宋体"/>
                <w:b/>
                <w:kern w:val="0"/>
              </w:rPr>
            </w:pPr>
          </w:p>
        </w:tc>
        <w:tc>
          <w:tcPr>
            <w:tcW w:w="6379" w:type="dxa"/>
            <w:vMerge w:val="continue"/>
            <w:tcBorders>
              <w:bottom w:val="single" w:color="000000" w:sz="4" w:space="0"/>
            </w:tcBorders>
            <w:vAlign w:val="center"/>
          </w:tcPr>
          <w:p w14:paraId="64E06518">
            <w:pPr>
              <w:jc w:val="left"/>
              <w:rPr>
                <w:rFonts w:ascii="宋体"/>
                <w:b/>
                <w:kern w:val="0"/>
              </w:rPr>
            </w:pPr>
          </w:p>
        </w:tc>
        <w:tc>
          <w:tcPr>
            <w:tcW w:w="6662" w:type="dxa"/>
            <w:tcBorders>
              <w:top w:val="single" w:color="auto" w:sz="4" w:space="0"/>
              <w:bottom w:val="single" w:color="auto" w:sz="4" w:space="0"/>
              <w:right w:val="single" w:color="auto" w:sz="4" w:space="0"/>
            </w:tcBorders>
            <w:vAlign w:val="center"/>
          </w:tcPr>
          <w:p w14:paraId="1B0F0092">
            <w:pPr>
              <w:jc w:val="center"/>
              <w:rPr>
                <w:rFonts w:ascii="宋体"/>
                <w:b/>
                <w:kern w:val="0"/>
              </w:rPr>
            </w:pPr>
            <w:r>
              <w:rPr>
                <w:rFonts w:hint="eastAsia" w:ascii="宋体"/>
                <w:b/>
                <w:kern w:val="0"/>
              </w:rPr>
              <w:t>【对象】</w:t>
            </w:r>
            <w:r>
              <w:rPr>
                <w:rFonts w:hint="eastAsia" w:ascii="宋体"/>
                <w:b/>
              </w:rPr>
              <w:t>海洋工程、海岸工程的建设单位、所有人或者经营</w:t>
            </w:r>
            <w:r>
              <w:rPr>
                <w:rFonts w:hint="eastAsia" w:ascii="宋体"/>
                <w:b/>
                <w:kern w:val="0"/>
              </w:rPr>
              <w:t>人</w:t>
            </w:r>
          </w:p>
        </w:tc>
      </w:tr>
      <w:tr w14:paraId="133D6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trPr>
        <w:tc>
          <w:tcPr>
            <w:tcW w:w="1191" w:type="dxa"/>
            <w:vMerge w:val="restart"/>
            <w:vAlign w:val="center"/>
          </w:tcPr>
          <w:p w14:paraId="237B7CC3">
            <w:pPr>
              <w:widowControl/>
              <w:jc w:val="left"/>
              <w:rPr>
                <w:rFonts w:ascii="宋体"/>
                <w:kern w:val="0"/>
              </w:rPr>
            </w:pPr>
            <w:r>
              <w:rPr>
                <w:rFonts w:hint="eastAsia" w:ascii="宋体"/>
                <w:kern w:val="0"/>
              </w:rPr>
              <w:t>建设海洋工程、海岸工程未按规定设置专用航标</w:t>
            </w:r>
          </w:p>
        </w:tc>
        <w:tc>
          <w:tcPr>
            <w:tcW w:w="1560" w:type="dxa"/>
            <w:vMerge w:val="restart"/>
            <w:vAlign w:val="center"/>
          </w:tcPr>
          <w:p w14:paraId="01A83D4E">
            <w:pPr>
              <w:widowControl/>
              <w:rPr>
                <w:rFonts w:ascii="宋体"/>
                <w:kern w:val="0"/>
              </w:rPr>
            </w:pPr>
            <w:r>
              <w:rPr>
                <w:rFonts w:hint="eastAsia" w:ascii="宋体"/>
                <w:kern w:val="0"/>
              </w:rPr>
              <w:t>1.《中华人民共和国海上交通安全法》第二十条；</w:t>
            </w:r>
          </w:p>
          <w:p w14:paraId="4CDE2A99">
            <w:pPr>
              <w:widowControl/>
              <w:rPr>
                <w:rFonts w:ascii="宋体"/>
              </w:rPr>
            </w:pPr>
            <w:r>
              <w:rPr>
                <w:rFonts w:hint="eastAsia" w:ascii="宋体"/>
              </w:rPr>
              <w:t>2.其他法律、法规、规章等。</w:t>
            </w:r>
          </w:p>
        </w:tc>
        <w:tc>
          <w:tcPr>
            <w:tcW w:w="1842" w:type="dxa"/>
            <w:vMerge w:val="restart"/>
            <w:vAlign w:val="center"/>
          </w:tcPr>
          <w:p w14:paraId="3B46EA57">
            <w:pPr>
              <w:jc w:val="left"/>
              <w:rPr>
                <w:rFonts w:ascii="宋体"/>
                <w:kern w:val="0"/>
              </w:rPr>
            </w:pPr>
            <w:r>
              <w:rPr>
                <w:rFonts w:hint="eastAsia" w:ascii="宋体"/>
                <w:kern w:val="0"/>
              </w:rPr>
              <w:t>1.《中华人民共和国海上交通安全法》第一百条第（一）项、《中华人民共和国海上海事行政处罚规定》第十九条第（一）项；</w:t>
            </w:r>
          </w:p>
          <w:p w14:paraId="1F8013A8">
            <w:pPr>
              <w:jc w:val="left"/>
              <w:rPr>
                <w:rFonts w:ascii="宋体"/>
                <w:kern w:val="0"/>
              </w:rPr>
            </w:pPr>
            <w:r>
              <w:rPr>
                <w:rFonts w:hint="eastAsia" w:ascii="宋体"/>
                <w:kern w:val="0"/>
              </w:rPr>
              <w:t>2. 《中华人民共和国海上海事行政处罚规定》第七条。</w:t>
            </w:r>
          </w:p>
        </w:tc>
        <w:tc>
          <w:tcPr>
            <w:tcW w:w="1843" w:type="dxa"/>
            <w:vAlign w:val="center"/>
          </w:tcPr>
          <w:p w14:paraId="56E6043A">
            <w:pPr>
              <w:jc w:val="center"/>
              <w:rPr>
                <w:rFonts w:ascii="宋体"/>
                <w:kern w:val="0"/>
              </w:rPr>
            </w:pPr>
            <w:r>
              <w:rPr>
                <w:rFonts w:hint="eastAsia" w:ascii="宋体"/>
                <w:kern w:val="0"/>
              </w:rPr>
              <w:t>从轻</w:t>
            </w:r>
          </w:p>
        </w:tc>
        <w:tc>
          <w:tcPr>
            <w:tcW w:w="6379" w:type="dxa"/>
            <w:vAlign w:val="center"/>
          </w:tcPr>
          <w:p w14:paraId="40A84655">
            <w:pPr>
              <w:widowControl/>
              <w:jc w:val="left"/>
              <w:rPr>
                <w:rFonts w:ascii="宋体"/>
                <w:kern w:val="0"/>
              </w:rPr>
            </w:pPr>
            <w:r>
              <w:rPr>
                <w:rFonts w:hint="eastAsia" w:ascii="宋体"/>
                <w:kern w:val="0"/>
              </w:rPr>
              <w:t>具有法定从轻</w:t>
            </w:r>
            <w:r>
              <w:rPr>
                <w:rFonts w:hint="eastAsia" w:ascii="宋体"/>
              </w:rPr>
              <w:t>处罚</w:t>
            </w:r>
            <w:r>
              <w:rPr>
                <w:rFonts w:hint="eastAsia" w:ascii="宋体"/>
                <w:kern w:val="0"/>
              </w:rPr>
              <w:t>情节的；</w:t>
            </w:r>
          </w:p>
        </w:tc>
        <w:tc>
          <w:tcPr>
            <w:tcW w:w="6662" w:type="dxa"/>
            <w:tcBorders>
              <w:right w:val="single" w:color="auto" w:sz="4" w:space="0"/>
            </w:tcBorders>
            <w:vAlign w:val="center"/>
          </w:tcPr>
          <w:p w14:paraId="3AEFF30D">
            <w:pPr>
              <w:jc w:val="center"/>
              <w:rPr>
                <w:rFonts w:ascii="宋体"/>
                <w:kern w:val="0"/>
              </w:rPr>
            </w:pPr>
            <w:r>
              <w:rPr>
                <w:rFonts w:hint="eastAsia" w:ascii="宋体"/>
              </w:rPr>
              <w:t>责令改正</w:t>
            </w:r>
          </w:p>
        </w:tc>
      </w:tr>
      <w:tr w14:paraId="144C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2" w:hRule="atLeast"/>
        </w:trPr>
        <w:tc>
          <w:tcPr>
            <w:tcW w:w="1191" w:type="dxa"/>
            <w:vMerge w:val="continue"/>
            <w:vAlign w:val="center"/>
          </w:tcPr>
          <w:p w14:paraId="666FA42C">
            <w:pPr>
              <w:jc w:val="left"/>
              <w:rPr>
                <w:rFonts w:ascii="宋体"/>
                <w:kern w:val="0"/>
              </w:rPr>
            </w:pPr>
          </w:p>
        </w:tc>
        <w:tc>
          <w:tcPr>
            <w:tcW w:w="1560" w:type="dxa"/>
            <w:vMerge w:val="continue"/>
            <w:vAlign w:val="center"/>
          </w:tcPr>
          <w:p w14:paraId="11B10460">
            <w:pPr>
              <w:widowControl/>
              <w:jc w:val="left"/>
              <w:rPr>
                <w:rFonts w:ascii="宋体"/>
                <w:kern w:val="0"/>
              </w:rPr>
            </w:pPr>
          </w:p>
        </w:tc>
        <w:tc>
          <w:tcPr>
            <w:tcW w:w="1842" w:type="dxa"/>
            <w:vMerge w:val="continue"/>
            <w:vAlign w:val="center"/>
          </w:tcPr>
          <w:p w14:paraId="2A6E2E2D">
            <w:pPr>
              <w:jc w:val="left"/>
              <w:rPr>
                <w:rFonts w:ascii="宋体"/>
                <w:kern w:val="0"/>
              </w:rPr>
            </w:pPr>
          </w:p>
        </w:tc>
        <w:tc>
          <w:tcPr>
            <w:tcW w:w="1843" w:type="dxa"/>
            <w:vAlign w:val="center"/>
          </w:tcPr>
          <w:p w14:paraId="6BE68A74">
            <w:pPr>
              <w:jc w:val="center"/>
              <w:rPr>
                <w:rFonts w:ascii="宋体"/>
                <w:kern w:val="0"/>
              </w:rPr>
            </w:pPr>
            <w:r>
              <w:rPr>
                <w:rFonts w:hint="eastAsia" w:ascii="宋体"/>
                <w:kern w:val="0"/>
              </w:rPr>
              <w:t>一般</w:t>
            </w:r>
          </w:p>
        </w:tc>
        <w:tc>
          <w:tcPr>
            <w:tcW w:w="6379" w:type="dxa"/>
            <w:vAlign w:val="center"/>
          </w:tcPr>
          <w:p w14:paraId="6AD2B647">
            <w:pPr>
              <w:pStyle w:val="13"/>
              <w:jc w:val="left"/>
              <w:rPr>
                <w:rFonts w:ascii="宋体"/>
              </w:rPr>
            </w:pPr>
            <w:r>
              <w:rPr>
                <w:rFonts w:hint="eastAsia" w:ascii="宋体"/>
              </w:rPr>
              <w:t>设置的专用航标不符合相关规范和规定要求，且按责令改正的期限改正的；</w:t>
            </w:r>
          </w:p>
        </w:tc>
        <w:tc>
          <w:tcPr>
            <w:tcW w:w="6662" w:type="dxa"/>
            <w:tcBorders>
              <w:right w:val="single" w:color="auto" w:sz="4" w:space="0"/>
            </w:tcBorders>
            <w:vAlign w:val="center"/>
          </w:tcPr>
          <w:p w14:paraId="219DF1F3">
            <w:pPr>
              <w:jc w:val="center"/>
              <w:rPr>
                <w:rFonts w:ascii="宋体"/>
                <w:kern w:val="0"/>
              </w:rPr>
            </w:pPr>
            <w:r>
              <w:rPr>
                <w:rFonts w:hint="eastAsia" w:ascii="宋体"/>
              </w:rPr>
              <w:t>责令改正</w:t>
            </w:r>
          </w:p>
        </w:tc>
      </w:tr>
      <w:tr w14:paraId="0EA3D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68" w:hRule="atLeast"/>
        </w:trPr>
        <w:tc>
          <w:tcPr>
            <w:tcW w:w="1191" w:type="dxa"/>
            <w:vMerge w:val="continue"/>
            <w:vAlign w:val="center"/>
          </w:tcPr>
          <w:p w14:paraId="40926E02">
            <w:pPr>
              <w:jc w:val="left"/>
              <w:rPr>
                <w:rFonts w:ascii="宋体"/>
                <w:kern w:val="0"/>
              </w:rPr>
            </w:pPr>
          </w:p>
        </w:tc>
        <w:tc>
          <w:tcPr>
            <w:tcW w:w="1560" w:type="dxa"/>
            <w:vMerge w:val="continue"/>
            <w:vAlign w:val="center"/>
          </w:tcPr>
          <w:p w14:paraId="19073211">
            <w:pPr>
              <w:jc w:val="left"/>
              <w:rPr>
                <w:rFonts w:ascii="宋体"/>
                <w:kern w:val="0"/>
              </w:rPr>
            </w:pPr>
          </w:p>
        </w:tc>
        <w:tc>
          <w:tcPr>
            <w:tcW w:w="1842" w:type="dxa"/>
            <w:vMerge w:val="continue"/>
            <w:vAlign w:val="center"/>
          </w:tcPr>
          <w:p w14:paraId="452A0413">
            <w:pPr>
              <w:jc w:val="left"/>
              <w:rPr>
                <w:rFonts w:ascii="宋体"/>
                <w:kern w:val="0"/>
              </w:rPr>
            </w:pPr>
          </w:p>
        </w:tc>
        <w:tc>
          <w:tcPr>
            <w:tcW w:w="1843" w:type="dxa"/>
            <w:vMerge w:val="restart"/>
            <w:vAlign w:val="center"/>
          </w:tcPr>
          <w:p w14:paraId="4A6C76A7">
            <w:pPr>
              <w:pStyle w:val="13"/>
              <w:jc w:val="center"/>
              <w:rPr>
                <w:rFonts w:ascii="宋体"/>
              </w:rPr>
            </w:pPr>
            <w:r>
              <w:rPr>
                <w:rFonts w:hint="eastAsia" w:ascii="宋体"/>
              </w:rPr>
              <w:t>情节严重</w:t>
            </w:r>
          </w:p>
        </w:tc>
        <w:tc>
          <w:tcPr>
            <w:tcW w:w="6379" w:type="dxa"/>
            <w:tcBorders>
              <w:top w:val="single" w:color="auto" w:sz="4" w:space="0"/>
              <w:left w:val="single" w:color="auto" w:sz="4" w:space="0"/>
              <w:bottom w:val="single" w:color="auto" w:sz="4" w:space="0"/>
            </w:tcBorders>
            <w:vAlign w:val="center"/>
          </w:tcPr>
          <w:p w14:paraId="43BD0C05">
            <w:pPr>
              <w:pStyle w:val="13"/>
              <w:jc w:val="left"/>
              <w:rPr>
                <w:rFonts w:ascii="宋体"/>
              </w:rPr>
            </w:pPr>
            <w:r>
              <w:rPr>
                <w:rFonts w:hint="eastAsia" w:ascii="宋体"/>
              </w:rPr>
              <w:t>1.未设置专用航标，</w:t>
            </w:r>
          </w:p>
          <w:p w14:paraId="2119D93F">
            <w:pPr>
              <w:pStyle w:val="13"/>
              <w:jc w:val="left"/>
              <w:rPr>
                <w:rFonts w:ascii="宋体"/>
              </w:rPr>
            </w:pPr>
            <w:r>
              <w:rPr>
                <w:rFonts w:hint="eastAsia" w:ascii="宋体"/>
              </w:rPr>
              <w:t>2.造成小事故或险情的。</w:t>
            </w:r>
          </w:p>
        </w:tc>
        <w:tc>
          <w:tcPr>
            <w:tcW w:w="6662" w:type="dxa"/>
            <w:tcBorders>
              <w:top w:val="single" w:color="auto" w:sz="4" w:space="0"/>
              <w:right w:val="single" w:color="auto" w:sz="4" w:space="0"/>
            </w:tcBorders>
            <w:vAlign w:val="center"/>
          </w:tcPr>
          <w:p w14:paraId="6A1F66B6">
            <w:pPr>
              <w:jc w:val="center"/>
              <w:rPr>
                <w:rFonts w:ascii="宋体"/>
                <w:kern w:val="0"/>
              </w:rPr>
            </w:pPr>
            <w:r>
              <w:rPr>
                <w:rFonts w:hint="eastAsia" w:ascii="宋体"/>
              </w:rPr>
              <w:t>3-5万元</w:t>
            </w:r>
          </w:p>
        </w:tc>
      </w:tr>
      <w:tr w14:paraId="0302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31" w:hRule="atLeast"/>
        </w:trPr>
        <w:tc>
          <w:tcPr>
            <w:tcW w:w="1191" w:type="dxa"/>
            <w:vMerge w:val="continue"/>
            <w:vAlign w:val="center"/>
          </w:tcPr>
          <w:p w14:paraId="3500A77D">
            <w:pPr>
              <w:jc w:val="left"/>
              <w:rPr>
                <w:rFonts w:ascii="宋体"/>
                <w:kern w:val="0"/>
              </w:rPr>
            </w:pPr>
          </w:p>
        </w:tc>
        <w:tc>
          <w:tcPr>
            <w:tcW w:w="1560" w:type="dxa"/>
            <w:vMerge w:val="continue"/>
            <w:vAlign w:val="center"/>
          </w:tcPr>
          <w:p w14:paraId="6F7357F4">
            <w:pPr>
              <w:jc w:val="left"/>
              <w:rPr>
                <w:rFonts w:ascii="宋体"/>
                <w:kern w:val="0"/>
              </w:rPr>
            </w:pPr>
          </w:p>
        </w:tc>
        <w:tc>
          <w:tcPr>
            <w:tcW w:w="1842" w:type="dxa"/>
            <w:vMerge w:val="continue"/>
            <w:vAlign w:val="center"/>
          </w:tcPr>
          <w:p w14:paraId="08D48A08">
            <w:pPr>
              <w:jc w:val="left"/>
              <w:rPr>
                <w:rFonts w:ascii="宋体"/>
                <w:kern w:val="0"/>
              </w:rPr>
            </w:pPr>
          </w:p>
        </w:tc>
        <w:tc>
          <w:tcPr>
            <w:tcW w:w="1843" w:type="dxa"/>
            <w:vMerge w:val="continue"/>
            <w:vAlign w:val="center"/>
          </w:tcPr>
          <w:p w14:paraId="139BD2A6">
            <w:pPr>
              <w:jc w:val="left"/>
              <w:rPr>
                <w:rFonts w:ascii="宋体"/>
                <w:kern w:val="0"/>
              </w:rPr>
            </w:pPr>
          </w:p>
        </w:tc>
        <w:tc>
          <w:tcPr>
            <w:tcW w:w="6379" w:type="dxa"/>
            <w:tcBorders>
              <w:top w:val="single" w:color="auto" w:sz="4" w:space="0"/>
              <w:left w:val="single" w:color="auto" w:sz="4" w:space="0"/>
              <w:bottom w:val="single" w:color="auto" w:sz="4" w:space="0"/>
            </w:tcBorders>
            <w:vAlign w:val="center"/>
          </w:tcPr>
          <w:p w14:paraId="0F976713">
            <w:pPr>
              <w:jc w:val="left"/>
              <w:rPr>
                <w:rFonts w:ascii="宋体"/>
                <w:kern w:val="0"/>
              </w:rPr>
            </w:pPr>
            <w:r>
              <w:rPr>
                <w:rFonts w:hint="eastAsia" w:ascii="宋体"/>
                <w:kern w:val="0"/>
              </w:rPr>
              <w:t>1.</w:t>
            </w:r>
            <w:r>
              <w:rPr>
                <w:rFonts w:hint="eastAsia" w:ascii="宋体"/>
              </w:rPr>
              <w:t>造成一般等级以上事故</w:t>
            </w:r>
            <w:r>
              <w:rPr>
                <w:rFonts w:hint="eastAsia" w:ascii="宋体"/>
                <w:kern w:val="0"/>
              </w:rPr>
              <w:t>的；</w:t>
            </w:r>
          </w:p>
          <w:p w14:paraId="4230E4D5">
            <w:pPr>
              <w:jc w:val="left"/>
              <w:rPr>
                <w:rFonts w:ascii="宋体"/>
                <w:kern w:val="0"/>
              </w:rPr>
            </w:pPr>
            <w:r>
              <w:rPr>
                <w:rFonts w:hint="eastAsia" w:ascii="宋体"/>
                <w:kern w:val="0"/>
              </w:rPr>
              <w:t>2.未按期改正的；</w:t>
            </w:r>
          </w:p>
          <w:p w14:paraId="60EB7B9D">
            <w:pPr>
              <w:jc w:val="left"/>
              <w:rPr>
                <w:rFonts w:ascii="宋体"/>
                <w:kern w:val="0"/>
              </w:rPr>
            </w:pPr>
            <w:r>
              <w:rPr>
                <w:rFonts w:hint="eastAsia" w:ascii="宋体"/>
                <w:kern w:val="0"/>
              </w:rPr>
              <w:t>3.具有其他严重情节的。</w:t>
            </w:r>
          </w:p>
        </w:tc>
        <w:tc>
          <w:tcPr>
            <w:tcW w:w="6662" w:type="dxa"/>
            <w:tcBorders>
              <w:right w:val="single" w:color="auto" w:sz="4" w:space="0"/>
            </w:tcBorders>
            <w:vAlign w:val="center"/>
          </w:tcPr>
          <w:p w14:paraId="58B66EB4">
            <w:pPr>
              <w:jc w:val="center"/>
              <w:rPr>
                <w:rFonts w:ascii="宋体"/>
                <w:kern w:val="0"/>
              </w:rPr>
            </w:pPr>
            <w:r>
              <w:rPr>
                <w:rFonts w:hint="eastAsia" w:ascii="宋体"/>
              </w:rPr>
              <w:t>5-10万元</w:t>
            </w:r>
          </w:p>
        </w:tc>
      </w:tr>
    </w:tbl>
    <w:p w14:paraId="706F40EA">
      <w:pPr>
        <w:rPr>
          <w:rFonts w:ascii="宋体" w:eastAsia="黑体"/>
          <w:b/>
          <w:bCs/>
          <w:spacing w:val="-6"/>
          <w:sz w:val="44"/>
          <w:szCs w:val="44"/>
        </w:rPr>
      </w:pPr>
      <w:r>
        <w:br w:type="page"/>
      </w:r>
    </w:p>
    <w:p w14:paraId="4719F321">
      <w:pPr>
        <w:jc w:val="center"/>
        <w:rPr>
          <w:rFonts w:ascii="宋体"/>
          <w:b/>
          <w:bCs/>
          <w:spacing w:val="-6"/>
          <w:sz w:val="44"/>
          <w:szCs w:val="44"/>
        </w:rPr>
      </w:pPr>
      <w:r>
        <w:rPr>
          <w:rFonts w:hint="eastAsia" w:ascii="宋体"/>
          <w:b/>
          <w:bCs/>
          <w:spacing w:val="-6"/>
          <w:sz w:val="44"/>
          <w:szCs w:val="44"/>
        </w:rPr>
        <w:t>常见内河海事违法行为行政处罚裁量基准</w:t>
      </w:r>
    </w:p>
    <w:p w14:paraId="35B7249F">
      <w:pPr>
        <w:jc w:val="center"/>
        <w:rPr>
          <w:rFonts w:ascii="宋体"/>
          <w:b/>
          <w:bCs/>
          <w:spacing w:val="-6"/>
          <w:sz w:val="44"/>
          <w:szCs w:val="44"/>
        </w:rPr>
      </w:pPr>
      <w:r>
        <w:rPr>
          <w:rFonts w:hint="eastAsia" w:ascii="宋体"/>
          <w:b/>
          <w:bCs/>
          <w:spacing w:val="-6"/>
          <w:sz w:val="44"/>
          <w:szCs w:val="44"/>
        </w:rPr>
        <w:t>（一）常见内河海事违法行为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20"/>
        <w:gridCol w:w="16801"/>
      </w:tblGrid>
      <w:tr w14:paraId="5550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EF543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序号</w:t>
            </w:r>
          </w:p>
        </w:tc>
        <w:tc>
          <w:tcPr>
            <w:tcW w:w="1920" w:type="dxa"/>
            <w:vAlign w:val="center"/>
          </w:tcPr>
          <w:p w14:paraId="3425491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管理分类</w:t>
            </w:r>
          </w:p>
        </w:tc>
        <w:tc>
          <w:tcPr>
            <w:tcW w:w="16801" w:type="dxa"/>
            <w:vAlign w:val="center"/>
          </w:tcPr>
          <w:p w14:paraId="5D87946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违法行为名称（案由）</w:t>
            </w:r>
          </w:p>
        </w:tc>
      </w:tr>
      <w:tr w14:paraId="34A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037CA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w:t>
            </w:r>
          </w:p>
        </w:tc>
        <w:tc>
          <w:tcPr>
            <w:tcW w:w="1920" w:type="dxa"/>
            <w:vAlign w:val="center"/>
          </w:tcPr>
          <w:p w14:paraId="2746240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2DA899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未采用安全航速航行</w:t>
            </w:r>
          </w:p>
        </w:tc>
      </w:tr>
      <w:tr w14:paraId="101B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8C015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w:t>
            </w:r>
          </w:p>
        </w:tc>
        <w:tc>
          <w:tcPr>
            <w:tcW w:w="1920" w:type="dxa"/>
            <w:vAlign w:val="center"/>
          </w:tcPr>
          <w:p w14:paraId="4627843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9287EB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未按照规定的航路或者航行规则航行</w:t>
            </w:r>
          </w:p>
        </w:tc>
      </w:tr>
      <w:tr w14:paraId="0C90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6C9C0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w:t>
            </w:r>
          </w:p>
        </w:tc>
        <w:tc>
          <w:tcPr>
            <w:tcW w:w="1920" w:type="dxa"/>
            <w:vAlign w:val="center"/>
          </w:tcPr>
          <w:p w14:paraId="34E0DB8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6693F0C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未按照规定倒车、调头、追越</w:t>
            </w:r>
          </w:p>
        </w:tc>
      </w:tr>
      <w:tr w14:paraId="4A9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6C48E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w:t>
            </w:r>
          </w:p>
        </w:tc>
        <w:tc>
          <w:tcPr>
            <w:tcW w:w="1920" w:type="dxa"/>
            <w:vAlign w:val="center"/>
          </w:tcPr>
          <w:p w14:paraId="484BE14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65E91C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不遵守海事管理机构发布的在能见度不良时航行规定</w:t>
            </w:r>
          </w:p>
        </w:tc>
      </w:tr>
      <w:tr w14:paraId="2F6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F2AF2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w:t>
            </w:r>
          </w:p>
        </w:tc>
        <w:tc>
          <w:tcPr>
            <w:tcW w:w="1920" w:type="dxa"/>
            <w:vAlign w:val="center"/>
          </w:tcPr>
          <w:p w14:paraId="0D895A3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0FF77A2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未按照规定显示号灯、号型或者鸣放声号</w:t>
            </w:r>
          </w:p>
        </w:tc>
      </w:tr>
      <w:tr w14:paraId="709B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B257E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w:t>
            </w:r>
          </w:p>
        </w:tc>
        <w:tc>
          <w:tcPr>
            <w:tcW w:w="1920" w:type="dxa"/>
            <w:vAlign w:val="center"/>
          </w:tcPr>
          <w:p w14:paraId="605DAE9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999F90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未在规定的甚高频通信频道上守听</w:t>
            </w:r>
          </w:p>
        </w:tc>
      </w:tr>
      <w:tr w14:paraId="79BB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51A32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w:t>
            </w:r>
          </w:p>
        </w:tc>
        <w:tc>
          <w:tcPr>
            <w:tcW w:w="1920" w:type="dxa"/>
            <w:vAlign w:val="center"/>
          </w:tcPr>
          <w:p w14:paraId="089C13B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C94CA2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在规定必须报告船位的地点，未报告船位</w:t>
            </w:r>
          </w:p>
        </w:tc>
      </w:tr>
      <w:tr w14:paraId="0F42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46D7D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w:t>
            </w:r>
          </w:p>
        </w:tc>
        <w:tc>
          <w:tcPr>
            <w:tcW w:w="1920" w:type="dxa"/>
            <w:vAlign w:val="center"/>
          </w:tcPr>
          <w:p w14:paraId="7A3FC35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9F9F10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未按照规定拖带或者非拖船从事拖带作业</w:t>
            </w:r>
          </w:p>
        </w:tc>
      </w:tr>
      <w:tr w14:paraId="65FD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3909C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w:t>
            </w:r>
          </w:p>
        </w:tc>
        <w:tc>
          <w:tcPr>
            <w:tcW w:w="1920" w:type="dxa"/>
            <w:vAlign w:val="center"/>
          </w:tcPr>
          <w:p w14:paraId="76638A3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66C2052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船舶进出港口和通过交通管制区、通航密集区、航行条件受到限制区域，未遵守海事管理机构发布的特别规定</w:t>
            </w:r>
          </w:p>
        </w:tc>
      </w:tr>
      <w:tr w14:paraId="1F6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8C247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w:t>
            </w:r>
          </w:p>
        </w:tc>
        <w:tc>
          <w:tcPr>
            <w:tcW w:w="1920" w:type="dxa"/>
            <w:vAlign w:val="center"/>
          </w:tcPr>
          <w:p w14:paraId="377B101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22C6E67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不遵守海事管理机构发布的有关航行、避让和信号规则规定</w:t>
            </w:r>
          </w:p>
        </w:tc>
      </w:tr>
      <w:tr w14:paraId="375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9B09D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11</w:t>
            </w:r>
          </w:p>
        </w:tc>
        <w:tc>
          <w:tcPr>
            <w:tcW w:w="1920" w:type="dxa"/>
            <w:vAlign w:val="center"/>
          </w:tcPr>
          <w:p w14:paraId="28A4B55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0978113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应申请许可证而未取得，擅自进行水上水下作业或者活动</w:t>
            </w:r>
          </w:p>
        </w:tc>
      </w:tr>
      <w:tr w14:paraId="2BFC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498E87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12</w:t>
            </w:r>
          </w:p>
        </w:tc>
        <w:tc>
          <w:tcPr>
            <w:tcW w:w="1920" w:type="dxa"/>
            <w:vAlign w:val="center"/>
          </w:tcPr>
          <w:p w14:paraId="3B4F9EC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F3ED68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许可证件失效后仍进行水上水下作业或者活动</w:t>
            </w:r>
          </w:p>
        </w:tc>
      </w:tr>
      <w:tr w14:paraId="3AE6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7F56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13</w:t>
            </w:r>
          </w:p>
        </w:tc>
        <w:tc>
          <w:tcPr>
            <w:tcW w:w="1920" w:type="dxa"/>
            <w:vAlign w:val="center"/>
          </w:tcPr>
          <w:p w14:paraId="1E55858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3718D28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以欺骗或其他不正当手段取得水上水下活动许可证的</w:t>
            </w:r>
          </w:p>
        </w:tc>
      </w:tr>
      <w:tr w14:paraId="07FA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F987E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14</w:t>
            </w:r>
          </w:p>
        </w:tc>
        <w:tc>
          <w:tcPr>
            <w:tcW w:w="1920" w:type="dxa"/>
            <w:vAlign w:val="center"/>
          </w:tcPr>
          <w:p w14:paraId="69132B5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A10700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使用涂改或者非法受让的许可证进行水上水下作业或者活动的</w:t>
            </w:r>
          </w:p>
        </w:tc>
      </w:tr>
      <w:tr w14:paraId="7041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4FD4F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15</w:t>
            </w:r>
          </w:p>
        </w:tc>
        <w:tc>
          <w:tcPr>
            <w:tcW w:w="1920" w:type="dxa"/>
            <w:vAlign w:val="center"/>
          </w:tcPr>
          <w:p w14:paraId="5A87047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35FB879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未按《水上水下活动通航安全管理规定》报备水上水下作业或者活动的</w:t>
            </w:r>
          </w:p>
        </w:tc>
      </w:tr>
      <w:tr w14:paraId="2B2E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73056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16</w:t>
            </w:r>
          </w:p>
        </w:tc>
        <w:tc>
          <w:tcPr>
            <w:tcW w:w="1920" w:type="dxa"/>
            <w:vAlign w:val="center"/>
          </w:tcPr>
          <w:p w14:paraId="766FA4B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403256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在水下水下作业或者活动期间，未妥善处理有碍航行和作业安全隐患并按照海事管理机构的要求采取清除、设置标志、显示信号等措施的</w:t>
            </w:r>
          </w:p>
        </w:tc>
      </w:tr>
      <w:tr w14:paraId="703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FED39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17</w:t>
            </w:r>
          </w:p>
        </w:tc>
        <w:tc>
          <w:tcPr>
            <w:tcW w:w="1920" w:type="dxa"/>
            <w:vAlign w:val="center"/>
          </w:tcPr>
          <w:p w14:paraId="7367BBA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1E4CDE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未按照有关规定申请发布航行警告、航行通告即行实施水上水下作业或者活动的</w:t>
            </w:r>
          </w:p>
        </w:tc>
      </w:tr>
      <w:tr w14:paraId="46EB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E81D6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18</w:t>
            </w:r>
          </w:p>
        </w:tc>
        <w:tc>
          <w:tcPr>
            <w:tcW w:w="1920" w:type="dxa"/>
            <w:vAlign w:val="center"/>
          </w:tcPr>
          <w:p w14:paraId="6D683F8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60052F5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水上水下作业或者活动与航行警告、航行通告中公告的内容不符的</w:t>
            </w:r>
          </w:p>
        </w:tc>
      </w:tr>
      <w:tr w14:paraId="61F6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856DC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19</w:t>
            </w:r>
          </w:p>
        </w:tc>
        <w:tc>
          <w:tcPr>
            <w:tcW w:w="1920" w:type="dxa"/>
            <w:vAlign w:val="center"/>
          </w:tcPr>
          <w:p w14:paraId="6E6A9D3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3AE627E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船舶、浮动设施发生水上交通事故，未按照规定立即报告事故的</w:t>
            </w:r>
          </w:p>
        </w:tc>
      </w:tr>
      <w:tr w14:paraId="16B3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F3526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20</w:t>
            </w:r>
          </w:p>
        </w:tc>
        <w:tc>
          <w:tcPr>
            <w:tcW w:w="1920" w:type="dxa"/>
            <w:vAlign w:val="center"/>
          </w:tcPr>
          <w:p w14:paraId="705BB69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F31602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船舶、浮动设施发生水上交通事故，事故报告内容不真实，不符合规定要求</w:t>
            </w:r>
          </w:p>
        </w:tc>
      </w:tr>
      <w:tr w14:paraId="6D91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B6E6E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21</w:t>
            </w:r>
          </w:p>
        </w:tc>
        <w:tc>
          <w:tcPr>
            <w:tcW w:w="1920" w:type="dxa"/>
            <w:vAlign w:val="center"/>
          </w:tcPr>
          <w:p w14:paraId="7B05601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6B63E1F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船舶、浮动设施发生水上交通事故，隐瞒事实或者提供虚假证明、证词</w:t>
            </w:r>
          </w:p>
        </w:tc>
      </w:tr>
      <w:tr w14:paraId="58B5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4F73B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22</w:t>
            </w:r>
          </w:p>
        </w:tc>
        <w:tc>
          <w:tcPr>
            <w:tcW w:w="1920" w:type="dxa"/>
            <w:vAlign w:val="center"/>
          </w:tcPr>
          <w:p w14:paraId="5C58370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2FC3F8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船舶、浮动设施发生水上交通事故，故意涂改航海日志等法定文书、文件</w:t>
            </w:r>
          </w:p>
        </w:tc>
      </w:tr>
      <w:tr w14:paraId="234A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14738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23</w:t>
            </w:r>
          </w:p>
        </w:tc>
        <w:tc>
          <w:tcPr>
            <w:tcW w:w="1920" w:type="dxa"/>
            <w:vAlign w:val="center"/>
          </w:tcPr>
          <w:p w14:paraId="5D64241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348F4A9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船舶、浮动设施发生内河交通事故</w:t>
            </w:r>
          </w:p>
        </w:tc>
      </w:tr>
      <w:tr w14:paraId="5FF7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12553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24</w:t>
            </w:r>
          </w:p>
        </w:tc>
        <w:tc>
          <w:tcPr>
            <w:tcW w:w="1920" w:type="dxa"/>
            <w:vAlign w:val="center"/>
          </w:tcPr>
          <w:p w14:paraId="7A424C5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08F4DA7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超过核定航区航行</w:t>
            </w:r>
          </w:p>
        </w:tc>
      </w:tr>
      <w:tr w14:paraId="14CB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130F9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25</w:t>
            </w:r>
          </w:p>
        </w:tc>
        <w:tc>
          <w:tcPr>
            <w:tcW w:w="1920" w:type="dxa"/>
            <w:vAlign w:val="center"/>
          </w:tcPr>
          <w:p w14:paraId="1B5C1EF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EA93F9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不按照规定保持船舶自动识别系统处于正常工作状态</w:t>
            </w:r>
          </w:p>
        </w:tc>
      </w:tr>
      <w:tr w14:paraId="0BD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DF303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26</w:t>
            </w:r>
          </w:p>
        </w:tc>
        <w:tc>
          <w:tcPr>
            <w:tcW w:w="1920" w:type="dxa"/>
            <w:vAlign w:val="center"/>
          </w:tcPr>
          <w:p w14:paraId="75F7949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07BDC73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不按照规定在船舶自动识别设备中输入准确信息</w:t>
            </w:r>
          </w:p>
        </w:tc>
      </w:tr>
      <w:tr w14:paraId="08F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38437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27</w:t>
            </w:r>
          </w:p>
        </w:tc>
        <w:tc>
          <w:tcPr>
            <w:tcW w:w="1920" w:type="dxa"/>
            <w:vAlign w:val="center"/>
          </w:tcPr>
          <w:p w14:paraId="628445A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E9DD26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船舶自动识别系统发生故障未及时向海事管理机构报告</w:t>
            </w:r>
          </w:p>
        </w:tc>
      </w:tr>
      <w:tr w14:paraId="159E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F1BAF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28</w:t>
            </w:r>
          </w:p>
        </w:tc>
        <w:tc>
          <w:tcPr>
            <w:tcW w:w="1920" w:type="dxa"/>
            <w:vAlign w:val="center"/>
          </w:tcPr>
          <w:p w14:paraId="4B0FD78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41265C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在限制航速的区域和汛期高水位期间未按照海事管理机构规定的航速航行</w:t>
            </w:r>
          </w:p>
        </w:tc>
      </w:tr>
      <w:tr w14:paraId="3421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9F29D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29</w:t>
            </w:r>
          </w:p>
        </w:tc>
        <w:tc>
          <w:tcPr>
            <w:tcW w:w="1920" w:type="dxa"/>
            <w:vAlign w:val="center"/>
          </w:tcPr>
          <w:p w14:paraId="78411F3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8B24CD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在禁止横穿航道的航段，穿越航道</w:t>
            </w:r>
          </w:p>
        </w:tc>
      </w:tr>
      <w:tr w14:paraId="1122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BA5B2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30</w:t>
            </w:r>
          </w:p>
        </w:tc>
        <w:tc>
          <w:tcPr>
            <w:tcW w:w="1920" w:type="dxa"/>
            <w:vAlign w:val="center"/>
          </w:tcPr>
          <w:p w14:paraId="189FA5B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C0EDAD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未按照规定擅自夜航</w:t>
            </w:r>
          </w:p>
        </w:tc>
      </w:tr>
      <w:tr w14:paraId="5096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85E3A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31</w:t>
            </w:r>
          </w:p>
        </w:tc>
        <w:tc>
          <w:tcPr>
            <w:tcW w:w="1920" w:type="dxa"/>
            <w:vAlign w:val="center"/>
          </w:tcPr>
          <w:p w14:paraId="16B8E18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A290FB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未按照要求保持正规了望</w:t>
            </w:r>
          </w:p>
        </w:tc>
      </w:tr>
      <w:tr w14:paraId="1150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1C0CF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32</w:t>
            </w:r>
          </w:p>
        </w:tc>
        <w:tc>
          <w:tcPr>
            <w:tcW w:w="1920" w:type="dxa"/>
            <w:vAlign w:val="center"/>
          </w:tcPr>
          <w:p w14:paraId="16E1AE2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A49BAF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不遵守海事管理机构发布的航行通告、航行警告规定</w:t>
            </w:r>
          </w:p>
        </w:tc>
      </w:tr>
      <w:tr w14:paraId="4BE4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D64CE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33</w:t>
            </w:r>
          </w:p>
        </w:tc>
        <w:tc>
          <w:tcPr>
            <w:tcW w:w="1920" w:type="dxa"/>
            <w:vAlign w:val="center"/>
          </w:tcPr>
          <w:p w14:paraId="0A54D1F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4C1789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船舶装卸、载运危险货物或者空舱内有可燃气体时，未按规定悬挂或者显示信号</w:t>
            </w:r>
          </w:p>
        </w:tc>
      </w:tr>
      <w:tr w14:paraId="428D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E27F3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34</w:t>
            </w:r>
          </w:p>
        </w:tc>
        <w:tc>
          <w:tcPr>
            <w:tcW w:w="1920" w:type="dxa"/>
            <w:vAlign w:val="center"/>
          </w:tcPr>
          <w:p w14:paraId="52E85DB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2F4DE39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载运或者拖带超重、超长、超高、超宽、半潜的物体，未申请或者未按照核定的航路、时间航行</w:t>
            </w:r>
          </w:p>
        </w:tc>
      </w:tr>
      <w:tr w14:paraId="27E4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78B55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35</w:t>
            </w:r>
          </w:p>
        </w:tc>
        <w:tc>
          <w:tcPr>
            <w:tcW w:w="1920" w:type="dxa"/>
            <w:vAlign w:val="center"/>
          </w:tcPr>
          <w:p w14:paraId="69070F0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04F49C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未按照规定申请引航</w:t>
            </w:r>
          </w:p>
        </w:tc>
      </w:tr>
      <w:tr w14:paraId="0D36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B60CE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36</w:t>
            </w:r>
          </w:p>
        </w:tc>
        <w:tc>
          <w:tcPr>
            <w:tcW w:w="1920" w:type="dxa"/>
            <w:vAlign w:val="center"/>
          </w:tcPr>
          <w:p w14:paraId="21EC7BC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4FE03B7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船舶无正当理由进入或者穿越禁航区</w:t>
            </w:r>
          </w:p>
        </w:tc>
      </w:tr>
      <w:tr w14:paraId="203C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29D43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37</w:t>
            </w:r>
          </w:p>
        </w:tc>
        <w:tc>
          <w:tcPr>
            <w:tcW w:w="1920" w:type="dxa"/>
            <w:vAlign w:val="center"/>
          </w:tcPr>
          <w:p w14:paraId="7F3ECAD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C830B4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未经核准从事大型设施或者移动式平台的水上拖带</w:t>
            </w:r>
          </w:p>
        </w:tc>
      </w:tr>
      <w:tr w14:paraId="7670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C2AB4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38</w:t>
            </w:r>
          </w:p>
        </w:tc>
        <w:tc>
          <w:tcPr>
            <w:tcW w:w="1920" w:type="dxa"/>
            <w:vAlign w:val="center"/>
          </w:tcPr>
          <w:p w14:paraId="6DBBFD4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273FFEE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船舶试航、试车，不按照规定备案</w:t>
            </w:r>
          </w:p>
        </w:tc>
      </w:tr>
      <w:tr w14:paraId="25F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74B93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39</w:t>
            </w:r>
          </w:p>
        </w:tc>
        <w:tc>
          <w:tcPr>
            <w:tcW w:w="1920" w:type="dxa"/>
            <w:vAlign w:val="center"/>
          </w:tcPr>
          <w:p w14:paraId="30C3D7D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A439B4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在非锚地、非停泊区进行编、解队作业，不按照规定备案</w:t>
            </w:r>
          </w:p>
        </w:tc>
      </w:tr>
      <w:tr w14:paraId="4222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5AB05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40</w:t>
            </w:r>
          </w:p>
        </w:tc>
        <w:tc>
          <w:tcPr>
            <w:tcW w:w="1920" w:type="dxa"/>
            <w:vAlign w:val="center"/>
          </w:tcPr>
          <w:p w14:paraId="15BB489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5E7CE7C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检修影响船舶适航性能设备，不按照规定备案</w:t>
            </w:r>
          </w:p>
        </w:tc>
      </w:tr>
      <w:tr w14:paraId="3406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D6620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41</w:t>
            </w:r>
          </w:p>
        </w:tc>
        <w:tc>
          <w:tcPr>
            <w:tcW w:w="1920" w:type="dxa"/>
            <w:vAlign w:val="center"/>
          </w:tcPr>
          <w:p w14:paraId="04C4522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7038449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检修通信设备和消防、救生设备，不按照规定备案</w:t>
            </w:r>
          </w:p>
        </w:tc>
      </w:tr>
      <w:tr w14:paraId="250C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2A68F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42</w:t>
            </w:r>
          </w:p>
        </w:tc>
        <w:tc>
          <w:tcPr>
            <w:tcW w:w="1920" w:type="dxa"/>
            <w:vAlign w:val="center"/>
          </w:tcPr>
          <w:p w14:paraId="6C7C2AD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052EF67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船舶悬挂彩灯，不按照规定备案</w:t>
            </w:r>
          </w:p>
        </w:tc>
      </w:tr>
      <w:tr w14:paraId="6D63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AD7D1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43</w:t>
            </w:r>
          </w:p>
        </w:tc>
        <w:tc>
          <w:tcPr>
            <w:tcW w:w="1920" w:type="dxa"/>
            <w:vAlign w:val="center"/>
          </w:tcPr>
          <w:p w14:paraId="00F1577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3399765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船舶放艇（筏）进行救生演习，不按照规定备案</w:t>
            </w:r>
          </w:p>
        </w:tc>
      </w:tr>
      <w:tr w14:paraId="25B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B565E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44</w:t>
            </w:r>
          </w:p>
        </w:tc>
        <w:tc>
          <w:tcPr>
            <w:tcW w:w="1920" w:type="dxa"/>
            <w:vAlign w:val="center"/>
          </w:tcPr>
          <w:p w14:paraId="4AF9479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CF83382">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船舶烧焊或者明火作业，不按照规定备案</w:t>
            </w:r>
          </w:p>
        </w:tc>
      </w:tr>
      <w:tr w14:paraId="2F65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75569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45</w:t>
            </w:r>
          </w:p>
        </w:tc>
        <w:tc>
          <w:tcPr>
            <w:tcW w:w="1920" w:type="dxa"/>
            <w:vAlign w:val="center"/>
          </w:tcPr>
          <w:p w14:paraId="658B031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21DA09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气象观测、测量、地质调查，不按照规定备案</w:t>
            </w:r>
          </w:p>
        </w:tc>
      </w:tr>
      <w:tr w14:paraId="375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CFC5A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46</w:t>
            </w:r>
          </w:p>
        </w:tc>
        <w:tc>
          <w:tcPr>
            <w:tcW w:w="1920" w:type="dxa"/>
            <w:vAlign w:val="center"/>
          </w:tcPr>
          <w:p w14:paraId="032717B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通航管理</w:t>
            </w:r>
          </w:p>
        </w:tc>
        <w:tc>
          <w:tcPr>
            <w:tcW w:w="16801" w:type="dxa"/>
            <w:vAlign w:val="center"/>
          </w:tcPr>
          <w:p w14:paraId="11E4C71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大面积清除水面垃圾，不按照规定备案</w:t>
            </w:r>
          </w:p>
        </w:tc>
      </w:tr>
      <w:tr w14:paraId="4007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C48B9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47</w:t>
            </w:r>
          </w:p>
        </w:tc>
        <w:tc>
          <w:tcPr>
            <w:tcW w:w="1920" w:type="dxa"/>
            <w:vAlign w:val="center"/>
          </w:tcPr>
          <w:p w14:paraId="67FDDE9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AD7859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船舶所配船员的数量低于船舶最低安全配员证书规定的定额要求</w:t>
            </w:r>
          </w:p>
        </w:tc>
      </w:tr>
      <w:tr w14:paraId="0F11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4154A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48</w:t>
            </w:r>
          </w:p>
        </w:tc>
        <w:tc>
          <w:tcPr>
            <w:tcW w:w="1920" w:type="dxa"/>
            <w:vAlign w:val="center"/>
          </w:tcPr>
          <w:p w14:paraId="015489C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52FBB5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船舶未持有有效的《船舶最低安全配员证书》</w:t>
            </w:r>
          </w:p>
        </w:tc>
      </w:tr>
      <w:tr w14:paraId="012C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91D8A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49</w:t>
            </w:r>
          </w:p>
        </w:tc>
        <w:tc>
          <w:tcPr>
            <w:tcW w:w="1920" w:type="dxa"/>
            <w:vAlign w:val="center"/>
          </w:tcPr>
          <w:p w14:paraId="471D0EB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83D831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超核定载重线载运货物</w:t>
            </w:r>
          </w:p>
        </w:tc>
      </w:tr>
      <w:tr w14:paraId="3019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13D02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50</w:t>
            </w:r>
          </w:p>
        </w:tc>
        <w:tc>
          <w:tcPr>
            <w:tcW w:w="1920" w:type="dxa"/>
            <w:vAlign w:val="center"/>
          </w:tcPr>
          <w:p w14:paraId="4B33314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100667C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超乘客定额载运旅客</w:t>
            </w:r>
          </w:p>
        </w:tc>
      </w:tr>
      <w:tr w14:paraId="0F6A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007C6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51</w:t>
            </w:r>
          </w:p>
        </w:tc>
        <w:tc>
          <w:tcPr>
            <w:tcW w:w="1920" w:type="dxa"/>
            <w:vAlign w:val="center"/>
          </w:tcPr>
          <w:p w14:paraId="4625610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17AA255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船舶进出内河港口，未按照规定向海事管理机构报告船舶进出港信息的</w:t>
            </w:r>
          </w:p>
        </w:tc>
      </w:tr>
      <w:tr w14:paraId="1553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2DE3E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52</w:t>
            </w:r>
          </w:p>
        </w:tc>
        <w:tc>
          <w:tcPr>
            <w:tcW w:w="1920" w:type="dxa"/>
            <w:vAlign w:val="center"/>
          </w:tcPr>
          <w:p w14:paraId="1AA1C8E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4F1AAB5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未按照《船舶现场监督报告》《船旗国监督检查报告》《港口国监督检查报告》的处理意见纠正缺陷或者采取措施的</w:t>
            </w:r>
          </w:p>
        </w:tc>
      </w:tr>
      <w:tr w14:paraId="196B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C5E4E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53</w:t>
            </w:r>
          </w:p>
        </w:tc>
        <w:tc>
          <w:tcPr>
            <w:tcW w:w="1920" w:type="dxa"/>
            <w:vAlign w:val="center"/>
          </w:tcPr>
          <w:p w14:paraId="4BCB548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0738B68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船舶停泊未按照规定留足值班人员</w:t>
            </w:r>
          </w:p>
        </w:tc>
      </w:tr>
      <w:tr w14:paraId="0964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C9220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54</w:t>
            </w:r>
          </w:p>
        </w:tc>
        <w:tc>
          <w:tcPr>
            <w:tcW w:w="1920" w:type="dxa"/>
            <w:vAlign w:val="center"/>
          </w:tcPr>
          <w:p w14:paraId="5B27375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3BAE342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使用过期的船舶国籍证书或者临时船舶国籍证书</w:t>
            </w:r>
          </w:p>
        </w:tc>
      </w:tr>
      <w:tr w14:paraId="53B8C2BF">
        <w:tblPrEx>
          <w:tblCellMar>
            <w:top w:w="0" w:type="dxa"/>
            <w:left w:w="108" w:type="dxa"/>
            <w:bottom w:w="0" w:type="dxa"/>
            <w:right w:w="108" w:type="dxa"/>
          </w:tblCellMar>
        </w:tblPrEx>
        <w:tc>
          <w:tcPr>
            <w:tcW w:w="817" w:type="dxa"/>
            <w:vAlign w:val="center"/>
          </w:tcPr>
          <w:p w14:paraId="76D78F1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55</w:t>
            </w:r>
          </w:p>
        </w:tc>
        <w:tc>
          <w:tcPr>
            <w:tcW w:w="1920" w:type="dxa"/>
            <w:vAlign w:val="center"/>
          </w:tcPr>
          <w:p w14:paraId="69A2C9C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586D52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未按照规定保障人员上、下船舶、设施安全</w:t>
            </w:r>
          </w:p>
        </w:tc>
      </w:tr>
      <w:tr w14:paraId="309A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8A57D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56</w:t>
            </w:r>
          </w:p>
        </w:tc>
        <w:tc>
          <w:tcPr>
            <w:tcW w:w="1920" w:type="dxa"/>
            <w:vAlign w:val="center"/>
          </w:tcPr>
          <w:p w14:paraId="1E891C2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C32FFE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船舶在纠正《中华人民共和国船舶安全监督规则》规定应当申请复查的缺陷后未申请复查</w:t>
            </w:r>
          </w:p>
        </w:tc>
      </w:tr>
      <w:tr w14:paraId="07A6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E599F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57</w:t>
            </w:r>
          </w:p>
        </w:tc>
        <w:tc>
          <w:tcPr>
            <w:tcW w:w="1920" w:type="dxa"/>
            <w:vAlign w:val="center"/>
          </w:tcPr>
          <w:p w14:paraId="7B8FCCC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38ED5AD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船舶违规使用低闪点燃油</w:t>
            </w:r>
          </w:p>
        </w:tc>
      </w:tr>
      <w:tr w14:paraId="62F2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8422F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58</w:t>
            </w:r>
          </w:p>
        </w:tc>
        <w:tc>
          <w:tcPr>
            <w:tcW w:w="1920" w:type="dxa"/>
            <w:vAlign w:val="center"/>
          </w:tcPr>
          <w:p w14:paraId="2014F11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190D90C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不按照规定载运易流态化货物或者不按照规定向海事管理机构备案</w:t>
            </w:r>
          </w:p>
        </w:tc>
      </w:tr>
      <w:tr w14:paraId="7B36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47E18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59</w:t>
            </w:r>
          </w:p>
        </w:tc>
        <w:tc>
          <w:tcPr>
            <w:tcW w:w="1920" w:type="dxa"/>
            <w:vAlign w:val="center"/>
          </w:tcPr>
          <w:p w14:paraId="01B7449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66A7119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集装箱船装载超过核定箱数</w:t>
            </w:r>
          </w:p>
        </w:tc>
      </w:tr>
      <w:tr w14:paraId="0D7A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4A33E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60</w:t>
            </w:r>
          </w:p>
        </w:tc>
        <w:tc>
          <w:tcPr>
            <w:tcW w:w="1920" w:type="dxa"/>
            <w:vAlign w:val="center"/>
          </w:tcPr>
          <w:p w14:paraId="4F7CC51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596C0F3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滚装船装载超出检验证书核定的车辆数量</w:t>
            </w:r>
          </w:p>
        </w:tc>
      </w:tr>
      <w:tr w14:paraId="5177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CD573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61</w:t>
            </w:r>
          </w:p>
        </w:tc>
        <w:tc>
          <w:tcPr>
            <w:tcW w:w="1920" w:type="dxa"/>
            <w:vAlign w:val="center"/>
          </w:tcPr>
          <w:p w14:paraId="3898E3D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15F4C72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未经核准乘客定额载客航行</w:t>
            </w:r>
          </w:p>
        </w:tc>
      </w:tr>
      <w:tr w14:paraId="24E5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290D7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62</w:t>
            </w:r>
          </w:p>
        </w:tc>
        <w:tc>
          <w:tcPr>
            <w:tcW w:w="1920" w:type="dxa"/>
            <w:vAlign w:val="center"/>
          </w:tcPr>
          <w:p w14:paraId="3929E36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702CDE8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未按照规定标明船名、船籍港、载重线或者遮挡船名、船籍港、载重线</w:t>
            </w:r>
          </w:p>
        </w:tc>
      </w:tr>
      <w:tr w14:paraId="7FB0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812C4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63</w:t>
            </w:r>
          </w:p>
        </w:tc>
        <w:tc>
          <w:tcPr>
            <w:tcW w:w="1920" w:type="dxa"/>
            <w:vAlign w:val="center"/>
          </w:tcPr>
          <w:p w14:paraId="32DE50F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04B578E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不遵守船舶、设施的配载和系固安全技术规范</w:t>
            </w:r>
          </w:p>
        </w:tc>
      </w:tr>
      <w:tr w14:paraId="722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FAF59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64</w:t>
            </w:r>
          </w:p>
        </w:tc>
        <w:tc>
          <w:tcPr>
            <w:tcW w:w="1920" w:type="dxa"/>
            <w:vAlign w:val="center"/>
          </w:tcPr>
          <w:p w14:paraId="4B2C597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613208C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遇有不符合安全开航条件的情况而冒险开航</w:t>
            </w:r>
          </w:p>
        </w:tc>
      </w:tr>
      <w:tr w14:paraId="25FD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08FC1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65</w:t>
            </w:r>
          </w:p>
        </w:tc>
        <w:tc>
          <w:tcPr>
            <w:tcW w:w="1920" w:type="dxa"/>
            <w:vAlign w:val="center"/>
          </w:tcPr>
          <w:p w14:paraId="0E8CEA4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4AD20CB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未按照规定配备救生设施</w:t>
            </w:r>
          </w:p>
        </w:tc>
      </w:tr>
      <w:tr w14:paraId="1744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A6C9A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66</w:t>
            </w:r>
          </w:p>
        </w:tc>
        <w:tc>
          <w:tcPr>
            <w:tcW w:w="1920" w:type="dxa"/>
            <w:vAlign w:val="center"/>
          </w:tcPr>
          <w:p w14:paraId="79D04CE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3A5EE05F">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船舶未按照规定开展自查或未随船保存船舶自查记录</w:t>
            </w:r>
          </w:p>
        </w:tc>
      </w:tr>
      <w:tr w14:paraId="4FB0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665A3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67</w:t>
            </w:r>
          </w:p>
        </w:tc>
        <w:tc>
          <w:tcPr>
            <w:tcW w:w="1920" w:type="dxa"/>
            <w:vAlign w:val="center"/>
          </w:tcPr>
          <w:p w14:paraId="5BEC28E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768CD00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未按要求对拟交付船舶国际运输的载货集装箱进行重量验证</w:t>
            </w:r>
          </w:p>
        </w:tc>
      </w:tr>
      <w:tr w14:paraId="7967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582B2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68</w:t>
            </w:r>
          </w:p>
        </w:tc>
        <w:tc>
          <w:tcPr>
            <w:tcW w:w="1920" w:type="dxa"/>
            <w:vAlign w:val="center"/>
          </w:tcPr>
          <w:p w14:paraId="3045AD4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船舶管理</w:t>
            </w:r>
          </w:p>
        </w:tc>
        <w:tc>
          <w:tcPr>
            <w:tcW w:w="16801" w:type="dxa"/>
            <w:vAlign w:val="center"/>
          </w:tcPr>
          <w:p w14:paraId="0AF89FA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载运未取得验证信息或者验证重量超过最大营运总质量的集装箱</w:t>
            </w:r>
          </w:p>
        </w:tc>
      </w:tr>
      <w:tr w14:paraId="504E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1D6D4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69</w:t>
            </w:r>
          </w:p>
        </w:tc>
        <w:tc>
          <w:tcPr>
            <w:tcW w:w="1920" w:type="dxa"/>
            <w:vAlign w:val="center"/>
          </w:tcPr>
          <w:p w14:paraId="4CDC3F4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1BC9E14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未持有船员适任证书或者其他适任证件</w:t>
            </w:r>
          </w:p>
        </w:tc>
      </w:tr>
      <w:tr w14:paraId="5271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CD611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70</w:t>
            </w:r>
          </w:p>
        </w:tc>
        <w:tc>
          <w:tcPr>
            <w:tcW w:w="1920" w:type="dxa"/>
            <w:vAlign w:val="center"/>
          </w:tcPr>
          <w:p w14:paraId="56060DA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596CF6E4">
            <w:pPr>
              <w:tabs>
                <w:tab w:val="left" w:pos="3461"/>
              </w:tabs>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船员在船工作期间未携带规定的有效证件</w:t>
            </w:r>
          </w:p>
        </w:tc>
      </w:tr>
      <w:tr w14:paraId="6E01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D9FD1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71</w:t>
            </w:r>
          </w:p>
        </w:tc>
        <w:tc>
          <w:tcPr>
            <w:tcW w:w="1920" w:type="dxa"/>
            <w:vAlign w:val="center"/>
          </w:tcPr>
          <w:p w14:paraId="24BFCC4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3E982FC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未如实填写或者记载有关船舶法定文书</w:t>
            </w:r>
          </w:p>
        </w:tc>
      </w:tr>
      <w:tr w14:paraId="5704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1C1E5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72</w:t>
            </w:r>
          </w:p>
        </w:tc>
        <w:tc>
          <w:tcPr>
            <w:tcW w:w="1920" w:type="dxa"/>
            <w:vAlign w:val="center"/>
          </w:tcPr>
          <w:p w14:paraId="5744F63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4CCD030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船长未保证船舶和船员携带符合法定要求的证书、文书以及有关航行资料的</w:t>
            </w:r>
          </w:p>
        </w:tc>
      </w:tr>
      <w:tr w14:paraId="3F1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4CD6D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73</w:t>
            </w:r>
          </w:p>
        </w:tc>
        <w:tc>
          <w:tcPr>
            <w:tcW w:w="1920" w:type="dxa"/>
            <w:vAlign w:val="center"/>
          </w:tcPr>
          <w:p w14:paraId="6E3BCF93">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5F5A7D8C">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船员未遵守值班规定擅自离开工作岗位</w:t>
            </w:r>
          </w:p>
        </w:tc>
      </w:tr>
      <w:tr w14:paraId="64CF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2B9B9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74</w:t>
            </w:r>
          </w:p>
        </w:tc>
        <w:tc>
          <w:tcPr>
            <w:tcW w:w="1920" w:type="dxa"/>
            <w:vAlign w:val="center"/>
          </w:tcPr>
          <w:p w14:paraId="42D6947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4E215F2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招用未依照《中华人民共和国船员条例》规定取得相应有效证件的人员上船工作</w:t>
            </w:r>
          </w:p>
        </w:tc>
      </w:tr>
      <w:tr w14:paraId="00EC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79396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75</w:t>
            </w:r>
          </w:p>
        </w:tc>
        <w:tc>
          <w:tcPr>
            <w:tcW w:w="1920" w:type="dxa"/>
            <w:vAlign w:val="center"/>
          </w:tcPr>
          <w:p w14:paraId="39E0D6E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2ED9844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船员服务簿记载的事项发生变更，船员未办理变更手续</w:t>
            </w:r>
          </w:p>
        </w:tc>
      </w:tr>
      <w:tr w14:paraId="20F0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C382E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76</w:t>
            </w:r>
          </w:p>
        </w:tc>
        <w:tc>
          <w:tcPr>
            <w:tcW w:w="1920" w:type="dxa"/>
            <w:vAlign w:val="center"/>
          </w:tcPr>
          <w:p w14:paraId="2871085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1FA99CB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伪造、变造或者买卖船员服务簿、船员适任证书、船员培训合格证书、中华人民共和国海员证</w:t>
            </w:r>
          </w:p>
        </w:tc>
      </w:tr>
      <w:tr w14:paraId="2E4D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09727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77</w:t>
            </w:r>
          </w:p>
        </w:tc>
        <w:tc>
          <w:tcPr>
            <w:tcW w:w="1920" w:type="dxa"/>
            <w:vAlign w:val="center"/>
          </w:tcPr>
          <w:p w14:paraId="4BD0F38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0009487B">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船员发现或者发生险情、事故、保安事件或者影响航行安全的情况，未及时报告</w:t>
            </w:r>
          </w:p>
        </w:tc>
      </w:tr>
      <w:tr w14:paraId="15F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E79D8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78</w:t>
            </w:r>
          </w:p>
        </w:tc>
        <w:tc>
          <w:tcPr>
            <w:tcW w:w="1920" w:type="dxa"/>
            <w:vAlign w:val="center"/>
          </w:tcPr>
          <w:p w14:paraId="185122B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5478D1A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所服务的船舶的航区、种类和等级或者所任职务超越所持船员职务证书限定的范围</w:t>
            </w:r>
          </w:p>
        </w:tc>
      </w:tr>
      <w:tr w14:paraId="3E18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671BD6">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79</w:t>
            </w:r>
          </w:p>
        </w:tc>
        <w:tc>
          <w:tcPr>
            <w:tcW w:w="1920" w:type="dxa"/>
            <w:vAlign w:val="center"/>
          </w:tcPr>
          <w:p w14:paraId="0FED9FE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6FDB260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以欺骗、贿赂等不正当手段取得船员服务簿、船员适任证书、船员培训合格证书、中华人民共和国海员证</w:t>
            </w:r>
          </w:p>
        </w:tc>
      </w:tr>
      <w:tr w14:paraId="6E71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BA0A2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80</w:t>
            </w:r>
          </w:p>
        </w:tc>
        <w:tc>
          <w:tcPr>
            <w:tcW w:w="1920" w:type="dxa"/>
            <w:vAlign w:val="center"/>
          </w:tcPr>
          <w:p w14:paraId="720C30E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55F9748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船员隐匿、篡改或者销毁有关船舶法定证书、文书</w:t>
            </w:r>
          </w:p>
        </w:tc>
      </w:tr>
      <w:tr w14:paraId="38F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24BDF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81</w:t>
            </w:r>
          </w:p>
        </w:tc>
        <w:tc>
          <w:tcPr>
            <w:tcW w:w="1920" w:type="dxa"/>
            <w:vAlign w:val="center"/>
          </w:tcPr>
          <w:p w14:paraId="41C7D6B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67844F59">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船长未按照水上交通安全和防治船舶污染操作规则操纵、控制和管理船舶</w:t>
            </w:r>
          </w:p>
        </w:tc>
      </w:tr>
      <w:tr w14:paraId="30EA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A7B29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82</w:t>
            </w:r>
          </w:p>
        </w:tc>
        <w:tc>
          <w:tcPr>
            <w:tcW w:w="1920" w:type="dxa"/>
            <w:vAlign w:val="center"/>
          </w:tcPr>
          <w:p w14:paraId="6D9C7A6E">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0D7FC36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船长未保证船舶和船员在开航时处于适航、适任状态，或者未按照规定保障船舶的最低安全配员，或者未保证船舶的正常值班</w:t>
            </w:r>
          </w:p>
        </w:tc>
      </w:tr>
      <w:tr w14:paraId="2E18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7121D1">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83</w:t>
            </w:r>
          </w:p>
        </w:tc>
        <w:tc>
          <w:tcPr>
            <w:tcW w:w="1920" w:type="dxa"/>
            <w:vAlign w:val="center"/>
          </w:tcPr>
          <w:p w14:paraId="3544B5B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08AAE94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在船在岗期间饮酒，体内酒精含量超过规定标准</w:t>
            </w:r>
          </w:p>
        </w:tc>
      </w:tr>
      <w:tr w14:paraId="74AA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F6DED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84</w:t>
            </w:r>
          </w:p>
        </w:tc>
        <w:tc>
          <w:tcPr>
            <w:tcW w:w="1920" w:type="dxa"/>
            <w:vAlign w:val="center"/>
          </w:tcPr>
          <w:p w14:paraId="1F1378C7">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2CB4E56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在船在岗期间，服用国家管制的麻醉药品或者精神药品</w:t>
            </w:r>
          </w:p>
        </w:tc>
      </w:tr>
      <w:tr w14:paraId="61A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D3C5D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85</w:t>
            </w:r>
          </w:p>
        </w:tc>
        <w:tc>
          <w:tcPr>
            <w:tcW w:w="1920" w:type="dxa"/>
            <w:vAlign w:val="center"/>
          </w:tcPr>
          <w:p w14:paraId="5009E0C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船员管理</w:t>
            </w:r>
          </w:p>
        </w:tc>
        <w:tc>
          <w:tcPr>
            <w:tcW w:w="16801" w:type="dxa"/>
            <w:vAlign w:val="center"/>
          </w:tcPr>
          <w:p w14:paraId="419B4EB0">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船长未在船员服务簿内如实记载船员的履职情况的</w:t>
            </w:r>
          </w:p>
        </w:tc>
      </w:tr>
      <w:tr w14:paraId="0A47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6E2C6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86</w:t>
            </w:r>
          </w:p>
        </w:tc>
        <w:tc>
          <w:tcPr>
            <w:tcW w:w="1920" w:type="dxa"/>
            <w:vAlign w:val="center"/>
          </w:tcPr>
          <w:p w14:paraId="01FE7B1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6381BCFA">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运输危险化学品的船舶及其配载的容器未经检验合格而投入使用的</w:t>
            </w:r>
          </w:p>
        </w:tc>
      </w:tr>
      <w:tr w14:paraId="6C9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88677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87</w:t>
            </w:r>
          </w:p>
        </w:tc>
        <w:tc>
          <w:tcPr>
            <w:tcW w:w="1920" w:type="dxa"/>
            <w:vAlign w:val="center"/>
          </w:tcPr>
          <w:p w14:paraId="16554D7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16FC58A3">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船舶配载和运输危险货物不符合国家有关法律、法规、规章的规定和国家标准，或者未按照危险化学品的特性采取必要安全防护措施的</w:t>
            </w:r>
          </w:p>
        </w:tc>
      </w:tr>
      <w:tr w14:paraId="08A0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06CFF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88</w:t>
            </w:r>
          </w:p>
        </w:tc>
        <w:tc>
          <w:tcPr>
            <w:tcW w:w="1920" w:type="dxa"/>
            <w:vAlign w:val="center"/>
          </w:tcPr>
          <w:p w14:paraId="580B57A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63F1EF0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托运人不向承运人说明所托运的危险化学品的种类、数量、危险特性以及发生危险情况的应急处置措施或者未按照国家有关规定对所托运的危险化学品妥善包装并且在外包装上设置相应标志。运输危险化学品需要添加抑制剂或者稳定剂，托运人未添加，或未将有关情况告知承运人</w:t>
            </w:r>
          </w:p>
        </w:tc>
      </w:tr>
      <w:tr w14:paraId="1D41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C9E2C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89</w:t>
            </w:r>
          </w:p>
        </w:tc>
        <w:tc>
          <w:tcPr>
            <w:tcW w:w="1920" w:type="dxa"/>
            <w:vAlign w:val="center"/>
          </w:tcPr>
          <w:p w14:paraId="1F31516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54B7885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在托运的普通货物中夹带危险化学品，或者将危险化学品谎报或者匿报为普通货物托运</w:t>
            </w:r>
          </w:p>
        </w:tc>
      </w:tr>
      <w:tr w14:paraId="3885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75730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90</w:t>
            </w:r>
          </w:p>
        </w:tc>
        <w:tc>
          <w:tcPr>
            <w:tcW w:w="1920" w:type="dxa"/>
            <w:vAlign w:val="center"/>
          </w:tcPr>
          <w:p w14:paraId="0B71043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5C3C49E6">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船舶在港口外装卸、过驳危险货物未经海事管理机构同意的</w:t>
            </w:r>
          </w:p>
        </w:tc>
      </w:tr>
      <w:tr w14:paraId="1D99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2B46E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91</w:t>
            </w:r>
          </w:p>
        </w:tc>
        <w:tc>
          <w:tcPr>
            <w:tcW w:w="1920" w:type="dxa"/>
            <w:vAlign w:val="center"/>
          </w:tcPr>
          <w:p w14:paraId="4A40548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47B964A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船舶未持有合法有效的防止水域环境污染的证书与文书</w:t>
            </w:r>
          </w:p>
        </w:tc>
      </w:tr>
      <w:tr w14:paraId="028C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D5E9A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92</w:t>
            </w:r>
          </w:p>
        </w:tc>
        <w:tc>
          <w:tcPr>
            <w:tcW w:w="1920" w:type="dxa"/>
            <w:vAlign w:val="center"/>
          </w:tcPr>
          <w:p w14:paraId="4ED842B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069360C8">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船舶进行涉及污染物排放的作业，未在相应的记录簿上如实记载的</w:t>
            </w:r>
          </w:p>
        </w:tc>
      </w:tr>
      <w:tr w14:paraId="3A53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EF1E2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93</w:t>
            </w:r>
          </w:p>
        </w:tc>
        <w:tc>
          <w:tcPr>
            <w:tcW w:w="1920" w:type="dxa"/>
            <w:vAlign w:val="center"/>
          </w:tcPr>
          <w:p w14:paraId="6E2C1A0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02AF9E4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船舶未配置相应的防污染设备和器材</w:t>
            </w:r>
          </w:p>
        </w:tc>
      </w:tr>
      <w:tr w14:paraId="5B2F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6ABE1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94</w:t>
            </w:r>
          </w:p>
        </w:tc>
        <w:tc>
          <w:tcPr>
            <w:tcW w:w="1920" w:type="dxa"/>
            <w:vAlign w:val="center"/>
          </w:tcPr>
          <w:p w14:paraId="308BD03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5D6A8CA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未经作业地海事管理机构批准，船舶进行散装液体污染危害性货物的过驳作业</w:t>
            </w:r>
          </w:p>
        </w:tc>
      </w:tr>
      <w:tr w14:paraId="682A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30FA00">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95</w:t>
            </w:r>
          </w:p>
        </w:tc>
        <w:tc>
          <w:tcPr>
            <w:tcW w:w="1920" w:type="dxa"/>
            <w:vAlign w:val="center"/>
          </w:tcPr>
          <w:p w14:paraId="0F8052A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3623503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船舶载运危险货物进出港，未经海事管理机构同意的</w:t>
            </w:r>
          </w:p>
        </w:tc>
      </w:tr>
      <w:tr w14:paraId="36D3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61C5C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96</w:t>
            </w:r>
          </w:p>
        </w:tc>
        <w:tc>
          <w:tcPr>
            <w:tcW w:w="1920" w:type="dxa"/>
            <w:vAlign w:val="center"/>
          </w:tcPr>
          <w:p w14:paraId="1B53F89F">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2E1DF641">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船舶向水体倾倒或者排放船舶的残油、废油</w:t>
            </w:r>
          </w:p>
        </w:tc>
      </w:tr>
      <w:tr w14:paraId="79D0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6DF10B">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97</w:t>
            </w:r>
          </w:p>
        </w:tc>
        <w:tc>
          <w:tcPr>
            <w:tcW w:w="1920" w:type="dxa"/>
            <w:vAlign w:val="center"/>
          </w:tcPr>
          <w:p w14:paraId="27D4907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08533A1E">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船舶向水体倾倒船舶垃圾</w:t>
            </w:r>
          </w:p>
        </w:tc>
      </w:tr>
      <w:tr w14:paraId="5838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F883B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98</w:t>
            </w:r>
          </w:p>
        </w:tc>
        <w:tc>
          <w:tcPr>
            <w:tcW w:w="1920" w:type="dxa"/>
            <w:vAlign w:val="center"/>
          </w:tcPr>
          <w:p w14:paraId="0328689A">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67674DB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船舶进行涉及污染物排放的作业，未遵守操作规程</w:t>
            </w:r>
          </w:p>
        </w:tc>
      </w:tr>
      <w:tr w14:paraId="394D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77E988">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99</w:t>
            </w:r>
          </w:p>
        </w:tc>
        <w:tc>
          <w:tcPr>
            <w:tcW w:w="1920" w:type="dxa"/>
            <w:vAlign w:val="center"/>
          </w:tcPr>
          <w:p w14:paraId="4CDB092D">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29C874C4">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船舶在港从事水上船舶清舱、洗舱、污染物接收、燃料供受、修造、打捞、污染清除作业活动，未按规定向海事管理机构报告</w:t>
            </w:r>
          </w:p>
        </w:tc>
      </w:tr>
      <w:tr w14:paraId="5AB9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03111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100</w:t>
            </w:r>
          </w:p>
        </w:tc>
        <w:tc>
          <w:tcPr>
            <w:tcW w:w="1920" w:type="dxa"/>
            <w:vAlign w:val="center"/>
          </w:tcPr>
          <w:p w14:paraId="7D2E5914">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4509B157">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船舶使用不符合标准或者要求的船舶用燃油</w:t>
            </w:r>
          </w:p>
        </w:tc>
      </w:tr>
      <w:tr w14:paraId="70A9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2F15F5">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101</w:t>
            </w:r>
          </w:p>
        </w:tc>
        <w:tc>
          <w:tcPr>
            <w:tcW w:w="1920" w:type="dxa"/>
            <w:vAlign w:val="center"/>
          </w:tcPr>
          <w:p w14:paraId="7AD6CA79">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72B8B365">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船舶未按规定如实记录油类作业情况</w:t>
            </w:r>
          </w:p>
        </w:tc>
      </w:tr>
      <w:tr w14:paraId="1D72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AA423C">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102</w:t>
            </w:r>
          </w:p>
        </w:tc>
        <w:tc>
          <w:tcPr>
            <w:tcW w:w="1920" w:type="dxa"/>
            <w:vAlign w:val="center"/>
          </w:tcPr>
          <w:p w14:paraId="0A0041E2">
            <w:pPr>
              <w:adjustRightInd w:val="0"/>
              <w:snapToGrid w:val="0"/>
              <w:spacing w:line="360" w:lineRule="exact"/>
              <w:jc w:val="center"/>
              <w:rPr>
                <w:rFonts w:ascii="仿宋" w:hAnsi="仿宋" w:eastAsia="仿宋"/>
                <w:spacing w:val="-6"/>
                <w:sz w:val="28"/>
                <w:szCs w:val="28"/>
              </w:rPr>
            </w:pPr>
            <w:r>
              <w:rPr>
                <w:rFonts w:hint="eastAsia" w:ascii="仿宋" w:hAnsi="仿宋" w:eastAsia="仿宋"/>
                <w:spacing w:val="-6"/>
                <w:sz w:val="28"/>
                <w:szCs w:val="28"/>
              </w:rPr>
              <w:t>危防管理</w:t>
            </w:r>
          </w:p>
        </w:tc>
        <w:tc>
          <w:tcPr>
            <w:tcW w:w="16801" w:type="dxa"/>
            <w:vAlign w:val="center"/>
          </w:tcPr>
          <w:p w14:paraId="07CDD86D">
            <w:pPr>
              <w:adjustRightInd w:val="0"/>
              <w:snapToGrid w:val="0"/>
              <w:spacing w:line="360" w:lineRule="exact"/>
              <w:jc w:val="left"/>
              <w:rPr>
                <w:rFonts w:ascii="仿宋" w:hAnsi="仿宋" w:eastAsia="仿宋"/>
                <w:spacing w:val="-6"/>
                <w:sz w:val="28"/>
                <w:szCs w:val="28"/>
              </w:rPr>
            </w:pPr>
            <w:r>
              <w:rPr>
                <w:rFonts w:hint="eastAsia" w:ascii="仿宋" w:hAnsi="仿宋" w:eastAsia="仿宋"/>
                <w:spacing w:val="-6"/>
                <w:sz w:val="28"/>
                <w:szCs w:val="28"/>
              </w:rPr>
              <w:t>船舶未按规定如实记录垃圾收集处理情况</w:t>
            </w:r>
          </w:p>
        </w:tc>
      </w:tr>
    </w:tbl>
    <w:p w14:paraId="27C8C49A">
      <w:pPr>
        <w:spacing w:line="580" w:lineRule="exact"/>
        <w:jc w:val="left"/>
        <w:rPr>
          <w:rFonts w:ascii="宋体"/>
          <w:szCs w:val="32"/>
        </w:rPr>
      </w:pPr>
      <w:r>
        <w:rPr>
          <w:rFonts w:hint="eastAsia" w:hAnsi="仿宋_GB2312" w:eastAsia="仿宋_GB2312"/>
          <w:sz w:val="32"/>
          <w:szCs w:val="36"/>
        </w:rPr>
        <w:t xml:space="preserve">  </w:t>
      </w:r>
      <w:r>
        <w:rPr>
          <w:rFonts w:hint="eastAsia" w:ascii="黑体" w:hAnsi="黑体" w:eastAsia="黑体"/>
          <w:sz w:val="44"/>
          <w:szCs w:val="36"/>
        </w:rPr>
        <w:t xml:space="preserve">  </w:t>
      </w:r>
      <w:r>
        <w:rPr>
          <w:rFonts w:hint="eastAsia" w:ascii="宋体"/>
          <w:szCs w:val="32"/>
        </w:rPr>
        <w:br w:type="page"/>
      </w:r>
    </w:p>
    <w:p w14:paraId="12FA68B4">
      <w:pPr>
        <w:adjustRightInd w:val="0"/>
        <w:snapToGrid w:val="0"/>
        <w:jc w:val="center"/>
        <w:rPr>
          <w:rFonts w:ascii="宋体"/>
          <w:b/>
          <w:bCs/>
          <w:sz w:val="44"/>
          <w:szCs w:val="44"/>
        </w:rPr>
      </w:pPr>
      <w:r>
        <w:rPr>
          <w:rFonts w:hint="eastAsia" w:ascii="宋体"/>
          <w:b/>
          <w:bCs/>
          <w:sz w:val="44"/>
          <w:szCs w:val="44"/>
        </w:rPr>
        <w:t>（二）内河海事行政处罚裁量基准使用说明</w:t>
      </w:r>
    </w:p>
    <w:p w14:paraId="21B12536">
      <w:pPr>
        <w:adjustRightInd w:val="0"/>
        <w:snapToGrid w:val="0"/>
        <w:ind w:firstLine="640" w:firstLineChars="200"/>
        <w:jc w:val="left"/>
        <w:rPr>
          <w:rFonts w:hAnsi="仿宋_GB2312" w:eastAsia="仿宋_GB2312" w:cs="仿宋_GB2312"/>
          <w:sz w:val="32"/>
          <w:szCs w:val="32"/>
        </w:rPr>
      </w:pPr>
    </w:p>
    <w:p w14:paraId="31E0F9F7">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一、基准表中“案由”直接援引法条或根据法条进行表述。</w:t>
      </w:r>
    </w:p>
    <w:p w14:paraId="6896F229">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二、基准表中“法定幅度和种类”引用的法律、法规和规章中，“以上”和“以下”的含义为其在对应的法律法规和规章中的含义。</w:t>
      </w:r>
    </w:p>
    <w:p w14:paraId="7FA3E646">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三、基准表中所列仅为海事管理常见违法行为及处罚依据，并未包括所有违法行为和处罚依据。涉及到基准表以外的违法行为，仍然需要依法进行处罚。</w:t>
      </w:r>
    </w:p>
    <w:p w14:paraId="62250E08">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四、基准表中“小事故”指的是《水上交通事故统计办法》第二十九条规定“一般事故等级中没有造成人员伤亡且直接经济损失小于100万的小事故（停航7日以上的搁浅事故除外）”。</w:t>
      </w:r>
    </w:p>
    <w:p w14:paraId="3C3673CB">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五、基准表中“较重情节”和“严重情节”如没有直接规定，裁量原则按照《海事行政处罚实施细则》相关条款执行。</w:t>
      </w:r>
    </w:p>
    <w:p w14:paraId="5EEC3339">
      <w:pPr>
        <w:adjustRightInd w:val="0"/>
        <w:snapToGrid w:val="0"/>
        <w:ind w:firstLine="640" w:firstLineChars="200"/>
        <w:jc w:val="left"/>
        <w:rPr>
          <w:rFonts w:hAnsi="仿宋_GB2312" w:eastAsia="仿宋_GB2312" w:cs="仿宋_GB2312"/>
          <w:sz w:val="32"/>
          <w:szCs w:val="32"/>
        </w:rPr>
      </w:pPr>
      <w:r>
        <w:rPr>
          <w:rFonts w:hint="eastAsia" w:hAnsi="仿宋_GB2312" w:eastAsia="仿宋_GB2312" w:cs="仿宋_GB2312"/>
          <w:sz w:val="32"/>
          <w:szCs w:val="32"/>
        </w:rPr>
        <w:t>六、基准表中“内河船舶300GT∕150KW以下；沿海船舶500GT∕750KW以下；内河船舶300GT及以上1000GT以下∕150KW及以上500KW以下；沿海船舶500GT及以上3000GT以下∕750KW及以上3000KW以下；内河船舶1000GT∕500KW及以上；沿海船舶3000GT∕3000KW及以上”等的表述中，总吨和主机功率是“或”的关系，实际适用时，二者取其高者。</w:t>
      </w:r>
    </w:p>
    <w:p w14:paraId="571AF59D">
      <w:pPr>
        <w:adjustRightInd w:val="0"/>
        <w:snapToGrid w:val="0"/>
        <w:ind w:firstLine="640" w:firstLineChars="200"/>
        <w:jc w:val="left"/>
        <w:rPr>
          <w:rFonts w:ascii="方正小标宋简体" w:hAnsi="方正小标宋简体" w:eastAsia="方正小标宋简体" w:cs="方正小标宋简体"/>
          <w:sz w:val="44"/>
          <w:szCs w:val="44"/>
        </w:rPr>
      </w:pPr>
      <w:r>
        <w:rPr>
          <w:rFonts w:hint="eastAsia" w:hAnsi="仿宋_GB2312" w:eastAsia="仿宋_GB2312" w:cs="仿宋_GB2312"/>
          <w:sz w:val="32"/>
          <w:szCs w:val="32"/>
        </w:rPr>
        <w:t>七、对同一违法行为，地方自由裁量基准设定了更严格处罚标准的，优先适用地方自由裁量基准。</w:t>
      </w:r>
      <w:r>
        <w:rPr>
          <w:rFonts w:hint="eastAsia" w:ascii="方正小标宋简体" w:hAnsi="方正小标宋简体" w:eastAsia="方正小标宋简体" w:cs="方正小标宋简体"/>
          <w:sz w:val="44"/>
          <w:szCs w:val="44"/>
        </w:rPr>
        <w:br w:type="page"/>
      </w:r>
    </w:p>
    <w:p w14:paraId="3E803233">
      <w:pPr>
        <w:jc w:val="center"/>
        <w:rPr>
          <w:rFonts w:ascii="宋体"/>
          <w:b/>
          <w:bCs/>
          <w:sz w:val="44"/>
          <w:szCs w:val="44"/>
        </w:rPr>
      </w:pPr>
      <w:r>
        <w:rPr>
          <w:rFonts w:hint="eastAsia" w:ascii="宋体"/>
          <w:b/>
          <w:bCs/>
          <w:sz w:val="44"/>
          <w:szCs w:val="44"/>
        </w:rPr>
        <w:t>（三）常见内河海事违法行为行政处罚裁量基准</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48"/>
        <w:gridCol w:w="900"/>
        <w:gridCol w:w="29"/>
        <w:gridCol w:w="1385"/>
        <w:gridCol w:w="12"/>
        <w:gridCol w:w="1358"/>
        <w:gridCol w:w="673"/>
        <w:gridCol w:w="140"/>
        <w:gridCol w:w="785"/>
        <w:gridCol w:w="2407"/>
        <w:gridCol w:w="1270"/>
        <w:gridCol w:w="1658"/>
        <w:gridCol w:w="752"/>
        <w:gridCol w:w="2259"/>
        <w:gridCol w:w="151"/>
        <w:gridCol w:w="2410"/>
        <w:gridCol w:w="63"/>
        <w:gridCol w:w="3480"/>
        <w:gridCol w:w="352"/>
      </w:tblGrid>
      <w:tr w14:paraId="0CF61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88" w:type="dxa"/>
            <w:gridSpan w:val="2"/>
            <w:vMerge w:val="restart"/>
            <w:vAlign w:val="center"/>
          </w:tcPr>
          <w:p w14:paraId="5EEBECA5">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00" w:type="dxa"/>
            <w:vMerge w:val="restart"/>
            <w:vAlign w:val="center"/>
          </w:tcPr>
          <w:p w14:paraId="1C49EEE4">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2784" w:type="dxa"/>
            <w:gridSpan w:val="4"/>
            <w:vMerge w:val="restart"/>
            <w:vAlign w:val="center"/>
          </w:tcPr>
          <w:p w14:paraId="3804EF78">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13" w:type="dxa"/>
            <w:gridSpan w:val="2"/>
            <w:vMerge w:val="restart"/>
            <w:vAlign w:val="center"/>
          </w:tcPr>
          <w:p w14:paraId="161E8992">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462" w:type="dxa"/>
            <w:gridSpan w:val="3"/>
            <w:vMerge w:val="restart"/>
            <w:vAlign w:val="center"/>
          </w:tcPr>
          <w:p w14:paraId="526BD182">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D7B4E99">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125" w:type="dxa"/>
            <w:gridSpan w:val="8"/>
            <w:vAlign w:val="center"/>
          </w:tcPr>
          <w:p w14:paraId="7720B6D0">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4DC84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trPr>
        <w:tc>
          <w:tcPr>
            <w:tcW w:w="788" w:type="dxa"/>
            <w:gridSpan w:val="2"/>
            <w:vMerge w:val="continue"/>
            <w:vAlign w:val="center"/>
          </w:tcPr>
          <w:p w14:paraId="7D54FB57">
            <w:pPr>
              <w:spacing w:before="156" w:beforeLines="50" w:after="156" w:afterLines="50"/>
              <w:jc w:val="left"/>
              <w:rPr>
                <w:rFonts w:ascii="宋体"/>
                <w:b/>
                <w:kern w:val="0"/>
                <w:sz w:val="18"/>
                <w:szCs w:val="18"/>
              </w:rPr>
            </w:pPr>
          </w:p>
        </w:tc>
        <w:tc>
          <w:tcPr>
            <w:tcW w:w="900" w:type="dxa"/>
            <w:vMerge w:val="continue"/>
            <w:vAlign w:val="center"/>
          </w:tcPr>
          <w:p w14:paraId="1A9C5CCC">
            <w:pPr>
              <w:spacing w:before="156" w:beforeLines="50" w:after="156" w:afterLines="50"/>
              <w:jc w:val="left"/>
              <w:rPr>
                <w:rFonts w:ascii="宋体"/>
                <w:b/>
                <w:kern w:val="0"/>
                <w:sz w:val="18"/>
                <w:szCs w:val="18"/>
              </w:rPr>
            </w:pPr>
          </w:p>
        </w:tc>
        <w:tc>
          <w:tcPr>
            <w:tcW w:w="2784" w:type="dxa"/>
            <w:gridSpan w:val="4"/>
            <w:vMerge w:val="continue"/>
            <w:vAlign w:val="center"/>
          </w:tcPr>
          <w:p w14:paraId="2C3DC6E9">
            <w:pPr>
              <w:spacing w:before="156" w:beforeLines="50" w:after="156" w:afterLines="50"/>
              <w:jc w:val="left"/>
              <w:rPr>
                <w:rFonts w:ascii="宋体"/>
                <w:b/>
                <w:kern w:val="0"/>
                <w:sz w:val="18"/>
                <w:szCs w:val="18"/>
              </w:rPr>
            </w:pPr>
          </w:p>
        </w:tc>
        <w:tc>
          <w:tcPr>
            <w:tcW w:w="813" w:type="dxa"/>
            <w:gridSpan w:val="2"/>
            <w:vMerge w:val="continue"/>
            <w:vAlign w:val="center"/>
          </w:tcPr>
          <w:p w14:paraId="60E95818">
            <w:pPr>
              <w:spacing w:before="156" w:beforeLines="50" w:after="156" w:afterLines="50"/>
              <w:jc w:val="left"/>
              <w:rPr>
                <w:rFonts w:ascii="宋体"/>
                <w:b/>
                <w:kern w:val="0"/>
                <w:sz w:val="18"/>
                <w:szCs w:val="18"/>
              </w:rPr>
            </w:pPr>
          </w:p>
        </w:tc>
        <w:tc>
          <w:tcPr>
            <w:tcW w:w="4462" w:type="dxa"/>
            <w:gridSpan w:val="3"/>
            <w:vMerge w:val="continue"/>
            <w:vAlign w:val="center"/>
          </w:tcPr>
          <w:p w14:paraId="07EF95C2">
            <w:pPr>
              <w:spacing w:before="156" w:beforeLines="50" w:after="156" w:afterLines="50"/>
              <w:jc w:val="left"/>
              <w:rPr>
                <w:rFonts w:ascii="宋体"/>
                <w:b/>
                <w:kern w:val="0"/>
                <w:sz w:val="18"/>
                <w:szCs w:val="18"/>
              </w:rPr>
            </w:pPr>
          </w:p>
        </w:tc>
        <w:tc>
          <w:tcPr>
            <w:tcW w:w="11125" w:type="dxa"/>
            <w:gridSpan w:val="8"/>
            <w:vAlign w:val="center"/>
          </w:tcPr>
          <w:p w14:paraId="297217C4">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CF96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trPr>
        <w:tc>
          <w:tcPr>
            <w:tcW w:w="788" w:type="dxa"/>
            <w:gridSpan w:val="2"/>
            <w:vMerge w:val="continue"/>
            <w:vAlign w:val="center"/>
          </w:tcPr>
          <w:p w14:paraId="03C91701">
            <w:pPr>
              <w:spacing w:before="156" w:beforeLines="50" w:after="156" w:afterLines="50"/>
              <w:jc w:val="left"/>
              <w:rPr>
                <w:rFonts w:ascii="宋体"/>
                <w:b/>
                <w:kern w:val="0"/>
                <w:sz w:val="18"/>
                <w:szCs w:val="18"/>
              </w:rPr>
            </w:pPr>
          </w:p>
        </w:tc>
        <w:tc>
          <w:tcPr>
            <w:tcW w:w="900" w:type="dxa"/>
            <w:vMerge w:val="continue"/>
            <w:vAlign w:val="center"/>
          </w:tcPr>
          <w:p w14:paraId="5ABFECA3">
            <w:pPr>
              <w:spacing w:before="156" w:beforeLines="50" w:after="156" w:afterLines="50"/>
              <w:jc w:val="left"/>
              <w:rPr>
                <w:rFonts w:ascii="宋体"/>
                <w:b/>
                <w:kern w:val="0"/>
                <w:sz w:val="18"/>
                <w:szCs w:val="18"/>
              </w:rPr>
            </w:pPr>
          </w:p>
        </w:tc>
        <w:tc>
          <w:tcPr>
            <w:tcW w:w="1414" w:type="dxa"/>
            <w:gridSpan w:val="2"/>
            <w:vMerge w:val="restart"/>
            <w:vAlign w:val="center"/>
          </w:tcPr>
          <w:p w14:paraId="349F2A3C">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370" w:type="dxa"/>
            <w:gridSpan w:val="2"/>
            <w:vMerge w:val="restart"/>
            <w:vAlign w:val="center"/>
          </w:tcPr>
          <w:p w14:paraId="165ED523">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13" w:type="dxa"/>
            <w:gridSpan w:val="2"/>
            <w:vMerge w:val="continue"/>
            <w:vAlign w:val="center"/>
          </w:tcPr>
          <w:p w14:paraId="3B600C3C">
            <w:pPr>
              <w:spacing w:before="156" w:beforeLines="50" w:after="156" w:afterLines="50"/>
              <w:jc w:val="left"/>
              <w:rPr>
                <w:rFonts w:ascii="宋体"/>
                <w:b/>
                <w:kern w:val="0"/>
                <w:sz w:val="18"/>
                <w:szCs w:val="18"/>
              </w:rPr>
            </w:pPr>
          </w:p>
        </w:tc>
        <w:tc>
          <w:tcPr>
            <w:tcW w:w="4462" w:type="dxa"/>
            <w:gridSpan w:val="3"/>
            <w:vMerge w:val="continue"/>
            <w:vAlign w:val="center"/>
          </w:tcPr>
          <w:p w14:paraId="1742335D">
            <w:pPr>
              <w:spacing w:before="156" w:beforeLines="50" w:after="156" w:afterLines="50"/>
              <w:jc w:val="left"/>
              <w:rPr>
                <w:rFonts w:ascii="宋体"/>
                <w:b/>
                <w:kern w:val="0"/>
                <w:sz w:val="18"/>
                <w:szCs w:val="18"/>
              </w:rPr>
            </w:pPr>
          </w:p>
        </w:tc>
        <w:tc>
          <w:tcPr>
            <w:tcW w:w="7230" w:type="dxa"/>
            <w:gridSpan w:val="5"/>
            <w:vAlign w:val="center"/>
          </w:tcPr>
          <w:p w14:paraId="3EC8D995">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95" w:type="dxa"/>
            <w:gridSpan w:val="3"/>
            <w:vMerge w:val="restart"/>
            <w:vAlign w:val="center"/>
          </w:tcPr>
          <w:p w14:paraId="4764CD3B">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0BC36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trPr>
        <w:tc>
          <w:tcPr>
            <w:tcW w:w="788" w:type="dxa"/>
            <w:gridSpan w:val="2"/>
            <w:vMerge w:val="continue"/>
            <w:vAlign w:val="center"/>
          </w:tcPr>
          <w:p w14:paraId="32AFB63B">
            <w:pPr>
              <w:spacing w:before="156" w:beforeLines="50" w:after="156" w:afterLines="50"/>
              <w:jc w:val="left"/>
              <w:rPr>
                <w:rFonts w:ascii="宋体"/>
                <w:b/>
                <w:kern w:val="0"/>
                <w:sz w:val="18"/>
                <w:szCs w:val="18"/>
              </w:rPr>
            </w:pPr>
          </w:p>
        </w:tc>
        <w:tc>
          <w:tcPr>
            <w:tcW w:w="900" w:type="dxa"/>
            <w:vMerge w:val="continue"/>
            <w:vAlign w:val="center"/>
          </w:tcPr>
          <w:p w14:paraId="4262C12E">
            <w:pPr>
              <w:spacing w:before="156" w:beforeLines="50" w:after="156" w:afterLines="50"/>
              <w:jc w:val="left"/>
              <w:rPr>
                <w:rFonts w:ascii="宋体"/>
                <w:b/>
                <w:kern w:val="0"/>
                <w:sz w:val="18"/>
                <w:szCs w:val="18"/>
              </w:rPr>
            </w:pPr>
          </w:p>
        </w:tc>
        <w:tc>
          <w:tcPr>
            <w:tcW w:w="1414" w:type="dxa"/>
            <w:gridSpan w:val="2"/>
            <w:vMerge w:val="continue"/>
            <w:vAlign w:val="center"/>
          </w:tcPr>
          <w:p w14:paraId="6B59F1E4">
            <w:pPr>
              <w:spacing w:before="156" w:beforeLines="50" w:after="156" w:afterLines="50"/>
              <w:jc w:val="left"/>
              <w:rPr>
                <w:rFonts w:ascii="宋体"/>
                <w:b/>
                <w:kern w:val="0"/>
                <w:sz w:val="18"/>
                <w:szCs w:val="18"/>
              </w:rPr>
            </w:pPr>
          </w:p>
        </w:tc>
        <w:tc>
          <w:tcPr>
            <w:tcW w:w="1370" w:type="dxa"/>
            <w:gridSpan w:val="2"/>
            <w:vMerge w:val="continue"/>
            <w:vAlign w:val="center"/>
          </w:tcPr>
          <w:p w14:paraId="62D65FB1">
            <w:pPr>
              <w:spacing w:before="156" w:beforeLines="50" w:after="156" w:afterLines="50"/>
              <w:jc w:val="left"/>
              <w:rPr>
                <w:rFonts w:ascii="宋体"/>
                <w:b/>
                <w:kern w:val="0"/>
                <w:sz w:val="18"/>
                <w:szCs w:val="18"/>
              </w:rPr>
            </w:pPr>
          </w:p>
        </w:tc>
        <w:tc>
          <w:tcPr>
            <w:tcW w:w="813" w:type="dxa"/>
            <w:gridSpan w:val="2"/>
            <w:vMerge w:val="continue"/>
            <w:vAlign w:val="center"/>
          </w:tcPr>
          <w:p w14:paraId="7E9124DE">
            <w:pPr>
              <w:spacing w:before="156" w:beforeLines="50" w:after="156" w:afterLines="50"/>
              <w:jc w:val="left"/>
              <w:rPr>
                <w:rFonts w:ascii="宋体"/>
                <w:b/>
                <w:kern w:val="0"/>
                <w:sz w:val="18"/>
                <w:szCs w:val="18"/>
              </w:rPr>
            </w:pPr>
          </w:p>
        </w:tc>
        <w:tc>
          <w:tcPr>
            <w:tcW w:w="4462" w:type="dxa"/>
            <w:gridSpan w:val="3"/>
            <w:vMerge w:val="continue"/>
            <w:vAlign w:val="center"/>
          </w:tcPr>
          <w:p w14:paraId="26B85DDB">
            <w:pPr>
              <w:spacing w:before="156" w:beforeLines="50" w:after="156" w:afterLines="50"/>
              <w:jc w:val="left"/>
              <w:rPr>
                <w:rFonts w:ascii="宋体"/>
                <w:b/>
                <w:kern w:val="0"/>
                <w:sz w:val="18"/>
                <w:szCs w:val="18"/>
              </w:rPr>
            </w:pPr>
          </w:p>
        </w:tc>
        <w:tc>
          <w:tcPr>
            <w:tcW w:w="2410" w:type="dxa"/>
            <w:gridSpan w:val="2"/>
            <w:vAlign w:val="center"/>
          </w:tcPr>
          <w:p w14:paraId="6F7DC7C6">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2"/>
            <w:vAlign w:val="center"/>
          </w:tcPr>
          <w:p w14:paraId="39D6A526">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14:paraId="37823329">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895" w:type="dxa"/>
            <w:gridSpan w:val="3"/>
            <w:vMerge w:val="continue"/>
            <w:vAlign w:val="center"/>
          </w:tcPr>
          <w:p w14:paraId="13A3C0B6">
            <w:pPr>
              <w:spacing w:before="156" w:beforeLines="50" w:after="156" w:afterLines="50"/>
              <w:jc w:val="left"/>
              <w:rPr>
                <w:rFonts w:ascii="宋体"/>
                <w:b/>
                <w:sz w:val="18"/>
                <w:szCs w:val="18"/>
              </w:rPr>
            </w:pPr>
          </w:p>
        </w:tc>
      </w:tr>
      <w:tr w14:paraId="24AFA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restart"/>
            <w:vAlign w:val="center"/>
          </w:tcPr>
          <w:p w14:paraId="6408BE2B">
            <w:pPr>
              <w:spacing w:before="156" w:beforeLines="50" w:after="156" w:afterLines="50"/>
              <w:jc w:val="center"/>
              <w:rPr>
                <w:rFonts w:ascii="宋体"/>
                <w:kern w:val="0"/>
                <w:sz w:val="18"/>
                <w:szCs w:val="18"/>
              </w:rPr>
            </w:pPr>
            <w:r>
              <w:rPr>
                <w:rFonts w:hint="eastAsia" w:ascii="宋体"/>
                <w:kern w:val="0"/>
                <w:sz w:val="18"/>
                <w:szCs w:val="18"/>
              </w:rPr>
              <w:t>1</w:t>
            </w:r>
          </w:p>
        </w:tc>
        <w:tc>
          <w:tcPr>
            <w:tcW w:w="900" w:type="dxa"/>
            <w:vMerge w:val="restart"/>
            <w:vAlign w:val="center"/>
          </w:tcPr>
          <w:p w14:paraId="7424F35C">
            <w:pPr>
              <w:widowControl/>
              <w:spacing w:before="156" w:beforeLines="50" w:after="156" w:afterLines="50"/>
              <w:jc w:val="left"/>
              <w:rPr>
                <w:rFonts w:ascii="宋体"/>
                <w:kern w:val="0"/>
                <w:sz w:val="18"/>
                <w:szCs w:val="18"/>
              </w:rPr>
            </w:pPr>
            <w:r>
              <w:rPr>
                <w:rFonts w:hint="eastAsia" w:ascii="宋体"/>
                <w:sz w:val="18"/>
                <w:szCs w:val="18"/>
              </w:rPr>
              <w:t>未采用安全航速航行</w:t>
            </w:r>
          </w:p>
        </w:tc>
        <w:tc>
          <w:tcPr>
            <w:tcW w:w="1414" w:type="dxa"/>
            <w:gridSpan w:val="2"/>
            <w:vMerge w:val="restart"/>
            <w:vAlign w:val="center"/>
          </w:tcPr>
          <w:p w14:paraId="3869E92F">
            <w:pPr>
              <w:widowControl/>
              <w:spacing w:before="156" w:beforeLines="50" w:after="156" w:afterLines="50"/>
              <w:rPr>
                <w:rFonts w:ascii="宋体"/>
                <w:sz w:val="18"/>
                <w:szCs w:val="18"/>
              </w:rPr>
            </w:pPr>
            <w:r>
              <w:rPr>
                <w:rFonts w:hint="eastAsia" w:ascii="宋体"/>
                <w:sz w:val="18"/>
                <w:szCs w:val="18"/>
              </w:rPr>
              <w:t>1.《中华人民共和国内河交通安全管理条例》第十五条；</w:t>
            </w:r>
          </w:p>
          <w:p w14:paraId="24A72C19">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修订本）第七条第一款；</w:t>
            </w:r>
          </w:p>
          <w:p w14:paraId="510A4155">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1370" w:type="dxa"/>
            <w:gridSpan w:val="2"/>
            <w:vMerge w:val="restart"/>
            <w:vAlign w:val="center"/>
          </w:tcPr>
          <w:p w14:paraId="247F3B1A">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5C9DA8E1">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2.《中华人民共和国内河海事行政处罚规定》第十七条第一款和第二款第（一）项；</w:t>
            </w:r>
          </w:p>
          <w:p w14:paraId="0765626C">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13" w:type="dxa"/>
            <w:gridSpan w:val="2"/>
            <w:vAlign w:val="center"/>
          </w:tcPr>
          <w:p w14:paraId="67A90513">
            <w:pPr>
              <w:spacing w:before="156" w:beforeLines="50" w:after="156" w:afterLines="50"/>
              <w:jc w:val="center"/>
              <w:rPr>
                <w:rFonts w:ascii="宋体"/>
                <w:kern w:val="0"/>
                <w:sz w:val="18"/>
                <w:szCs w:val="18"/>
              </w:rPr>
            </w:pPr>
            <w:r>
              <w:rPr>
                <w:rFonts w:hint="eastAsia" w:ascii="宋体"/>
                <w:kern w:val="0"/>
                <w:sz w:val="18"/>
                <w:szCs w:val="18"/>
              </w:rPr>
              <w:t>从轻</w:t>
            </w:r>
          </w:p>
        </w:tc>
        <w:tc>
          <w:tcPr>
            <w:tcW w:w="4462" w:type="dxa"/>
            <w:gridSpan w:val="3"/>
            <w:vAlign w:val="center"/>
          </w:tcPr>
          <w:p w14:paraId="230A3DFE">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410" w:type="dxa"/>
            <w:gridSpan w:val="2"/>
            <w:vAlign w:val="center"/>
          </w:tcPr>
          <w:p w14:paraId="1BCBF841">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410" w:type="dxa"/>
            <w:gridSpan w:val="2"/>
            <w:vAlign w:val="center"/>
          </w:tcPr>
          <w:p w14:paraId="36B899A9">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410" w:type="dxa"/>
            <w:vAlign w:val="center"/>
          </w:tcPr>
          <w:p w14:paraId="67CAC54F">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895" w:type="dxa"/>
            <w:gridSpan w:val="3"/>
            <w:vAlign w:val="center"/>
          </w:tcPr>
          <w:p w14:paraId="6BAE1409">
            <w:pPr>
              <w:spacing w:before="156" w:beforeLines="50" w:after="156" w:afterLines="50"/>
              <w:jc w:val="center"/>
              <w:rPr>
                <w:rFonts w:ascii="宋体"/>
                <w:kern w:val="0"/>
                <w:sz w:val="18"/>
                <w:szCs w:val="18"/>
              </w:rPr>
            </w:pPr>
            <w:r>
              <w:rPr>
                <w:rFonts w:ascii="宋体"/>
                <w:kern w:val="0"/>
                <w:sz w:val="18"/>
                <w:szCs w:val="18"/>
              </w:rPr>
              <w:t>/</w:t>
            </w:r>
          </w:p>
        </w:tc>
      </w:tr>
      <w:tr w14:paraId="21D77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5" w:hRule="atLeast"/>
        </w:trPr>
        <w:tc>
          <w:tcPr>
            <w:tcW w:w="788" w:type="dxa"/>
            <w:gridSpan w:val="2"/>
            <w:vMerge w:val="continue"/>
            <w:vAlign w:val="center"/>
          </w:tcPr>
          <w:p w14:paraId="41A2B5DC">
            <w:pPr>
              <w:spacing w:before="156" w:beforeLines="50" w:after="156" w:afterLines="50"/>
              <w:jc w:val="left"/>
              <w:rPr>
                <w:rFonts w:ascii="宋体"/>
                <w:kern w:val="0"/>
                <w:sz w:val="18"/>
                <w:szCs w:val="18"/>
              </w:rPr>
            </w:pPr>
          </w:p>
        </w:tc>
        <w:tc>
          <w:tcPr>
            <w:tcW w:w="900" w:type="dxa"/>
            <w:vMerge w:val="continue"/>
            <w:vAlign w:val="center"/>
          </w:tcPr>
          <w:p w14:paraId="12A2487B">
            <w:pPr>
              <w:spacing w:before="156" w:beforeLines="50" w:after="156" w:afterLines="50"/>
              <w:jc w:val="left"/>
              <w:rPr>
                <w:rFonts w:ascii="宋体"/>
                <w:kern w:val="0"/>
                <w:sz w:val="18"/>
                <w:szCs w:val="18"/>
              </w:rPr>
            </w:pPr>
          </w:p>
        </w:tc>
        <w:tc>
          <w:tcPr>
            <w:tcW w:w="1414" w:type="dxa"/>
            <w:gridSpan w:val="2"/>
            <w:vMerge w:val="continue"/>
            <w:vAlign w:val="center"/>
          </w:tcPr>
          <w:p w14:paraId="74A22F44">
            <w:pPr>
              <w:widowControl/>
              <w:spacing w:before="156" w:beforeLines="50" w:after="156" w:afterLines="50"/>
              <w:jc w:val="left"/>
              <w:rPr>
                <w:rFonts w:ascii="宋体"/>
                <w:kern w:val="0"/>
                <w:sz w:val="18"/>
                <w:szCs w:val="18"/>
              </w:rPr>
            </w:pPr>
          </w:p>
        </w:tc>
        <w:tc>
          <w:tcPr>
            <w:tcW w:w="1370" w:type="dxa"/>
            <w:gridSpan w:val="2"/>
            <w:vMerge w:val="continue"/>
            <w:vAlign w:val="center"/>
          </w:tcPr>
          <w:p w14:paraId="386A6998">
            <w:pPr>
              <w:spacing w:before="156" w:beforeLines="50" w:after="156" w:afterLines="50"/>
              <w:jc w:val="left"/>
              <w:rPr>
                <w:rFonts w:ascii="宋体"/>
                <w:kern w:val="0"/>
                <w:sz w:val="18"/>
                <w:szCs w:val="18"/>
              </w:rPr>
            </w:pPr>
          </w:p>
        </w:tc>
        <w:tc>
          <w:tcPr>
            <w:tcW w:w="813" w:type="dxa"/>
            <w:gridSpan w:val="2"/>
            <w:vMerge w:val="restart"/>
            <w:vAlign w:val="center"/>
          </w:tcPr>
          <w:p w14:paraId="36CB5763">
            <w:pPr>
              <w:spacing w:before="156" w:beforeLines="50" w:after="156" w:afterLines="50"/>
              <w:jc w:val="center"/>
              <w:rPr>
                <w:rFonts w:ascii="宋体"/>
                <w:kern w:val="0"/>
                <w:sz w:val="18"/>
                <w:szCs w:val="18"/>
              </w:rPr>
            </w:pPr>
            <w:r>
              <w:rPr>
                <w:rFonts w:hint="eastAsia" w:ascii="宋体"/>
                <w:kern w:val="0"/>
                <w:sz w:val="18"/>
                <w:szCs w:val="18"/>
              </w:rPr>
              <w:t>一般</w:t>
            </w:r>
          </w:p>
        </w:tc>
        <w:tc>
          <w:tcPr>
            <w:tcW w:w="4462" w:type="dxa"/>
            <w:gridSpan w:val="3"/>
            <w:vAlign w:val="center"/>
          </w:tcPr>
          <w:p w14:paraId="738A5232">
            <w:pPr>
              <w:spacing w:before="156" w:beforeLines="50" w:after="156" w:afterLines="50"/>
              <w:jc w:val="left"/>
              <w:rPr>
                <w:rFonts w:ascii="宋体"/>
                <w:sz w:val="18"/>
                <w:szCs w:val="18"/>
              </w:rPr>
            </w:pPr>
            <w:r>
              <w:rPr>
                <w:rFonts w:hint="eastAsia" w:ascii="宋体"/>
                <w:sz w:val="18"/>
                <w:szCs w:val="18"/>
              </w:rPr>
              <w:t>1.在有限速规定水域，船舶存在违反相关航速限制规定，超过或低于规定最高或最低航速30%及以内的行为或其他未采用安全速度航行行为，且未造成事故的；</w:t>
            </w:r>
          </w:p>
          <w:p w14:paraId="58C58531">
            <w:pPr>
              <w:spacing w:before="156" w:beforeLines="50" w:after="156" w:afterLines="50"/>
              <w:jc w:val="left"/>
              <w:rPr>
                <w:rFonts w:ascii="宋体"/>
                <w:sz w:val="18"/>
                <w:szCs w:val="18"/>
              </w:rPr>
            </w:pPr>
            <w:r>
              <w:rPr>
                <w:rFonts w:hint="eastAsia" w:ascii="宋体"/>
                <w:sz w:val="18"/>
                <w:szCs w:val="18"/>
              </w:rPr>
              <w:t>2.在无限速规定水域，船舶未采用安全速度航行，但未造成事故的。</w:t>
            </w:r>
          </w:p>
        </w:tc>
        <w:tc>
          <w:tcPr>
            <w:tcW w:w="2410" w:type="dxa"/>
            <w:gridSpan w:val="2"/>
            <w:vAlign w:val="center"/>
          </w:tcPr>
          <w:p w14:paraId="547215DE">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410" w:type="dxa"/>
            <w:gridSpan w:val="2"/>
            <w:vAlign w:val="center"/>
          </w:tcPr>
          <w:p w14:paraId="11F602E0">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410" w:type="dxa"/>
            <w:vAlign w:val="center"/>
          </w:tcPr>
          <w:p w14:paraId="173022E5">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895" w:type="dxa"/>
            <w:gridSpan w:val="3"/>
            <w:vAlign w:val="center"/>
          </w:tcPr>
          <w:p w14:paraId="54B537A8">
            <w:pPr>
              <w:spacing w:before="156" w:beforeLines="50" w:after="156" w:afterLines="50"/>
              <w:jc w:val="center"/>
              <w:rPr>
                <w:rFonts w:ascii="宋体"/>
                <w:kern w:val="0"/>
                <w:sz w:val="18"/>
                <w:szCs w:val="18"/>
              </w:rPr>
            </w:pPr>
            <w:r>
              <w:rPr>
                <w:rFonts w:ascii="宋体"/>
                <w:kern w:val="0"/>
                <w:sz w:val="18"/>
                <w:szCs w:val="18"/>
              </w:rPr>
              <w:t>/</w:t>
            </w:r>
          </w:p>
        </w:tc>
      </w:tr>
      <w:tr w14:paraId="61E35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14:paraId="54DA998C">
            <w:pPr>
              <w:spacing w:before="156" w:beforeLines="50" w:after="156" w:afterLines="50"/>
              <w:jc w:val="left"/>
              <w:rPr>
                <w:rFonts w:ascii="宋体"/>
                <w:kern w:val="0"/>
                <w:sz w:val="18"/>
                <w:szCs w:val="18"/>
              </w:rPr>
            </w:pPr>
          </w:p>
        </w:tc>
        <w:tc>
          <w:tcPr>
            <w:tcW w:w="900" w:type="dxa"/>
            <w:vMerge w:val="continue"/>
            <w:vAlign w:val="center"/>
          </w:tcPr>
          <w:p w14:paraId="58F5B3FE">
            <w:pPr>
              <w:spacing w:before="156" w:beforeLines="50" w:after="156" w:afterLines="50"/>
              <w:jc w:val="left"/>
              <w:rPr>
                <w:rFonts w:ascii="宋体"/>
                <w:kern w:val="0"/>
                <w:sz w:val="18"/>
                <w:szCs w:val="18"/>
              </w:rPr>
            </w:pPr>
          </w:p>
        </w:tc>
        <w:tc>
          <w:tcPr>
            <w:tcW w:w="1414" w:type="dxa"/>
            <w:gridSpan w:val="2"/>
            <w:vMerge w:val="continue"/>
            <w:vAlign w:val="center"/>
          </w:tcPr>
          <w:p w14:paraId="1E36DB19">
            <w:pPr>
              <w:spacing w:before="156" w:beforeLines="50" w:after="156" w:afterLines="50"/>
              <w:jc w:val="left"/>
              <w:rPr>
                <w:rFonts w:ascii="宋体"/>
                <w:kern w:val="0"/>
                <w:sz w:val="18"/>
                <w:szCs w:val="18"/>
              </w:rPr>
            </w:pPr>
          </w:p>
        </w:tc>
        <w:tc>
          <w:tcPr>
            <w:tcW w:w="1370" w:type="dxa"/>
            <w:gridSpan w:val="2"/>
            <w:vMerge w:val="continue"/>
            <w:vAlign w:val="center"/>
          </w:tcPr>
          <w:p w14:paraId="779A8108">
            <w:pPr>
              <w:spacing w:before="156" w:beforeLines="50" w:after="156" w:afterLines="50"/>
              <w:jc w:val="left"/>
              <w:rPr>
                <w:rFonts w:ascii="宋体"/>
                <w:kern w:val="0"/>
                <w:sz w:val="18"/>
                <w:szCs w:val="18"/>
              </w:rPr>
            </w:pPr>
          </w:p>
        </w:tc>
        <w:tc>
          <w:tcPr>
            <w:tcW w:w="813" w:type="dxa"/>
            <w:gridSpan w:val="2"/>
            <w:vMerge w:val="continue"/>
            <w:vAlign w:val="center"/>
          </w:tcPr>
          <w:p w14:paraId="4DDC9F09">
            <w:pPr>
              <w:spacing w:before="156" w:beforeLines="50" w:after="156" w:afterLines="50"/>
              <w:jc w:val="center"/>
              <w:rPr>
                <w:rFonts w:ascii="宋体"/>
                <w:kern w:val="0"/>
                <w:sz w:val="18"/>
                <w:szCs w:val="18"/>
              </w:rPr>
            </w:pPr>
          </w:p>
        </w:tc>
        <w:tc>
          <w:tcPr>
            <w:tcW w:w="4462" w:type="dxa"/>
            <w:gridSpan w:val="3"/>
            <w:vAlign w:val="center"/>
          </w:tcPr>
          <w:p w14:paraId="5ACD95CB">
            <w:pPr>
              <w:spacing w:before="156" w:beforeLines="50" w:after="156" w:afterLines="50"/>
              <w:jc w:val="left"/>
              <w:rPr>
                <w:rFonts w:ascii="宋体"/>
                <w:sz w:val="18"/>
                <w:szCs w:val="18"/>
              </w:rPr>
            </w:pPr>
            <w:r>
              <w:rPr>
                <w:rFonts w:hint="eastAsia" w:ascii="宋体"/>
                <w:sz w:val="18"/>
                <w:szCs w:val="18"/>
              </w:rPr>
              <w:t>在有限速规定水域，船舶存在违反相关航速限制规定，超过或低于规定最高或最低航速30%以外的行为，且未造成事故的。</w:t>
            </w:r>
          </w:p>
        </w:tc>
        <w:tc>
          <w:tcPr>
            <w:tcW w:w="2410" w:type="dxa"/>
            <w:gridSpan w:val="2"/>
            <w:vAlign w:val="center"/>
          </w:tcPr>
          <w:p w14:paraId="5C52B5D4">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2410" w:type="dxa"/>
            <w:gridSpan w:val="2"/>
            <w:vAlign w:val="center"/>
          </w:tcPr>
          <w:p w14:paraId="4D8F12B1">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410" w:type="dxa"/>
            <w:vAlign w:val="center"/>
          </w:tcPr>
          <w:p w14:paraId="2E40E8ED">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tc>
        <w:tc>
          <w:tcPr>
            <w:tcW w:w="3895" w:type="dxa"/>
            <w:gridSpan w:val="3"/>
            <w:vAlign w:val="center"/>
          </w:tcPr>
          <w:p w14:paraId="1274F273">
            <w:pPr>
              <w:spacing w:before="156" w:beforeLines="50" w:after="156" w:afterLines="50"/>
              <w:jc w:val="center"/>
              <w:rPr>
                <w:rFonts w:ascii="宋体"/>
                <w:kern w:val="0"/>
                <w:sz w:val="18"/>
                <w:szCs w:val="18"/>
              </w:rPr>
            </w:pPr>
            <w:r>
              <w:rPr>
                <w:rFonts w:ascii="宋体"/>
                <w:kern w:val="0"/>
                <w:sz w:val="18"/>
                <w:szCs w:val="18"/>
              </w:rPr>
              <w:t>/</w:t>
            </w:r>
          </w:p>
        </w:tc>
      </w:tr>
      <w:tr w14:paraId="0CB0D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14:paraId="2A917FE8">
            <w:pPr>
              <w:spacing w:before="156" w:beforeLines="50" w:after="156" w:afterLines="50"/>
              <w:jc w:val="left"/>
              <w:rPr>
                <w:rFonts w:ascii="宋体"/>
                <w:kern w:val="0"/>
                <w:sz w:val="18"/>
                <w:szCs w:val="18"/>
              </w:rPr>
            </w:pPr>
          </w:p>
        </w:tc>
        <w:tc>
          <w:tcPr>
            <w:tcW w:w="900" w:type="dxa"/>
            <w:vMerge w:val="continue"/>
            <w:vAlign w:val="center"/>
          </w:tcPr>
          <w:p w14:paraId="4AB8CA0A">
            <w:pPr>
              <w:spacing w:before="156" w:beforeLines="50" w:after="156" w:afterLines="50"/>
              <w:jc w:val="left"/>
              <w:rPr>
                <w:rFonts w:ascii="宋体"/>
                <w:kern w:val="0"/>
                <w:sz w:val="18"/>
                <w:szCs w:val="18"/>
              </w:rPr>
            </w:pPr>
          </w:p>
        </w:tc>
        <w:tc>
          <w:tcPr>
            <w:tcW w:w="1414" w:type="dxa"/>
            <w:gridSpan w:val="2"/>
            <w:vMerge w:val="continue"/>
            <w:vAlign w:val="center"/>
          </w:tcPr>
          <w:p w14:paraId="331CC012">
            <w:pPr>
              <w:spacing w:before="156" w:beforeLines="50" w:after="156" w:afterLines="50"/>
              <w:jc w:val="left"/>
              <w:rPr>
                <w:rFonts w:ascii="宋体"/>
                <w:kern w:val="0"/>
                <w:sz w:val="18"/>
                <w:szCs w:val="18"/>
              </w:rPr>
            </w:pPr>
          </w:p>
        </w:tc>
        <w:tc>
          <w:tcPr>
            <w:tcW w:w="1370" w:type="dxa"/>
            <w:gridSpan w:val="2"/>
            <w:vMerge w:val="continue"/>
            <w:vAlign w:val="center"/>
          </w:tcPr>
          <w:p w14:paraId="10241E68">
            <w:pPr>
              <w:spacing w:before="156" w:beforeLines="50" w:after="156" w:afterLines="50"/>
              <w:jc w:val="left"/>
              <w:rPr>
                <w:rFonts w:ascii="宋体"/>
                <w:kern w:val="0"/>
                <w:sz w:val="18"/>
                <w:szCs w:val="18"/>
              </w:rPr>
            </w:pPr>
          </w:p>
        </w:tc>
        <w:tc>
          <w:tcPr>
            <w:tcW w:w="813" w:type="dxa"/>
            <w:gridSpan w:val="2"/>
            <w:vMerge w:val="continue"/>
            <w:vAlign w:val="center"/>
          </w:tcPr>
          <w:p w14:paraId="2ABFC541">
            <w:pPr>
              <w:spacing w:before="156" w:beforeLines="50" w:after="156" w:afterLines="50"/>
              <w:jc w:val="center"/>
              <w:rPr>
                <w:rFonts w:ascii="宋体"/>
                <w:kern w:val="0"/>
                <w:sz w:val="18"/>
                <w:szCs w:val="18"/>
              </w:rPr>
            </w:pPr>
          </w:p>
        </w:tc>
        <w:tc>
          <w:tcPr>
            <w:tcW w:w="4462" w:type="dxa"/>
            <w:gridSpan w:val="3"/>
            <w:vAlign w:val="center"/>
          </w:tcPr>
          <w:p w14:paraId="4D926F0C">
            <w:pPr>
              <w:spacing w:before="156" w:beforeLines="50" w:after="156" w:afterLines="50"/>
              <w:jc w:val="left"/>
              <w:rPr>
                <w:rFonts w:ascii="宋体"/>
                <w:sz w:val="18"/>
                <w:szCs w:val="18"/>
              </w:rPr>
            </w:pPr>
            <w:r>
              <w:rPr>
                <w:rFonts w:hint="eastAsia" w:ascii="宋体"/>
                <w:sz w:val="18"/>
                <w:szCs w:val="18"/>
              </w:rPr>
              <w:t>未采用安全速度航行造成一般以下等级水上交通事故的。</w:t>
            </w:r>
          </w:p>
        </w:tc>
        <w:tc>
          <w:tcPr>
            <w:tcW w:w="2410" w:type="dxa"/>
            <w:gridSpan w:val="2"/>
            <w:vAlign w:val="center"/>
          </w:tcPr>
          <w:p w14:paraId="175C8A07">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410" w:type="dxa"/>
            <w:gridSpan w:val="2"/>
            <w:vAlign w:val="center"/>
          </w:tcPr>
          <w:p w14:paraId="0FB49E39">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410" w:type="dxa"/>
            <w:vAlign w:val="center"/>
          </w:tcPr>
          <w:p w14:paraId="1261451E">
            <w:pPr>
              <w:spacing w:before="156" w:beforeLines="50" w:after="156" w:afterLines="50"/>
              <w:jc w:val="left"/>
              <w:rPr>
                <w:rFonts w:ascii="宋体"/>
                <w:kern w:val="0"/>
                <w:sz w:val="18"/>
                <w:szCs w:val="18"/>
              </w:rPr>
            </w:pPr>
            <w:r>
              <w:rPr>
                <w:rFonts w:ascii="宋体"/>
                <w:kern w:val="0"/>
                <w:sz w:val="18"/>
                <w:szCs w:val="18"/>
              </w:rPr>
              <w:t>6000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895" w:type="dxa"/>
            <w:gridSpan w:val="3"/>
            <w:vAlign w:val="center"/>
          </w:tcPr>
          <w:p w14:paraId="538462D2">
            <w:pPr>
              <w:spacing w:before="156" w:beforeLines="50" w:after="156" w:afterLines="50"/>
              <w:jc w:val="center"/>
              <w:rPr>
                <w:rFonts w:ascii="宋体"/>
                <w:kern w:val="0"/>
                <w:sz w:val="18"/>
                <w:szCs w:val="18"/>
              </w:rPr>
            </w:pPr>
            <w:r>
              <w:rPr>
                <w:rFonts w:ascii="宋体"/>
                <w:kern w:val="0"/>
                <w:sz w:val="18"/>
                <w:szCs w:val="18"/>
              </w:rPr>
              <w:t>/</w:t>
            </w:r>
          </w:p>
        </w:tc>
      </w:tr>
      <w:tr w14:paraId="0859F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8" w:hRule="atLeast"/>
        </w:trPr>
        <w:tc>
          <w:tcPr>
            <w:tcW w:w="788" w:type="dxa"/>
            <w:gridSpan w:val="2"/>
            <w:vMerge w:val="continue"/>
            <w:vAlign w:val="center"/>
          </w:tcPr>
          <w:p w14:paraId="74200D9D">
            <w:pPr>
              <w:spacing w:before="156" w:beforeLines="50" w:after="156" w:afterLines="50"/>
              <w:jc w:val="left"/>
              <w:rPr>
                <w:rFonts w:ascii="宋体"/>
                <w:kern w:val="0"/>
                <w:sz w:val="18"/>
                <w:szCs w:val="18"/>
              </w:rPr>
            </w:pPr>
          </w:p>
        </w:tc>
        <w:tc>
          <w:tcPr>
            <w:tcW w:w="900" w:type="dxa"/>
            <w:vMerge w:val="continue"/>
            <w:vAlign w:val="center"/>
          </w:tcPr>
          <w:p w14:paraId="71623E0F">
            <w:pPr>
              <w:spacing w:before="156" w:beforeLines="50" w:after="156" w:afterLines="50"/>
              <w:jc w:val="left"/>
              <w:rPr>
                <w:rFonts w:ascii="宋体"/>
                <w:kern w:val="0"/>
                <w:sz w:val="18"/>
                <w:szCs w:val="18"/>
              </w:rPr>
            </w:pPr>
          </w:p>
        </w:tc>
        <w:tc>
          <w:tcPr>
            <w:tcW w:w="1414" w:type="dxa"/>
            <w:gridSpan w:val="2"/>
            <w:vMerge w:val="continue"/>
            <w:vAlign w:val="center"/>
          </w:tcPr>
          <w:p w14:paraId="731C5B28">
            <w:pPr>
              <w:spacing w:before="156" w:beforeLines="50" w:after="156" w:afterLines="50"/>
              <w:jc w:val="left"/>
              <w:rPr>
                <w:rFonts w:ascii="宋体"/>
                <w:kern w:val="0"/>
                <w:sz w:val="18"/>
                <w:szCs w:val="18"/>
              </w:rPr>
            </w:pPr>
          </w:p>
        </w:tc>
        <w:tc>
          <w:tcPr>
            <w:tcW w:w="1370" w:type="dxa"/>
            <w:gridSpan w:val="2"/>
            <w:vMerge w:val="continue"/>
            <w:vAlign w:val="center"/>
          </w:tcPr>
          <w:p w14:paraId="7636FD7C">
            <w:pPr>
              <w:spacing w:before="156" w:beforeLines="50" w:after="156" w:afterLines="50"/>
              <w:jc w:val="left"/>
              <w:rPr>
                <w:rFonts w:ascii="宋体"/>
                <w:kern w:val="0"/>
                <w:sz w:val="18"/>
                <w:szCs w:val="18"/>
              </w:rPr>
            </w:pPr>
          </w:p>
        </w:tc>
        <w:tc>
          <w:tcPr>
            <w:tcW w:w="813" w:type="dxa"/>
            <w:gridSpan w:val="2"/>
            <w:vMerge w:val="restart"/>
            <w:vAlign w:val="center"/>
          </w:tcPr>
          <w:p w14:paraId="04C45A15">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4462" w:type="dxa"/>
            <w:gridSpan w:val="3"/>
            <w:vAlign w:val="center"/>
          </w:tcPr>
          <w:p w14:paraId="0B34E1BB">
            <w:pPr>
              <w:spacing w:before="156" w:beforeLines="50" w:after="156" w:afterLines="50"/>
              <w:jc w:val="left"/>
              <w:rPr>
                <w:rFonts w:ascii="宋体"/>
                <w:kern w:val="0"/>
                <w:sz w:val="18"/>
                <w:szCs w:val="18"/>
              </w:rPr>
            </w:pPr>
            <w:r>
              <w:rPr>
                <w:rFonts w:hint="eastAsia" w:ascii="宋体"/>
                <w:kern w:val="0"/>
                <w:sz w:val="18"/>
                <w:szCs w:val="18"/>
              </w:rPr>
              <w:t>未采用安全速度航行造成一般及以上等级水上交通事故的。</w:t>
            </w:r>
          </w:p>
          <w:p w14:paraId="57959C5D">
            <w:pPr>
              <w:spacing w:before="156" w:beforeLines="50" w:after="156" w:afterLines="50"/>
              <w:jc w:val="left"/>
              <w:rPr>
                <w:rFonts w:ascii="宋体"/>
                <w:sz w:val="18"/>
                <w:szCs w:val="18"/>
              </w:rPr>
            </w:pPr>
          </w:p>
        </w:tc>
        <w:tc>
          <w:tcPr>
            <w:tcW w:w="2410" w:type="dxa"/>
            <w:gridSpan w:val="2"/>
            <w:vMerge w:val="restart"/>
            <w:vAlign w:val="center"/>
          </w:tcPr>
          <w:p w14:paraId="6998A10A">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410" w:type="dxa"/>
            <w:gridSpan w:val="2"/>
            <w:vMerge w:val="restart"/>
            <w:vAlign w:val="center"/>
          </w:tcPr>
          <w:p w14:paraId="60F868F4">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410" w:type="dxa"/>
            <w:vMerge w:val="restart"/>
            <w:vAlign w:val="center"/>
          </w:tcPr>
          <w:p w14:paraId="18F38F40">
            <w:pPr>
              <w:spacing w:before="156" w:beforeLines="50" w:after="156" w:afterLines="50"/>
              <w:jc w:val="left"/>
              <w:rPr>
                <w:rFonts w:ascii="宋体"/>
                <w:spacing w:val="-4"/>
                <w:kern w:val="0"/>
                <w:sz w:val="18"/>
                <w:szCs w:val="18"/>
              </w:rPr>
            </w:pPr>
            <w:r>
              <w:rPr>
                <w:rFonts w:ascii="宋体"/>
                <w:kern w:val="0"/>
                <w:sz w:val="18"/>
                <w:szCs w:val="18"/>
              </w:rPr>
              <w:t>8000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w:t>
            </w:r>
          </w:p>
        </w:tc>
        <w:tc>
          <w:tcPr>
            <w:tcW w:w="3895" w:type="dxa"/>
            <w:gridSpan w:val="3"/>
            <w:vAlign w:val="center"/>
          </w:tcPr>
          <w:p w14:paraId="5C71CBA6">
            <w:pPr>
              <w:spacing w:before="156" w:beforeLines="50" w:after="156" w:afterLines="50"/>
              <w:jc w:val="left"/>
              <w:rPr>
                <w:rFonts w:ascii="宋体"/>
                <w:kern w:val="0"/>
                <w:sz w:val="18"/>
                <w:szCs w:val="18"/>
              </w:rPr>
            </w:pPr>
            <w:r>
              <w:rPr>
                <w:rFonts w:hint="eastAsia" w:ascii="宋体"/>
                <w:sz w:val="18"/>
                <w:szCs w:val="18"/>
              </w:rPr>
              <w:t>未采用安全航速航行</w:t>
            </w: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4C05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88" w:type="dxa"/>
            <w:gridSpan w:val="2"/>
            <w:vMerge w:val="continue"/>
            <w:vAlign w:val="center"/>
          </w:tcPr>
          <w:p w14:paraId="0B49B558">
            <w:pPr>
              <w:spacing w:before="156" w:beforeLines="50" w:after="156" w:afterLines="50"/>
              <w:jc w:val="left"/>
            </w:pPr>
          </w:p>
        </w:tc>
        <w:tc>
          <w:tcPr>
            <w:tcW w:w="900" w:type="dxa"/>
            <w:vMerge w:val="continue"/>
            <w:vAlign w:val="center"/>
          </w:tcPr>
          <w:p w14:paraId="120F87D1">
            <w:pPr>
              <w:spacing w:before="156" w:beforeLines="50" w:after="156" w:afterLines="50"/>
              <w:jc w:val="left"/>
            </w:pPr>
          </w:p>
        </w:tc>
        <w:tc>
          <w:tcPr>
            <w:tcW w:w="1414" w:type="dxa"/>
            <w:gridSpan w:val="2"/>
            <w:vMerge w:val="continue"/>
            <w:vAlign w:val="center"/>
          </w:tcPr>
          <w:p w14:paraId="2F772850">
            <w:pPr>
              <w:spacing w:before="156" w:beforeLines="50" w:after="156" w:afterLines="50"/>
              <w:jc w:val="left"/>
            </w:pPr>
          </w:p>
        </w:tc>
        <w:tc>
          <w:tcPr>
            <w:tcW w:w="1370" w:type="dxa"/>
            <w:gridSpan w:val="2"/>
            <w:vMerge w:val="continue"/>
            <w:vAlign w:val="center"/>
          </w:tcPr>
          <w:p w14:paraId="57A4B464">
            <w:pPr>
              <w:spacing w:before="156" w:beforeLines="50" w:after="156" w:afterLines="50"/>
              <w:jc w:val="left"/>
            </w:pPr>
          </w:p>
        </w:tc>
        <w:tc>
          <w:tcPr>
            <w:tcW w:w="813" w:type="dxa"/>
            <w:gridSpan w:val="2"/>
            <w:vMerge w:val="continue"/>
            <w:vAlign w:val="center"/>
          </w:tcPr>
          <w:p w14:paraId="04ED7DBC">
            <w:pPr>
              <w:spacing w:before="156" w:beforeLines="50" w:after="156" w:afterLines="50"/>
              <w:jc w:val="left"/>
            </w:pPr>
          </w:p>
        </w:tc>
        <w:tc>
          <w:tcPr>
            <w:tcW w:w="4462" w:type="dxa"/>
            <w:gridSpan w:val="3"/>
            <w:vAlign w:val="center"/>
          </w:tcPr>
          <w:p w14:paraId="47528F47">
            <w:pPr>
              <w:spacing w:before="156" w:beforeLines="50" w:after="156" w:afterLines="50"/>
              <w:jc w:val="left"/>
            </w:pPr>
            <w:r>
              <w:rPr>
                <w:rFonts w:hint="eastAsia" w:ascii="宋体"/>
                <w:kern w:val="0"/>
                <w:sz w:val="18"/>
                <w:szCs w:val="18"/>
              </w:rPr>
              <w:t>具有其他严重情节的。</w:t>
            </w:r>
          </w:p>
        </w:tc>
        <w:tc>
          <w:tcPr>
            <w:tcW w:w="2410" w:type="dxa"/>
            <w:gridSpan w:val="2"/>
            <w:vMerge w:val="continue"/>
            <w:vAlign w:val="center"/>
          </w:tcPr>
          <w:p w14:paraId="74C776D8">
            <w:pPr>
              <w:spacing w:before="156" w:beforeLines="50" w:after="156" w:afterLines="50"/>
              <w:jc w:val="left"/>
            </w:pPr>
          </w:p>
        </w:tc>
        <w:tc>
          <w:tcPr>
            <w:tcW w:w="2410" w:type="dxa"/>
            <w:gridSpan w:val="2"/>
            <w:vMerge w:val="continue"/>
            <w:vAlign w:val="center"/>
          </w:tcPr>
          <w:p w14:paraId="4BAF5648">
            <w:pPr>
              <w:spacing w:before="156" w:beforeLines="50" w:after="156" w:afterLines="50"/>
              <w:jc w:val="left"/>
            </w:pPr>
          </w:p>
        </w:tc>
        <w:tc>
          <w:tcPr>
            <w:tcW w:w="2410" w:type="dxa"/>
            <w:vMerge w:val="continue"/>
            <w:vAlign w:val="center"/>
          </w:tcPr>
          <w:p w14:paraId="0A8269BA">
            <w:pPr>
              <w:spacing w:before="156" w:beforeLines="50" w:after="156" w:afterLines="50"/>
              <w:jc w:val="left"/>
            </w:pPr>
          </w:p>
        </w:tc>
        <w:tc>
          <w:tcPr>
            <w:tcW w:w="3895" w:type="dxa"/>
            <w:gridSpan w:val="3"/>
            <w:vAlign w:val="center"/>
          </w:tcPr>
          <w:p w14:paraId="36BFEB74">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2F91B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1061" w:hRule="atLeast"/>
        </w:trPr>
        <w:tc>
          <w:tcPr>
            <w:tcW w:w="740" w:type="dxa"/>
            <w:vMerge w:val="restart"/>
            <w:vAlign w:val="center"/>
          </w:tcPr>
          <w:p w14:paraId="4D2C804C">
            <w:pPr>
              <w:spacing w:before="156" w:beforeLines="50" w:after="156" w:afterLines="50"/>
              <w:jc w:val="center"/>
              <w:rPr>
                <w:rFonts w:ascii="宋体"/>
                <w:b/>
                <w:kern w:val="0"/>
                <w:sz w:val="18"/>
                <w:szCs w:val="18"/>
              </w:rPr>
            </w:pPr>
            <w:r>
              <w:rPr>
                <w:rFonts w:hint="eastAsia" w:ascii="宋体"/>
                <w:b/>
                <w:sz w:val="18"/>
                <w:szCs w:val="18"/>
              </w:rPr>
              <w:br w:type="page"/>
            </w:r>
            <w:r>
              <w:rPr>
                <w:rFonts w:hint="eastAsia" w:ascii="宋体"/>
                <w:b/>
                <w:kern w:val="0"/>
                <w:sz w:val="18"/>
                <w:szCs w:val="18"/>
              </w:rPr>
              <w:t>序号</w:t>
            </w:r>
          </w:p>
        </w:tc>
        <w:tc>
          <w:tcPr>
            <w:tcW w:w="977" w:type="dxa"/>
            <w:gridSpan w:val="3"/>
            <w:vMerge w:val="restart"/>
            <w:vAlign w:val="center"/>
          </w:tcPr>
          <w:p w14:paraId="7C4257DF">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28" w:type="dxa"/>
            <w:gridSpan w:val="4"/>
            <w:vMerge w:val="restart"/>
            <w:vAlign w:val="center"/>
          </w:tcPr>
          <w:p w14:paraId="4D8E9B45">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25" w:type="dxa"/>
            <w:gridSpan w:val="2"/>
            <w:vMerge w:val="restart"/>
            <w:vAlign w:val="center"/>
          </w:tcPr>
          <w:p w14:paraId="137EFF99">
            <w:pPr>
              <w:spacing w:before="156" w:beforeLines="50" w:after="156" w:afterLines="50"/>
              <w:jc w:val="center"/>
              <w:rPr>
                <w:rFonts w:ascii="宋体"/>
                <w:b/>
                <w:kern w:val="0"/>
                <w:sz w:val="18"/>
                <w:szCs w:val="18"/>
              </w:rPr>
            </w:pPr>
            <w:r>
              <w:rPr>
                <w:rFonts w:hint="eastAsia" w:ascii="宋体"/>
                <w:b/>
                <w:kern w:val="0"/>
                <w:sz w:val="18"/>
                <w:szCs w:val="18"/>
              </w:rPr>
              <w:t>违法行</w:t>
            </w:r>
          </w:p>
          <w:p w14:paraId="4608057E">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07" w:type="dxa"/>
            <w:vMerge w:val="restart"/>
            <w:vAlign w:val="center"/>
          </w:tcPr>
          <w:p w14:paraId="7502A108">
            <w:pPr>
              <w:spacing w:before="156" w:beforeLines="50" w:after="156" w:afterLines="50"/>
              <w:rPr>
                <w:rFonts w:ascii="宋体"/>
                <w:b/>
                <w:kern w:val="0"/>
                <w:sz w:val="18"/>
                <w:szCs w:val="18"/>
              </w:rPr>
            </w:pPr>
            <w:r>
              <w:rPr>
                <w:rFonts w:hint="eastAsia" w:ascii="宋体"/>
                <w:b/>
                <w:kern w:val="0"/>
                <w:sz w:val="18"/>
                <w:szCs w:val="18"/>
              </w:rPr>
              <w:t>主要考虑因素（事实、性质、情节、危害程度和实际后果等）</w:t>
            </w:r>
          </w:p>
        </w:tc>
        <w:tc>
          <w:tcPr>
            <w:tcW w:w="12043" w:type="dxa"/>
            <w:gridSpan w:val="8"/>
            <w:vAlign w:val="center"/>
          </w:tcPr>
          <w:p w14:paraId="255F913E">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53FDA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608" w:hRule="atLeast"/>
        </w:trPr>
        <w:tc>
          <w:tcPr>
            <w:tcW w:w="740" w:type="dxa"/>
            <w:vMerge w:val="continue"/>
            <w:vAlign w:val="center"/>
          </w:tcPr>
          <w:p w14:paraId="14C7A052">
            <w:pPr>
              <w:spacing w:before="156" w:beforeLines="50" w:after="156" w:afterLines="50"/>
              <w:jc w:val="left"/>
              <w:rPr>
                <w:rFonts w:ascii="宋体"/>
                <w:b/>
                <w:kern w:val="0"/>
                <w:sz w:val="18"/>
                <w:szCs w:val="18"/>
              </w:rPr>
            </w:pPr>
          </w:p>
        </w:tc>
        <w:tc>
          <w:tcPr>
            <w:tcW w:w="977" w:type="dxa"/>
            <w:gridSpan w:val="3"/>
            <w:vMerge w:val="continue"/>
            <w:vAlign w:val="center"/>
          </w:tcPr>
          <w:p w14:paraId="03784785">
            <w:pPr>
              <w:spacing w:before="156" w:beforeLines="50" w:after="156" w:afterLines="50"/>
              <w:jc w:val="left"/>
              <w:rPr>
                <w:rFonts w:ascii="宋体"/>
                <w:b/>
                <w:kern w:val="0"/>
                <w:sz w:val="18"/>
                <w:szCs w:val="18"/>
              </w:rPr>
            </w:pPr>
          </w:p>
        </w:tc>
        <w:tc>
          <w:tcPr>
            <w:tcW w:w="3428" w:type="dxa"/>
            <w:gridSpan w:val="4"/>
            <w:vMerge w:val="continue"/>
            <w:vAlign w:val="center"/>
          </w:tcPr>
          <w:p w14:paraId="6B968B0B">
            <w:pPr>
              <w:spacing w:before="156" w:beforeLines="50" w:after="156" w:afterLines="50"/>
              <w:jc w:val="left"/>
              <w:rPr>
                <w:rFonts w:ascii="宋体"/>
                <w:b/>
                <w:kern w:val="0"/>
                <w:sz w:val="18"/>
                <w:szCs w:val="18"/>
              </w:rPr>
            </w:pPr>
          </w:p>
        </w:tc>
        <w:tc>
          <w:tcPr>
            <w:tcW w:w="925" w:type="dxa"/>
            <w:gridSpan w:val="2"/>
            <w:vMerge w:val="continue"/>
            <w:vAlign w:val="center"/>
          </w:tcPr>
          <w:p w14:paraId="05830C7F">
            <w:pPr>
              <w:spacing w:before="156" w:beforeLines="50" w:after="156" w:afterLines="50"/>
              <w:jc w:val="left"/>
              <w:rPr>
                <w:rFonts w:ascii="宋体"/>
                <w:b/>
                <w:kern w:val="0"/>
                <w:sz w:val="18"/>
                <w:szCs w:val="18"/>
              </w:rPr>
            </w:pPr>
          </w:p>
        </w:tc>
        <w:tc>
          <w:tcPr>
            <w:tcW w:w="2407" w:type="dxa"/>
            <w:vMerge w:val="continue"/>
            <w:vAlign w:val="center"/>
          </w:tcPr>
          <w:p w14:paraId="5B257D1C">
            <w:pPr>
              <w:spacing w:before="156" w:beforeLines="50" w:after="156" w:afterLines="50"/>
              <w:jc w:val="left"/>
              <w:rPr>
                <w:rFonts w:ascii="宋体"/>
                <w:b/>
                <w:kern w:val="0"/>
                <w:sz w:val="18"/>
                <w:szCs w:val="18"/>
              </w:rPr>
            </w:pPr>
          </w:p>
        </w:tc>
        <w:tc>
          <w:tcPr>
            <w:tcW w:w="12043" w:type="dxa"/>
            <w:gridSpan w:val="8"/>
            <w:vAlign w:val="center"/>
          </w:tcPr>
          <w:p w14:paraId="050EC491">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1E27A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58" w:hRule="atLeast"/>
        </w:trPr>
        <w:tc>
          <w:tcPr>
            <w:tcW w:w="740" w:type="dxa"/>
            <w:vMerge w:val="continue"/>
            <w:vAlign w:val="center"/>
          </w:tcPr>
          <w:p w14:paraId="7954C2FE">
            <w:pPr>
              <w:spacing w:before="156" w:beforeLines="50" w:after="156" w:afterLines="50"/>
              <w:jc w:val="left"/>
              <w:rPr>
                <w:rFonts w:ascii="宋体"/>
                <w:b/>
                <w:kern w:val="0"/>
                <w:sz w:val="18"/>
                <w:szCs w:val="18"/>
              </w:rPr>
            </w:pPr>
          </w:p>
        </w:tc>
        <w:tc>
          <w:tcPr>
            <w:tcW w:w="977" w:type="dxa"/>
            <w:gridSpan w:val="3"/>
            <w:vMerge w:val="continue"/>
            <w:vAlign w:val="center"/>
          </w:tcPr>
          <w:p w14:paraId="59FD0709">
            <w:pPr>
              <w:spacing w:before="156" w:beforeLines="50" w:after="156" w:afterLines="50"/>
              <w:jc w:val="left"/>
              <w:rPr>
                <w:rFonts w:ascii="宋体"/>
                <w:b/>
                <w:kern w:val="0"/>
                <w:sz w:val="18"/>
                <w:szCs w:val="18"/>
              </w:rPr>
            </w:pPr>
          </w:p>
        </w:tc>
        <w:tc>
          <w:tcPr>
            <w:tcW w:w="1397" w:type="dxa"/>
            <w:gridSpan w:val="2"/>
            <w:vMerge w:val="restart"/>
            <w:vAlign w:val="center"/>
          </w:tcPr>
          <w:p w14:paraId="2B60D814">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31" w:type="dxa"/>
            <w:gridSpan w:val="2"/>
            <w:vMerge w:val="restart"/>
            <w:vAlign w:val="center"/>
          </w:tcPr>
          <w:p w14:paraId="0D94AE8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25" w:type="dxa"/>
            <w:gridSpan w:val="2"/>
            <w:vMerge w:val="continue"/>
            <w:vAlign w:val="center"/>
          </w:tcPr>
          <w:p w14:paraId="7322F665">
            <w:pPr>
              <w:spacing w:before="156" w:beforeLines="50" w:after="156" w:afterLines="50"/>
              <w:jc w:val="left"/>
              <w:rPr>
                <w:rFonts w:ascii="宋体"/>
                <w:b/>
                <w:kern w:val="0"/>
                <w:sz w:val="18"/>
                <w:szCs w:val="18"/>
              </w:rPr>
            </w:pPr>
          </w:p>
        </w:tc>
        <w:tc>
          <w:tcPr>
            <w:tcW w:w="2407" w:type="dxa"/>
            <w:vMerge w:val="continue"/>
            <w:vAlign w:val="center"/>
          </w:tcPr>
          <w:p w14:paraId="31400D90">
            <w:pPr>
              <w:spacing w:before="156" w:beforeLines="50" w:after="156" w:afterLines="50"/>
              <w:jc w:val="left"/>
              <w:rPr>
                <w:rFonts w:ascii="宋体"/>
                <w:b/>
                <w:kern w:val="0"/>
                <w:sz w:val="18"/>
                <w:szCs w:val="18"/>
              </w:rPr>
            </w:pPr>
          </w:p>
        </w:tc>
        <w:tc>
          <w:tcPr>
            <w:tcW w:w="8563" w:type="dxa"/>
            <w:gridSpan w:val="7"/>
            <w:vAlign w:val="center"/>
          </w:tcPr>
          <w:p w14:paraId="3DACBF93">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80" w:type="dxa"/>
            <w:vMerge w:val="restart"/>
            <w:vAlign w:val="center"/>
          </w:tcPr>
          <w:p w14:paraId="55FA3E60">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1E39E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2389" w:hRule="atLeast"/>
        </w:trPr>
        <w:tc>
          <w:tcPr>
            <w:tcW w:w="740" w:type="dxa"/>
            <w:vMerge w:val="continue"/>
            <w:vAlign w:val="center"/>
          </w:tcPr>
          <w:p w14:paraId="2831386C">
            <w:pPr>
              <w:spacing w:before="156" w:beforeLines="50" w:after="156" w:afterLines="50"/>
              <w:jc w:val="left"/>
              <w:rPr>
                <w:rFonts w:ascii="宋体"/>
                <w:b/>
                <w:kern w:val="0"/>
                <w:sz w:val="18"/>
                <w:szCs w:val="18"/>
              </w:rPr>
            </w:pPr>
          </w:p>
        </w:tc>
        <w:tc>
          <w:tcPr>
            <w:tcW w:w="977" w:type="dxa"/>
            <w:gridSpan w:val="3"/>
            <w:vMerge w:val="continue"/>
            <w:vAlign w:val="center"/>
          </w:tcPr>
          <w:p w14:paraId="1199D48E">
            <w:pPr>
              <w:spacing w:before="156" w:beforeLines="50" w:after="156" w:afterLines="50"/>
              <w:jc w:val="left"/>
              <w:rPr>
                <w:rFonts w:ascii="宋体"/>
                <w:b/>
                <w:kern w:val="0"/>
                <w:sz w:val="18"/>
                <w:szCs w:val="18"/>
              </w:rPr>
            </w:pPr>
          </w:p>
        </w:tc>
        <w:tc>
          <w:tcPr>
            <w:tcW w:w="1397" w:type="dxa"/>
            <w:gridSpan w:val="2"/>
            <w:vMerge w:val="continue"/>
            <w:vAlign w:val="center"/>
          </w:tcPr>
          <w:p w14:paraId="4FB81204">
            <w:pPr>
              <w:spacing w:before="156" w:beforeLines="50" w:after="156" w:afterLines="50"/>
              <w:jc w:val="left"/>
              <w:rPr>
                <w:rFonts w:ascii="宋体"/>
                <w:b/>
                <w:kern w:val="0"/>
                <w:sz w:val="18"/>
                <w:szCs w:val="18"/>
              </w:rPr>
            </w:pPr>
          </w:p>
        </w:tc>
        <w:tc>
          <w:tcPr>
            <w:tcW w:w="2031" w:type="dxa"/>
            <w:gridSpan w:val="2"/>
            <w:vMerge w:val="continue"/>
            <w:vAlign w:val="center"/>
          </w:tcPr>
          <w:p w14:paraId="40434CFF">
            <w:pPr>
              <w:spacing w:before="156" w:beforeLines="50" w:after="156" w:afterLines="50"/>
              <w:jc w:val="left"/>
              <w:rPr>
                <w:rFonts w:ascii="宋体"/>
                <w:b/>
                <w:kern w:val="0"/>
                <w:sz w:val="18"/>
                <w:szCs w:val="18"/>
              </w:rPr>
            </w:pPr>
          </w:p>
        </w:tc>
        <w:tc>
          <w:tcPr>
            <w:tcW w:w="925" w:type="dxa"/>
            <w:gridSpan w:val="2"/>
            <w:vMerge w:val="continue"/>
            <w:vAlign w:val="center"/>
          </w:tcPr>
          <w:p w14:paraId="702067FA">
            <w:pPr>
              <w:spacing w:before="156" w:beforeLines="50" w:after="156" w:afterLines="50"/>
              <w:jc w:val="left"/>
              <w:rPr>
                <w:rFonts w:ascii="宋体"/>
                <w:b/>
                <w:kern w:val="0"/>
                <w:sz w:val="18"/>
                <w:szCs w:val="18"/>
              </w:rPr>
            </w:pPr>
          </w:p>
        </w:tc>
        <w:tc>
          <w:tcPr>
            <w:tcW w:w="2407" w:type="dxa"/>
            <w:vMerge w:val="continue"/>
            <w:vAlign w:val="center"/>
          </w:tcPr>
          <w:p w14:paraId="3EE1E26A">
            <w:pPr>
              <w:spacing w:before="156" w:beforeLines="50" w:after="156" w:afterLines="50"/>
              <w:jc w:val="left"/>
              <w:rPr>
                <w:rFonts w:ascii="宋体"/>
                <w:b/>
                <w:kern w:val="0"/>
                <w:sz w:val="18"/>
                <w:szCs w:val="18"/>
              </w:rPr>
            </w:pPr>
          </w:p>
        </w:tc>
        <w:tc>
          <w:tcPr>
            <w:tcW w:w="2928" w:type="dxa"/>
            <w:gridSpan w:val="2"/>
            <w:vAlign w:val="center"/>
          </w:tcPr>
          <w:p w14:paraId="033FACFF">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011" w:type="dxa"/>
            <w:gridSpan w:val="2"/>
            <w:vAlign w:val="center"/>
          </w:tcPr>
          <w:p w14:paraId="3E2FE763">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24" w:type="dxa"/>
            <w:gridSpan w:val="3"/>
            <w:vAlign w:val="center"/>
          </w:tcPr>
          <w:p w14:paraId="04138084">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80" w:type="dxa"/>
            <w:vMerge w:val="continue"/>
            <w:vAlign w:val="center"/>
          </w:tcPr>
          <w:p w14:paraId="6FA845F9">
            <w:pPr>
              <w:spacing w:before="156" w:beforeLines="50" w:after="156" w:afterLines="50"/>
              <w:jc w:val="left"/>
              <w:rPr>
                <w:rFonts w:ascii="宋体"/>
                <w:b/>
                <w:sz w:val="18"/>
                <w:szCs w:val="18"/>
              </w:rPr>
            </w:pPr>
          </w:p>
        </w:tc>
      </w:tr>
      <w:tr w14:paraId="6EC30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restart"/>
            <w:vAlign w:val="center"/>
          </w:tcPr>
          <w:p w14:paraId="6E7899D9">
            <w:pPr>
              <w:spacing w:before="156" w:beforeLines="50" w:after="156" w:afterLines="50"/>
              <w:jc w:val="center"/>
              <w:rPr>
                <w:rFonts w:ascii="宋体"/>
                <w:kern w:val="0"/>
                <w:sz w:val="18"/>
                <w:szCs w:val="18"/>
              </w:rPr>
            </w:pPr>
            <w:r>
              <w:rPr>
                <w:rFonts w:hint="eastAsia" w:ascii="宋体"/>
                <w:kern w:val="0"/>
                <w:sz w:val="18"/>
                <w:szCs w:val="18"/>
              </w:rPr>
              <w:t>2</w:t>
            </w:r>
          </w:p>
        </w:tc>
        <w:tc>
          <w:tcPr>
            <w:tcW w:w="977" w:type="dxa"/>
            <w:gridSpan w:val="3"/>
            <w:vMerge w:val="restart"/>
            <w:vAlign w:val="center"/>
          </w:tcPr>
          <w:p w14:paraId="7A318A64">
            <w:pPr>
              <w:widowControl/>
              <w:spacing w:before="156" w:beforeLines="50" w:after="156" w:afterLines="50"/>
              <w:rPr>
                <w:rFonts w:ascii="宋体"/>
                <w:kern w:val="0"/>
                <w:sz w:val="18"/>
                <w:szCs w:val="18"/>
              </w:rPr>
            </w:pPr>
            <w:r>
              <w:rPr>
                <w:rFonts w:hint="eastAsia" w:ascii="宋体"/>
                <w:sz w:val="18"/>
                <w:szCs w:val="18"/>
              </w:rPr>
              <w:t>未按照规定的航路或者航行规则航行</w:t>
            </w:r>
          </w:p>
        </w:tc>
        <w:tc>
          <w:tcPr>
            <w:tcW w:w="1397" w:type="dxa"/>
            <w:gridSpan w:val="2"/>
            <w:vMerge w:val="restart"/>
            <w:vAlign w:val="center"/>
          </w:tcPr>
          <w:p w14:paraId="0622FBE1">
            <w:pPr>
              <w:widowControl/>
              <w:spacing w:before="156" w:beforeLines="50" w:after="156" w:afterLines="50"/>
              <w:rPr>
                <w:rFonts w:ascii="宋体"/>
                <w:sz w:val="18"/>
                <w:szCs w:val="18"/>
              </w:rPr>
            </w:pPr>
            <w:r>
              <w:rPr>
                <w:rFonts w:hint="eastAsia" w:ascii="宋体"/>
                <w:sz w:val="18"/>
                <w:szCs w:val="18"/>
              </w:rPr>
              <w:t>1.《中华人民共和国内河交通安全管理条例》第十六条；</w:t>
            </w:r>
          </w:p>
          <w:p w14:paraId="55C5E118">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修订本）第八条；</w:t>
            </w:r>
          </w:p>
          <w:p w14:paraId="6CFD7351">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2031" w:type="dxa"/>
            <w:gridSpan w:val="2"/>
            <w:vMerge w:val="restart"/>
            <w:vAlign w:val="center"/>
          </w:tcPr>
          <w:p w14:paraId="3044D1B3">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4C4BE502">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2.《中华人民共和国内河海事行政处罚规定》第十七条第一款和第二款第（三）项；</w:t>
            </w:r>
          </w:p>
          <w:p w14:paraId="03A22FBB">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p w14:paraId="13AD307F">
            <w:pPr>
              <w:spacing w:before="156" w:beforeLines="50" w:after="156" w:afterLines="50"/>
              <w:rPr>
                <w:rFonts w:ascii="宋体"/>
                <w:sz w:val="18"/>
                <w:szCs w:val="18"/>
              </w:rPr>
            </w:pPr>
          </w:p>
        </w:tc>
        <w:tc>
          <w:tcPr>
            <w:tcW w:w="925" w:type="dxa"/>
            <w:gridSpan w:val="2"/>
            <w:vAlign w:val="center"/>
          </w:tcPr>
          <w:p w14:paraId="2131E137">
            <w:pPr>
              <w:spacing w:before="156" w:beforeLines="50" w:after="156" w:afterLines="50"/>
              <w:jc w:val="center"/>
              <w:rPr>
                <w:rFonts w:ascii="宋体"/>
                <w:kern w:val="0"/>
                <w:sz w:val="18"/>
                <w:szCs w:val="18"/>
              </w:rPr>
            </w:pPr>
            <w:r>
              <w:rPr>
                <w:rFonts w:hint="eastAsia" w:ascii="宋体"/>
                <w:kern w:val="0"/>
                <w:sz w:val="18"/>
                <w:szCs w:val="18"/>
              </w:rPr>
              <w:t>从轻</w:t>
            </w:r>
          </w:p>
        </w:tc>
        <w:tc>
          <w:tcPr>
            <w:tcW w:w="2407" w:type="dxa"/>
            <w:vAlign w:val="center"/>
          </w:tcPr>
          <w:p w14:paraId="70E1765E">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8" w:type="dxa"/>
            <w:gridSpan w:val="2"/>
            <w:vAlign w:val="center"/>
          </w:tcPr>
          <w:p w14:paraId="3E1FF8B9">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011" w:type="dxa"/>
            <w:gridSpan w:val="2"/>
            <w:vAlign w:val="center"/>
          </w:tcPr>
          <w:p w14:paraId="11ABB531">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624" w:type="dxa"/>
            <w:gridSpan w:val="3"/>
            <w:vAlign w:val="center"/>
          </w:tcPr>
          <w:p w14:paraId="71249937">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480" w:type="dxa"/>
            <w:vAlign w:val="center"/>
          </w:tcPr>
          <w:p w14:paraId="04B5AAD5">
            <w:pPr>
              <w:spacing w:before="156" w:beforeLines="50" w:after="156" w:afterLines="50"/>
              <w:jc w:val="center"/>
              <w:rPr>
                <w:rFonts w:ascii="宋体"/>
                <w:kern w:val="0"/>
                <w:sz w:val="18"/>
                <w:szCs w:val="18"/>
              </w:rPr>
            </w:pPr>
            <w:r>
              <w:rPr>
                <w:rFonts w:ascii="宋体"/>
                <w:kern w:val="0"/>
                <w:sz w:val="18"/>
                <w:szCs w:val="18"/>
              </w:rPr>
              <w:t>/</w:t>
            </w:r>
          </w:p>
        </w:tc>
      </w:tr>
      <w:tr w14:paraId="1D1C0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continue"/>
            <w:vAlign w:val="center"/>
          </w:tcPr>
          <w:p w14:paraId="3AD43313">
            <w:pPr>
              <w:spacing w:before="156" w:beforeLines="50" w:after="156" w:afterLines="50"/>
              <w:jc w:val="left"/>
              <w:rPr>
                <w:rFonts w:ascii="宋体"/>
                <w:kern w:val="0"/>
                <w:sz w:val="18"/>
                <w:szCs w:val="18"/>
              </w:rPr>
            </w:pPr>
          </w:p>
        </w:tc>
        <w:tc>
          <w:tcPr>
            <w:tcW w:w="977" w:type="dxa"/>
            <w:gridSpan w:val="3"/>
            <w:vMerge w:val="continue"/>
            <w:vAlign w:val="center"/>
          </w:tcPr>
          <w:p w14:paraId="3EB58AD0">
            <w:pPr>
              <w:spacing w:before="156" w:beforeLines="50" w:after="156" w:afterLines="50"/>
              <w:jc w:val="left"/>
              <w:rPr>
                <w:rFonts w:ascii="宋体"/>
                <w:kern w:val="0"/>
                <w:sz w:val="18"/>
                <w:szCs w:val="18"/>
              </w:rPr>
            </w:pPr>
          </w:p>
        </w:tc>
        <w:tc>
          <w:tcPr>
            <w:tcW w:w="1397" w:type="dxa"/>
            <w:gridSpan w:val="2"/>
            <w:vMerge w:val="continue"/>
            <w:vAlign w:val="center"/>
          </w:tcPr>
          <w:p w14:paraId="2D71CFB3">
            <w:pPr>
              <w:widowControl/>
              <w:spacing w:before="156" w:beforeLines="50" w:after="156" w:afterLines="50"/>
              <w:jc w:val="left"/>
              <w:rPr>
                <w:rFonts w:ascii="宋体"/>
                <w:kern w:val="0"/>
                <w:sz w:val="18"/>
                <w:szCs w:val="18"/>
              </w:rPr>
            </w:pPr>
          </w:p>
        </w:tc>
        <w:tc>
          <w:tcPr>
            <w:tcW w:w="2031" w:type="dxa"/>
            <w:gridSpan w:val="2"/>
            <w:vMerge w:val="continue"/>
            <w:vAlign w:val="center"/>
          </w:tcPr>
          <w:p w14:paraId="058FFA28">
            <w:pPr>
              <w:spacing w:before="156" w:beforeLines="50" w:after="156" w:afterLines="50"/>
              <w:jc w:val="left"/>
              <w:rPr>
                <w:rFonts w:ascii="宋体"/>
                <w:kern w:val="0"/>
                <w:sz w:val="18"/>
                <w:szCs w:val="18"/>
              </w:rPr>
            </w:pPr>
          </w:p>
        </w:tc>
        <w:tc>
          <w:tcPr>
            <w:tcW w:w="925" w:type="dxa"/>
            <w:gridSpan w:val="2"/>
            <w:vMerge w:val="restart"/>
            <w:vAlign w:val="center"/>
          </w:tcPr>
          <w:p w14:paraId="0C6671E9">
            <w:pPr>
              <w:spacing w:before="156" w:beforeLines="50" w:after="156" w:afterLines="50"/>
              <w:jc w:val="center"/>
              <w:rPr>
                <w:rFonts w:ascii="宋体"/>
                <w:kern w:val="0"/>
                <w:sz w:val="18"/>
                <w:szCs w:val="18"/>
              </w:rPr>
            </w:pPr>
            <w:r>
              <w:rPr>
                <w:rFonts w:hint="eastAsia" w:ascii="宋体"/>
                <w:kern w:val="0"/>
                <w:sz w:val="18"/>
                <w:szCs w:val="18"/>
              </w:rPr>
              <w:t>一般</w:t>
            </w:r>
          </w:p>
        </w:tc>
        <w:tc>
          <w:tcPr>
            <w:tcW w:w="2407" w:type="dxa"/>
            <w:vAlign w:val="center"/>
          </w:tcPr>
          <w:p w14:paraId="5DB07EAB">
            <w:pPr>
              <w:widowControl/>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船舶未按照规定的航路或者航行规则航行未造成险情、事故的。</w:t>
            </w:r>
          </w:p>
        </w:tc>
        <w:tc>
          <w:tcPr>
            <w:tcW w:w="2928" w:type="dxa"/>
            <w:gridSpan w:val="2"/>
            <w:vAlign w:val="center"/>
          </w:tcPr>
          <w:p w14:paraId="0290D835">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3011" w:type="dxa"/>
            <w:gridSpan w:val="2"/>
            <w:vAlign w:val="center"/>
          </w:tcPr>
          <w:p w14:paraId="02C27840">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624" w:type="dxa"/>
            <w:gridSpan w:val="3"/>
            <w:vAlign w:val="center"/>
          </w:tcPr>
          <w:p w14:paraId="6F3CC9C5">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480" w:type="dxa"/>
            <w:vAlign w:val="center"/>
          </w:tcPr>
          <w:p w14:paraId="6DA312F8">
            <w:pPr>
              <w:spacing w:before="156" w:beforeLines="50" w:after="156" w:afterLines="50"/>
              <w:jc w:val="center"/>
              <w:rPr>
                <w:rFonts w:ascii="宋体"/>
                <w:kern w:val="0"/>
                <w:sz w:val="18"/>
                <w:szCs w:val="18"/>
              </w:rPr>
            </w:pPr>
            <w:r>
              <w:rPr>
                <w:rFonts w:ascii="宋体"/>
                <w:kern w:val="0"/>
                <w:sz w:val="18"/>
                <w:szCs w:val="18"/>
              </w:rPr>
              <w:t>/</w:t>
            </w:r>
          </w:p>
        </w:tc>
      </w:tr>
      <w:tr w14:paraId="78D30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536" w:hRule="atLeast"/>
        </w:trPr>
        <w:tc>
          <w:tcPr>
            <w:tcW w:w="740" w:type="dxa"/>
            <w:vMerge w:val="continue"/>
            <w:vAlign w:val="center"/>
          </w:tcPr>
          <w:p w14:paraId="23650411">
            <w:pPr>
              <w:spacing w:before="156" w:beforeLines="50" w:after="156" w:afterLines="50"/>
              <w:jc w:val="left"/>
              <w:rPr>
                <w:rFonts w:ascii="宋体"/>
                <w:kern w:val="0"/>
                <w:sz w:val="18"/>
                <w:szCs w:val="18"/>
              </w:rPr>
            </w:pPr>
          </w:p>
        </w:tc>
        <w:tc>
          <w:tcPr>
            <w:tcW w:w="977" w:type="dxa"/>
            <w:gridSpan w:val="3"/>
            <w:vMerge w:val="continue"/>
            <w:vAlign w:val="center"/>
          </w:tcPr>
          <w:p w14:paraId="26066664">
            <w:pPr>
              <w:spacing w:before="156" w:beforeLines="50" w:after="156" w:afterLines="50"/>
              <w:jc w:val="left"/>
              <w:rPr>
                <w:rFonts w:ascii="宋体"/>
                <w:kern w:val="0"/>
                <w:sz w:val="18"/>
                <w:szCs w:val="18"/>
              </w:rPr>
            </w:pPr>
          </w:p>
        </w:tc>
        <w:tc>
          <w:tcPr>
            <w:tcW w:w="1397" w:type="dxa"/>
            <w:gridSpan w:val="2"/>
            <w:vMerge w:val="continue"/>
            <w:vAlign w:val="center"/>
          </w:tcPr>
          <w:p w14:paraId="7ABC26A8">
            <w:pPr>
              <w:spacing w:before="156" w:beforeLines="50" w:after="156" w:afterLines="50"/>
              <w:jc w:val="left"/>
              <w:rPr>
                <w:rFonts w:ascii="宋体"/>
                <w:kern w:val="0"/>
                <w:sz w:val="18"/>
                <w:szCs w:val="18"/>
              </w:rPr>
            </w:pPr>
          </w:p>
        </w:tc>
        <w:tc>
          <w:tcPr>
            <w:tcW w:w="2031" w:type="dxa"/>
            <w:gridSpan w:val="2"/>
            <w:vMerge w:val="continue"/>
            <w:vAlign w:val="center"/>
          </w:tcPr>
          <w:p w14:paraId="5B2F740C">
            <w:pPr>
              <w:spacing w:before="156" w:beforeLines="50" w:after="156" w:afterLines="50"/>
              <w:jc w:val="left"/>
              <w:rPr>
                <w:rFonts w:ascii="宋体"/>
                <w:kern w:val="0"/>
                <w:sz w:val="18"/>
                <w:szCs w:val="18"/>
              </w:rPr>
            </w:pPr>
          </w:p>
        </w:tc>
        <w:tc>
          <w:tcPr>
            <w:tcW w:w="925" w:type="dxa"/>
            <w:gridSpan w:val="2"/>
            <w:vMerge w:val="continue"/>
            <w:vAlign w:val="center"/>
          </w:tcPr>
          <w:p w14:paraId="3BA09663">
            <w:pPr>
              <w:spacing w:before="156" w:beforeLines="50" w:after="156" w:afterLines="50"/>
              <w:jc w:val="center"/>
              <w:rPr>
                <w:rFonts w:ascii="宋体"/>
                <w:kern w:val="0"/>
                <w:sz w:val="18"/>
                <w:szCs w:val="18"/>
              </w:rPr>
            </w:pPr>
          </w:p>
        </w:tc>
        <w:tc>
          <w:tcPr>
            <w:tcW w:w="2407" w:type="dxa"/>
            <w:vAlign w:val="center"/>
          </w:tcPr>
          <w:p w14:paraId="28D1FAA4">
            <w:pPr>
              <w:widowControl/>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船舶未按照规定的航路或者航行规则航行造成一般以下等级水上交通事故的。</w:t>
            </w:r>
          </w:p>
        </w:tc>
        <w:tc>
          <w:tcPr>
            <w:tcW w:w="2928" w:type="dxa"/>
            <w:gridSpan w:val="2"/>
            <w:vAlign w:val="center"/>
          </w:tcPr>
          <w:p w14:paraId="40B2F24D">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3011" w:type="dxa"/>
            <w:gridSpan w:val="2"/>
            <w:vAlign w:val="center"/>
          </w:tcPr>
          <w:p w14:paraId="5D5A7BB3">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624" w:type="dxa"/>
            <w:gridSpan w:val="3"/>
            <w:vAlign w:val="center"/>
          </w:tcPr>
          <w:p w14:paraId="1B3CF898">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480" w:type="dxa"/>
            <w:vAlign w:val="center"/>
          </w:tcPr>
          <w:p w14:paraId="54FB4F62">
            <w:pPr>
              <w:spacing w:before="156" w:beforeLines="50" w:after="156" w:afterLines="50"/>
              <w:jc w:val="center"/>
              <w:rPr>
                <w:rFonts w:ascii="宋体"/>
                <w:kern w:val="0"/>
                <w:sz w:val="18"/>
                <w:szCs w:val="18"/>
              </w:rPr>
            </w:pPr>
            <w:r>
              <w:rPr>
                <w:rFonts w:ascii="宋体"/>
                <w:kern w:val="0"/>
                <w:sz w:val="18"/>
                <w:szCs w:val="18"/>
              </w:rPr>
              <w:t>/</w:t>
            </w:r>
          </w:p>
        </w:tc>
      </w:tr>
      <w:tr w14:paraId="1F815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72" w:hRule="atLeast"/>
        </w:trPr>
        <w:tc>
          <w:tcPr>
            <w:tcW w:w="740" w:type="dxa"/>
            <w:vMerge w:val="continue"/>
            <w:vAlign w:val="center"/>
          </w:tcPr>
          <w:p w14:paraId="0F0ECB3C">
            <w:pPr>
              <w:spacing w:before="156" w:beforeLines="50" w:after="156" w:afterLines="50"/>
              <w:jc w:val="left"/>
              <w:rPr>
                <w:rFonts w:ascii="宋体"/>
                <w:kern w:val="0"/>
                <w:sz w:val="18"/>
                <w:szCs w:val="18"/>
              </w:rPr>
            </w:pPr>
          </w:p>
        </w:tc>
        <w:tc>
          <w:tcPr>
            <w:tcW w:w="977" w:type="dxa"/>
            <w:gridSpan w:val="3"/>
            <w:vMerge w:val="continue"/>
            <w:vAlign w:val="center"/>
          </w:tcPr>
          <w:p w14:paraId="76BD3C3D">
            <w:pPr>
              <w:spacing w:before="156" w:beforeLines="50" w:after="156" w:afterLines="50"/>
              <w:jc w:val="left"/>
              <w:rPr>
                <w:rFonts w:ascii="宋体"/>
                <w:kern w:val="0"/>
                <w:sz w:val="18"/>
                <w:szCs w:val="18"/>
              </w:rPr>
            </w:pPr>
          </w:p>
        </w:tc>
        <w:tc>
          <w:tcPr>
            <w:tcW w:w="1397" w:type="dxa"/>
            <w:gridSpan w:val="2"/>
            <w:vMerge w:val="continue"/>
            <w:vAlign w:val="center"/>
          </w:tcPr>
          <w:p w14:paraId="454EA30F">
            <w:pPr>
              <w:spacing w:before="156" w:beforeLines="50" w:after="156" w:afterLines="50"/>
              <w:jc w:val="left"/>
              <w:rPr>
                <w:rFonts w:ascii="宋体"/>
                <w:kern w:val="0"/>
                <w:sz w:val="18"/>
                <w:szCs w:val="18"/>
              </w:rPr>
            </w:pPr>
          </w:p>
        </w:tc>
        <w:tc>
          <w:tcPr>
            <w:tcW w:w="2031" w:type="dxa"/>
            <w:gridSpan w:val="2"/>
            <w:vMerge w:val="continue"/>
            <w:vAlign w:val="center"/>
          </w:tcPr>
          <w:p w14:paraId="64D95240">
            <w:pPr>
              <w:spacing w:before="156" w:beforeLines="50" w:after="156" w:afterLines="50"/>
              <w:jc w:val="left"/>
              <w:rPr>
                <w:rFonts w:ascii="宋体"/>
                <w:kern w:val="0"/>
                <w:sz w:val="18"/>
                <w:szCs w:val="18"/>
              </w:rPr>
            </w:pPr>
          </w:p>
        </w:tc>
        <w:tc>
          <w:tcPr>
            <w:tcW w:w="925" w:type="dxa"/>
            <w:gridSpan w:val="2"/>
            <w:vMerge w:val="restart"/>
            <w:vAlign w:val="center"/>
          </w:tcPr>
          <w:p w14:paraId="2F2F77C2">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07" w:type="dxa"/>
            <w:tcBorders>
              <w:bottom w:val="single" w:color="auto" w:sz="4" w:space="0"/>
            </w:tcBorders>
            <w:vAlign w:val="center"/>
          </w:tcPr>
          <w:p w14:paraId="2343BACE">
            <w:pPr>
              <w:spacing w:before="156" w:beforeLines="50" w:after="156" w:afterLines="50"/>
              <w:jc w:val="left"/>
              <w:rPr>
                <w:rFonts w:ascii="宋体"/>
                <w:kern w:val="0"/>
                <w:sz w:val="18"/>
                <w:szCs w:val="18"/>
              </w:rPr>
            </w:pPr>
            <w:r>
              <w:rPr>
                <w:rFonts w:hint="eastAsia" w:ascii="宋体"/>
                <w:kern w:val="0"/>
                <w:sz w:val="18"/>
                <w:szCs w:val="18"/>
              </w:rPr>
              <w:t>船舶未按照规定的航路或者航行规则航行造成一般及以上等级水上交通事故的。</w:t>
            </w:r>
          </w:p>
        </w:tc>
        <w:tc>
          <w:tcPr>
            <w:tcW w:w="2928" w:type="dxa"/>
            <w:gridSpan w:val="2"/>
            <w:vMerge w:val="restart"/>
            <w:vAlign w:val="center"/>
          </w:tcPr>
          <w:p w14:paraId="34B23DFB">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3011" w:type="dxa"/>
            <w:gridSpan w:val="2"/>
            <w:vMerge w:val="restart"/>
            <w:vAlign w:val="center"/>
          </w:tcPr>
          <w:p w14:paraId="7F6CE92F">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624" w:type="dxa"/>
            <w:gridSpan w:val="3"/>
            <w:vMerge w:val="restart"/>
            <w:vAlign w:val="center"/>
          </w:tcPr>
          <w:p w14:paraId="6596D165">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3480" w:type="dxa"/>
            <w:tcBorders>
              <w:bottom w:val="single" w:color="auto" w:sz="4" w:space="0"/>
            </w:tcBorders>
            <w:vAlign w:val="center"/>
          </w:tcPr>
          <w:p w14:paraId="5CAA8E86">
            <w:pPr>
              <w:spacing w:before="156" w:beforeLines="50" w:after="156" w:afterLines="50"/>
              <w:jc w:val="left"/>
              <w:rPr>
                <w:rFonts w:ascii="宋体"/>
                <w:kern w:val="0"/>
                <w:sz w:val="18"/>
                <w:szCs w:val="18"/>
              </w:rPr>
            </w:pPr>
            <w:r>
              <w:rPr>
                <w:rFonts w:hint="eastAsia" w:ascii="宋体"/>
                <w:kern w:val="0"/>
                <w:sz w:val="18"/>
                <w:szCs w:val="18"/>
              </w:rPr>
              <w:t>未按照规定的航路或者航行规则航行造成一般及以上等级水上交通事故的，暂扣直至吊销证书处罚的裁量按照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5A35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52" w:type="dxa"/>
          <w:trHeight w:val="220" w:hRule="atLeast"/>
        </w:trPr>
        <w:tc>
          <w:tcPr>
            <w:tcW w:w="740" w:type="dxa"/>
            <w:vMerge w:val="continue"/>
            <w:vAlign w:val="center"/>
          </w:tcPr>
          <w:p w14:paraId="4CFFB151">
            <w:pPr>
              <w:spacing w:before="156" w:beforeLines="50" w:after="156" w:afterLines="50"/>
              <w:jc w:val="left"/>
              <w:rPr>
                <w:rFonts w:ascii="宋体"/>
                <w:kern w:val="0"/>
                <w:sz w:val="18"/>
                <w:szCs w:val="18"/>
              </w:rPr>
            </w:pPr>
          </w:p>
        </w:tc>
        <w:tc>
          <w:tcPr>
            <w:tcW w:w="977" w:type="dxa"/>
            <w:gridSpan w:val="3"/>
            <w:vMerge w:val="continue"/>
            <w:vAlign w:val="center"/>
          </w:tcPr>
          <w:p w14:paraId="49A07B6E">
            <w:pPr>
              <w:spacing w:before="156" w:beforeLines="50" w:after="156" w:afterLines="50"/>
              <w:jc w:val="left"/>
              <w:rPr>
                <w:rFonts w:ascii="宋体"/>
                <w:kern w:val="0"/>
                <w:sz w:val="18"/>
                <w:szCs w:val="18"/>
              </w:rPr>
            </w:pPr>
          </w:p>
        </w:tc>
        <w:tc>
          <w:tcPr>
            <w:tcW w:w="1397" w:type="dxa"/>
            <w:gridSpan w:val="2"/>
            <w:vMerge w:val="continue"/>
            <w:vAlign w:val="center"/>
          </w:tcPr>
          <w:p w14:paraId="19185784">
            <w:pPr>
              <w:spacing w:before="156" w:beforeLines="50" w:after="156" w:afterLines="50"/>
              <w:jc w:val="left"/>
              <w:rPr>
                <w:rFonts w:ascii="宋体"/>
                <w:kern w:val="0"/>
                <w:sz w:val="18"/>
                <w:szCs w:val="18"/>
              </w:rPr>
            </w:pPr>
          </w:p>
        </w:tc>
        <w:tc>
          <w:tcPr>
            <w:tcW w:w="2031" w:type="dxa"/>
            <w:gridSpan w:val="2"/>
            <w:vMerge w:val="continue"/>
            <w:vAlign w:val="center"/>
          </w:tcPr>
          <w:p w14:paraId="5C4D6E6F">
            <w:pPr>
              <w:spacing w:before="156" w:beforeLines="50" w:after="156" w:afterLines="50"/>
              <w:jc w:val="left"/>
              <w:rPr>
                <w:rFonts w:ascii="宋体"/>
                <w:kern w:val="0"/>
                <w:sz w:val="18"/>
                <w:szCs w:val="18"/>
              </w:rPr>
            </w:pPr>
          </w:p>
        </w:tc>
        <w:tc>
          <w:tcPr>
            <w:tcW w:w="925" w:type="dxa"/>
            <w:gridSpan w:val="2"/>
            <w:vMerge w:val="continue"/>
            <w:vAlign w:val="center"/>
          </w:tcPr>
          <w:p w14:paraId="74BBD571">
            <w:pPr>
              <w:spacing w:before="156" w:beforeLines="50" w:after="156" w:afterLines="50"/>
              <w:jc w:val="center"/>
              <w:rPr>
                <w:rFonts w:ascii="宋体"/>
                <w:kern w:val="0"/>
                <w:sz w:val="18"/>
                <w:szCs w:val="18"/>
              </w:rPr>
            </w:pPr>
          </w:p>
        </w:tc>
        <w:tc>
          <w:tcPr>
            <w:tcW w:w="2407" w:type="dxa"/>
            <w:tcBorders>
              <w:top w:val="single" w:color="auto" w:sz="4" w:space="0"/>
            </w:tcBorders>
            <w:vAlign w:val="center"/>
          </w:tcPr>
          <w:p w14:paraId="0DA86617">
            <w:pPr>
              <w:spacing w:before="156" w:beforeLines="50" w:after="156" w:afterLines="50"/>
              <w:jc w:val="left"/>
              <w:rPr>
                <w:rFonts w:ascii="宋体"/>
                <w:sz w:val="18"/>
                <w:szCs w:val="18"/>
              </w:rPr>
            </w:pPr>
            <w:r>
              <w:rPr>
                <w:rFonts w:hint="eastAsia" w:ascii="宋体"/>
                <w:kern w:val="0"/>
                <w:sz w:val="18"/>
                <w:szCs w:val="18"/>
              </w:rPr>
              <w:t>具有其他严重情节的。</w:t>
            </w:r>
          </w:p>
        </w:tc>
        <w:tc>
          <w:tcPr>
            <w:tcW w:w="2928" w:type="dxa"/>
            <w:gridSpan w:val="2"/>
            <w:vMerge w:val="continue"/>
            <w:vAlign w:val="center"/>
          </w:tcPr>
          <w:p w14:paraId="39D4C91D">
            <w:pPr>
              <w:spacing w:before="156" w:beforeLines="50" w:after="156" w:afterLines="50"/>
              <w:jc w:val="left"/>
              <w:rPr>
                <w:rFonts w:ascii="宋体"/>
                <w:sz w:val="18"/>
                <w:szCs w:val="18"/>
              </w:rPr>
            </w:pPr>
          </w:p>
        </w:tc>
        <w:tc>
          <w:tcPr>
            <w:tcW w:w="3011" w:type="dxa"/>
            <w:gridSpan w:val="2"/>
            <w:vMerge w:val="continue"/>
            <w:vAlign w:val="center"/>
          </w:tcPr>
          <w:p w14:paraId="75BCCF7C">
            <w:pPr>
              <w:spacing w:before="156" w:beforeLines="50" w:after="156" w:afterLines="50"/>
              <w:jc w:val="left"/>
              <w:rPr>
                <w:rFonts w:ascii="宋体"/>
                <w:sz w:val="18"/>
                <w:szCs w:val="18"/>
              </w:rPr>
            </w:pPr>
          </w:p>
        </w:tc>
        <w:tc>
          <w:tcPr>
            <w:tcW w:w="2624" w:type="dxa"/>
            <w:gridSpan w:val="3"/>
            <w:vMerge w:val="continue"/>
            <w:vAlign w:val="center"/>
          </w:tcPr>
          <w:p w14:paraId="6C9770AC">
            <w:pPr>
              <w:spacing w:before="156" w:beforeLines="50" w:after="156" w:afterLines="50"/>
              <w:jc w:val="left"/>
              <w:rPr>
                <w:rFonts w:ascii="宋体"/>
                <w:spacing w:val="-4"/>
                <w:kern w:val="0"/>
                <w:sz w:val="18"/>
                <w:szCs w:val="18"/>
              </w:rPr>
            </w:pPr>
          </w:p>
        </w:tc>
        <w:tc>
          <w:tcPr>
            <w:tcW w:w="3480" w:type="dxa"/>
            <w:tcBorders>
              <w:top w:val="single" w:color="auto" w:sz="4" w:space="0"/>
            </w:tcBorders>
            <w:vAlign w:val="center"/>
          </w:tcPr>
          <w:p w14:paraId="620B9114">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3C1680A5">
      <w:pPr>
        <w:spacing w:before="156" w:beforeLines="50" w:after="156" w:afterLines="50"/>
        <w:jc w:val="left"/>
        <w:rPr>
          <w:rFonts w:ascii="宋体"/>
          <w:sz w:val="18"/>
          <w:szCs w:val="18"/>
        </w:rPr>
      </w:pPr>
      <w:r>
        <w:rPr>
          <w:rFonts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0"/>
        <w:gridCol w:w="800"/>
        <w:gridCol w:w="1560"/>
        <w:gridCol w:w="1806"/>
        <w:gridCol w:w="1130"/>
        <w:gridCol w:w="2448"/>
        <w:gridCol w:w="3013"/>
        <w:gridCol w:w="2873"/>
        <w:gridCol w:w="2853"/>
        <w:gridCol w:w="3617"/>
      </w:tblGrid>
      <w:tr w14:paraId="50F71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420" w:type="dxa"/>
            <w:vMerge w:val="restart"/>
            <w:vAlign w:val="center"/>
          </w:tcPr>
          <w:p w14:paraId="23D238E3">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00" w:type="dxa"/>
            <w:vMerge w:val="restart"/>
            <w:vAlign w:val="center"/>
          </w:tcPr>
          <w:p w14:paraId="5DB13A4F">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366" w:type="dxa"/>
            <w:gridSpan w:val="2"/>
            <w:vMerge w:val="restart"/>
            <w:vAlign w:val="center"/>
          </w:tcPr>
          <w:p w14:paraId="13F14BD3">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0" w:type="dxa"/>
            <w:vMerge w:val="restart"/>
            <w:vAlign w:val="center"/>
          </w:tcPr>
          <w:p w14:paraId="47336B1C">
            <w:pPr>
              <w:spacing w:before="156" w:beforeLines="50" w:after="156" w:afterLines="50"/>
              <w:jc w:val="center"/>
              <w:rPr>
                <w:rFonts w:ascii="宋体"/>
                <w:b/>
                <w:kern w:val="0"/>
                <w:sz w:val="18"/>
                <w:szCs w:val="18"/>
              </w:rPr>
            </w:pPr>
            <w:r>
              <w:rPr>
                <w:rFonts w:hint="eastAsia" w:ascii="宋体"/>
                <w:b/>
                <w:kern w:val="0"/>
                <w:sz w:val="18"/>
                <w:szCs w:val="18"/>
              </w:rPr>
              <w:t>违法行</w:t>
            </w:r>
          </w:p>
          <w:p w14:paraId="3DA8255F">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48" w:type="dxa"/>
            <w:vMerge w:val="restart"/>
            <w:vAlign w:val="center"/>
          </w:tcPr>
          <w:p w14:paraId="0C852B28">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DEE4A2F">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2356" w:type="dxa"/>
            <w:gridSpan w:val="4"/>
            <w:vAlign w:val="center"/>
          </w:tcPr>
          <w:p w14:paraId="0C0237D3">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296A9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14:paraId="21633E61">
            <w:pPr>
              <w:spacing w:before="156" w:beforeLines="50" w:after="156" w:afterLines="50"/>
              <w:jc w:val="center"/>
              <w:rPr>
                <w:rFonts w:ascii="宋体"/>
                <w:b/>
                <w:kern w:val="0"/>
                <w:sz w:val="18"/>
                <w:szCs w:val="18"/>
              </w:rPr>
            </w:pPr>
          </w:p>
        </w:tc>
        <w:tc>
          <w:tcPr>
            <w:tcW w:w="800" w:type="dxa"/>
            <w:vMerge w:val="continue"/>
            <w:vAlign w:val="center"/>
          </w:tcPr>
          <w:p w14:paraId="358D3A3F">
            <w:pPr>
              <w:spacing w:before="156" w:beforeLines="50" w:after="156" w:afterLines="50"/>
              <w:jc w:val="center"/>
              <w:rPr>
                <w:rFonts w:ascii="宋体"/>
                <w:b/>
                <w:kern w:val="0"/>
                <w:sz w:val="18"/>
                <w:szCs w:val="18"/>
              </w:rPr>
            </w:pPr>
          </w:p>
        </w:tc>
        <w:tc>
          <w:tcPr>
            <w:tcW w:w="3366" w:type="dxa"/>
            <w:gridSpan w:val="2"/>
            <w:vMerge w:val="continue"/>
            <w:vAlign w:val="center"/>
          </w:tcPr>
          <w:p w14:paraId="7D53B31E">
            <w:pPr>
              <w:spacing w:before="156" w:beforeLines="50" w:after="156" w:afterLines="50"/>
              <w:jc w:val="center"/>
              <w:rPr>
                <w:rFonts w:ascii="宋体"/>
                <w:b/>
                <w:kern w:val="0"/>
                <w:sz w:val="18"/>
                <w:szCs w:val="18"/>
              </w:rPr>
            </w:pPr>
          </w:p>
        </w:tc>
        <w:tc>
          <w:tcPr>
            <w:tcW w:w="1130" w:type="dxa"/>
            <w:vMerge w:val="continue"/>
            <w:vAlign w:val="center"/>
          </w:tcPr>
          <w:p w14:paraId="03014357">
            <w:pPr>
              <w:spacing w:before="156" w:beforeLines="50" w:after="156" w:afterLines="50"/>
              <w:jc w:val="left"/>
              <w:rPr>
                <w:rFonts w:ascii="宋体"/>
                <w:b/>
                <w:kern w:val="0"/>
                <w:sz w:val="18"/>
                <w:szCs w:val="18"/>
              </w:rPr>
            </w:pPr>
          </w:p>
        </w:tc>
        <w:tc>
          <w:tcPr>
            <w:tcW w:w="2448" w:type="dxa"/>
            <w:vMerge w:val="continue"/>
            <w:vAlign w:val="center"/>
          </w:tcPr>
          <w:p w14:paraId="1E4250C5">
            <w:pPr>
              <w:spacing w:before="156" w:beforeLines="50" w:after="156" w:afterLines="50"/>
              <w:jc w:val="left"/>
              <w:rPr>
                <w:rFonts w:ascii="宋体"/>
                <w:b/>
                <w:kern w:val="0"/>
                <w:sz w:val="18"/>
                <w:szCs w:val="18"/>
              </w:rPr>
            </w:pPr>
          </w:p>
        </w:tc>
        <w:tc>
          <w:tcPr>
            <w:tcW w:w="12356" w:type="dxa"/>
            <w:gridSpan w:val="4"/>
            <w:vAlign w:val="center"/>
          </w:tcPr>
          <w:p w14:paraId="4655F586">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5C8CC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14:paraId="6F7BDA24">
            <w:pPr>
              <w:spacing w:before="156" w:beforeLines="50" w:after="156" w:afterLines="50"/>
              <w:jc w:val="center"/>
              <w:rPr>
                <w:rFonts w:ascii="宋体"/>
                <w:b/>
                <w:kern w:val="0"/>
                <w:sz w:val="18"/>
                <w:szCs w:val="18"/>
              </w:rPr>
            </w:pPr>
          </w:p>
        </w:tc>
        <w:tc>
          <w:tcPr>
            <w:tcW w:w="800" w:type="dxa"/>
            <w:vMerge w:val="continue"/>
            <w:vAlign w:val="center"/>
          </w:tcPr>
          <w:p w14:paraId="4CC3B4E2">
            <w:pPr>
              <w:spacing w:before="156" w:beforeLines="50" w:after="156" w:afterLines="50"/>
              <w:jc w:val="center"/>
              <w:rPr>
                <w:rFonts w:ascii="宋体"/>
                <w:b/>
                <w:kern w:val="0"/>
                <w:sz w:val="18"/>
                <w:szCs w:val="18"/>
              </w:rPr>
            </w:pPr>
          </w:p>
        </w:tc>
        <w:tc>
          <w:tcPr>
            <w:tcW w:w="1560" w:type="dxa"/>
            <w:vMerge w:val="restart"/>
            <w:vAlign w:val="center"/>
          </w:tcPr>
          <w:p w14:paraId="78947F66">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06" w:type="dxa"/>
            <w:vMerge w:val="restart"/>
            <w:vAlign w:val="center"/>
          </w:tcPr>
          <w:p w14:paraId="06B426E4">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0" w:type="dxa"/>
            <w:vMerge w:val="continue"/>
            <w:vAlign w:val="center"/>
          </w:tcPr>
          <w:p w14:paraId="753302AC">
            <w:pPr>
              <w:spacing w:before="156" w:beforeLines="50" w:after="156" w:afterLines="50"/>
              <w:jc w:val="left"/>
              <w:rPr>
                <w:rFonts w:ascii="宋体"/>
                <w:b/>
                <w:kern w:val="0"/>
                <w:sz w:val="18"/>
                <w:szCs w:val="18"/>
              </w:rPr>
            </w:pPr>
          </w:p>
        </w:tc>
        <w:tc>
          <w:tcPr>
            <w:tcW w:w="2448" w:type="dxa"/>
            <w:vMerge w:val="continue"/>
            <w:vAlign w:val="center"/>
          </w:tcPr>
          <w:p w14:paraId="0A80AB72">
            <w:pPr>
              <w:spacing w:before="156" w:beforeLines="50" w:after="156" w:afterLines="50"/>
              <w:jc w:val="left"/>
              <w:rPr>
                <w:rFonts w:ascii="宋体"/>
                <w:b/>
                <w:kern w:val="0"/>
                <w:sz w:val="18"/>
                <w:szCs w:val="18"/>
              </w:rPr>
            </w:pPr>
          </w:p>
        </w:tc>
        <w:tc>
          <w:tcPr>
            <w:tcW w:w="8739" w:type="dxa"/>
            <w:gridSpan w:val="3"/>
            <w:vAlign w:val="center"/>
          </w:tcPr>
          <w:p w14:paraId="2F7465F3">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617" w:type="dxa"/>
            <w:vMerge w:val="restart"/>
            <w:vAlign w:val="center"/>
          </w:tcPr>
          <w:p w14:paraId="61B16B91">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46BDD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420" w:type="dxa"/>
            <w:vMerge w:val="continue"/>
            <w:vAlign w:val="center"/>
          </w:tcPr>
          <w:p w14:paraId="45F88B0F">
            <w:pPr>
              <w:spacing w:before="156" w:beforeLines="50" w:after="156" w:afterLines="50"/>
              <w:jc w:val="left"/>
              <w:rPr>
                <w:rFonts w:ascii="宋体"/>
                <w:b/>
                <w:kern w:val="0"/>
                <w:sz w:val="18"/>
                <w:szCs w:val="18"/>
              </w:rPr>
            </w:pPr>
          </w:p>
        </w:tc>
        <w:tc>
          <w:tcPr>
            <w:tcW w:w="800" w:type="dxa"/>
            <w:vMerge w:val="continue"/>
            <w:vAlign w:val="center"/>
          </w:tcPr>
          <w:p w14:paraId="2C1C44FF">
            <w:pPr>
              <w:spacing w:before="156" w:beforeLines="50" w:after="156" w:afterLines="50"/>
              <w:jc w:val="left"/>
              <w:rPr>
                <w:rFonts w:ascii="宋体"/>
                <w:b/>
                <w:kern w:val="0"/>
                <w:sz w:val="18"/>
                <w:szCs w:val="18"/>
              </w:rPr>
            </w:pPr>
          </w:p>
        </w:tc>
        <w:tc>
          <w:tcPr>
            <w:tcW w:w="1560" w:type="dxa"/>
            <w:vMerge w:val="continue"/>
            <w:vAlign w:val="center"/>
          </w:tcPr>
          <w:p w14:paraId="4877A998">
            <w:pPr>
              <w:spacing w:before="156" w:beforeLines="50" w:after="156" w:afterLines="50"/>
              <w:jc w:val="left"/>
              <w:rPr>
                <w:rFonts w:ascii="宋体"/>
                <w:b/>
                <w:kern w:val="0"/>
                <w:sz w:val="18"/>
                <w:szCs w:val="18"/>
              </w:rPr>
            </w:pPr>
          </w:p>
        </w:tc>
        <w:tc>
          <w:tcPr>
            <w:tcW w:w="1806" w:type="dxa"/>
            <w:vMerge w:val="continue"/>
            <w:vAlign w:val="center"/>
          </w:tcPr>
          <w:p w14:paraId="2A69C186">
            <w:pPr>
              <w:spacing w:before="156" w:beforeLines="50" w:after="156" w:afterLines="50"/>
              <w:jc w:val="left"/>
              <w:rPr>
                <w:rFonts w:ascii="宋体"/>
                <w:b/>
                <w:kern w:val="0"/>
                <w:sz w:val="18"/>
                <w:szCs w:val="18"/>
              </w:rPr>
            </w:pPr>
          </w:p>
        </w:tc>
        <w:tc>
          <w:tcPr>
            <w:tcW w:w="1130" w:type="dxa"/>
            <w:vMerge w:val="continue"/>
            <w:vAlign w:val="center"/>
          </w:tcPr>
          <w:p w14:paraId="73495521">
            <w:pPr>
              <w:spacing w:before="156" w:beforeLines="50" w:after="156" w:afterLines="50"/>
              <w:jc w:val="left"/>
              <w:rPr>
                <w:rFonts w:ascii="宋体"/>
                <w:b/>
                <w:kern w:val="0"/>
                <w:sz w:val="18"/>
                <w:szCs w:val="18"/>
              </w:rPr>
            </w:pPr>
          </w:p>
        </w:tc>
        <w:tc>
          <w:tcPr>
            <w:tcW w:w="2448" w:type="dxa"/>
            <w:vMerge w:val="continue"/>
            <w:vAlign w:val="center"/>
          </w:tcPr>
          <w:p w14:paraId="4BB67911">
            <w:pPr>
              <w:spacing w:before="156" w:beforeLines="50" w:after="156" w:afterLines="50"/>
              <w:jc w:val="left"/>
              <w:rPr>
                <w:rFonts w:ascii="宋体"/>
                <w:b/>
                <w:kern w:val="0"/>
                <w:sz w:val="18"/>
                <w:szCs w:val="18"/>
              </w:rPr>
            </w:pPr>
          </w:p>
        </w:tc>
        <w:tc>
          <w:tcPr>
            <w:tcW w:w="3013" w:type="dxa"/>
            <w:vAlign w:val="center"/>
          </w:tcPr>
          <w:p w14:paraId="0B378056">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73" w:type="dxa"/>
            <w:vAlign w:val="center"/>
          </w:tcPr>
          <w:p w14:paraId="2D49DB64">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53" w:type="dxa"/>
            <w:vAlign w:val="center"/>
          </w:tcPr>
          <w:p w14:paraId="185BFA85">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617" w:type="dxa"/>
            <w:vMerge w:val="continue"/>
            <w:vAlign w:val="center"/>
          </w:tcPr>
          <w:p w14:paraId="5F857990">
            <w:pPr>
              <w:spacing w:before="156" w:beforeLines="50" w:after="156" w:afterLines="50"/>
              <w:jc w:val="left"/>
              <w:rPr>
                <w:rFonts w:ascii="宋体"/>
                <w:b/>
                <w:sz w:val="18"/>
                <w:szCs w:val="18"/>
              </w:rPr>
            </w:pPr>
          </w:p>
        </w:tc>
      </w:tr>
      <w:tr w14:paraId="4A864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restart"/>
            <w:vAlign w:val="center"/>
          </w:tcPr>
          <w:p w14:paraId="3002892E">
            <w:pPr>
              <w:spacing w:before="156" w:beforeLines="50" w:after="156" w:afterLines="50"/>
              <w:jc w:val="center"/>
              <w:rPr>
                <w:rFonts w:ascii="宋体"/>
                <w:kern w:val="0"/>
                <w:sz w:val="18"/>
                <w:szCs w:val="18"/>
              </w:rPr>
            </w:pPr>
            <w:r>
              <w:rPr>
                <w:rFonts w:hint="eastAsia" w:ascii="宋体"/>
                <w:kern w:val="0"/>
                <w:sz w:val="18"/>
                <w:szCs w:val="18"/>
              </w:rPr>
              <w:t>3</w:t>
            </w:r>
          </w:p>
        </w:tc>
        <w:tc>
          <w:tcPr>
            <w:tcW w:w="800" w:type="dxa"/>
            <w:vMerge w:val="restart"/>
            <w:vAlign w:val="center"/>
          </w:tcPr>
          <w:p w14:paraId="6A006D18">
            <w:pPr>
              <w:widowControl/>
              <w:spacing w:before="156" w:beforeLines="50" w:after="156" w:afterLines="50"/>
              <w:rPr>
                <w:rFonts w:ascii="宋体"/>
                <w:sz w:val="18"/>
                <w:szCs w:val="18"/>
              </w:rPr>
            </w:pPr>
            <w:r>
              <w:rPr>
                <w:rFonts w:hint="eastAsia" w:ascii="宋体"/>
                <w:sz w:val="18"/>
                <w:szCs w:val="18"/>
              </w:rPr>
              <w:t>未按照规定倒车、调头、追越</w:t>
            </w:r>
          </w:p>
        </w:tc>
        <w:tc>
          <w:tcPr>
            <w:tcW w:w="1560" w:type="dxa"/>
            <w:vMerge w:val="restart"/>
            <w:vAlign w:val="center"/>
          </w:tcPr>
          <w:p w14:paraId="41A5E136">
            <w:pPr>
              <w:widowControl/>
              <w:spacing w:before="156" w:beforeLines="50" w:after="156" w:afterLines="50"/>
              <w:rPr>
                <w:rFonts w:ascii="宋体"/>
                <w:sz w:val="18"/>
                <w:szCs w:val="18"/>
              </w:rPr>
            </w:pPr>
            <w:r>
              <w:rPr>
                <w:rFonts w:hint="eastAsia" w:ascii="宋体"/>
                <w:sz w:val="18"/>
                <w:szCs w:val="18"/>
              </w:rPr>
              <w:t>1.《中华人民共和国内河交通安全管理条例》第十七条第四款；</w:t>
            </w:r>
          </w:p>
          <w:p w14:paraId="1D52C019">
            <w:pPr>
              <w:widowControl/>
              <w:spacing w:before="156" w:beforeLines="50" w:after="156" w:afterLines="50"/>
              <w:rPr>
                <w:rFonts w:ascii="宋体"/>
                <w:strike/>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修订本）第九条第一款、第十一条、第二十条；</w:t>
            </w:r>
          </w:p>
          <w:p w14:paraId="7ABE4334">
            <w:pPr>
              <w:widowControl/>
              <w:spacing w:before="156" w:beforeLines="50" w:after="156" w:afterLines="50"/>
              <w:rPr>
                <w:rFonts w:ascii="宋体"/>
                <w:sz w:val="18"/>
                <w:szCs w:val="18"/>
              </w:rPr>
            </w:pPr>
            <w:r>
              <w:rPr>
                <w:rFonts w:hint="eastAsia" w:ascii="宋体"/>
                <w:sz w:val="18"/>
                <w:szCs w:val="18"/>
              </w:rPr>
              <w:t>3.相关法律、法规、规章等。</w:t>
            </w:r>
          </w:p>
        </w:tc>
        <w:tc>
          <w:tcPr>
            <w:tcW w:w="1806" w:type="dxa"/>
            <w:vMerge w:val="restart"/>
            <w:vAlign w:val="center"/>
          </w:tcPr>
          <w:p w14:paraId="073DFEE2">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1CAFEA02">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2.《中华人民共和国内河海事行政处罚规定》第十七条第一款和第二款第（四）项；</w:t>
            </w:r>
          </w:p>
          <w:p w14:paraId="4F2FCFE0">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p w14:paraId="526CA69E">
            <w:pPr>
              <w:spacing w:before="156" w:beforeLines="50" w:after="156" w:afterLines="50"/>
              <w:jc w:val="left"/>
              <w:rPr>
                <w:rFonts w:ascii="宋体"/>
                <w:sz w:val="18"/>
                <w:szCs w:val="18"/>
              </w:rPr>
            </w:pPr>
          </w:p>
        </w:tc>
        <w:tc>
          <w:tcPr>
            <w:tcW w:w="1130" w:type="dxa"/>
            <w:vAlign w:val="center"/>
          </w:tcPr>
          <w:p w14:paraId="3FFC5E0D">
            <w:pPr>
              <w:spacing w:before="156" w:beforeLines="50" w:after="156" w:afterLines="50"/>
              <w:jc w:val="center"/>
              <w:rPr>
                <w:rFonts w:ascii="宋体"/>
                <w:kern w:val="0"/>
                <w:sz w:val="18"/>
                <w:szCs w:val="18"/>
              </w:rPr>
            </w:pPr>
            <w:r>
              <w:rPr>
                <w:rFonts w:hint="eastAsia" w:ascii="宋体"/>
                <w:kern w:val="0"/>
                <w:sz w:val="18"/>
                <w:szCs w:val="18"/>
              </w:rPr>
              <w:t>从轻</w:t>
            </w:r>
          </w:p>
        </w:tc>
        <w:tc>
          <w:tcPr>
            <w:tcW w:w="2448" w:type="dxa"/>
            <w:vAlign w:val="center"/>
          </w:tcPr>
          <w:p w14:paraId="0B110308">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3013" w:type="dxa"/>
            <w:vAlign w:val="center"/>
          </w:tcPr>
          <w:p w14:paraId="3AB11DC7">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73" w:type="dxa"/>
            <w:vAlign w:val="center"/>
          </w:tcPr>
          <w:p w14:paraId="5A171DA9">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vAlign w:val="center"/>
          </w:tcPr>
          <w:p w14:paraId="29EECFD6">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617" w:type="dxa"/>
            <w:vAlign w:val="center"/>
          </w:tcPr>
          <w:p w14:paraId="4718C268">
            <w:pPr>
              <w:spacing w:before="156" w:beforeLines="50" w:after="156" w:afterLines="50"/>
              <w:jc w:val="center"/>
              <w:rPr>
                <w:rFonts w:ascii="宋体"/>
                <w:kern w:val="0"/>
                <w:sz w:val="18"/>
                <w:szCs w:val="18"/>
              </w:rPr>
            </w:pPr>
            <w:r>
              <w:rPr>
                <w:rFonts w:ascii="宋体"/>
                <w:kern w:val="0"/>
                <w:sz w:val="18"/>
                <w:szCs w:val="18"/>
              </w:rPr>
              <w:t>/</w:t>
            </w:r>
          </w:p>
        </w:tc>
      </w:tr>
      <w:tr w14:paraId="4924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14:paraId="5B933811">
            <w:pPr>
              <w:spacing w:before="156" w:beforeLines="50" w:after="156" w:afterLines="50"/>
              <w:jc w:val="left"/>
              <w:rPr>
                <w:rFonts w:ascii="宋体"/>
                <w:kern w:val="0"/>
                <w:sz w:val="18"/>
                <w:szCs w:val="18"/>
              </w:rPr>
            </w:pPr>
          </w:p>
        </w:tc>
        <w:tc>
          <w:tcPr>
            <w:tcW w:w="800" w:type="dxa"/>
            <w:vMerge w:val="continue"/>
            <w:vAlign w:val="center"/>
          </w:tcPr>
          <w:p w14:paraId="04E849F3">
            <w:pPr>
              <w:spacing w:before="156" w:beforeLines="50" w:after="156" w:afterLines="50"/>
              <w:jc w:val="left"/>
              <w:rPr>
                <w:rFonts w:ascii="宋体"/>
                <w:kern w:val="0"/>
                <w:sz w:val="18"/>
                <w:szCs w:val="18"/>
              </w:rPr>
            </w:pPr>
          </w:p>
        </w:tc>
        <w:tc>
          <w:tcPr>
            <w:tcW w:w="1560" w:type="dxa"/>
            <w:vMerge w:val="continue"/>
            <w:vAlign w:val="center"/>
          </w:tcPr>
          <w:p w14:paraId="56D59D57">
            <w:pPr>
              <w:widowControl/>
              <w:spacing w:before="156" w:beforeLines="50" w:after="156" w:afterLines="50"/>
              <w:jc w:val="left"/>
              <w:rPr>
                <w:rFonts w:ascii="宋体"/>
                <w:kern w:val="0"/>
                <w:sz w:val="18"/>
                <w:szCs w:val="18"/>
              </w:rPr>
            </w:pPr>
          </w:p>
        </w:tc>
        <w:tc>
          <w:tcPr>
            <w:tcW w:w="1806" w:type="dxa"/>
            <w:vMerge w:val="continue"/>
            <w:vAlign w:val="center"/>
          </w:tcPr>
          <w:p w14:paraId="7A525E8D">
            <w:pPr>
              <w:spacing w:before="156" w:beforeLines="50" w:after="156" w:afterLines="50"/>
              <w:jc w:val="left"/>
              <w:rPr>
                <w:rFonts w:ascii="宋体"/>
                <w:kern w:val="0"/>
                <w:sz w:val="18"/>
                <w:szCs w:val="18"/>
              </w:rPr>
            </w:pPr>
          </w:p>
        </w:tc>
        <w:tc>
          <w:tcPr>
            <w:tcW w:w="1130" w:type="dxa"/>
            <w:vMerge w:val="restart"/>
            <w:vAlign w:val="center"/>
          </w:tcPr>
          <w:p w14:paraId="64AD241A">
            <w:pPr>
              <w:spacing w:before="156" w:beforeLines="50" w:after="156" w:afterLines="50"/>
              <w:jc w:val="center"/>
              <w:rPr>
                <w:rFonts w:ascii="宋体"/>
                <w:kern w:val="0"/>
                <w:sz w:val="18"/>
                <w:szCs w:val="18"/>
              </w:rPr>
            </w:pPr>
            <w:r>
              <w:rPr>
                <w:rFonts w:hint="eastAsia" w:ascii="宋体"/>
                <w:kern w:val="0"/>
                <w:sz w:val="18"/>
                <w:szCs w:val="18"/>
              </w:rPr>
              <w:t>一般</w:t>
            </w:r>
          </w:p>
        </w:tc>
        <w:tc>
          <w:tcPr>
            <w:tcW w:w="2448" w:type="dxa"/>
            <w:vAlign w:val="center"/>
          </w:tcPr>
          <w:p w14:paraId="460E8FB4">
            <w:pPr>
              <w:widowControl/>
              <w:spacing w:before="156" w:beforeLines="50" w:after="156" w:afterLines="50"/>
              <w:jc w:val="left"/>
              <w:rPr>
                <w:rFonts w:ascii="宋体"/>
                <w:kern w:val="0"/>
                <w:sz w:val="18"/>
                <w:szCs w:val="18"/>
              </w:rPr>
            </w:pPr>
            <w:r>
              <w:rPr>
                <w:rFonts w:hint="eastAsia" w:ascii="宋体"/>
                <w:kern w:val="0"/>
                <w:sz w:val="18"/>
                <w:szCs w:val="18"/>
              </w:rPr>
              <w:t>未按照规定倒车、调头、追越未造成险情、事故的。</w:t>
            </w:r>
          </w:p>
        </w:tc>
        <w:tc>
          <w:tcPr>
            <w:tcW w:w="3013" w:type="dxa"/>
            <w:vAlign w:val="center"/>
          </w:tcPr>
          <w:p w14:paraId="347A9E5F">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73" w:type="dxa"/>
            <w:vAlign w:val="center"/>
          </w:tcPr>
          <w:p w14:paraId="73A23D0F">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53" w:type="dxa"/>
            <w:vAlign w:val="center"/>
          </w:tcPr>
          <w:p w14:paraId="2E149030">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617" w:type="dxa"/>
            <w:vAlign w:val="center"/>
          </w:tcPr>
          <w:p w14:paraId="2B0EE193">
            <w:pPr>
              <w:spacing w:before="156" w:beforeLines="50" w:after="156" w:afterLines="50"/>
              <w:jc w:val="center"/>
              <w:rPr>
                <w:rFonts w:ascii="宋体"/>
                <w:kern w:val="0"/>
                <w:sz w:val="18"/>
                <w:szCs w:val="18"/>
              </w:rPr>
            </w:pPr>
            <w:r>
              <w:rPr>
                <w:rFonts w:ascii="宋体"/>
                <w:kern w:val="0"/>
                <w:sz w:val="18"/>
                <w:szCs w:val="18"/>
              </w:rPr>
              <w:t>/</w:t>
            </w:r>
          </w:p>
        </w:tc>
      </w:tr>
      <w:tr w14:paraId="195A9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420" w:type="dxa"/>
            <w:vMerge w:val="continue"/>
            <w:vAlign w:val="center"/>
          </w:tcPr>
          <w:p w14:paraId="2B7F2127">
            <w:pPr>
              <w:spacing w:before="156" w:beforeLines="50" w:after="156" w:afterLines="50"/>
              <w:jc w:val="left"/>
              <w:rPr>
                <w:rFonts w:ascii="宋体"/>
                <w:kern w:val="0"/>
                <w:sz w:val="18"/>
                <w:szCs w:val="18"/>
              </w:rPr>
            </w:pPr>
          </w:p>
        </w:tc>
        <w:tc>
          <w:tcPr>
            <w:tcW w:w="800" w:type="dxa"/>
            <w:vMerge w:val="continue"/>
            <w:vAlign w:val="center"/>
          </w:tcPr>
          <w:p w14:paraId="5429668F">
            <w:pPr>
              <w:spacing w:before="156" w:beforeLines="50" w:after="156" w:afterLines="50"/>
              <w:jc w:val="left"/>
              <w:rPr>
                <w:rFonts w:ascii="宋体"/>
                <w:kern w:val="0"/>
                <w:sz w:val="18"/>
                <w:szCs w:val="18"/>
              </w:rPr>
            </w:pPr>
          </w:p>
        </w:tc>
        <w:tc>
          <w:tcPr>
            <w:tcW w:w="1560" w:type="dxa"/>
            <w:vMerge w:val="continue"/>
            <w:vAlign w:val="center"/>
          </w:tcPr>
          <w:p w14:paraId="5CC31674">
            <w:pPr>
              <w:spacing w:before="156" w:beforeLines="50" w:after="156" w:afterLines="50"/>
              <w:jc w:val="left"/>
              <w:rPr>
                <w:rFonts w:ascii="宋体"/>
                <w:kern w:val="0"/>
                <w:sz w:val="18"/>
                <w:szCs w:val="18"/>
              </w:rPr>
            </w:pPr>
          </w:p>
        </w:tc>
        <w:tc>
          <w:tcPr>
            <w:tcW w:w="1806" w:type="dxa"/>
            <w:vMerge w:val="continue"/>
            <w:vAlign w:val="center"/>
          </w:tcPr>
          <w:p w14:paraId="3FBB0775">
            <w:pPr>
              <w:spacing w:before="156" w:beforeLines="50" w:after="156" w:afterLines="50"/>
              <w:jc w:val="left"/>
              <w:rPr>
                <w:rFonts w:ascii="宋体"/>
                <w:kern w:val="0"/>
                <w:sz w:val="18"/>
                <w:szCs w:val="18"/>
              </w:rPr>
            </w:pPr>
          </w:p>
        </w:tc>
        <w:tc>
          <w:tcPr>
            <w:tcW w:w="1130" w:type="dxa"/>
            <w:vMerge w:val="continue"/>
            <w:vAlign w:val="center"/>
          </w:tcPr>
          <w:p w14:paraId="297B12A8">
            <w:pPr>
              <w:spacing w:before="156" w:beforeLines="50" w:after="156" w:afterLines="50"/>
              <w:jc w:val="center"/>
              <w:rPr>
                <w:rFonts w:ascii="宋体"/>
                <w:kern w:val="0"/>
                <w:sz w:val="18"/>
                <w:szCs w:val="18"/>
              </w:rPr>
            </w:pPr>
          </w:p>
        </w:tc>
        <w:tc>
          <w:tcPr>
            <w:tcW w:w="2448" w:type="dxa"/>
            <w:vAlign w:val="center"/>
          </w:tcPr>
          <w:p w14:paraId="1480CDAF">
            <w:pPr>
              <w:widowControl/>
              <w:spacing w:before="156" w:beforeLines="50" w:after="156" w:afterLines="50"/>
              <w:jc w:val="left"/>
              <w:rPr>
                <w:rFonts w:ascii="宋体"/>
                <w:kern w:val="0"/>
                <w:sz w:val="18"/>
                <w:szCs w:val="18"/>
              </w:rPr>
            </w:pPr>
            <w:r>
              <w:rPr>
                <w:rFonts w:hint="eastAsia" w:ascii="宋体"/>
                <w:kern w:val="0"/>
                <w:sz w:val="18"/>
                <w:szCs w:val="18"/>
              </w:rPr>
              <w:t>未按照规定倒车、调头、追越造成一般以下等级水上交通事故的。</w:t>
            </w:r>
          </w:p>
        </w:tc>
        <w:tc>
          <w:tcPr>
            <w:tcW w:w="3013" w:type="dxa"/>
            <w:vAlign w:val="center"/>
          </w:tcPr>
          <w:p w14:paraId="7983A332">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73" w:type="dxa"/>
            <w:vAlign w:val="center"/>
          </w:tcPr>
          <w:p w14:paraId="6C09DF01">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53" w:type="dxa"/>
            <w:vAlign w:val="center"/>
          </w:tcPr>
          <w:p w14:paraId="2AF38A99">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617" w:type="dxa"/>
            <w:vAlign w:val="center"/>
          </w:tcPr>
          <w:p w14:paraId="44F9E478">
            <w:pPr>
              <w:spacing w:before="156" w:beforeLines="50" w:after="156" w:afterLines="50"/>
              <w:jc w:val="center"/>
              <w:rPr>
                <w:rFonts w:ascii="宋体"/>
                <w:kern w:val="0"/>
                <w:sz w:val="18"/>
                <w:szCs w:val="18"/>
              </w:rPr>
            </w:pPr>
            <w:r>
              <w:rPr>
                <w:rFonts w:ascii="宋体"/>
                <w:kern w:val="0"/>
                <w:sz w:val="18"/>
                <w:szCs w:val="18"/>
              </w:rPr>
              <w:t>/</w:t>
            </w:r>
          </w:p>
        </w:tc>
      </w:tr>
      <w:tr w14:paraId="1D7F5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5" w:hRule="atLeast"/>
        </w:trPr>
        <w:tc>
          <w:tcPr>
            <w:tcW w:w="420" w:type="dxa"/>
            <w:vMerge w:val="continue"/>
            <w:vAlign w:val="center"/>
          </w:tcPr>
          <w:p w14:paraId="3CDAE2B2">
            <w:pPr>
              <w:spacing w:before="156" w:beforeLines="50" w:after="156" w:afterLines="50"/>
              <w:jc w:val="left"/>
              <w:rPr>
                <w:rFonts w:ascii="宋体"/>
                <w:kern w:val="0"/>
                <w:sz w:val="18"/>
                <w:szCs w:val="18"/>
              </w:rPr>
            </w:pPr>
          </w:p>
        </w:tc>
        <w:tc>
          <w:tcPr>
            <w:tcW w:w="800" w:type="dxa"/>
            <w:vMerge w:val="continue"/>
            <w:vAlign w:val="center"/>
          </w:tcPr>
          <w:p w14:paraId="226A36D3">
            <w:pPr>
              <w:spacing w:before="156" w:beforeLines="50" w:after="156" w:afterLines="50"/>
              <w:jc w:val="left"/>
              <w:rPr>
                <w:rFonts w:ascii="宋体"/>
                <w:kern w:val="0"/>
                <w:sz w:val="18"/>
                <w:szCs w:val="18"/>
              </w:rPr>
            </w:pPr>
          </w:p>
        </w:tc>
        <w:tc>
          <w:tcPr>
            <w:tcW w:w="1560" w:type="dxa"/>
            <w:vMerge w:val="continue"/>
            <w:vAlign w:val="center"/>
          </w:tcPr>
          <w:p w14:paraId="4059E537">
            <w:pPr>
              <w:spacing w:before="156" w:beforeLines="50" w:after="156" w:afterLines="50"/>
              <w:jc w:val="left"/>
              <w:rPr>
                <w:rFonts w:ascii="宋体"/>
                <w:kern w:val="0"/>
                <w:sz w:val="18"/>
                <w:szCs w:val="18"/>
              </w:rPr>
            </w:pPr>
          </w:p>
        </w:tc>
        <w:tc>
          <w:tcPr>
            <w:tcW w:w="1806" w:type="dxa"/>
            <w:vMerge w:val="continue"/>
            <w:vAlign w:val="center"/>
          </w:tcPr>
          <w:p w14:paraId="0FA5F2B7">
            <w:pPr>
              <w:spacing w:before="156" w:beforeLines="50" w:after="156" w:afterLines="50"/>
              <w:jc w:val="left"/>
              <w:rPr>
                <w:rFonts w:ascii="宋体"/>
                <w:kern w:val="0"/>
                <w:sz w:val="18"/>
                <w:szCs w:val="18"/>
              </w:rPr>
            </w:pPr>
          </w:p>
        </w:tc>
        <w:tc>
          <w:tcPr>
            <w:tcW w:w="1130" w:type="dxa"/>
            <w:vMerge w:val="restart"/>
            <w:vAlign w:val="center"/>
          </w:tcPr>
          <w:p w14:paraId="18335AD6">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48" w:type="dxa"/>
            <w:tcBorders>
              <w:bottom w:val="single" w:color="auto" w:sz="4" w:space="0"/>
            </w:tcBorders>
            <w:vAlign w:val="center"/>
          </w:tcPr>
          <w:p w14:paraId="42C9F5DB">
            <w:pPr>
              <w:spacing w:before="156" w:beforeLines="50" w:after="156" w:afterLines="50"/>
              <w:jc w:val="left"/>
              <w:rPr>
                <w:rFonts w:ascii="宋体"/>
                <w:kern w:val="0"/>
                <w:sz w:val="18"/>
                <w:szCs w:val="18"/>
              </w:rPr>
            </w:pPr>
            <w:r>
              <w:rPr>
                <w:rFonts w:hint="eastAsia" w:ascii="宋体"/>
                <w:kern w:val="0"/>
                <w:sz w:val="18"/>
                <w:szCs w:val="18"/>
              </w:rPr>
              <w:t>未按照规定倒车、调头、追越造成一般及以上等级水上交通事故的。</w:t>
            </w:r>
          </w:p>
        </w:tc>
        <w:tc>
          <w:tcPr>
            <w:tcW w:w="3013" w:type="dxa"/>
            <w:vMerge w:val="restart"/>
            <w:vAlign w:val="center"/>
          </w:tcPr>
          <w:p w14:paraId="733ADA18">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73" w:type="dxa"/>
            <w:vMerge w:val="restart"/>
            <w:vAlign w:val="center"/>
          </w:tcPr>
          <w:p w14:paraId="4D8FE8FB">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53" w:type="dxa"/>
            <w:vMerge w:val="restart"/>
            <w:vAlign w:val="center"/>
          </w:tcPr>
          <w:p w14:paraId="5139088E">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3617" w:type="dxa"/>
            <w:tcBorders>
              <w:bottom w:val="single" w:color="auto" w:sz="4" w:space="0"/>
            </w:tcBorders>
            <w:vAlign w:val="center"/>
          </w:tcPr>
          <w:p w14:paraId="4CE592A5">
            <w:pPr>
              <w:spacing w:before="156" w:beforeLines="50" w:after="156" w:afterLines="50"/>
              <w:jc w:val="left"/>
              <w:rPr>
                <w:rFonts w:ascii="宋体"/>
                <w:kern w:val="0"/>
                <w:sz w:val="18"/>
                <w:szCs w:val="18"/>
              </w:rPr>
            </w:pPr>
            <w:r>
              <w:rPr>
                <w:rFonts w:hint="eastAsia" w:ascii="宋体"/>
                <w:kern w:val="0"/>
                <w:sz w:val="18"/>
                <w:szCs w:val="18"/>
              </w:rPr>
              <w:t>未按照规定倒车、调头、追越造成一般及以上等级水上交通事故的，暂扣直至吊销证书处罚的裁量按照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6A2FD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420" w:type="dxa"/>
            <w:vMerge w:val="continue"/>
            <w:vAlign w:val="center"/>
          </w:tcPr>
          <w:p w14:paraId="4180DCB9">
            <w:pPr>
              <w:spacing w:before="156" w:beforeLines="50" w:after="156" w:afterLines="50"/>
              <w:jc w:val="left"/>
              <w:rPr>
                <w:rFonts w:ascii="宋体"/>
                <w:kern w:val="0"/>
                <w:sz w:val="18"/>
                <w:szCs w:val="18"/>
              </w:rPr>
            </w:pPr>
          </w:p>
        </w:tc>
        <w:tc>
          <w:tcPr>
            <w:tcW w:w="800" w:type="dxa"/>
            <w:vMerge w:val="continue"/>
            <w:vAlign w:val="center"/>
          </w:tcPr>
          <w:p w14:paraId="676A48F6">
            <w:pPr>
              <w:spacing w:before="156" w:beforeLines="50" w:after="156" w:afterLines="50"/>
              <w:jc w:val="left"/>
              <w:rPr>
                <w:rFonts w:ascii="宋体"/>
                <w:kern w:val="0"/>
                <w:sz w:val="18"/>
                <w:szCs w:val="18"/>
              </w:rPr>
            </w:pPr>
          </w:p>
        </w:tc>
        <w:tc>
          <w:tcPr>
            <w:tcW w:w="1560" w:type="dxa"/>
            <w:vMerge w:val="continue"/>
            <w:vAlign w:val="center"/>
          </w:tcPr>
          <w:p w14:paraId="2DF1F282">
            <w:pPr>
              <w:spacing w:before="156" w:beforeLines="50" w:after="156" w:afterLines="50"/>
              <w:jc w:val="left"/>
              <w:rPr>
                <w:rFonts w:ascii="宋体"/>
                <w:kern w:val="0"/>
                <w:sz w:val="18"/>
                <w:szCs w:val="18"/>
              </w:rPr>
            </w:pPr>
          </w:p>
        </w:tc>
        <w:tc>
          <w:tcPr>
            <w:tcW w:w="1806" w:type="dxa"/>
            <w:vMerge w:val="continue"/>
            <w:vAlign w:val="center"/>
          </w:tcPr>
          <w:p w14:paraId="2FCAEA1C">
            <w:pPr>
              <w:spacing w:before="156" w:beforeLines="50" w:after="156" w:afterLines="50"/>
              <w:jc w:val="left"/>
              <w:rPr>
                <w:rFonts w:ascii="宋体"/>
                <w:kern w:val="0"/>
                <w:sz w:val="18"/>
                <w:szCs w:val="18"/>
              </w:rPr>
            </w:pPr>
          </w:p>
        </w:tc>
        <w:tc>
          <w:tcPr>
            <w:tcW w:w="1130" w:type="dxa"/>
            <w:vMerge w:val="continue"/>
            <w:vAlign w:val="center"/>
          </w:tcPr>
          <w:p w14:paraId="15754CA0">
            <w:pPr>
              <w:spacing w:before="156" w:beforeLines="50" w:after="156" w:afterLines="50"/>
              <w:jc w:val="center"/>
              <w:rPr>
                <w:rFonts w:ascii="宋体"/>
                <w:kern w:val="0"/>
                <w:sz w:val="18"/>
                <w:szCs w:val="18"/>
              </w:rPr>
            </w:pPr>
          </w:p>
        </w:tc>
        <w:tc>
          <w:tcPr>
            <w:tcW w:w="2448" w:type="dxa"/>
            <w:tcBorders>
              <w:top w:val="single" w:color="auto" w:sz="4" w:space="0"/>
            </w:tcBorders>
            <w:vAlign w:val="center"/>
          </w:tcPr>
          <w:p w14:paraId="62401FB0">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3013" w:type="dxa"/>
            <w:vMerge w:val="continue"/>
            <w:vAlign w:val="center"/>
          </w:tcPr>
          <w:p w14:paraId="155FDD43">
            <w:pPr>
              <w:spacing w:before="156" w:beforeLines="50" w:after="156" w:afterLines="50"/>
              <w:jc w:val="left"/>
              <w:rPr>
                <w:rFonts w:ascii="宋体"/>
                <w:sz w:val="18"/>
                <w:szCs w:val="18"/>
              </w:rPr>
            </w:pPr>
          </w:p>
        </w:tc>
        <w:tc>
          <w:tcPr>
            <w:tcW w:w="2873" w:type="dxa"/>
            <w:vMerge w:val="continue"/>
            <w:vAlign w:val="center"/>
          </w:tcPr>
          <w:p w14:paraId="7857955B">
            <w:pPr>
              <w:spacing w:before="156" w:beforeLines="50" w:after="156" w:afterLines="50"/>
              <w:jc w:val="left"/>
              <w:rPr>
                <w:rFonts w:ascii="宋体"/>
                <w:sz w:val="18"/>
                <w:szCs w:val="18"/>
              </w:rPr>
            </w:pPr>
          </w:p>
        </w:tc>
        <w:tc>
          <w:tcPr>
            <w:tcW w:w="2853" w:type="dxa"/>
            <w:vMerge w:val="continue"/>
            <w:vAlign w:val="center"/>
          </w:tcPr>
          <w:p w14:paraId="3F1799CA">
            <w:pPr>
              <w:spacing w:before="156" w:beforeLines="50" w:after="156" w:afterLines="50"/>
              <w:jc w:val="left"/>
              <w:rPr>
                <w:rFonts w:ascii="宋体"/>
                <w:spacing w:val="-4"/>
                <w:kern w:val="0"/>
                <w:sz w:val="18"/>
                <w:szCs w:val="18"/>
              </w:rPr>
            </w:pPr>
          </w:p>
        </w:tc>
        <w:tc>
          <w:tcPr>
            <w:tcW w:w="3617" w:type="dxa"/>
            <w:tcBorders>
              <w:top w:val="single" w:color="auto" w:sz="4" w:space="0"/>
            </w:tcBorders>
            <w:vAlign w:val="center"/>
          </w:tcPr>
          <w:p w14:paraId="231186EE">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2012ABA9">
      <w:pPr>
        <w:spacing w:before="156" w:beforeLines="50" w:after="156" w:afterLines="50"/>
        <w:jc w:val="left"/>
        <w:rPr>
          <w:rFonts w:ascii="宋体"/>
          <w:b/>
          <w:sz w:val="18"/>
          <w:szCs w:val="18"/>
        </w:rPr>
      </w:pPr>
      <w:r>
        <w:rPr>
          <w:rFonts w:hint="eastAsia" w:ascii="宋体"/>
          <w:b/>
          <w:sz w:val="18"/>
          <w:szCs w:val="18"/>
        </w:rPr>
        <w:br w:type="page"/>
      </w:r>
    </w:p>
    <w:tbl>
      <w:tblPr>
        <w:tblStyle w:val="6"/>
        <w:tblpPr w:leftFromText="180" w:rightFromText="180" w:vertAnchor="text" w:horzAnchor="page" w:tblpX="1716" w:tblpY="3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0"/>
        <w:gridCol w:w="750"/>
        <w:gridCol w:w="1579"/>
        <w:gridCol w:w="2573"/>
        <w:gridCol w:w="1137"/>
        <w:gridCol w:w="2436"/>
        <w:gridCol w:w="2928"/>
        <w:gridCol w:w="2764"/>
        <w:gridCol w:w="2925"/>
        <w:gridCol w:w="2783"/>
      </w:tblGrid>
      <w:tr w14:paraId="316D1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750" w:type="dxa"/>
            <w:vMerge w:val="restart"/>
            <w:vAlign w:val="center"/>
          </w:tcPr>
          <w:p w14:paraId="189F6676">
            <w:pPr>
              <w:spacing w:before="156" w:beforeLines="50" w:after="156" w:afterLines="50"/>
              <w:rPr>
                <w:rFonts w:ascii="宋体"/>
                <w:b/>
                <w:kern w:val="0"/>
                <w:sz w:val="18"/>
                <w:szCs w:val="18"/>
              </w:rPr>
            </w:pPr>
            <w:r>
              <w:rPr>
                <w:rFonts w:hint="eastAsia" w:ascii="宋体"/>
                <w:b/>
                <w:kern w:val="0"/>
                <w:sz w:val="18"/>
                <w:szCs w:val="18"/>
              </w:rPr>
              <w:t>序号</w:t>
            </w:r>
          </w:p>
        </w:tc>
        <w:tc>
          <w:tcPr>
            <w:tcW w:w="750" w:type="dxa"/>
            <w:vMerge w:val="restart"/>
            <w:vAlign w:val="center"/>
          </w:tcPr>
          <w:p w14:paraId="1E34F4BA">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152" w:type="dxa"/>
            <w:gridSpan w:val="2"/>
            <w:vMerge w:val="restart"/>
            <w:vAlign w:val="center"/>
          </w:tcPr>
          <w:p w14:paraId="76054C57">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7" w:type="dxa"/>
            <w:vMerge w:val="restart"/>
            <w:vAlign w:val="center"/>
          </w:tcPr>
          <w:p w14:paraId="2991644B">
            <w:pPr>
              <w:spacing w:before="156" w:beforeLines="50" w:after="156" w:afterLines="50"/>
              <w:jc w:val="center"/>
              <w:rPr>
                <w:rFonts w:ascii="宋体"/>
                <w:b/>
                <w:kern w:val="0"/>
                <w:sz w:val="18"/>
                <w:szCs w:val="18"/>
              </w:rPr>
            </w:pPr>
            <w:r>
              <w:rPr>
                <w:rFonts w:hint="eastAsia" w:ascii="宋体"/>
                <w:b/>
                <w:kern w:val="0"/>
                <w:sz w:val="18"/>
                <w:szCs w:val="18"/>
              </w:rPr>
              <w:t>违法行</w:t>
            </w:r>
          </w:p>
          <w:p w14:paraId="6B330D21">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36" w:type="dxa"/>
            <w:vMerge w:val="restart"/>
            <w:vAlign w:val="center"/>
          </w:tcPr>
          <w:p w14:paraId="6939767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08D4DD6">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400" w:type="dxa"/>
            <w:gridSpan w:val="4"/>
            <w:vAlign w:val="center"/>
          </w:tcPr>
          <w:p w14:paraId="2F41B956">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56126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14:paraId="16FD8DDB">
            <w:pPr>
              <w:spacing w:before="156" w:beforeLines="50" w:after="156" w:afterLines="50"/>
              <w:jc w:val="left"/>
              <w:rPr>
                <w:rFonts w:ascii="宋体"/>
                <w:b/>
                <w:kern w:val="0"/>
                <w:sz w:val="18"/>
                <w:szCs w:val="18"/>
              </w:rPr>
            </w:pPr>
          </w:p>
        </w:tc>
        <w:tc>
          <w:tcPr>
            <w:tcW w:w="750" w:type="dxa"/>
            <w:vMerge w:val="continue"/>
            <w:vAlign w:val="center"/>
          </w:tcPr>
          <w:p w14:paraId="186E2CBC">
            <w:pPr>
              <w:spacing w:before="156" w:beforeLines="50" w:after="156" w:afterLines="50"/>
              <w:jc w:val="left"/>
              <w:rPr>
                <w:rFonts w:ascii="宋体"/>
                <w:b/>
                <w:kern w:val="0"/>
                <w:sz w:val="18"/>
                <w:szCs w:val="18"/>
              </w:rPr>
            </w:pPr>
          </w:p>
        </w:tc>
        <w:tc>
          <w:tcPr>
            <w:tcW w:w="4152" w:type="dxa"/>
            <w:gridSpan w:val="2"/>
            <w:vMerge w:val="continue"/>
            <w:vAlign w:val="center"/>
          </w:tcPr>
          <w:p w14:paraId="66F30426">
            <w:pPr>
              <w:spacing w:before="156" w:beforeLines="50" w:after="156" w:afterLines="50"/>
              <w:jc w:val="left"/>
              <w:rPr>
                <w:rFonts w:ascii="宋体"/>
                <w:b/>
                <w:kern w:val="0"/>
                <w:sz w:val="18"/>
                <w:szCs w:val="18"/>
              </w:rPr>
            </w:pPr>
          </w:p>
        </w:tc>
        <w:tc>
          <w:tcPr>
            <w:tcW w:w="1137" w:type="dxa"/>
            <w:vMerge w:val="continue"/>
            <w:vAlign w:val="center"/>
          </w:tcPr>
          <w:p w14:paraId="4A53004F">
            <w:pPr>
              <w:spacing w:before="156" w:beforeLines="50" w:after="156" w:afterLines="50"/>
              <w:jc w:val="left"/>
              <w:rPr>
                <w:rFonts w:ascii="宋体"/>
                <w:b/>
                <w:kern w:val="0"/>
                <w:sz w:val="18"/>
                <w:szCs w:val="18"/>
              </w:rPr>
            </w:pPr>
          </w:p>
        </w:tc>
        <w:tc>
          <w:tcPr>
            <w:tcW w:w="2436" w:type="dxa"/>
            <w:vMerge w:val="continue"/>
            <w:vAlign w:val="center"/>
          </w:tcPr>
          <w:p w14:paraId="0EB4AD2C">
            <w:pPr>
              <w:spacing w:before="156" w:beforeLines="50" w:after="156" w:afterLines="50"/>
              <w:jc w:val="left"/>
              <w:rPr>
                <w:rFonts w:ascii="宋体"/>
                <w:b/>
                <w:kern w:val="0"/>
                <w:sz w:val="18"/>
                <w:szCs w:val="18"/>
              </w:rPr>
            </w:pPr>
          </w:p>
        </w:tc>
        <w:tc>
          <w:tcPr>
            <w:tcW w:w="11400" w:type="dxa"/>
            <w:gridSpan w:val="4"/>
            <w:vAlign w:val="center"/>
          </w:tcPr>
          <w:p w14:paraId="12630752">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7254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50" w:type="dxa"/>
            <w:vMerge w:val="continue"/>
            <w:vAlign w:val="center"/>
          </w:tcPr>
          <w:p w14:paraId="5E15133D">
            <w:pPr>
              <w:spacing w:before="156" w:beforeLines="50" w:after="156" w:afterLines="50"/>
              <w:jc w:val="left"/>
              <w:rPr>
                <w:rFonts w:ascii="宋体"/>
                <w:b/>
                <w:kern w:val="0"/>
                <w:sz w:val="18"/>
                <w:szCs w:val="18"/>
              </w:rPr>
            </w:pPr>
          </w:p>
        </w:tc>
        <w:tc>
          <w:tcPr>
            <w:tcW w:w="750" w:type="dxa"/>
            <w:vMerge w:val="continue"/>
            <w:vAlign w:val="center"/>
          </w:tcPr>
          <w:p w14:paraId="14026F08">
            <w:pPr>
              <w:spacing w:before="156" w:beforeLines="50" w:after="156" w:afterLines="50"/>
              <w:jc w:val="left"/>
              <w:rPr>
                <w:rFonts w:ascii="宋体"/>
                <w:b/>
                <w:kern w:val="0"/>
                <w:sz w:val="18"/>
                <w:szCs w:val="18"/>
              </w:rPr>
            </w:pPr>
          </w:p>
        </w:tc>
        <w:tc>
          <w:tcPr>
            <w:tcW w:w="1579" w:type="dxa"/>
            <w:vMerge w:val="restart"/>
            <w:vAlign w:val="center"/>
          </w:tcPr>
          <w:p w14:paraId="3D3B9257">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73" w:type="dxa"/>
            <w:vMerge w:val="restart"/>
            <w:vAlign w:val="center"/>
          </w:tcPr>
          <w:p w14:paraId="00BEE34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7" w:type="dxa"/>
            <w:vMerge w:val="continue"/>
            <w:vAlign w:val="center"/>
          </w:tcPr>
          <w:p w14:paraId="64685E51">
            <w:pPr>
              <w:spacing w:before="156" w:beforeLines="50" w:after="156" w:afterLines="50"/>
              <w:jc w:val="left"/>
              <w:rPr>
                <w:rFonts w:ascii="宋体"/>
                <w:b/>
                <w:kern w:val="0"/>
                <w:sz w:val="18"/>
                <w:szCs w:val="18"/>
              </w:rPr>
            </w:pPr>
          </w:p>
        </w:tc>
        <w:tc>
          <w:tcPr>
            <w:tcW w:w="2436" w:type="dxa"/>
            <w:vMerge w:val="continue"/>
            <w:vAlign w:val="center"/>
          </w:tcPr>
          <w:p w14:paraId="24313A84">
            <w:pPr>
              <w:spacing w:before="156" w:beforeLines="50" w:after="156" w:afterLines="50"/>
              <w:jc w:val="left"/>
              <w:rPr>
                <w:rFonts w:ascii="宋体"/>
                <w:b/>
                <w:kern w:val="0"/>
                <w:sz w:val="18"/>
                <w:szCs w:val="18"/>
              </w:rPr>
            </w:pPr>
          </w:p>
        </w:tc>
        <w:tc>
          <w:tcPr>
            <w:tcW w:w="8617" w:type="dxa"/>
            <w:gridSpan w:val="3"/>
            <w:vAlign w:val="center"/>
          </w:tcPr>
          <w:p w14:paraId="190A47CD">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83" w:type="dxa"/>
            <w:vMerge w:val="restart"/>
            <w:vAlign w:val="center"/>
          </w:tcPr>
          <w:p w14:paraId="43B635C7">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4ABFC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14:paraId="1B590CF1">
            <w:pPr>
              <w:spacing w:before="156" w:beforeLines="50" w:after="156" w:afterLines="50"/>
              <w:jc w:val="left"/>
              <w:rPr>
                <w:rFonts w:ascii="宋体"/>
                <w:b/>
                <w:kern w:val="0"/>
                <w:sz w:val="18"/>
                <w:szCs w:val="18"/>
              </w:rPr>
            </w:pPr>
          </w:p>
        </w:tc>
        <w:tc>
          <w:tcPr>
            <w:tcW w:w="750" w:type="dxa"/>
            <w:vMerge w:val="continue"/>
            <w:vAlign w:val="center"/>
          </w:tcPr>
          <w:p w14:paraId="0505E221">
            <w:pPr>
              <w:spacing w:before="156" w:beforeLines="50" w:after="156" w:afterLines="50"/>
              <w:jc w:val="left"/>
              <w:rPr>
                <w:rFonts w:ascii="宋体"/>
                <w:b/>
                <w:kern w:val="0"/>
                <w:sz w:val="18"/>
                <w:szCs w:val="18"/>
              </w:rPr>
            </w:pPr>
          </w:p>
        </w:tc>
        <w:tc>
          <w:tcPr>
            <w:tcW w:w="1579" w:type="dxa"/>
            <w:vMerge w:val="continue"/>
            <w:vAlign w:val="center"/>
          </w:tcPr>
          <w:p w14:paraId="4C213834">
            <w:pPr>
              <w:spacing w:before="156" w:beforeLines="50" w:after="156" w:afterLines="50"/>
              <w:jc w:val="left"/>
              <w:rPr>
                <w:rFonts w:ascii="宋体"/>
                <w:b/>
                <w:kern w:val="0"/>
                <w:sz w:val="18"/>
                <w:szCs w:val="18"/>
              </w:rPr>
            </w:pPr>
          </w:p>
        </w:tc>
        <w:tc>
          <w:tcPr>
            <w:tcW w:w="2573" w:type="dxa"/>
            <w:vMerge w:val="continue"/>
            <w:vAlign w:val="center"/>
          </w:tcPr>
          <w:p w14:paraId="763139FB">
            <w:pPr>
              <w:spacing w:before="156" w:beforeLines="50" w:after="156" w:afterLines="50"/>
              <w:jc w:val="left"/>
              <w:rPr>
                <w:rFonts w:ascii="宋体"/>
                <w:b/>
                <w:kern w:val="0"/>
                <w:sz w:val="18"/>
                <w:szCs w:val="18"/>
              </w:rPr>
            </w:pPr>
          </w:p>
        </w:tc>
        <w:tc>
          <w:tcPr>
            <w:tcW w:w="1137" w:type="dxa"/>
            <w:vMerge w:val="continue"/>
            <w:vAlign w:val="center"/>
          </w:tcPr>
          <w:p w14:paraId="2E55215B">
            <w:pPr>
              <w:spacing w:before="156" w:beforeLines="50" w:after="156" w:afterLines="50"/>
              <w:jc w:val="left"/>
              <w:rPr>
                <w:rFonts w:ascii="宋体"/>
                <w:b/>
                <w:kern w:val="0"/>
                <w:sz w:val="18"/>
                <w:szCs w:val="18"/>
              </w:rPr>
            </w:pPr>
          </w:p>
        </w:tc>
        <w:tc>
          <w:tcPr>
            <w:tcW w:w="2436" w:type="dxa"/>
            <w:vMerge w:val="continue"/>
            <w:vAlign w:val="center"/>
          </w:tcPr>
          <w:p w14:paraId="324DC493">
            <w:pPr>
              <w:spacing w:before="156" w:beforeLines="50" w:after="156" w:afterLines="50"/>
              <w:jc w:val="left"/>
              <w:rPr>
                <w:rFonts w:ascii="宋体"/>
                <w:b/>
                <w:kern w:val="0"/>
                <w:sz w:val="18"/>
                <w:szCs w:val="18"/>
              </w:rPr>
            </w:pPr>
          </w:p>
        </w:tc>
        <w:tc>
          <w:tcPr>
            <w:tcW w:w="2928" w:type="dxa"/>
            <w:vAlign w:val="center"/>
          </w:tcPr>
          <w:p w14:paraId="0AC9AC6D">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64" w:type="dxa"/>
            <w:vAlign w:val="center"/>
          </w:tcPr>
          <w:p w14:paraId="3FB95CDE">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25" w:type="dxa"/>
            <w:vAlign w:val="center"/>
          </w:tcPr>
          <w:p w14:paraId="78DCAB07">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83" w:type="dxa"/>
            <w:vMerge w:val="continue"/>
            <w:vAlign w:val="center"/>
          </w:tcPr>
          <w:p w14:paraId="72926459">
            <w:pPr>
              <w:spacing w:before="156" w:beforeLines="50" w:after="156" w:afterLines="50"/>
              <w:jc w:val="left"/>
              <w:rPr>
                <w:rFonts w:ascii="宋体"/>
                <w:b/>
                <w:sz w:val="18"/>
                <w:szCs w:val="18"/>
              </w:rPr>
            </w:pPr>
          </w:p>
        </w:tc>
      </w:tr>
      <w:tr w14:paraId="058BC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restart"/>
            <w:vAlign w:val="center"/>
          </w:tcPr>
          <w:p w14:paraId="7EAFF825">
            <w:pPr>
              <w:spacing w:before="156" w:beforeLines="50" w:after="156" w:afterLines="50"/>
              <w:jc w:val="center"/>
              <w:rPr>
                <w:rFonts w:ascii="宋体"/>
                <w:kern w:val="0"/>
                <w:sz w:val="18"/>
                <w:szCs w:val="18"/>
              </w:rPr>
            </w:pPr>
            <w:r>
              <w:rPr>
                <w:rFonts w:hint="eastAsia" w:ascii="宋体"/>
                <w:kern w:val="0"/>
                <w:sz w:val="18"/>
                <w:szCs w:val="18"/>
              </w:rPr>
              <w:t>4</w:t>
            </w:r>
          </w:p>
        </w:tc>
        <w:tc>
          <w:tcPr>
            <w:tcW w:w="750" w:type="dxa"/>
            <w:vMerge w:val="restart"/>
            <w:vAlign w:val="center"/>
          </w:tcPr>
          <w:p w14:paraId="0DD41A7C">
            <w:pPr>
              <w:widowControl/>
              <w:spacing w:before="156" w:beforeLines="50" w:after="156" w:afterLines="50"/>
              <w:rPr>
                <w:rFonts w:ascii="宋体"/>
                <w:kern w:val="0"/>
                <w:sz w:val="18"/>
                <w:szCs w:val="18"/>
              </w:rPr>
            </w:pPr>
            <w:r>
              <w:rPr>
                <w:rFonts w:hint="eastAsia" w:ascii="宋体"/>
                <w:sz w:val="18"/>
                <w:szCs w:val="18"/>
              </w:rPr>
              <w:t>不遵守海事管理机构发布的在能见度不良时的航行规定</w:t>
            </w:r>
          </w:p>
        </w:tc>
        <w:tc>
          <w:tcPr>
            <w:tcW w:w="1579" w:type="dxa"/>
            <w:vMerge w:val="restart"/>
            <w:vAlign w:val="center"/>
          </w:tcPr>
          <w:p w14:paraId="3C5A576A">
            <w:pPr>
              <w:widowControl/>
              <w:spacing w:before="156" w:beforeLines="50" w:after="156" w:afterLines="50"/>
              <w:rPr>
                <w:rFonts w:ascii="宋体"/>
                <w:sz w:val="18"/>
                <w:szCs w:val="18"/>
              </w:rPr>
            </w:pPr>
            <w:r>
              <w:rPr>
                <w:rFonts w:hint="eastAsia" w:ascii="宋体"/>
                <w:sz w:val="18"/>
                <w:szCs w:val="18"/>
              </w:rPr>
              <w:t>1.《中华人民共和国内河交通安全管理条例》第二十三条第（一）项和海事管理机构发布的在能见度不良时航行规定；</w:t>
            </w:r>
          </w:p>
          <w:p w14:paraId="1619A310">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相关法律、法规、规章等。</w:t>
            </w:r>
          </w:p>
        </w:tc>
        <w:tc>
          <w:tcPr>
            <w:tcW w:w="2573" w:type="dxa"/>
            <w:vMerge w:val="restart"/>
            <w:vAlign w:val="center"/>
          </w:tcPr>
          <w:p w14:paraId="6FB289AD">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0F3B7679">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2.《中华人民共和国内河海事行政处罚规定》第十七条第一款和第二款第（十）项；</w:t>
            </w:r>
          </w:p>
          <w:p w14:paraId="079D5A96">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37" w:type="dxa"/>
            <w:vAlign w:val="center"/>
          </w:tcPr>
          <w:p w14:paraId="23A28435">
            <w:pPr>
              <w:spacing w:before="156" w:beforeLines="50" w:after="156" w:afterLines="50"/>
              <w:jc w:val="left"/>
              <w:rPr>
                <w:rFonts w:ascii="宋体"/>
                <w:kern w:val="0"/>
                <w:sz w:val="18"/>
                <w:szCs w:val="18"/>
              </w:rPr>
            </w:pPr>
            <w:r>
              <w:rPr>
                <w:rFonts w:hint="eastAsia" w:ascii="宋体"/>
                <w:kern w:val="0"/>
                <w:sz w:val="18"/>
                <w:szCs w:val="18"/>
              </w:rPr>
              <w:t>从轻</w:t>
            </w:r>
          </w:p>
        </w:tc>
        <w:tc>
          <w:tcPr>
            <w:tcW w:w="2436" w:type="dxa"/>
            <w:vAlign w:val="center"/>
          </w:tcPr>
          <w:p w14:paraId="5D857CF9">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8" w:type="dxa"/>
            <w:vAlign w:val="center"/>
          </w:tcPr>
          <w:p w14:paraId="15ECA6EF">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64" w:type="dxa"/>
            <w:vAlign w:val="center"/>
          </w:tcPr>
          <w:p w14:paraId="21A6AB54">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25" w:type="dxa"/>
            <w:vAlign w:val="center"/>
          </w:tcPr>
          <w:p w14:paraId="535A1CB3">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83" w:type="dxa"/>
            <w:vAlign w:val="center"/>
          </w:tcPr>
          <w:p w14:paraId="4F07A7CC">
            <w:pPr>
              <w:spacing w:before="156" w:beforeLines="50" w:after="156" w:afterLines="50"/>
              <w:jc w:val="center"/>
              <w:rPr>
                <w:rFonts w:ascii="宋体"/>
                <w:kern w:val="0"/>
                <w:sz w:val="18"/>
                <w:szCs w:val="18"/>
              </w:rPr>
            </w:pPr>
            <w:r>
              <w:rPr>
                <w:rFonts w:ascii="宋体"/>
                <w:kern w:val="0"/>
                <w:sz w:val="18"/>
                <w:szCs w:val="18"/>
              </w:rPr>
              <w:t>/</w:t>
            </w:r>
          </w:p>
        </w:tc>
      </w:tr>
      <w:tr w14:paraId="2D95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14:paraId="1781756B">
            <w:pPr>
              <w:spacing w:before="156" w:beforeLines="50" w:after="156" w:afterLines="50"/>
              <w:jc w:val="left"/>
              <w:rPr>
                <w:rFonts w:ascii="宋体"/>
                <w:kern w:val="0"/>
                <w:sz w:val="18"/>
                <w:szCs w:val="18"/>
              </w:rPr>
            </w:pPr>
          </w:p>
        </w:tc>
        <w:tc>
          <w:tcPr>
            <w:tcW w:w="750" w:type="dxa"/>
            <w:vMerge w:val="continue"/>
            <w:vAlign w:val="center"/>
          </w:tcPr>
          <w:p w14:paraId="5316D3E3">
            <w:pPr>
              <w:spacing w:before="156" w:beforeLines="50" w:after="156" w:afterLines="50"/>
              <w:jc w:val="left"/>
              <w:rPr>
                <w:rFonts w:ascii="宋体"/>
                <w:kern w:val="0"/>
                <w:sz w:val="18"/>
                <w:szCs w:val="18"/>
              </w:rPr>
            </w:pPr>
          </w:p>
        </w:tc>
        <w:tc>
          <w:tcPr>
            <w:tcW w:w="1579" w:type="dxa"/>
            <w:vMerge w:val="continue"/>
            <w:vAlign w:val="center"/>
          </w:tcPr>
          <w:p w14:paraId="3C204A36">
            <w:pPr>
              <w:widowControl/>
              <w:spacing w:before="156" w:beforeLines="50" w:after="156" w:afterLines="50"/>
              <w:jc w:val="left"/>
              <w:rPr>
                <w:rFonts w:ascii="宋体"/>
                <w:kern w:val="0"/>
                <w:sz w:val="18"/>
                <w:szCs w:val="18"/>
              </w:rPr>
            </w:pPr>
          </w:p>
        </w:tc>
        <w:tc>
          <w:tcPr>
            <w:tcW w:w="2573" w:type="dxa"/>
            <w:vMerge w:val="continue"/>
            <w:vAlign w:val="center"/>
          </w:tcPr>
          <w:p w14:paraId="66755F53">
            <w:pPr>
              <w:spacing w:before="156" w:beforeLines="50" w:after="156" w:afterLines="50"/>
              <w:jc w:val="left"/>
              <w:rPr>
                <w:rFonts w:ascii="宋体"/>
                <w:kern w:val="0"/>
                <w:sz w:val="18"/>
                <w:szCs w:val="18"/>
              </w:rPr>
            </w:pPr>
          </w:p>
        </w:tc>
        <w:tc>
          <w:tcPr>
            <w:tcW w:w="1137" w:type="dxa"/>
            <w:vMerge w:val="restart"/>
            <w:vAlign w:val="center"/>
          </w:tcPr>
          <w:p w14:paraId="37AB8DF3">
            <w:pPr>
              <w:spacing w:before="156" w:beforeLines="50" w:after="156" w:afterLines="50"/>
              <w:jc w:val="left"/>
              <w:rPr>
                <w:rFonts w:ascii="宋体"/>
                <w:kern w:val="0"/>
                <w:sz w:val="18"/>
                <w:szCs w:val="18"/>
              </w:rPr>
            </w:pPr>
            <w:r>
              <w:rPr>
                <w:rFonts w:hint="eastAsia" w:ascii="宋体"/>
                <w:kern w:val="0"/>
                <w:sz w:val="18"/>
                <w:szCs w:val="18"/>
              </w:rPr>
              <w:t>一般</w:t>
            </w:r>
          </w:p>
        </w:tc>
        <w:tc>
          <w:tcPr>
            <w:tcW w:w="2436" w:type="dxa"/>
            <w:vAlign w:val="center"/>
          </w:tcPr>
          <w:p w14:paraId="6A90B9EB">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不遵守海事管理机构发布的在能见度不良时航行规定，未造成事故及险情的。</w:t>
            </w:r>
          </w:p>
        </w:tc>
        <w:tc>
          <w:tcPr>
            <w:tcW w:w="2928" w:type="dxa"/>
            <w:vAlign w:val="center"/>
          </w:tcPr>
          <w:p w14:paraId="2AB1761F">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64" w:type="dxa"/>
            <w:vAlign w:val="center"/>
          </w:tcPr>
          <w:p w14:paraId="5D60940A">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925" w:type="dxa"/>
            <w:vAlign w:val="center"/>
          </w:tcPr>
          <w:p w14:paraId="79BB39B9">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83" w:type="dxa"/>
            <w:vAlign w:val="center"/>
          </w:tcPr>
          <w:p w14:paraId="093CEA23">
            <w:pPr>
              <w:spacing w:before="156" w:beforeLines="50" w:after="156" w:afterLines="50"/>
              <w:jc w:val="center"/>
              <w:rPr>
                <w:rFonts w:ascii="宋体"/>
                <w:kern w:val="0"/>
                <w:sz w:val="18"/>
                <w:szCs w:val="18"/>
              </w:rPr>
            </w:pPr>
            <w:r>
              <w:rPr>
                <w:rFonts w:ascii="宋体"/>
                <w:kern w:val="0"/>
                <w:sz w:val="18"/>
                <w:szCs w:val="18"/>
              </w:rPr>
              <w:t>/</w:t>
            </w:r>
          </w:p>
        </w:tc>
      </w:tr>
      <w:tr w14:paraId="1CBA4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14:paraId="497186D3">
            <w:pPr>
              <w:spacing w:before="156" w:beforeLines="50" w:after="156" w:afterLines="50"/>
              <w:jc w:val="left"/>
              <w:rPr>
                <w:rFonts w:ascii="宋体"/>
                <w:kern w:val="0"/>
                <w:sz w:val="18"/>
                <w:szCs w:val="18"/>
              </w:rPr>
            </w:pPr>
          </w:p>
        </w:tc>
        <w:tc>
          <w:tcPr>
            <w:tcW w:w="750" w:type="dxa"/>
            <w:vMerge w:val="continue"/>
            <w:vAlign w:val="center"/>
          </w:tcPr>
          <w:p w14:paraId="4F7A1659">
            <w:pPr>
              <w:spacing w:before="156" w:beforeLines="50" w:after="156" w:afterLines="50"/>
              <w:jc w:val="left"/>
              <w:rPr>
                <w:rFonts w:ascii="宋体"/>
                <w:kern w:val="0"/>
                <w:sz w:val="18"/>
                <w:szCs w:val="18"/>
              </w:rPr>
            </w:pPr>
          </w:p>
        </w:tc>
        <w:tc>
          <w:tcPr>
            <w:tcW w:w="1579" w:type="dxa"/>
            <w:vMerge w:val="continue"/>
            <w:vAlign w:val="center"/>
          </w:tcPr>
          <w:p w14:paraId="7628B86F">
            <w:pPr>
              <w:spacing w:before="156" w:beforeLines="50" w:after="156" w:afterLines="50"/>
              <w:jc w:val="left"/>
              <w:rPr>
                <w:rFonts w:ascii="宋体"/>
                <w:kern w:val="0"/>
                <w:sz w:val="18"/>
                <w:szCs w:val="18"/>
              </w:rPr>
            </w:pPr>
          </w:p>
        </w:tc>
        <w:tc>
          <w:tcPr>
            <w:tcW w:w="2573" w:type="dxa"/>
            <w:vMerge w:val="continue"/>
            <w:vAlign w:val="center"/>
          </w:tcPr>
          <w:p w14:paraId="322B84A6">
            <w:pPr>
              <w:spacing w:before="156" w:beforeLines="50" w:after="156" w:afterLines="50"/>
              <w:jc w:val="left"/>
              <w:rPr>
                <w:rFonts w:ascii="宋体"/>
                <w:kern w:val="0"/>
                <w:sz w:val="18"/>
                <w:szCs w:val="18"/>
              </w:rPr>
            </w:pPr>
          </w:p>
        </w:tc>
        <w:tc>
          <w:tcPr>
            <w:tcW w:w="1137" w:type="dxa"/>
            <w:vMerge w:val="continue"/>
            <w:vAlign w:val="center"/>
          </w:tcPr>
          <w:p w14:paraId="1E311E51">
            <w:pPr>
              <w:spacing w:before="156" w:beforeLines="50" w:after="156" w:afterLines="50"/>
              <w:jc w:val="left"/>
              <w:rPr>
                <w:rFonts w:ascii="宋体"/>
                <w:kern w:val="0"/>
                <w:sz w:val="18"/>
                <w:szCs w:val="18"/>
              </w:rPr>
            </w:pPr>
          </w:p>
        </w:tc>
        <w:tc>
          <w:tcPr>
            <w:tcW w:w="2436" w:type="dxa"/>
            <w:vAlign w:val="center"/>
          </w:tcPr>
          <w:p w14:paraId="167B976C">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不遵守海事管理机构发布的在能见度不良时航行规定，造成一般以下等级水上交通事故及险情的。</w:t>
            </w:r>
          </w:p>
        </w:tc>
        <w:tc>
          <w:tcPr>
            <w:tcW w:w="2928" w:type="dxa"/>
            <w:vAlign w:val="center"/>
          </w:tcPr>
          <w:p w14:paraId="0066F60A">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64" w:type="dxa"/>
            <w:vAlign w:val="center"/>
          </w:tcPr>
          <w:p w14:paraId="5CC56899">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925" w:type="dxa"/>
            <w:vAlign w:val="center"/>
          </w:tcPr>
          <w:p w14:paraId="0C20444B">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83" w:type="dxa"/>
            <w:vAlign w:val="center"/>
          </w:tcPr>
          <w:p w14:paraId="3004838C">
            <w:pPr>
              <w:spacing w:before="156" w:beforeLines="50" w:after="156" w:afterLines="50"/>
              <w:jc w:val="center"/>
              <w:rPr>
                <w:rFonts w:ascii="宋体"/>
                <w:kern w:val="0"/>
                <w:sz w:val="18"/>
                <w:szCs w:val="18"/>
              </w:rPr>
            </w:pPr>
            <w:r>
              <w:rPr>
                <w:rFonts w:ascii="宋体"/>
                <w:kern w:val="0"/>
                <w:sz w:val="18"/>
                <w:szCs w:val="18"/>
              </w:rPr>
              <w:t>/</w:t>
            </w:r>
          </w:p>
        </w:tc>
      </w:tr>
      <w:tr w14:paraId="6EE35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50" w:type="dxa"/>
            <w:vMerge w:val="continue"/>
            <w:vAlign w:val="center"/>
          </w:tcPr>
          <w:p w14:paraId="311E678D">
            <w:pPr>
              <w:spacing w:before="156" w:beforeLines="50" w:after="156" w:afterLines="50"/>
              <w:jc w:val="left"/>
              <w:rPr>
                <w:rFonts w:ascii="宋体"/>
                <w:kern w:val="0"/>
                <w:sz w:val="18"/>
                <w:szCs w:val="18"/>
              </w:rPr>
            </w:pPr>
          </w:p>
        </w:tc>
        <w:tc>
          <w:tcPr>
            <w:tcW w:w="750" w:type="dxa"/>
            <w:vMerge w:val="continue"/>
            <w:vAlign w:val="center"/>
          </w:tcPr>
          <w:p w14:paraId="445DF08A">
            <w:pPr>
              <w:spacing w:before="156" w:beforeLines="50" w:after="156" w:afterLines="50"/>
              <w:jc w:val="left"/>
              <w:rPr>
                <w:rFonts w:ascii="宋体"/>
                <w:kern w:val="0"/>
                <w:sz w:val="18"/>
                <w:szCs w:val="18"/>
              </w:rPr>
            </w:pPr>
          </w:p>
        </w:tc>
        <w:tc>
          <w:tcPr>
            <w:tcW w:w="1579" w:type="dxa"/>
            <w:vMerge w:val="continue"/>
            <w:vAlign w:val="center"/>
          </w:tcPr>
          <w:p w14:paraId="1CBB33A3">
            <w:pPr>
              <w:spacing w:before="156" w:beforeLines="50" w:after="156" w:afterLines="50"/>
              <w:jc w:val="left"/>
              <w:rPr>
                <w:rFonts w:ascii="宋体"/>
                <w:kern w:val="0"/>
                <w:sz w:val="18"/>
                <w:szCs w:val="18"/>
              </w:rPr>
            </w:pPr>
          </w:p>
        </w:tc>
        <w:tc>
          <w:tcPr>
            <w:tcW w:w="2573" w:type="dxa"/>
            <w:vMerge w:val="continue"/>
            <w:vAlign w:val="center"/>
          </w:tcPr>
          <w:p w14:paraId="23D2607B">
            <w:pPr>
              <w:spacing w:before="156" w:beforeLines="50" w:after="156" w:afterLines="50"/>
              <w:jc w:val="left"/>
              <w:rPr>
                <w:rFonts w:ascii="宋体"/>
                <w:kern w:val="0"/>
                <w:sz w:val="18"/>
                <w:szCs w:val="18"/>
              </w:rPr>
            </w:pPr>
          </w:p>
        </w:tc>
        <w:tc>
          <w:tcPr>
            <w:tcW w:w="1137" w:type="dxa"/>
            <w:vMerge w:val="restart"/>
            <w:vAlign w:val="center"/>
          </w:tcPr>
          <w:p w14:paraId="03907064">
            <w:pPr>
              <w:spacing w:before="156" w:beforeLines="50" w:after="156" w:afterLines="50"/>
              <w:jc w:val="left"/>
              <w:rPr>
                <w:rFonts w:ascii="宋体"/>
                <w:kern w:val="0"/>
                <w:sz w:val="18"/>
                <w:szCs w:val="18"/>
              </w:rPr>
            </w:pPr>
            <w:r>
              <w:rPr>
                <w:rFonts w:hint="eastAsia" w:ascii="宋体"/>
                <w:kern w:val="0"/>
                <w:sz w:val="18"/>
                <w:szCs w:val="18"/>
              </w:rPr>
              <w:t>情节严重</w:t>
            </w:r>
          </w:p>
        </w:tc>
        <w:tc>
          <w:tcPr>
            <w:tcW w:w="2436" w:type="dxa"/>
            <w:tcBorders>
              <w:bottom w:val="single" w:color="auto" w:sz="4" w:space="0"/>
            </w:tcBorders>
            <w:vAlign w:val="center"/>
          </w:tcPr>
          <w:p w14:paraId="73782804">
            <w:pPr>
              <w:widowControl/>
              <w:spacing w:before="156" w:beforeLines="50" w:after="156" w:afterLines="50"/>
              <w:jc w:val="left"/>
              <w:rPr>
                <w:rFonts w:ascii="宋体"/>
                <w:kern w:val="0"/>
                <w:sz w:val="18"/>
                <w:szCs w:val="18"/>
              </w:rPr>
            </w:pPr>
            <w:r>
              <w:rPr>
                <w:rFonts w:hint="eastAsia" w:ascii="宋体"/>
                <w:kern w:val="0"/>
                <w:sz w:val="18"/>
                <w:szCs w:val="18"/>
              </w:rPr>
              <w:t>船舶不遵守雾航规则，造成一般及以上等级水上交通事故的。</w:t>
            </w:r>
          </w:p>
        </w:tc>
        <w:tc>
          <w:tcPr>
            <w:tcW w:w="2928" w:type="dxa"/>
            <w:vMerge w:val="restart"/>
            <w:vAlign w:val="center"/>
          </w:tcPr>
          <w:p w14:paraId="4A301D3A">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64" w:type="dxa"/>
            <w:vMerge w:val="restart"/>
            <w:vAlign w:val="center"/>
          </w:tcPr>
          <w:p w14:paraId="511E439C">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925" w:type="dxa"/>
            <w:vMerge w:val="restart"/>
            <w:vAlign w:val="center"/>
          </w:tcPr>
          <w:p w14:paraId="67A64CBF">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83" w:type="dxa"/>
            <w:tcBorders>
              <w:bottom w:val="single" w:color="auto" w:sz="4" w:space="0"/>
            </w:tcBorders>
            <w:vAlign w:val="center"/>
          </w:tcPr>
          <w:p w14:paraId="19623724">
            <w:pPr>
              <w:spacing w:before="156" w:beforeLines="50" w:after="156" w:afterLines="50"/>
              <w:jc w:val="left"/>
              <w:rPr>
                <w:rFonts w:ascii="宋体"/>
                <w:kern w:val="0"/>
                <w:sz w:val="18"/>
                <w:szCs w:val="18"/>
              </w:rPr>
            </w:pPr>
            <w:r>
              <w:rPr>
                <w:rFonts w:hint="eastAsia" w:ascii="宋体"/>
                <w:kern w:val="0"/>
                <w:sz w:val="18"/>
                <w:szCs w:val="18"/>
              </w:rPr>
              <w:t>船舶不遵守雾航规则造成一般及以上等级水上交通事故的，暂扣直至吊销证书处罚的裁量按照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5864D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750" w:type="dxa"/>
            <w:vMerge w:val="continue"/>
            <w:vAlign w:val="center"/>
          </w:tcPr>
          <w:p w14:paraId="043A8A8B">
            <w:pPr>
              <w:spacing w:before="156" w:beforeLines="50" w:after="156" w:afterLines="50"/>
              <w:jc w:val="left"/>
              <w:rPr>
                <w:rFonts w:ascii="宋体"/>
                <w:kern w:val="0"/>
                <w:sz w:val="18"/>
                <w:szCs w:val="18"/>
              </w:rPr>
            </w:pPr>
          </w:p>
        </w:tc>
        <w:tc>
          <w:tcPr>
            <w:tcW w:w="750" w:type="dxa"/>
            <w:vMerge w:val="continue"/>
            <w:vAlign w:val="center"/>
          </w:tcPr>
          <w:p w14:paraId="0311D3CF">
            <w:pPr>
              <w:spacing w:before="156" w:beforeLines="50" w:after="156" w:afterLines="50"/>
              <w:jc w:val="left"/>
              <w:rPr>
                <w:rFonts w:ascii="宋体"/>
                <w:kern w:val="0"/>
                <w:sz w:val="18"/>
                <w:szCs w:val="18"/>
              </w:rPr>
            </w:pPr>
          </w:p>
        </w:tc>
        <w:tc>
          <w:tcPr>
            <w:tcW w:w="1579" w:type="dxa"/>
            <w:vMerge w:val="continue"/>
            <w:vAlign w:val="center"/>
          </w:tcPr>
          <w:p w14:paraId="1CDC7708">
            <w:pPr>
              <w:spacing w:before="156" w:beforeLines="50" w:after="156" w:afterLines="50"/>
              <w:jc w:val="left"/>
              <w:rPr>
                <w:rFonts w:ascii="宋体"/>
                <w:kern w:val="0"/>
                <w:sz w:val="18"/>
                <w:szCs w:val="18"/>
              </w:rPr>
            </w:pPr>
          </w:p>
        </w:tc>
        <w:tc>
          <w:tcPr>
            <w:tcW w:w="2573" w:type="dxa"/>
            <w:vMerge w:val="continue"/>
            <w:vAlign w:val="center"/>
          </w:tcPr>
          <w:p w14:paraId="4694642E">
            <w:pPr>
              <w:spacing w:before="156" w:beforeLines="50" w:after="156" w:afterLines="50"/>
              <w:jc w:val="left"/>
              <w:rPr>
                <w:rFonts w:ascii="宋体"/>
                <w:kern w:val="0"/>
                <w:sz w:val="18"/>
                <w:szCs w:val="18"/>
              </w:rPr>
            </w:pPr>
          </w:p>
        </w:tc>
        <w:tc>
          <w:tcPr>
            <w:tcW w:w="1137" w:type="dxa"/>
            <w:vMerge w:val="continue"/>
            <w:vAlign w:val="center"/>
          </w:tcPr>
          <w:p w14:paraId="292C8A48">
            <w:pPr>
              <w:spacing w:before="156" w:beforeLines="50" w:after="156" w:afterLines="50"/>
              <w:jc w:val="left"/>
              <w:rPr>
                <w:rFonts w:ascii="宋体"/>
                <w:kern w:val="0"/>
                <w:sz w:val="18"/>
                <w:szCs w:val="18"/>
              </w:rPr>
            </w:pPr>
          </w:p>
        </w:tc>
        <w:tc>
          <w:tcPr>
            <w:tcW w:w="2436" w:type="dxa"/>
            <w:tcBorders>
              <w:top w:val="single" w:color="auto" w:sz="4" w:space="0"/>
            </w:tcBorders>
            <w:vAlign w:val="center"/>
          </w:tcPr>
          <w:p w14:paraId="2694305C">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928" w:type="dxa"/>
            <w:vMerge w:val="continue"/>
            <w:vAlign w:val="center"/>
          </w:tcPr>
          <w:p w14:paraId="1AAAAC99">
            <w:pPr>
              <w:spacing w:before="156" w:beforeLines="50" w:after="156" w:afterLines="50"/>
              <w:jc w:val="left"/>
              <w:rPr>
                <w:rFonts w:ascii="宋体"/>
                <w:sz w:val="18"/>
                <w:szCs w:val="18"/>
              </w:rPr>
            </w:pPr>
          </w:p>
        </w:tc>
        <w:tc>
          <w:tcPr>
            <w:tcW w:w="2764" w:type="dxa"/>
            <w:vMerge w:val="continue"/>
            <w:vAlign w:val="center"/>
          </w:tcPr>
          <w:p w14:paraId="13B2A106">
            <w:pPr>
              <w:spacing w:before="156" w:beforeLines="50" w:after="156" w:afterLines="50"/>
              <w:jc w:val="left"/>
              <w:rPr>
                <w:rFonts w:ascii="宋体"/>
                <w:sz w:val="18"/>
                <w:szCs w:val="18"/>
              </w:rPr>
            </w:pPr>
          </w:p>
        </w:tc>
        <w:tc>
          <w:tcPr>
            <w:tcW w:w="2925" w:type="dxa"/>
            <w:vMerge w:val="continue"/>
            <w:vAlign w:val="center"/>
          </w:tcPr>
          <w:p w14:paraId="193812D1">
            <w:pPr>
              <w:spacing w:before="156" w:beforeLines="50" w:after="156" w:afterLines="50"/>
              <w:jc w:val="left"/>
              <w:rPr>
                <w:rFonts w:ascii="宋体"/>
                <w:spacing w:val="-4"/>
                <w:kern w:val="0"/>
                <w:sz w:val="18"/>
                <w:szCs w:val="18"/>
              </w:rPr>
            </w:pPr>
          </w:p>
        </w:tc>
        <w:tc>
          <w:tcPr>
            <w:tcW w:w="2783" w:type="dxa"/>
            <w:tcBorders>
              <w:top w:val="single" w:color="auto" w:sz="4" w:space="0"/>
            </w:tcBorders>
            <w:vAlign w:val="center"/>
          </w:tcPr>
          <w:p w14:paraId="4D99CA42">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7F48519A">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
        <w:gridCol w:w="966"/>
        <w:gridCol w:w="32"/>
        <w:gridCol w:w="1507"/>
        <w:gridCol w:w="63"/>
        <w:gridCol w:w="1834"/>
        <w:gridCol w:w="611"/>
        <w:gridCol w:w="519"/>
        <w:gridCol w:w="591"/>
        <w:gridCol w:w="2421"/>
        <w:gridCol w:w="22"/>
        <w:gridCol w:w="2786"/>
        <w:gridCol w:w="41"/>
        <w:gridCol w:w="2654"/>
        <w:gridCol w:w="158"/>
        <w:gridCol w:w="2695"/>
        <w:gridCol w:w="103"/>
        <w:gridCol w:w="2732"/>
        <w:gridCol w:w="18"/>
      </w:tblGrid>
      <w:tr w14:paraId="3E05F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 w:hRule="atLeast"/>
        </w:trPr>
        <w:tc>
          <w:tcPr>
            <w:tcW w:w="771" w:type="dxa"/>
            <w:vMerge w:val="restart"/>
            <w:vAlign w:val="center"/>
          </w:tcPr>
          <w:p w14:paraId="4169F869">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80" w:type="dxa"/>
            <w:gridSpan w:val="2"/>
            <w:vMerge w:val="restart"/>
            <w:vAlign w:val="center"/>
          </w:tcPr>
          <w:p w14:paraId="48BA40E7">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47" w:type="dxa"/>
            <w:gridSpan w:val="5"/>
            <w:vMerge w:val="restart"/>
            <w:vAlign w:val="center"/>
          </w:tcPr>
          <w:p w14:paraId="3A4C8A07">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10" w:type="dxa"/>
            <w:gridSpan w:val="2"/>
            <w:vMerge w:val="restart"/>
            <w:vAlign w:val="center"/>
          </w:tcPr>
          <w:p w14:paraId="38DBB395">
            <w:pPr>
              <w:spacing w:before="156" w:beforeLines="50" w:after="156" w:afterLines="50"/>
              <w:jc w:val="center"/>
              <w:rPr>
                <w:rFonts w:ascii="宋体"/>
                <w:b/>
                <w:kern w:val="0"/>
                <w:sz w:val="18"/>
                <w:szCs w:val="18"/>
              </w:rPr>
            </w:pPr>
            <w:r>
              <w:rPr>
                <w:rFonts w:hint="eastAsia" w:ascii="宋体"/>
                <w:b/>
                <w:kern w:val="0"/>
                <w:sz w:val="18"/>
                <w:szCs w:val="18"/>
              </w:rPr>
              <w:t>违法行</w:t>
            </w:r>
          </w:p>
          <w:p w14:paraId="425C7F79">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421" w:type="dxa"/>
            <w:vMerge w:val="restart"/>
            <w:vAlign w:val="center"/>
          </w:tcPr>
          <w:p w14:paraId="2979902D">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57570685">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209" w:type="dxa"/>
            <w:gridSpan w:val="9"/>
            <w:vAlign w:val="center"/>
          </w:tcPr>
          <w:p w14:paraId="18208FE6">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2EA87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771" w:type="dxa"/>
            <w:vMerge w:val="continue"/>
            <w:vAlign w:val="center"/>
          </w:tcPr>
          <w:p w14:paraId="6C238E6A">
            <w:pPr>
              <w:spacing w:before="156" w:beforeLines="50" w:after="156" w:afterLines="50"/>
              <w:jc w:val="left"/>
              <w:rPr>
                <w:rFonts w:ascii="宋体"/>
                <w:b/>
                <w:kern w:val="0"/>
                <w:sz w:val="18"/>
                <w:szCs w:val="18"/>
              </w:rPr>
            </w:pPr>
          </w:p>
        </w:tc>
        <w:tc>
          <w:tcPr>
            <w:tcW w:w="980" w:type="dxa"/>
            <w:gridSpan w:val="2"/>
            <w:vMerge w:val="continue"/>
            <w:vAlign w:val="center"/>
          </w:tcPr>
          <w:p w14:paraId="0C2410BC">
            <w:pPr>
              <w:spacing w:before="156" w:beforeLines="50" w:after="156" w:afterLines="50"/>
              <w:jc w:val="left"/>
              <w:rPr>
                <w:rFonts w:ascii="宋体"/>
                <w:b/>
                <w:kern w:val="0"/>
                <w:sz w:val="18"/>
                <w:szCs w:val="18"/>
              </w:rPr>
            </w:pPr>
          </w:p>
        </w:tc>
        <w:tc>
          <w:tcPr>
            <w:tcW w:w="4047" w:type="dxa"/>
            <w:gridSpan w:val="5"/>
            <w:vMerge w:val="continue"/>
            <w:vAlign w:val="center"/>
          </w:tcPr>
          <w:p w14:paraId="7A306042">
            <w:pPr>
              <w:spacing w:before="156" w:beforeLines="50" w:after="156" w:afterLines="50"/>
              <w:jc w:val="left"/>
              <w:rPr>
                <w:rFonts w:ascii="宋体"/>
                <w:b/>
                <w:kern w:val="0"/>
                <w:sz w:val="18"/>
                <w:szCs w:val="18"/>
              </w:rPr>
            </w:pPr>
          </w:p>
        </w:tc>
        <w:tc>
          <w:tcPr>
            <w:tcW w:w="1110" w:type="dxa"/>
            <w:gridSpan w:val="2"/>
            <w:vMerge w:val="continue"/>
            <w:vAlign w:val="center"/>
          </w:tcPr>
          <w:p w14:paraId="048692E1">
            <w:pPr>
              <w:spacing w:before="156" w:beforeLines="50" w:after="156" w:afterLines="50"/>
              <w:jc w:val="left"/>
              <w:rPr>
                <w:rFonts w:ascii="宋体"/>
                <w:b/>
                <w:kern w:val="0"/>
                <w:sz w:val="18"/>
                <w:szCs w:val="18"/>
              </w:rPr>
            </w:pPr>
          </w:p>
        </w:tc>
        <w:tc>
          <w:tcPr>
            <w:tcW w:w="2421" w:type="dxa"/>
            <w:vMerge w:val="continue"/>
            <w:vAlign w:val="center"/>
          </w:tcPr>
          <w:p w14:paraId="1A4A9662">
            <w:pPr>
              <w:spacing w:before="156" w:beforeLines="50" w:after="156" w:afterLines="50"/>
              <w:jc w:val="left"/>
              <w:rPr>
                <w:rFonts w:ascii="宋体"/>
                <w:b/>
                <w:kern w:val="0"/>
                <w:sz w:val="18"/>
                <w:szCs w:val="18"/>
              </w:rPr>
            </w:pPr>
          </w:p>
        </w:tc>
        <w:tc>
          <w:tcPr>
            <w:tcW w:w="11209" w:type="dxa"/>
            <w:gridSpan w:val="9"/>
            <w:vAlign w:val="center"/>
          </w:tcPr>
          <w:p w14:paraId="3DBD2AA4">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1C1A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771" w:type="dxa"/>
            <w:vMerge w:val="continue"/>
            <w:vAlign w:val="center"/>
          </w:tcPr>
          <w:p w14:paraId="36260A62">
            <w:pPr>
              <w:spacing w:before="156" w:beforeLines="50" w:after="156" w:afterLines="50"/>
              <w:jc w:val="left"/>
              <w:rPr>
                <w:rFonts w:ascii="宋体"/>
                <w:b/>
                <w:kern w:val="0"/>
                <w:sz w:val="18"/>
                <w:szCs w:val="18"/>
              </w:rPr>
            </w:pPr>
          </w:p>
        </w:tc>
        <w:tc>
          <w:tcPr>
            <w:tcW w:w="980" w:type="dxa"/>
            <w:gridSpan w:val="2"/>
            <w:vMerge w:val="continue"/>
            <w:vAlign w:val="center"/>
          </w:tcPr>
          <w:p w14:paraId="18330904">
            <w:pPr>
              <w:spacing w:before="156" w:beforeLines="50" w:after="156" w:afterLines="50"/>
              <w:jc w:val="left"/>
              <w:rPr>
                <w:rFonts w:ascii="宋体"/>
                <w:b/>
                <w:kern w:val="0"/>
                <w:sz w:val="18"/>
                <w:szCs w:val="18"/>
              </w:rPr>
            </w:pPr>
          </w:p>
        </w:tc>
        <w:tc>
          <w:tcPr>
            <w:tcW w:w="1539" w:type="dxa"/>
            <w:gridSpan w:val="2"/>
            <w:vMerge w:val="restart"/>
            <w:vAlign w:val="center"/>
          </w:tcPr>
          <w:p w14:paraId="55941BF3">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08" w:type="dxa"/>
            <w:gridSpan w:val="3"/>
            <w:vMerge w:val="restart"/>
            <w:vAlign w:val="center"/>
          </w:tcPr>
          <w:p w14:paraId="5087220A">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10" w:type="dxa"/>
            <w:gridSpan w:val="2"/>
            <w:vMerge w:val="continue"/>
            <w:vAlign w:val="center"/>
          </w:tcPr>
          <w:p w14:paraId="6119ED60">
            <w:pPr>
              <w:spacing w:before="156" w:beforeLines="50" w:after="156" w:afterLines="50"/>
              <w:jc w:val="left"/>
              <w:rPr>
                <w:rFonts w:ascii="宋体"/>
                <w:b/>
                <w:kern w:val="0"/>
                <w:sz w:val="18"/>
                <w:szCs w:val="18"/>
              </w:rPr>
            </w:pPr>
          </w:p>
        </w:tc>
        <w:tc>
          <w:tcPr>
            <w:tcW w:w="2421" w:type="dxa"/>
            <w:vMerge w:val="continue"/>
            <w:vAlign w:val="center"/>
          </w:tcPr>
          <w:p w14:paraId="08AE549B">
            <w:pPr>
              <w:spacing w:before="156" w:beforeLines="50" w:after="156" w:afterLines="50"/>
              <w:jc w:val="left"/>
              <w:rPr>
                <w:rFonts w:ascii="宋体"/>
                <w:b/>
                <w:kern w:val="0"/>
                <w:sz w:val="18"/>
                <w:szCs w:val="18"/>
              </w:rPr>
            </w:pPr>
          </w:p>
        </w:tc>
        <w:tc>
          <w:tcPr>
            <w:tcW w:w="8356" w:type="dxa"/>
            <w:gridSpan w:val="6"/>
            <w:vAlign w:val="center"/>
          </w:tcPr>
          <w:p w14:paraId="1E40F9DA">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853" w:type="dxa"/>
            <w:gridSpan w:val="3"/>
            <w:vMerge w:val="restart"/>
            <w:vAlign w:val="center"/>
          </w:tcPr>
          <w:p w14:paraId="133C14C0">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423B5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2" w:hRule="atLeast"/>
        </w:trPr>
        <w:tc>
          <w:tcPr>
            <w:tcW w:w="771" w:type="dxa"/>
            <w:vMerge w:val="continue"/>
            <w:vAlign w:val="center"/>
          </w:tcPr>
          <w:p w14:paraId="1B14A70B">
            <w:pPr>
              <w:spacing w:before="156" w:beforeLines="50" w:after="156" w:afterLines="50"/>
              <w:jc w:val="left"/>
              <w:rPr>
                <w:rFonts w:ascii="宋体"/>
                <w:b/>
                <w:kern w:val="0"/>
                <w:sz w:val="18"/>
                <w:szCs w:val="18"/>
              </w:rPr>
            </w:pPr>
          </w:p>
        </w:tc>
        <w:tc>
          <w:tcPr>
            <w:tcW w:w="980" w:type="dxa"/>
            <w:gridSpan w:val="2"/>
            <w:vMerge w:val="continue"/>
            <w:vAlign w:val="center"/>
          </w:tcPr>
          <w:p w14:paraId="5B4AF86D">
            <w:pPr>
              <w:spacing w:before="156" w:beforeLines="50" w:after="156" w:afterLines="50"/>
              <w:jc w:val="left"/>
              <w:rPr>
                <w:rFonts w:ascii="宋体"/>
                <w:b/>
                <w:kern w:val="0"/>
                <w:sz w:val="18"/>
                <w:szCs w:val="18"/>
              </w:rPr>
            </w:pPr>
          </w:p>
        </w:tc>
        <w:tc>
          <w:tcPr>
            <w:tcW w:w="1539" w:type="dxa"/>
            <w:gridSpan w:val="2"/>
            <w:vMerge w:val="continue"/>
            <w:vAlign w:val="center"/>
          </w:tcPr>
          <w:p w14:paraId="45298A8C">
            <w:pPr>
              <w:spacing w:before="156" w:beforeLines="50" w:after="156" w:afterLines="50"/>
              <w:jc w:val="left"/>
              <w:rPr>
                <w:rFonts w:ascii="宋体"/>
                <w:b/>
                <w:kern w:val="0"/>
                <w:sz w:val="18"/>
                <w:szCs w:val="18"/>
              </w:rPr>
            </w:pPr>
          </w:p>
        </w:tc>
        <w:tc>
          <w:tcPr>
            <w:tcW w:w="2508" w:type="dxa"/>
            <w:gridSpan w:val="3"/>
            <w:vMerge w:val="continue"/>
            <w:vAlign w:val="center"/>
          </w:tcPr>
          <w:p w14:paraId="327CA36E">
            <w:pPr>
              <w:spacing w:before="156" w:beforeLines="50" w:after="156" w:afterLines="50"/>
              <w:jc w:val="left"/>
              <w:rPr>
                <w:rFonts w:ascii="宋体"/>
                <w:b/>
                <w:kern w:val="0"/>
                <w:sz w:val="18"/>
                <w:szCs w:val="18"/>
              </w:rPr>
            </w:pPr>
          </w:p>
        </w:tc>
        <w:tc>
          <w:tcPr>
            <w:tcW w:w="1110" w:type="dxa"/>
            <w:gridSpan w:val="2"/>
            <w:vMerge w:val="continue"/>
            <w:vAlign w:val="center"/>
          </w:tcPr>
          <w:p w14:paraId="30CEC7D2">
            <w:pPr>
              <w:spacing w:before="156" w:beforeLines="50" w:after="156" w:afterLines="50"/>
              <w:jc w:val="left"/>
              <w:rPr>
                <w:rFonts w:ascii="宋体"/>
                <w:b/>
                <w:kern w:val="0"/>
                <w:sz w:val="18"/>
                <w:szCs w:val="18"/>
              </w:rPr>
            </w:pPr>
          </w:p>
        </w:tc>
        <w:tc>
          <w:tcPr>
            <w:tcW w:w="2421" w:type="dxa"/>
            <w:vMerge w:val="continue"/>
            <w:vAlign w:val="center"/>
          </w:tcPr>
          <w:p w14:paraId="756AC586">
            <w:pPr>
              <w:spacing w:before="156" w:beforeLines="50" w:after="156" w:afterLines="50"/>
              <w:jc w:val="left"/>
              <w:rPr>
                <w:rFonts w:ascii="宋体"/>
                <w:b/>
                <w:kern w:val="0"/>
                <w:sz w:val="18"/>
                <w:szCs w:val="18"/>
              </w:rPr>
            </w:pPr>
          </w:p>
        </w:tc>
        <w:tc>
          <w:tcPr>
            <w:tcW w:w="2808" w:type="dxa"/>
            <w:gridSpan w:val="2"/>
            <w:vAlign w:val="center"/>
          </w:tcPr>
          <w:p w14:paraId="56873D0C">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695" w:type="dxa"/>
            <w:gridSpan w:val="2"/>
            <w:vAlign w:val="center"/>
          </w:tcPr>
          <w:p w14:paraId="03D59FF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53" w:type="dxa"/>
            <w:gridSpan w:val="2"/>
            <w:vAlign w:val="center"/>
          </w:tcPr>
          <w:p w14:paraId="4C65FE1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853" w:type="dxa"/>
            <w:gridSpan w:val="3"/>
            <w:vMerge w:val="continue"/>
            <w:vAlign w:val="center"/>
          </w:tcPr>
          <w:p w14:paraId="5D9FB98A">
            <w:pPr>
              <w:spacing w:before="156" w:beforeLines="50" w:after="156" w:afterLines="50"/>
              <w:jc w:val="left"/>
              <w:rPr>
                <w:rFonts w:ascii="宋体"/>
                <w:b/>
                <w:sz w:val="18"/>
                <w:szCs w:val="18"/>
              </w:rPr>
            </w:pPr>
          </w:p>
        </w:tc>
      </w:tr>
      <w:tr w14:paraId="678E6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771" w:type="dxa"/>
            <w:vMerge w:val="restart"/>
            <w:vAlign w:val="center"/>
          </w:tcPr>
          <w:p w14:paraId="43D80885">
            <w:pPr>
              <w:spacing w:before="156" w:beforeLines="50" w:after="156" w:afterLines="50"/>
              <w:jc w:val="center"/>
              <w:rPr>
                <w:rFonts w:ascii="宋体"/>
                <w:kern w:val="0"/>
                <w:sz w:val="18"/>
                <w:szCs w:val="18"/>
              </w:rPr>
            </w:pPr>
            <w:r>
              <w:rPr>
                <w:rFonts w:hint="eastAsia" w:ascii="宋体"/>
                <w:kern w:val="0"/>
                <w:sz w:val="18"/>
                <w:szCs w:val="18"/>
              </w:rPr>
              <w:t>5</w:t>
            </w:r>
          </w:p>
        </w:tc>
        <w:tc>
          <w:tcPr>
            <w:tcW w:w="980" w:type="dxa"/>
            <w:gridSpan w:val="2"/>
            <w:vMerge w:val="restart"/>
            <w:vAlign w:val="center"/>
          </w:tcPr>
          <w:p w14:paraId="6BE25D2F">
            <w:pPr>
              <w:widowControl/>
              <w:spacing w:before="156" w:beforeLines="50" w:after="156" w:afterLines="50"/>
              <w:rPr>
                <w:rFonts w:ascii="宋体"/>
                <w:kern w:val="0"/>
                <w:sz w:val="18"/>
                <w:szCs w:val="18"/>
              </w:rPr>
            </w:pPr>
            <w:r>
              <w:rPr>
                <w:rFonts w:hint="eastAsia" w:ascii="宋体"/>
                <w:sz w:val="18"/>
                <w:szCs w:val="18"/>
              </w:rPr>
              <w:t>未按照规定显示号灯、号型或者鸣放声号</w:t>
            </w:r>
          </w:p>
        </w:tc>
        <w:tc>
          <w:tcPr>
            <w:tcW w:w="1539" w:type="dxa"/>
            <w:gridSpan w:val="2"/>
            <w:vMerge w:val="restart"/>
            <w:vAlign w:val="center"/>
          </w:tcPr>
          <w:p w14:paraId="4CE30EE4">
            <w:pPr>
              <w:widowControl/>
              <w:spacing w:before="156" w:beforeLines="50" w:after="156" w:afterLines="50"/>
              <w:rPr>
                <w:rFonts w:ascii="宋体"/>
                <w:sz w:val="18"/>
                <w:szCs w:val="18"/>
              </w:rPr>
            </w:pPr>
            <w:r>
              <w:rPr>
                <w:rFonts w:hint="eastAsia" w:ascii="宋体"/>
                <w:sz w:val="18"/>
                <w:szCs w:val="18"/>
              </w:rPr>
              <w:t>1.《中华人民共和国内河交通安全管理条例》第十七条第四款、第二十四条第二款、第二十九条第一款；</w:t>
            </w:r>
          </w:p>
          <w:p w14:paraId="029B3C3D">
            <w:pPr>
              <w:widowControl/>
              <w:spacing w:before="156" w:beforeLines="50" w:after="156" w:afterLines="50"/>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修订本）第三章、第四章相关规定；</w:t>
            </w:r>
          </w:p>
          <w:p w14:paraId="38C50989">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2508" w:type="dxa"/>
            <w:gridSpan w:val="3"/>
            <w:vMerge w:val="restart"/>
            <w:vAlign w:val="center"/>
          </w:tcPr>
          <w:p w14:paraId="29256F5D">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7FE57E9A">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2.《中华人民共和国内河海事行政处罚规定》第十七条第一款和第二款第（五）项；</w:t>
            </w:r>
          </w:p>
          <w:p w14:paraId="46EFDEB9">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10" w:type="dxa"/>
            <w:gridSpan w:val="2"/>
            <w:vAlign w:val="center"/>
          </w:tcPr>
          <w:p w14:paraId="50E1E1DF">
            <w:pPr>
              <w:spacing w:before="156" w:beforeLines="50" w:after="156" w:afterLines="50"/>
              <w:jc w:val="center"/>
              <w:rPr>
                <w:rFonts w:ascii="宋体"/>
                <w:kern w:val="0"/>
                <w:sz w:val="18"/>
                <w:szCs w:val="18"/>
              </w:rPr>
            </w:pPr>
            <w:r>
              <w:rPr>
                <w:rFonts w:hint="eastAsia" w:ascii="宋体"/>
                <w:kern w:val="0"/>
                <w:sz w:val="18"/>
                <w:szCs w:val="18"/>
              </w:rPr>
              <w:t>从轻</w:t>
            </w:r>
          </w:p>
        </w:tc>
        <w:tc>
          <w:tcPr>
            <w:tcW w:w="2421" w:type="dxa"/>
            <w:vAlign w:val="center"/>
          </w:tcPr>
          <w:p w14:paraId="4CA6A528">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08" w:type="dxa"/>
            <w:gridSpan w:val="2"/>
            <w:vAlign w:val="center"/>
          </w:tcPr>
          <w:p w14:paraId="74079FE9">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695" w:type="dxa"/>
            <w:gridSpan w:val="2"/>
            <w:vAlign w:val="center"/>
          </w:tcPr>
          <w:p w14:paraId="58171E94">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gridSpan w:val="2"/>
            <w:vAlign w:val="center"/>
          </w:tcPr>
          <w:p w14:paraId="54AD01D0">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53" w:type="dxa"/>
            <w:gridSpan w:val="3"/>
            <w:vAlign w:val="center"/>
          </w:tcPr>
          <w:p w14:paraId="3EE34A95">
            <w:pPr>
              <w:spacing w:before="156" w:beforeLines="50" w:after="156" w:afterLines="50"/>
              <w:jc w:val="center"/>
              <w:rPr>
                <w:rFonts w:ascii="宋体"/>
                <w:kern w:val="0"/>
                <w:sz w:val="18"/>
                <w:szCs w:val="18"/>
              </w:rPr>
            </w:pPr>
            <w:r>
              <w:rPr>
                <w:rFonts w:ascii="宋体"/>
                <w:kern w:val="0"/>
                <w:sz w:val="18"/>
                <w:szCs w:val="18"/>
              </w:rPr>
              <w:t>/</w:t>
            </w:r>
          </w:p>
        </w:tc>
      </w:tr>
      <w:tr w14:paraId="6BC78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trPr>
        <w:tc>
          <w:tcPr>
            <w:tcW w:w="771" w:type="dxa"/>
            <w:vMerge w:val="continue"/>
            <w:vAlign w:val="center"/>
          </w:tcPr>
          <w:p w14:paraId="23C48B72">
            <w:pPr>
              <w:spacing w:before="156" w:beforeLines="50" w:after="156" w:afterLines="50"/>
              <w:jc w:val="left"/>
              <w:rPr>
                <w:rFonts w:ascii="宋体"/>
                <w:kern w:val="0"/>
                <w:sz w:val="18"/>
                <w:szCs w:val="18"/>
              </w:rPr>
            </w:pPr>
          </w:p>
        </w:tc>
        <w:tc>
          <w:tcPr>
            <w:tcW w:w="980" w:type="dxa"/>
            <w:gridSpan w:val="2"/>
            <w:vMerge w:val="continue"/>
            <w:vAlign w:val="center"/>
          </w:tcPr>
          <w:p w14:paraId="0468D7B9">
            <w:pPr>
              <w:spacing w:before="156" w:beforeLines="50" w:after="156" w:afterLines="50"/>
              <w:jc w:val="left"/>
              <w:rPr>
                <w:rFonts w:ascii="宋体"/>
                <w:kern w:val="0"/>
                <w:sz w:val="18"/>
                <w:szCs w:val="18"/>
              </w:rPr>
            </w:pPr>
          </w:p>
        </w:tc>
        <w:tc>
          <w:tcPr>
            <w:tcW w:w="1539" w:type="dxa"/>
            <w:gridSpan w:val="2"/>
            <w:vMerge w:val="continue"/>
            <w:vAlign w:val="center"/>
          </w:tcPr>
          <w:p w14:paraId="576FF89A">
            <w:pPr>
              <w:widowControl/>
              <w:spacing w:before="156" w:beforeLines="50" w:after="156" w:afterLines="50"/>
              <w:jc w:val="left"/>
              <w:rPr>
                <w:rFonts w:ascii="宋体"/>
                <w:kern w:val="0"/>
                <w:sz w:val="18"/>
                <w:szCs w:val="18"/>
              </w:rPr>
            </w:pPr>
          </w:p>
        </w:tc>
        <w:tc>
          <w:tcPr>
            <w:tcW w:w="2508" w:type="dxa"/>
            <w:gridSpan w:val="3"/>
            <w:vMerge w:val="continue"/>
            <w:vAlign w:val="center"/>
          </w:tcPr>
          <w:p w14:paraId="05E33924">
            <w:pPr>
              <w:spacing w:before="156" w:beforeLines="50" w:after="156" w:afterLines="50"/>
              <w:jc w:val="left"/>
              <w:rPr>
                <w:rFonts w:ascii="宋体"/>
                <w:kern w:val="0"/>
                <w:sz w:val="18"/>
                <w:szCs w:val="18"/>
              </w:rPr>
            </w:pPr>
          </w:p>
        </w:tc>
        <w:tc>
          <w:tcPr>
            <w:tcW w:w="1110" w:type="dxa"/>
            <w:gridSpan w:val="2"/>
            <w:vMerge w:val="restart"/>
            <w:vAlign w:val="center"/>
          </w:tcPr>
          <w:p w14:paraId="495F9BDA">
            <w:pPr>
              <w:spacing w:before="156" w:beforeLines="50" w:after="156" w:afterLines="50"/>
              <w:jc w:val="center"/>
              <w:rPr>
                <w:rFonts w:ascii="宋体"/>
                <w:kern w:val="0"/>
                <w:sz w:val="18"/>
                <w:szCs w:val="18"/>
              </w:rPr>
            </w:pPr>
            <w:r>
              <w:rPr>
                <w:rFonts w:hint="eastAsia" w:ascii="宋体"/>
                <w:kern w:val="0"/>
                <w:sz w:val="18"/>
                <w:szCs w:val="18"/>
              </w:rPr>
              <w:t>一般</w:t>
            </w:r>
          </w:p>
        </w:tc>
        <w:tc>
          <w:tcPr>
            <w:tcW w:w="2421" w:type="dxa"/>
            <w:vAlign w:val="center"/>
          </w:tcPr>
          <w:p w14:paraId="7F45C1FD">
            <w:pPr>
              <w:widowControl/>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未按照规定显示号灯、号型或者鸣放声号，未造成事故及险情的。</w:t>
            </w:r>
          </w:p>
        </w:tc>
        <w:tc>
          <w:tcPr>
            <w:tcW w:w="2808" w:type="dxa"/>
            <w:gridSpan w:val="2"/>
            <w:vAlign w:val="center"/>
          </w:tcPr>
          <w:p w14:paraId="36AD0DFD">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695" w:type="dxa"/>
            <w:gridSpan w:val="2"/>
            <w:vAlign w:val="center"/>
          </w:tcPr>
          <w:p w14:paraId="14BEBFB4">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53" w:type="dxa"/>
            <w:gridSpan w:val="2"/>
            <w:vAlign w:val="center"/>
          </w:tcPr>
          <w:p w14:paraId="33764EA9">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853" w:type="dxa"/>
            <w:gridSpan w:val="3"/>
            <w:vAlign w:val="center"/>
          </w:tcPr>
          <w:p w14:paraId="6790209B">
            <w:pPr>
              <w:spacing w:before="156" w:beforeLines="50" w:after="156" w:afterLines="50"/>
              <w:jc w:val="center"/>
              <w:rPr>
                <w:rFonts w:ascii="宋体"/>
                <w:kern w:val="0"/>
                <w:sz w:val="18"/>
                <w:szCs w:val="18"/>
              </w:rPr>
            </w:pPr>
            <w:r>
              <w:rPr>
                <w:rFonts w:ascii="宋体"/>
                <w:kern w:val="0"/>
                <w:sz w:val="18"/>
                <w:szCs w:val="18"/>
              </w:rPr>
              <w:t>/</w:t>
            </w:r>
          </w:p>
        </w:tc>
      </w:tr>
      <w:tr w14:paraId="69D53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6" w:hRule="atLeast"/>
        </w:trPr>
        <w:tc>
          <w:tcPr>
            <w:tcW w:w="771" w:type="dxa"/>
            <w:vMerge w:val="continue"/>
            <w:vAlign w:val="center"/>
          </w:tcPr>
          <w:p w14:paraId="1E677BCF">
            <w:pPr>
              <w:spacing w:before="156" w:beforeLines="50" w:after="156" w:afterLines="50"/>
              <w:jc w:val="left"/>
              <w:rPr>
                <w:rFonts w:ascii="宋体"/>
                <w:kern w:val="0"/>
                <w:sz w:val="18"/>
                <w:szCs w:val="18"/>
              </w:rPr>
            </w:pPr>
          </w:p>
        </w:tc>
        <w:tc>
          <w:tcPr>
            <w:tcW w:w="980" w:type="dxa"/>
            <w:gridSpan w:val="2"/>
            <w:vMerge w:val="continue"/>
            <w:vAlign w:val="center"/>
          </w:tcPr>
          <w:p w14:paraId="039D23FE">
            <w:pPr>
              <w:spacing w:before="156" w:beforeLines="50" w:after="156" w:afterLines="50"/>
              <w:jc w:val="left"/>
              <w:rPr>
                <w:rFonts w:ascii="宋体"/>
                <w:kern w:val="0"/>
                <w:sz w:val="18"/>
                <w:szCs w:val="18"/>
              </w:rPr>
            </w:pPr>
          </w:p>
        </w:tc>
        <w:tc>
          <w:tcPr>
            <w:tcW w:w="1539" w:type="dxa"/>
            <w:gridSpan w:val="2"/>
            <w:vMerge w:val="continue"/>
            <w:vAlign w:val="center"/>
          </w:tcPr>
          <w:p w14:paraId="6A7825F5">
            <w:pPr>
              <w:spacing w:before="156" w:beforeLines="50" w:after="156" w:afterLines="50"/>
              <w:jc w:val="left"/>
              <w:rPr>
                <w:rFonts w:ascii="宋体"/>
                <w:kern w:val="0"/>
                <w:sz w:val="18"/>
                <w:szCs w:val="18"/>
              </w:rPr>
            </w:pPr>
          </w:p>
        </w:tc>
        <w:tc>
          <w:tcPr>
            <w:tcW w:w="2508" w:type="dxa"/>
            <w:gridSpan w:val="3"/>
            <w:vMerge w:val="continue"/>
            <w:vAlign w:val="center"/>
          </w:tcPr>
          <w:p w14:paraId="3CF893DA">
            <w:pPr>
              <w:spacing w:before="156" w:beforeLines="50" w:after="156" w:afterLines="50"/>
              <w:jc w:val="left"/>
              <w:rPr>
                <w:rFonts w:ascii="宋体"/>
                <w:kern w:val="0"/>
                <w:sz w:val="18"/>
                <w:szCs w:val="18"/>
              </w:rPr>
            </w:pPr>
          </w:p>
        </w:tc>
        <w:tc>
          <w:tcPr>
            <w:tcW w:w="1110" w:type="dxa"/>
            <w:gridSpan w:val="2"/>
            <w:vMerge w:val="continue"/>
            <w:vAlign w:val="center"/>
          </w:tcPr>
          <w:p w14:paraId="62329946">
            <w:pPr>
              <w:spacing w:before="156" w:beforeLines="50" w:after="156" w:afterLines="50"/>
              <w:jc w:val="center"/>
              <w:rPr>
                <w:rFonts w:ascii="宋体"/>
                <w:kern w:val="0"/>
                <w:sz w:val="18"/>
                <w:szCs w:val="18"/>
              </w:rPr>
            </w:pPr>
          </w:p>
        </w:tc>
        <w:tc>
          <w:tcPr>
            <w:tcW w:w="2421" w:type="dxa"/>
            <w:vAlign w:val="center"/>
          </w:tcPr>
          <w:p w14:paraId="64D96057">
            <w:pPr>
              <w:widowControl/>
              <w:spacing w:before="156" w:beforeLines="50" w:after="156" w:afterLines="50"/>
              <w:jc w:val="left"/>
              <w:rPr>
                <w:rFonts w:ascii="宋体"/>
                <w:kern w:val="0"/>
                <w:sz w:val="18"/>
                <w:szCs w:val="18"/>
              </w:rPr>
            </w:pPr>
            <w:r>
              <w:rPr>
                <w:rFonts w:hint="eastAsia" w:ascii="宋体"/>
                <w:kern w:val="0"/>
                <w:sz w:val="18"/>
                <w:szCs w:val="18"/>
              </w:rPr>
              <w:t>1.失去控制或操纵能力受到限制的船舶、装载危险品的船舶、搁浅船舶，未按照规定显示号灯、号型或者鸣放声号的；</w:t>
            </w:r>
          </w:p>
          <w:p w14:paraId="541913C6">
            <w:pPr>
              <w:widowControl/>
              <w:spacing w:before="156" w:beforeLines="50" w:after="156" w:afterLines="50"/>
              <w:jc w:val="left"/>
              <w:rPr>
                <w:rFonts w:ascii="宋体"/>
                <w:kern w:val="0"/>
                <w:sz w:val="18"/>
                <w:szCs w:val="18"/>
              </w:rPr>
            </w:pPr>
            <w:r>
              <w:rPr>
                <w:rFonts w:hint="eastAsia" w:ascii="宋体"/>
                <w:kern w:val="0"/>
                <w:sz w:val="18"/>
                <w:szCs w:val="18"/>
              </w:rPr>
              <w:t>2.未按照规定显示号灯、号型或者鸣放声号，造成一般以下等级水上交通事故的。</w:t>
            </w:r>
          </w:p>
        </w:tc>
        <w:tc>
          <w:tcPr>
            <w:tcW w:w="2808" w:type="dxa"/>
            <w:gridSpan w:val="2"/>
            <w:vAlign w:val="center"/>
          </w:tcPr>
          <w:p w14:paraId="770FF203">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695" w:type="dxa"/>
            <w:gridSpan w:val="2"/>
            <w:vAlign w:val="center"/>
          </w:tcPr>
          <w:p w14:paraId="46494017">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53" w:type="dxa"/>
            <w:gridSpan w:val="2"/>
            <w:vAlign w:val="center"/>
          </w:tcPr>
          <w:p w14:paraId="71B456C0">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853" w:type="dxa"/>
            <w:gridSpan w:val="3"/>
            <w:vAlign w:val="center"/>
          </w:tcPr>
          <w:p w14:paraId="36C274A3">
            <w:pPr>
              <w:spacing w:before="156" w:beforeLines="50" w:after="156" w:afterLines="50"/>
              <w:jc w:val="center"/>
              <w:rPr>
                <w:rFonts w:ascii="宋体"/>
                <w:kern w:val="0"/>
                <w:sz w:val="18"/>
                <w:szCs w:val="18"/>
              </w:rPr>
            </w:pPr>
            <w:r>
              <w:rPr>
                <w:rFonts w:ascii="宋体"/>
                <w:kern w:val="0"/>
                <w:sz w:val="18"/>
                <w:szCs w:val="18"/>
              </w:rPr>
              <w:t>/</w:t>
            </w:r>
          </w:p>
        </w:tc>
      </w:tr>
      <w:tr w14:paraId="6ECAB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9" w:hRule="atLeast"/>
        </w:trPr>
        <w:tc>
          <w:tcPr>
            <w:tcW w:w="771" w:type="dxa"/>
            <w:vMerge w:val="continue"/>
            <w:vAlign w:val="center"/>
          </w:tcPr>
          <w:p w14:paraId="2BF25685">
            <w:pPr>
              <w:spacing w:before="156" w:beforeLines="50" w:after="156" w:afterLines="50"/>
              <w:jc w:val="left"/>
              <w:rPr>
                <w:rFonts w:ascii="宋体"/>
                <w:kern w:val="0"/>
                <w:sz w:val="18"/>
                <w:szCs w:val="18"/>
              </w:rPr>
            </w:pPr>
          </w:p>
        </w:tc>
        <w:tc>
          <w:tcPr>
            <w:tcW w:w="980" w:type="dxa"/>
            <w:gridSpan w:val="2"/>
            <w:vMerge w:val="continue"/>
            <w:vAlign w:val="center"/>
          </w:tcPr>
          <w:p w14:paraId="5C4D6B00">
            <w:pPr>
              <w:spacing w:before="156" w:beforeLines="50" w:after="156" w:afterLines="50"/>
              <w:jc w:val="left"/>
              <w:rPr>
                <w:rFonts w:ascii="宋体"/>
                <w:kern w:val="0"/>
                <w:sz w:val="18"/>
                <w:szCs w:val="18"/>
              </w:rPr>
            </w:pPr>
          </w:p>
        </w:tc>
        <w:tc>
          <w:tcPr>
            <w:tcW w:w="1539" w:type="dxa"/>
            <w:gridSpan w:val="2"/>
            <w:vMerge w:val="continue"/>
            <w:vAlign w:val="center"/>
          </w:tcPr>
          <w:p w14:paraId="61615E75">
            <w:pPr>
              <w:spacing w:before="156" w:beforeLines="50" w:after="156" w:afterLines="50"/>
              <w:jc w:val="left"/>
              <w:rPr>
                <w:rFonts w:ascii="宋体"/>
                <w:kern w:val="0"/>
                <w:sz w:val="18"/>
                <w:szCs w:val="18"/>
              </w:rPr>
            </w:pPr>
          </w:p>
        </w:tc>
        <w:tc>
          <w:tcPr>
            <w:tcW w:w="2508" w:type="dxa"/>
            <w:gridSpan w:val="3"/>
            <w:vMerge w:val="continue"/>
            <w:vAlign w:val="center"/>
          </w:tcPr>
          <w:p w14:paraId="510655F2">
            <w:pPr>
              <w:spacing w:before="156" w:beforeLines="50" w:after="156" w:afterLines="50"/>
              <w:jc w:val="left"/>
              <w:rPr>
                <w:rFonts w:ascii="宋体"/>
                <w:kern w:val="0"/>
                <w:sz w:val="18"/>
                <w:szCs w:val="18"/>
              </w:rPr>
            </w:pPr>
          </w:p>
        </w:tc>
        <w:tc>
          <w:tcPr>
            <w:tcW w:w="1110" w:type="dxa"/>
            <w:gridSpan w:val="2"/>
            <w:vMerge w:val="restart"/>
            <w:vAlign w:val="center"/>
          </w:tcPr>
          <w:p w14:paraId="076B7595">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421" w:type="dxa"/>
            <w:tcBorders>
              <w:bottom w:val="single" w:color="auto" w:sz="4" w:space="0"/>
            </w:tcBorders>
            <w:vAlign w:val="center"/>
          </w:tcPr>
          <w:p w14:paraId="22DE0743">
            <w:pPr>
              <w:widowControl/>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未按照规定显示号灯、号型或者鸣放声号，造成一般及以上等级水上交通事故的。</w:t>
            </w:r>
          </w:p>
        </w:tc>
        <w:tc>
          <w:tcPr>
            <w:tcW w:w="2808" w:type="dxa"/>
            <w:gridSpan w:val="2"/>
            <w:vMerge w:val="restart"/>
            <w:vAlign w:val="center"/>
          </w:tcPr>
          <w:p w14:paraId="51B9AA89">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695" w:type="dxa"/>
            <w:gridSpan w:val="2"/>
            <w:vMerge w:val="restart"/>
            <w:vAlign w:val="center"/>
          </w:tcPr>
          <w:p w14:paraId="7501492C">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53" w:type="dxa"/>
            <w:gridSpan w:val="2"/>
            <w:vMerge w:val="restart"/>
            <w:vAlign w:val="center"/>
          </w:tcPr>
          <w:p w14:paraId="1451604B">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853" w:type="dxa"/>
            <w:gridSpan w:val="3"/>
            <w:tcBorders>
              <w:bottom w:val="single" w:color="auto" w:sz="4" w:space="0"/>
            </w:tcBorders>
            <w:vAlign w:val="center"/>
          </w:tcPr>
          <w:p w14:paraId="39C0094C">
            <w:pPr>
              <w:spacing w:before="156" w:beforeLines="50" w:after="156" w:afterLines="50"/>
              <w:jc w:val="left"/>
              <w:rPr>
                <w:rFonts w:ascii="宋体"/>
                <w:kern w:val="0"/>
                <w:sz w:val="18"/>
                <w:szCs w:val="18"/>
              </w:rPr>
            </w:pPr>
            <w:r>
              <w:rPr>
                <w:rFonts w:hint="eastAsia" w:ascii="宋体"/>
                <w:kern w:val="0"/>
                <w:sz w:val="18"/>
                <w:szCs w:val="18"/>
              </w:rPr>
              <w:t>未按照规定显示号灯、号型或者鸣放声号造成一般及以上等级水上交通事故的，暂扣直至吊销证书处罚的裁量按照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220E0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71" w:type="dxa"/>
            <w:vMerge w:val="continue"/>
            <w:vAlign w:val="center"/>
          </w:tcPr>
          <w:p w14:paraId="00605319">
            <w:pPr>
              <w:spacing w:before="156" w:beforeLines="50" w:after="156" w:afterLines="50"/>
              <w:jc w:val="left"/>
              <w:rPr>
                <w:rFonts w:ascii="宋体"/>
                <w:kern w:val="0"/>
                <w:sz w:val="18"/>
                <w:szCs w:val="18"/>
              </w:rPr>
            </w:pPr>
          </w:p>
        </w:tc>
        <w:tc>
          <w:tcPr>
            <w:tcW w:w="980" w:type="dxa"/>
            <w:gridSpan w:val="2"/>
            <w:vMerge w:val="continue"/>
            <w:vAlign w:val="center"/>
          </w:tcPr>
          <w:p w14:paraId="0FD27B00">
            <w:pPr>
              <w:spacing w:before="156" w:beforeLines="50" w:after="156" w:afterLines="50"/>
              <w:jc w:val="left"/>
              <w:rPr>
                <w:rFonts w:ascii="宋体"/>
                <w:kern w:val="0"/>
                <w:sz w:val="18"/>
                <w:szCs w:val="18"/>
              </w:rPr>
            </w:pPr>
          </w:p>
        </w:tc>
        <w:tc>
          <w:tcPr>
            <w:tcW w:w="1539" w:type="dxa"/>
            <w:gridSpan w:val="2"/>
            <w:vMerge w:val="continue"/>
            <w:vAlign w:val="center"/>
          </w:tcPr>
          <w:p w14:paraId="20BA3A01">
            <w:pPr>
              <w:spacing w:before="156" w:beforeLines="50" w:after="156" w:afterLines="50"/>
              <w:jc w:val="left"/>
              <w:rPr>
                <w:rFonts w:ascii="宋体"/>
                <w:kern w:val="0"/>
                <w:sz w:val="18"/>
                <w:szCs w:val="18"/>
              </w:rPr>
            </w:pPr>
          </w:p>
        </w:tc>
        <w:tc>
          <w:tcPr>
            <w:tcW w:w="2508" w:type="dxa"/>
            <w:gridSpan w:val="3"/>
            <w:vMerge w:val="continue"/>
            <w:vAlign w:val="center"/>
          </w:tcPr>
          <w:p w14:paraId="53ACF2B2">
            <w:pPr>
              <w:spacing w:before="156" w:beforeLines="50" w:after="156" w:afterLines="50"/>
              <w:jc w:val="left"/>
              <w:rPr>
                <w:rFonts w:ascii="宋体"/>
                <w:kern w:val="0"/>
                <w:sz w:val="18"/>
                <w:szCs w:val="18"/>
              </w:rPr>
            </w:pPr>
          </w:p>
        </w:tc>
        <w:tc>
          <w:tcPr>
            <w:tcW w:w="1110" w:type="dxa"/>
            <w:gridSpan w:val="2"/>
            <w:vMerge w:val="continue"/>
            <w:vAlign w:val="center"/>
          </w:tcPr>
          <w:p w14:paraId="2FFD7759">
            <w:pPr>
              <w:spacing w:before="156" w:beforeLines="50" w:after="156" w:afterLines="50"/>
              <w:jc w:val="center"/>
              <w:rPr>
                <w:rFonts w:ascii="宋体"/>
                <w:kern w:val="0"/>
                <w:sz w:val="18"/>
                <w:szCs w:val="18"/>
              </w:rPr>
            </w:pPr>
          </w:p>
        </w:tc>
        <w:tc>
          <w:tcPr>
            <w:tcW w:w="2421" w:type="dxa"/>
            <w:tcBorders>
              <w:top w:val="single" w:color="auto" w:sz="4" w:space="0"/>
            </w:tcBorders>
            <w:vAlign w:val="center"/>
          </w:tcPr>
          <w:p w14:paraId="2B8E7D8C">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08" w:type="dxa"/>
            <w:gridSpan w:val="2"/>
            <w:vMerge w:val="continue"/>
            <w:vAlign w:val="center"/>
          </w:tcPr>
          <w:p w14:paraId="216CF26F">
            <w:pPr>
              <w:spacing w:before="156" w:beforeLines="50" w:after="156" w:afterLines="50"/>
              <w:jc w:val="left"/>
              <w:rPr>
                <w:rFonts w:ascii="宋体"/>
                <w:sz w:val="18"/>
                <w:szCs w:val="18"/>
              </w:rPr>
            </w:pPr>
          </w:p>
        </w:tc>
        <w:tc>
          <w:tcPr>
            <w:tcW w:w="2695" w:type="dxa"/>
            <w:gridSpan w:val="2"/>
            <w:vMerge w:val="continue"/>
            <w:vAlign w:val="center"/>
          </w:tcPr>
          <w:p w14:paraId="5549FA0E">
            <w:pPr>
              <w:spacing w:before="156" w:beforeLines="50" w:after="156" w:afterLines="50"/>
              <w:jc w:val="left"/>
              <w:rPr>
                <w:rFonts w:ascii="宋体"/>
                <w:sz w:val="18"/>
                <w:szCs w:val="18"/>
              </w:rPr>
            </w:pPr>
          </w:p>
        </w:tc>
        <w:tc>
          <w:tcPr>
            <w:tcW w:w="2853" w:type="dxa"/>
            <w:gridSpan w:val="2"/>
            <w:vMerge w:val="continue"/>
            <w:vAlign w:val="center"/>
          </w:tcPr>
          <w:p w14:paraId="72034D39">
            <w:pPr>
              <w:spacing w:before="156" w:beforeLines="50" w:after="156" w:afterLines="50"/>
              <w:jc w:val="left"/>
              <w:rPr>
                <w:rFonts w:ascii="宋体"/>
                <w:spacing w:val="-4"/>
                <w:kern w:val="0"/>
                <w:sz w:val="18"/>
                <w:szCs w:val="18"/>
              </w:rPr>
            </w:pPr>
          </w:p>
        </w:tc>
        <w:tc>
          <w:tcPr>
            <w:tcW w:w="2853" w:type="dxa"/>
            <w:gridSpan w:val="3"/>
            <w:tcBorders>
              <w:top w:val="single" w:color="auto" w:sz="4" w:space="0"/>
            </w:tcBorders>
            <w:vAlign w:val="center"/>
          </w:tcPr>
          <w:p w14:paraId="601782C4">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17737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07" w:hRule="atLeast"/>
          <w:jc w:val="center"/>
        </w:trPr>
        <w:tc>
          <w:tcPr>
            <w:tcW w:w="785" w:type="dxa"/>
            <w:gridSpan w:val="2"/>
            <w:vMerge w:val="restart"/>
            <w:vAlign w:val="center"/>
          </w:tcPr>
          <w:p w14:paraId="0010E304">
            <w:pPr>
              <w:spacing w:before="156" w:beforeLines="50" w:after="156" w:afterLines="50"/>
              <w:jc w:val="center"/>
              <w:rPr>
                <w:rFonts w:ascii="宋体"/>
                <w:b/>
                <w:kern w:val="0"/>
                <w:sz w:val="18"/>
                <w:szCs w:val="18"/>
              </w:rPr>
            </w:pPr>
            <w:r>
              <w:rPr>
                <w:rFonts w:hint="eastAsia" w:ascii="宋体"/>
                <w:b/>
                <w:sz w:val="18"/>
                <w:szCs w:val="18"/>
              </w:rPr>
              <w:br w:type="page"/>
            </w:r>
            <w:r>
              <w:rPr>
                <w:rFonts w:hint="eastAsia" w:ascii="宋体"/>
                <w:b/>
                <w:kern w:val="0"/>
                <w:sz w:val="18"/>
                <w:szCs w:val="18"/>
              </w:rPr>
              <w:t>序号</w:t>
            </w:r>
          </w:p>
        </w:tc>
        <w:tc>
          <w:tcPr>
            <w:tcW w:w="998" w:type="dxa"/>
            <w:gridSpan w:val="2"/>
            <w:vMerge w:val="restart"/>
            <w:vAlign w:val="center"/>
          </w:tcPr>
          <w:p w14:paraId="3EBD75E0">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04" w:type="dxa"/>
            <w:gridSpan w:val="3"/>
            <w:vMerge w:val="restart"/>
            <w:vAlign w:val="center"/>
          </w:tcPr>
          <w:p w14:paraId="4E83EE59">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130" w:type="dxa"/>
            <w:gridSpan w:val="2"/>
            <w:vMerge w:val="restart"/>
            <w:vAlign w:val="center"/>
          </w:tcPr>
          <w:p w14:paraId="690626BD">
            <w:pPr>
              <w:spacing w:before="156" w:beforeLines="50" w:after="156" w:afterLines="50"/>
              <w:jc w:val="center"/>
              <w:rPr>
                <w:rFonts w:ascii="宋体"/>
                <w:b/>
                <w:kern w:val="0"/>
                <w:sz w:val="18"/>
                <w:szCs w:val="18"/>
              </w:rPr>
            </w:pPr>
            <w:r>
              <w:rPr>
                <w:rFonts w:hint="eastAsia" w:ascii="宋体"/>
                <w:b/>
                <w:kern w:val="0"/>
                <w:sz w:val="18"/>
                <w:szCs w:val="18"/>
              </w:rPr>
              <w:t>违法行</w:t>
            </w:r>
          </w:p>
          <w:p w14:paraId="24F72E48">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3034" w:type="dxa"/>
            <w:gridSpan w:val="3"/>
            <w:vMerge w:val="restart"/>
            <w:vAlign w:val="center"/>
          </w:tcPr>
          <w:p w14:paraId="52DF1391">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9F65217">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169" w:type="dxa"/>
            <w:gridSpan w:val="7"/>
            <w:vAlign w:val="center"/>
          </w:tcPr>
          <w:p w14:paraId="7D5EF053">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7CB63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769" w:hRule="atLeast"/>
          <w:jc w:val="center"/>
        </w:trPr>
        <w:tc>
          <w:tcPr>
            <w:tcW w:w="785" w:type="dxa"/>
            <w:gridSpan w:val="2"/>
            <w:vMerge w:val="continue"/>
            <w:vAlign w:val="center"/>
          </w:tcPr>
          <w:p w14:paraId="472BC705">
            <w:pPr>
              <w:spacing w:before="156" w:beforeLines="50" w:after="156" w:afterLines="50"/>
              <w:jc w:val="left"/>
              <w:rPr>
                <w:rFonts w:ascii="宋体"/>
                <w:b/>
                <w:kern w:val="0"/>
                <w:sz w:val="18"/>
                <w:szCs w:val="18"/>
              </w:rPr>
            </w:pPr>
          </w:p>
        </w:tc>
        <w:tc>
          <w:tcPr>
            <w:tcW w:w="998" w:type="dxa"/>
            <w:gridSpan w:val="2"/>
            <w:vMerge w:val="continue"/>
            <w:vAlign w:val="center"/>
          </w:tcPr>
          <w:p w14:paraId="493D3DB7">
            <w:pPr>
              <w:spacing w:before="156" w:beforeLines="50" w:after="156" w:afterLines="50"/>
              <w:jc w:val="left"/>
              <w:rPr>
                <w:rFonts w:ascii="宋体"/>
                <w:b/>
                <w:kern w:val="0"/>
                <w:sz w:val="18"/>
                <w:szCs w:val="18"/>
              </w:rPr>
            </w:pPr>
          </w:p>
        </w:tc>
        <w:tc>
          <w:tcPr>
            <w:tcW w:w="3404" w:type="dxa"/>
            <w:gridSpan w:val="3"/>
            <w:vMerge w:val="continue"/>
            <w:vAlign w:val="center"/>
          </w:tcPr>
          <w:p w14:paraId="6E6A9806">
            <w:pPr>
              <w:spacing w:before="156" w:beforeLines="50" w:after="156" w:afterLines="50"/>
              <w:jc w:val="left"/>
              <w:rPr>
                <w:rFonts w:ascii="宋体"/>
                <w:b/>
                <w:kern w:val="0"/>
                <w:sz w:val="18"/>
                <w:szCs w:val="18"/>
              </w:rPr>
            </w:pPr>
          </w:p>
        </w:tc>
        <w:tc>
          <w:tcPr>
            <w:tcW w:w="1130" w:type="dxa"/>
            <w:gridSpan w:val="2"/>
            <w:vMerge w:val="continue"/>
            <w:vAlign w:val="center"/>
          </w:tcPr>
          <w:p w14:paraId="4604C7C5">
            <w:pPr>
              <w:spacing w:before="156" w:beforeLines="50" w:after="156" w:afterLines="50"/>
              <w:jc w:val="left"/>
              <w:rPr>
                <w:rFonts w:ascii="宋体"/>
                <w:b/>
                <w:kern w:val="0"/>
                <w:sz w:val="18"/>
                <w:szCs w:val="18"/>
              </w:rPr>
            </w:pPr>
          </w:p>
        </w:tc>
        <w:tc>
          <w:tcPr>
            <w:tcW w:w="3034" w:type="dxa"/>
            <w:gridSpan w:val="3"/>
            <w:vMerge w:val="continue"/>
            <w:vAlign w:val="center"/>
          </w:tcPr>
          <w:p w14:paraId="75C258FD">
            <w:pPr>
              <w:spacing w:before="156" w:beforeLines="50" w:after="156" w:afterLines="50"/>
              <w:jc w:val="left"/>
              <w:rPr>
                <w:rFonts w:ascii="宋体"/>
                <w:b/>
                <w:kern w:val="0"/>
                <w:sz w:val="18"/>
                <w:szCs w:val="18"/>
              </w:rPr>
            </w:pPr>
          </w:p>
        </w:tc>
        <w:tc>
          <w:tcPr>
            <w:tcW w:w="11169" w:type="dxa"/>
            <w:gridSpan w:val="7"/>
            <w:vAlign w:val="center"/>
          </w:tcPr>
          <w:p w14:paraId="2B4E59AA">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9BF6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649" w:hRule="atLeast"/>
          <w:jc w:val="center"/>
        </w:trPr>
        <w:tc>
          <w:tcPr>
            <w:tcW w:w="785" w:type="dxa"/>
            <w:gridSpan w:val="2"/>
            <w:vMerge w:val="continue"/>
            <w:vAlign w:val="center"/>
          </w:tcPr>
          <w:p w14:paraId="3564A489">
            <w:pPr>
              <w:spacing w:before="156" w:beforeLines="50" w:after="156" w:afterLines="50"/>
              <w:jc w:val="left"/>
              <w:rPr>
                <w:rFonts w:ascii="宋体"/>
                <w:b/>
                <w:kern w:val="0"/>
                <w:sz w:val="18"/>
                <w:szCs w:val="18"/>
              </w:rPr>
            </w:pPr>
          </w:p>
        </w:tc>
        <w:tc>
          <w:tcPr>
            <w:tcW w:w="998" w:type="dxa"/>
            <w:gridSpan w:val="2"/>
            <w:vMerge w:val="continue"/>
            <w:vAlign w:val="center"/>
          </w:tcPr>
          <w:p w14:paraId="0C31E44A">
            <w:pPr>
              <w:spacing w:before="156" w:beforeLines="50" w:after="156" w:afterLines="50"/>
              <w:jc w:val="left"/>
              <w:rPr>
                <w:rFonts w:ascii="宋体"/>
                <w:b/>
                <w:kern w:val="0"/>
                <w:sz w:val="18"/>
                <w:szCs w:val="18"/>
              </w:rPr>
            </w:pPr>
          </w:p>
        </w:tc>
        <w:tc>
          <w:tcPr>
            <w:tcW w:w="1570" w:type="dxa"/>
            <w:gridSpan w:val="2"/>
            <w:vMerge w:val="restart"/>
            <w:vAlign w:val="center"/>
          </w:tcPr>
          <w:p w14:paraId="1792B24E">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34" w:type="dxa"/>
            <w:vMerge w:val="restart"/>
            <w:vAlign w:val="center"/>
          </w:tcPr>
          <w:p w14:paraId="414E25E7">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130" w:type="dxa"/>
            <w:gridSpan w:val="2"/>
            <w:vMerge w:val="continue"/>
            <w:vAlign w:val="center"/>
          </w:tcPr>
          <w:p w14:paraId="2B4AF6DE">
            <w:pPr>
              <w:spacing w:before="156" w:beforeLines="50" w:after="156" w:afterLines="50"/>
              <w:jc w:val="left"/>
              <w:rPr>
                <w:rFonts w:ascii="宋体"/>
                <w:b/>
                <w:kern w:val="0"/>
                <w:sz w:val="18"/>
                <w:szCs w:val="18"/>
              </w:rPr>
            </w:pPr>
          </w:p>
        </w:tc>
        <w:tc>
          <w:tcPr>
            <w:tcW w:w="3034" w:type="dxa"/>
            <w:gridSpan w:val="3"/>
            <w:vMerge w:val="continue"/>
            <w:vAlign w:val="center"/>
          </w:tcPr>
          <w:p w14:paraId="09374888">
            <w:pPr>
              <w:spacing w:before="156" w:beforeLines="50" w:after="156" w:afterLines="50"/>
              <w:jc w:val="left"/>
              <w:rPr>
                <w:rFonts w:ascii="宋体"/>
                <w:b/>
                <w:kern w:val="0"/>
                <w:sz w:val="18"/>
                <w:szCs w:val="18"/>
              </w:rPr>
            </w:pPr>
          </w:p>
        </w:tc>
        <w:tc>
          <w:tcPr>
            <w:tcW w:w="8437" w:type="dxa"/>
            <w:gridSpan w:val="6"/>
            <w:vAlign w:val="center"/>
          </w:tcPr>
          <w:p w14:paraId="3173C4BF">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32" w:type="dxa"/>
            <w:vMerge w:val="restart"/>
            <w:vAlign w:val="center"/>
          </w:tcPr>
          <w:p w14:paraId="18BF17EA">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09A2A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2137" w:hRule="atLeast"/>
          <w:jc w:val="center"/>
        </w:trPr>
        <w:tc>
          <w:tcPr>
            <w:tcW w:w="785" w:type="dxa"/>
            <w:gridSpan w:val="2"/>
            <w:vMerge w:val="continue"/>
            <w:vAlign w:val="center"/>
          </w:tcPr>
          <w:p w14:paraId="12CBE438">
            <w:pPr>
              <w:spacing w:before="156" w:beforeLines="50" w:after="156" w:afterLines="50"/>
              <w:jc w:val="left"/>
              <w:rPr>
                <w:rFonts w:ascii="宋体"/>
                <w:b/>
                <w:kern w:val="0"/>
                <w:sz w:val="18"/>
                <w:szCs w:val="18"/>
              </w:rPr>
            </w:pPr>
          </w:p>
        </w:tc>
        <w:tc>
          <w:tcPr>
            <w:tcW w:w="998" w:type="dxa"/>
            <w:gridSpan w:val="2"/>
            <w:vMerge w:val="continue"/>
            <w:vAlign w:val="center"/>
          </w:tcPr>
          <w:p w14:paraId="4103F08F">
            <w:pPr>
              <w:spacing w:before="156" w:beforeLines="50" w:after="156" w:afterLines="50"/>
              <w:jc w:val="left"/>
              <w:rPr>
                <w:rFonts w:ascii="宋体"/>
                <w:b/>
                <w:kern w:val="0"/>
                <w:sz w:val="18"/>
                <w:szCs w:val="18"/>
              </w:rPr>
            </w:pPr>
          </w:p>
        </w:tc>
        <w:tc>
          <w:tcPr>
            <w:tcW w:w="1570" w:type="dxa"/>
            <w:gridSpan w:val="2"/>
            <w:vMerge w:val="continue"/>
            <w:vAlign w:val="center"/>
          </w:tcPr>
          <w:p w14:paraId="7BC0015F">
            <w:pPr>
              <w:spacing w:before="156" w:beforeLines="50" w:after="156" w:afterLines="50"/>
              <w:jc w:val="left"/>
              <w:rPr>
                <w:rFonts w:ascii="宋体"/>
                <w:b/>
                <w:kern w:val="0"/>
                <w:sz w:val="18"/>
                <w:szCs w:val="18"/>
              </w:rPr>
            </w:pPr>
          </w:p>
        </w:tc>
        <w:tc>
          <w:tcPr>
            <w:tcW w:w="1834" w:type="dxa"/>
            <w:vMerge w:val="continue"/>
            <w:vAlign w:val="center"/>
          </w:tcPr>
          <w:p w14:paraId="67CD7C1F">
            <w:pPr>
              <w:spacing w:before="156" w:beforeLines="50" w:after="156" w:afterLines="50"/>
              <w:jc w:val="left"/>
              <w:rPr>
                <w:rFonts w:ascii="宋体"/>
                <w:b/>
                <w:kern w:val="0"/>
                <w:sz w:val="18"/>
                <w:szCs w:val="18"/>
              </w:rPr>
            </w:pPr>
          </w:p>
        </w:tc>
        <w:tc>
          <w:tcPr>
            <w:tcW w:w="1130" w:type="dxa"/>
            <w:gridSpan w:val="2"/>
            <w:vMerge w:val="continue"/>
            <w:vAlign w:val="center"/>
          </w:tcPr>
          <w:p w14:paraId="5F896D6A">
            <w:pPr>
              <w:spacing w:before="156" w:beforeLines="50" w:after="156" w:afterLines="50"/>
              <w:jc w:val="left"/>
              <w:rPr>
                <w:rFonts w:ascii="宋体"/>
                <w:b/>
                <w:kern w:val="0"/>
                <w:sz w:val="18"/>
                <w:szCs w:val="18"/>
              </w:rPr>
            </w:pPr>
          </w:p>
        </w:tc>
        <w:tc>
          <w:tcPr>
            <w:tcW w:w="3034" w:type="dxa"/>
            <w:gridSpan w:val="3"/>
            <w:vMerge w:val="continue"/>
            <w:vAlign w:val="center"/>
          </w:tcPr>
          <w:p w14:paraId="0F3186ED">
            <w:pPr>
              <w:spacing w:before="156" w:beforeLines="50" w:after="156" w:afterLines="50"/>
              <w:jc w:val="left"/>
              <w:rPr>
                <w:rFonts w:ascii="宋体"/>
                <w:b/>
                <w:kern w:val="0"/>
                <w:sz w:val="18"/>
                <w:szCs w:val="18"/>
              </w:rPr>
            </w:pPr>
          </w:p>
        </w:tc>
        <w:tc>
          <w:tcPr>
            <w:tcW w:w="2827" w:type="dxa"/>
            <w:gridSpan w:val="2"/>
            <w:vAlign w:val="center"/>
          </w:tcPr>
          <w:p w14:paraId="5E528289">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12" w:type="dxa"/>
            <w:gridSpan w:val="2"/>
            <w:vAlign w:val="center"/>
          </w:tcPr>
          <w:p w14:paraId="134D7D6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798" w:type="dxa"/>
            <w:gridSpan w:val="2"/>
            <w:vAlign w:val="center"/>
          </w:tcPr>
          <w:p w14:paraId="3985E24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32" w:type="dxa"/>
            <w:vMerge w:val="continue"/>
            <w:vAlign w:val="center"/>
          </w:tcPr>
          <w:p w14:paraId="3909D6D1">
            <w:pPr>
              <w:spacing w:before="156" w:beforeLines="50" w:after="156" w:afterLines="50"/>
              <w:jc w:val="left"/>
              <w:rPr>
                <w:rFonts w:ascii="宋体"/>
                <w:b/>
                <w:sz w:val="18"/>
                <w:szCs w:val="18"/>
              </w:rPr>
            </w:pPr>
          </w:p>
        </w:tc>
      </w:tr>
      <w:tr w14:paraId="39A4B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021" w:hRule="atLeast"/>
          <w:jc w:val="center"/>
        </w:trPr>
        <w:tc>
          <w:tcPr>
            <w:tcW w:w="785" w:type="dxa"/>
            <w:gridSpan w:val="2"/>
            <w:vMerge w:val="restart"/>
            <w:vAlign w:val="center"/>
          </w:tcPr>
          <w:p w14:paraId="77101CC4">
            <w:pPr>
              <w:spacing w:before="156" w:beforeLines="50" w:after="156" w:afterLines="50"/>
              <w:jc w:val="center"/>
              <w:rPr>
                <w:rFonts w:ascii="宋体"/>
                <w:kern w:val="0"/>
                <w:sz w:val="18"/>
                <w:szCs w:val="18"/>
              </w:rPr>
            </w:pPr>
            <w:r>
              <w:rPr>
                <w:rFonts w:hint="eastAsia" w:ascii="宋体"/>
                <w:kern w:val="0"/>
                <w:sz w:val="18"/>
                <w:szCs w:val="18"/>
              </w:rPr>
              <w:t>6</w:t>
            </w:r>
          </w:p>
        </w:tc>
        <w:tc>
          <w:tcPr>
            <w:tcW w:w="998" w:type="dxa"/>
            <w:gridSpan w:val="2"/>
            <w:vMerge w:val="restart"/>
            <w:vAlign w:val="center"/>
          </w:tcPr>
          <w:p w14:paraId="5B6FFEEA">
            <w:pPr>
              <w:widowControl/>
              <w:spacing w:before="156" w:beforeLines="50" w:after="156" w:afterLines="50"/>
              <w:rPr>
                <w:rFonts w:ascii="宋体"/>
                <w:kern w:val="0"/>
                <w:sz w:val="18"/>
                <w:szCs w:val="18"/>
              </w:rPr>
            </w:pPr>
            <w:r>
              <w:rPr>
                <w:rFonts w:hint="eastAsia" w:ascii="宋体"/>
                <w:sz w:val="18"/>
                <w:szCs w:val="18"/>
              </w:rPr>
              <w:t>未在规定的甚高频通信频道上守听</w:t>
            </w:r>
          </w:p>
        </w:tc>
        <w:tc>
          <w:tcPr>
            <w:tcW w:w="1570" w:type="dxa"/>
            <w:gridSpan w:val="2"/>
            <w:vMerge w:val="restart"/>
            <w:vAlign w:val="center"/>
          </w:tcPr>
          <w:p w14:paraId="37D0C7BC">
            <w:pPr>
              <w:widowControl/>
              <w:spacing w:before="156" w:beforeLines="50" w:after="156" w:afterLines="50"/>
              <w:rPr>
                <w:rFonts w:ascii="宋体"/>
                <w:kern w:val="0"/>
                <w:sz w:val="18"/>
                <w:szCs w:val="18"/>
              </w:rPr>
            </w:pPr>
            <w:r>
              <w:rPr>
                <w:rFonts w:hint="eastAsia" w:ascii="宋体"/>
                <w:sz w:val="18"/>
                <w:szCs w:val="18"/>
              </w:rPr>
              <w:t>1.《中华人民共和国内河交通安全管理条例》第十七条第四款</w:t>
            </w:r>
            <w:r>
              <w:rPr>
                <w:rFonts w:hint="eastAsia" w:ascii="宋体"/>
                <w:kern w:val="0"/>
                <w:sz w:val="18"/>
                <w:szCs w:val="18"/>
              </w:rPr>
              <w:t>；</w:t>
            </w:r>
          </w:p>
          <w:p w14:paraId="42D97085">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《中华人民共和国内河避碰规则》（</w:t>
            </w:r>
            <w:r>
              <w:rPr>
                <w:rFonts w:ascii="宋体"/>
                <w:sz w:val="18"/>
                <w:szCs w:val="18"/>
              </w:rPr>
              <w:t>2003</w:t>
            </w:r>
            <w:r>
              <w:rPr>
                <w:rFonts w:hint="eastAsia" w:ascii="宋体"/>
                <w:sz w:val="18"/>
                <w:szCs w:val="18"/>
              </w:rPr>
              <w:t>修订本）第四十六条；</w:t>
            </w:r>
          </w:p>
          <w:p w14:paraId="33F01ABB">
            <w:pPr>
              <w:widowControl/>
              <w:spacing w:before="156" w:beforeLines="50" w:after="156" w:afterLines="50"/>
              <w:rPr>
                <w:rFonts w:ascii="宋体"/>
                <w:kern w:val="0"/>
                <w:sz w:val="18"/>
                <w:szCs w:val="18"/>
              </w:rPr>
            </w:pPr>
            <w:r>
              <w:rPr>
                <w:rFonts w:hint="eastAsia" w:ascii="宋体"/>
                <w:sz w:val="18"/>
                <w:szCs w:val="18"/>
              </w:rPr>
              <w:t>3.相关法律、法规、规章等。</w:t>
            </w:r>
          </w:p>
        </w:tc>
        <w:tc>
          <w:tcPr>
            <w:tcW w:w="1834" w:type="dxa"/>
            <w:vMerge w:val="restart"/>
            <w:vAlign w:val="center"/>
          </w:tcPr>
          <w:p w14:paraId="6526C4F7">
            <w:pPr>
              <w:spacing w:before="156" w:beforeLines="50" w:after="156" w:afterLines="50"/>
              <w:rPr>
                <w:rFonts w:ascii="宋体"/>
                <w:sz w:val="18"/>
                <w:szCs w:val="18"/>
              </w:rPr>
            </w:pPr>
            <w:r>
              <w:rPr>
                <w:rFonts w:hint="eastAsia" w:ascii="宋体"/>
                <w:sz w:val="18"/>
                <w:szCs w:val="18"/>
              </w:rPr>
              <w:t>1.《中华人民共和国内河交通安全管理条例》第八十一条；</w:t>
            </w:r>
          </w:p>
          <w:p w14:paraId="0A37B56B">
            <w:pPr>
              <w:spacing w:before="156" w:beforeLines="50" w:after="156" w:afterLines="50"/>
              <w:rPr>
                <w:rFonts w:ascii="宋体"/>
                <w:sz w:val="18"/>
                <w:szCs w:val="18"/>
              </w:rPr>
            </w:pPr>
            <w:r>
              <w:rPr>
                <w:rFonts w:hint="eastAsia" w:ascii="宋体"/>
                <w:sz w:val="18"/>
                <w:szCs w:val="18"/>
              </w:rPr>
              <w:t>2.《中华人民共和国内河海事行政处罚规定》第十七条第一款和第二款第（十五）项；</w:t>
            </w:r>
          </w:p>
          <w:p w14:paraId="1442EF58">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130" w:type="dxa"/>
            <w:gridSpan w:val="2"/>
            <w:vAlign w:val="center"/>
          </w:tcPr>
          <w:p w14:paraId="24ED9F93">
            <w:pPr>
              <w:spacing w:before="156" w:beforeLines="50" w:after="156" w:afterLines="50"/>
              <w:jc w:val="center"/>
              <w:rPr>
                <w:rFonts w:ascii="宋体"/>
                <w:kern w:val="0"/>
                <w:sz w:val="18"/>
                <w:szCs w:val="18"/>
              </w:rPr>
            </w:pPr>
            <w:r>
              <w:rPr>
                <w:rFonts w:hint="eastAsia" w:ascii="宋体"/>
                <w:kern w:val="0"/>
                <w:sz w:val="18"/>
                <w:szCs w:val="18"/>
              </w:rPr>
              <w:t>从轻</w:t>
            </w:r>
          </w:p>
        </w:tc>
        <w:tc>
          <w:tcPr>
            <w:tcW w:w="3034" w:type="dxa"/>
            <w:gridSpan w:val="3"/>
            <w:vAlign w:val="center"/>
          </w:tcPr>
          <w:p w14:paraId="4D42FA5C">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27" w:type="dxa"/>
            <w:gridSpan w:val="2"/>
            <w:vAlign w:val="center"/>
          </w:tcPr>
          <w:p w14:paraId="57D307DE">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12" w:type="dxa"/>
            <w:gridSpan w:val="2"/>
            <w:vAlign w:val="center"/>
          </w:tcPr>
          <w:p w14:paraId="4170BE60">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98" w:type="dxa"/>
            <w:gridSpan w:val="2"/>
            <w:vAlign w:val="center"/>
          </w:tcPr>
          <w:p w14:paraId="61C8F17F">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32" w:type="dxa"/>
            <w:vAlign w:val="center"/>
          </w:tcPr>
          <w:p w14:paraId="757FFF45">
            <w:pPr>
              <w:spacing w:before="156" w:beforeLines="50" w:after="156" w:afterLines="50"/>
              <w:jc w:val="center"/>
              <w:rPr>
                <w:rFonts w:ascii="宋体"/>
                <w:kern w:val="0"/>
                <w:sz w:val="18"/>
                <w:szCs w:val="18"/>
              </w:rPr>
            </w:pPr>
            <w:r>
              <w:rPr>
                <w:rFonts w:ascii="宋体"/>
                <w:kern w:val="0"/>
                <w:sz w:val="18"/>
                <w:szCs w:val="18"/>
              </w:rPr>
              <w:t>/</w:t>
            </w:r>
          </w:p>
        </w:tc>
      </w:tr>
      <w:tr w14:paraId="2E9D3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552" w:hRule="atLeast"/>
          <w:jc w:val="center"/>
        </w:trPr>
        <w:tc>
          <w:tcPr>
            <w:tcW w:w="785" w:type="dxa"/>
            <w:gridSpan w:val="2"/>
            <w:vMerge w:val="continue"/>
            <w:vAlign w:val="center"/>
          </w:tcPr>
          <w:p w14:paraId="1DE4AE50">
            <w:pPr>
              <w:spacing w:before="156" w:beforeLines="50" w:after="156" w:afterLines="50"/>
              <w:jc w:val="left"/>
              <w:rPr>
                <w:rFonts w:ascii="宋体"/>
                <w:kern w:val="0"/>
                <w:sz w:val="18"/>
                <w:szCs w:val="18"/>
              </w:rPr>
            </w:pPr>
          </w:p>
        </w:tc>
        <w:tc>
          <w:tcPr>
            <w:tcW w:w="998" w:type="dxa"/>
            <w:gridSpan w:val="2"/>
            <w:vMerge w:val="continue"/>
            <w:vAlign w:val="center"/>
          </w:tcPr>
          <w:p w14:paraId="2BBF1522">
            <w:pPr>
              <w:spacing w:before="156" w:beforeLines="50" w:after="156" w:afterLines="50"/>
              <w:jc w:val="left"/>
              <w:rPr>
                <w:rFonts w:ascii="宋体"/>
                <w:kern w:val="0"/>
                <w:sz w:val="18"/>
                <w:szCs w:val="18"/>
              </w:rPr>
            </w:pPr>
          </w:p>
        </w:tc>
        <w:tc>
          <w:tcPr>
            <w:tcW w:w="1570" w:type="dxa"/>
            <w:gridSpan w:val="2"/>
            <w:vMerge w:val="continue"/>
            <w:vAlign w:val="center"/>
          </w:tcPr>
          <w:p w14:paraId="766BA57E">
            <w:pPr>
              <w:widowControl/>
              <w:spacing w:before="156" w:beforeLines="50" w:after="156" w:afterLines="50"/>
              <w:jc w:val="left"/>
              <w:rPr>
                <w:rFonts w:ascii="宋体"/>
                <w:kern w:val="0"/>
                <w:sz w:val="18"/>
                <w:szCs w:val="18"/>
              </w:rPr>
            </w:pPr>
          </w:p>
        </w:tc>
        <w:tc>
          <w:tcPr>
            <w:tcW w:w="1834" w:type="dxa"/>
            <w:vMerge w:val="continue"/>
            <w:vAlign w:val="center"/>
          </w:tcPr>
          <w:p w14:paraId="0B94A499">
            <w:pPr>
              <w:spacing w:before="156" w:beforeLines="50" w:after="156" w:afterLines="50"/>
              <w:jc w:val="left"/>
              <w:rPr>
                <w:rFonts w:ascii="宋体"/>
                <w:kern w:val="0"/>
                <w:sz w:val="18"/>
                <w:szCs w:val="18"/>
              </w:rPr>
            </w:pPr>
          </w:p>
        </w:tc>
        <w:tc>
          <w:tcPr>
            <w:tcW w:w="1130" w:type="dxa"/>
            <w:gridSpan w:val="2"/>
            <w:vMerge w:val="restart"/>
            <w:vAlign w:val="center"/>
          </w:tcPr>
          <w:p w14:paraId="3A853C45">
            <w:pPr>
              <w:spacing w:before="156" w:beforeLines="50" w:after="156" w:afterLines="50"/>
              <w:jc w:val="center"/>
              <w:rPr>
                <w:rFonts w:ascii="宋体"/>
                <w:kern w:val="0"/>
                <w:sz w:val="18"/>
                <w:szCs w:val="18"/>
              </w:rPr>
            </w:pPr>
            <w:r>
              <w:rPr>
                <w:rFonts w:hint="eastAsia" w:ascii="宋体"/>
                <w:kern w:val="0"/>
                <w:sz w:val="18"/>
                <w:szCs w:val="18"/>
              </w:rPr>
              <w:t>一般</w:t>
            </w:r>
          </w:p>
        </w:tc>
        <w:tc>
          <w:tcPr>
            <w:tcW w:w="3034" w:type="dxa"/>
            <w:gridSpan w:val="3"/>
            <w:vAlign w:val="center"/>
          </w:tcPr>
          <w:p w14:paraId="4C272D32">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未在规定的甚高频通信频道上守听且未发生事故或险情的。</w:t>
            </w:r>
          </w:p>
        </w:tc>
        <w:tc>
          <w:tcPr>
            <w:tcW w:w="2827" w:type="dxa"/>
            <w:gridSpan w:val="2"/>
            <w:vAlign w:val="center"/>
          </w:tcPr>
          <w:p w14:paraId="15F3EC46">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12" w:type="dxa"/>
            <w:gridSpan w:val="2"/>
            <w:vAlign w:val="center"/>
          </w:tcPr>
          <w:p w14:paraId="733803B0">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798" w:type="dxa"/>
            <w:gridSpan w:val="2"/>
            <w:vAlign w:val="center"/>
          </w:tcPr>
          <w:p w14:paraId="0951D20F">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32" w:type="dxa"/>
            <w:vAlign w:val="center"/>
          </w:tcPr>
          <w:p w14:paraId="217A97E3">
            <w:pPr>
              <w:spacing w:before="156" w:beforeLines="50" w:after="156" w:afterLines="50"/>
              <w:jc w:val="center"/>
              <w:rPr>
                <w:rFonts w:ascii="宋体"/>
                <w:kern w:val="0"/>
                <w:sz w:val="18"/>
                <w:szCs w:val="18"/>
              </w:rPr>
            </w:pPr>
            <w:r>
              <w:rPr>
                <w:rFonts w:ascii="宋体"/>
                <w:kern w:val="0"/>
                <w:sz w:val="18"/>
                <w:szCs w:val="18"/>
              </w:rPr>
              <w:t>/</w:t>
            </w:r>
          </w:p>
        </w:tc>
      </w:tr>
      <w:tr w14:paraId="3877F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274" w:hRule="atLeast"/>
          <w:jc w:val="center"/>
        </w:trPr>
        <w:tc>
          <w:tcPr>
            <w:tcW w:w="785" w:type="dxa"/>
            <w:gridSpan w:val="2"/>
            <w:vMerge w:val="continue"/>
            <w:vAlign w:val="center"/>
          </w:tcPr>
          <w:p w14:paraId="07723D2C">
            <w:pPr>
              <w:spacing w:before="156" w:beforeLines="50" w:after="156" w:afterLines="50"/>
              <w:jc w:val="left"/>
              <w:rPr>
                <w:rFonts w:ascii="宋体"/>
                <w:kern w:val="0"/>
                <w:sz w:val="18"/>
                <w:szCs w:val="18"/>
              </w:rPr>
            </w:pPr>
          </w:p>
        </w:tc>
        <w:tc>
          <w:tcPr>
            <w:tcW w:w="998" w:type="dxa"/>
            <w:gridSpan w:val="2"/>
            <w:vMerge w:val="continue"/>
            <w:vAlign w:val="center"/>
          </w:tcPr>
          <w:p w14:paraId="5A2618C7">
            <w:pPr>
              <w:spacing w:before="156" w:beforeLines="50" w:after="156" w:afterLines="50"/>
              <w:jc w:val="left"/>
              <w:rPr>
                <w:rFonts w:ascii="宋体"/>
                <w:kern w:val="0"/>
                <w:sz w:val="18"/>
                <w:szCs w:val="18"/>
              </w:rPr>
            </w:pPr>
          </w:p>
        </w:tc>
        <w:tc>
          <w:tcPr>
            <w:tcW w:w="1570" w:type="dxa"/>
            <w:gridSpan w:val="2"/>
            <w:vMerge w:val="continue"/>
            <w:vAlign w:val="center"/>
          </w:tcPr>
          <w:p w14:paraId="2E8146EA">
            <w:pPr>
              <w:spacing w:before="156" w:beforeLines="50" w:after="156" w:afterLines="50"/>
              <w:jc w:val="left"/>
              <w:rPr>
                <w:rFonts w:ascii="宋体"/>
                <w:kern w:val="0"/>
                <w:sz w:val="18"/>
                <w:szCs w:val="18"/>
              </w:rPr>
            </w:pPr>
          </w:p>
        </w:tc>
        <w:tc>
          <w:tcPr>
            <w:tcW w:w="1834" w:type="dxa"/>
            <w:vMerge w:val="continue"/>
            <w:vAlign w:val="center"/>
          </w:tcPr>
          <w:p w14:paraId="515EF963">
            <w:pPr>
              <w:spacing w:before="156" w:beforeLines="50" w:after="156" w:afterLines="50"/>
              <w:jc w:val="left"/>
              <w:rPr>
                <w:rFonts w:ascii="宋体"/>
                <w:kern w:val="0"/>
                <w:sz w:val="18"/>
                <w:szCs w:val="18"/>
              </w:rPr>
            </w:pPr>
          </w:p>
        </w:tc>
        <w:tc>
          <w:tcPr>
            <w:tcW w:w="1130" w:type="dxa"/>
            <w:gridSpan w:val="2"/>
            <w:vMerge w:val="continue"/>
            <w:vAlign w:val="center"/>
          </w:tcPr>
          <w:p w14:paraId="20AEEBE1">
            <w:pPr>
              <w:spacing w:before="156" w:beforeLines="50" w:after="156" w:afterLines="50"/>
              <w:jc w:val="center"/>
              <w:rPr>
                <w:rFonts w:ascii="宋体"/>
                <w:kern w:val="0"/>
                <w:sz w:val="18"/>
                <w:szCs w:val="18"/>
              </w:rPr>
            </w:pPr>
          </w:p>
        </w:tc>
        <w:tc>
          <w:tcPr>
            <w:tcW w:w="3034" w:type="dxa"/>
            <w:gridSpan w:val="3"/>
            <w:vAlign w:val="center"/>
          </w:tcPr>
          <w:p w14:paraId="34D41BBA">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未在规定的甚高频通信频道上守听，导致发生一般以下等级事故的。</w:t>
            </w:r>
          </w:p>
        </w:tc>
        <w:tc>
          <w:tcPr>
            <w:tcW w:w="2827" w:type="dxa"/>
            <w:gridSpan w:val="2"/>
            <w:vAlign w:val="center"/>
          </w:tcPr>
          <w:p w14:paraId="346EE9D0">
            <w:pPr>
              <w:spacing w:before="156" w:beforeLines="50" w:after="156" w:afterLines="50"/>
              <w:jc w:val="left"/>
              <w:rPr>
                <w:rFonts w:ascii="宋体"/>
                <w:sz w:val="18"/>
                <w:szCs w:val="18"/>
              </w:rPr>
            </w:pPr>
            <w:r>
              <w:rPr>
                <w:rFonts w:hint="eastAsia" w:ascii="宋体"/>
                <w:sz w:val="18"/>
                <w:szCs w:val="18"/>
              </w:rPr>
              <w:t>3</w:t>
            </w:r>
            <w:r>
              <w:rPr>
                <w:rFonts w:ascii="宋体"/>
                <w:sz w:val="18"/>
                <w:szCs w:val="18"/>
              </w:rPr>
              <w:t>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12" w:type="dxa"/>
            <w:gridSpan w:val="2"/>
            <w:vAlign w:val="center"/>
          </w:tcPr>
          <w:p w14:paraId="7AE2FFE9">
            <w:pPr>
              <w:spacing w:before="156" w:beforeLines="50" w:after="156" w:afterLines="50"/>
              <w:jc w:val="left"/>
              <w:rPr>
                <w:rFonts w:ascii="宋体"/>
                <w:sz w:val="18"/>
                <w:szCs w:val="18"/>
              </w:rPr>
            </w:pPr>
            <w:r>
              <w:rPr>
                <w:rFonts w:hint="eastAsia" w:ascii="宋体"/>
                <w:sz w:val="18"/>
                <w:szCs w:val="18"/>
              </w:rPr>
              <w:t>4</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798" w:type="dxa"/>
            <w:gridSpan w:val="2"/>
            <w:vAlign w:val="center"/>
          </w:tcPr>
          <w:p w14:paraId="4CC2389B">
            <w:pPr>
              <w:spacing w:before="156" w:beforeLines="50" w:after="156" w:afterLines="50"/>
              <w:jc w:val="left"/>
              <w:rPr>
                <w:rFonts w:ascii="宋体"/>
                <w:kern w:val="0"/>
                <w:sz w:val="18"/>
                <w:szCs w:val="18"/>
              </w:rPr>
            </w:pPr>
            <w:r>
              <w:rPr>
                <w:rFonts w:hint="eastAsia" w:ascii="宋体"/>
                <w:kern w:val="0"/>
                <w:sz w:val="18"/>
                <w:szCs w:val="18"/>
              </w:rPr>
              <w:t>5</w:t>
            </w:r>
            <w:r>
              <w:rPr>
                <w:rFonts w:ascii="宋体"/>
                <w:kern w:val="0"/>
                <w:sz w:val="18"/>
                <w:szCs w:val="18"/>
              </w:rPr>
              <w:t>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32" w:type="dxa"/>
            <w:vAlign w:val="center"/>
          </w:tcPr>
          <w:p w14:paraId="19C47AE3">
            <w:pPr>
              <w:spacing w:before="156" w:beforeLines="50" w:after="156" w:afterLines="50"/>
              <w:jc w:val="center"/>
              <w:rPr>
                <w:rFonts w:ascii="宋体"/>
                <w:kern w:val="0"/>
                <w:sz w:val="18"/>
                <w:szCs w:val="18"/>
              </w:rPr>
            </w:pPr>
            <w:r>
              <w:rPr>
                <w:rFonts w:ascii="宋体"/>
                <w:kern w:val="0"/>
                <w:sz w:val="18"/>
                <w:szCs w:val="18"/>
              </w:rPr>
              <w:t>/</w:t>
            </w:r>
          </w:p>
        </w:tc>
      </w:tr>
      <w:tr w14:paraId="0B2B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440" w:hRule="atLeast"/>
          <w:jc w:val="center"/>
        </w:trPr>
        <w:tc>
          <w:tcPr>
            <w:tcW w:w="785" w:type="dxa"/>
            <w:gridSpan w:val="2"/>
            <w:vMerge w:val="continue"/>
            <w:vAlign w:val="center"/>
          </w:tcPr>
          <w:p w14:paraId="0DB01346">
            <w:pPr>
              <w:spacing w:before="156" w:beforeLines="50" w:after="156" w:afterLines="50"/>
              <w:jc w:val="left"/>
              <w:rPr>
                <w:rFonts w:ascii="宋体"/>
                <w:kern w:val="0"/>
                <w:sz w:val="18"/>
                <w:szCs w:val="18"/>
              </w:rPr>
            </w:pPr>
          </w:p>
        </w:tc>
        <w:tc>
          <w:tcPr>
            <w:tcW w:w="998" w:type="dxa"/>
            <w:gridSpan w:val="2"/>
            <w:vMerge w:val="continue"/>
            <w:vAlign w:val="center"/>
          </w:tcPr>
          <w:p w14:paraId="489D1882">
            <w:pPr>
              <w:spacing w:before="156" w:beforeLines="50" w:after="156" w:afterLines="50"/>
              <w:jc w:val="left"/>
              <w:rPr>
                <w:rFonts w:ascii="宋体"/>
                <w:kern w:val="0"/>
                <w:sz w:val="18"/>
                <w:szCs w:val="18"/>
              </w:rPr>
            </w:pPr>
          </w:p>
        </w:tc>
        <w:tc>
          <w:tcPr>
            <w:tcW w:w="1570" w:type="dxa"/>
            <w:gridSpan w:val="2"/>
            <w:vMerge w:val="continue"/>
            <w:vAlign w:val="center"/>
          </w:tcPr>
          <w:p w14:paraId="3A5C78CC">
            <w:pPr>
              <w:spacing w:before="156" w:beforeLines="50" w:after="156" w:afterLines="50"/>
              <w:jc w:val="left"/>
              <w:rPr>
                <w:rFonts w:ascii="宋体"/>
                <w:kern w:val="0"/>
                <w:sz w:val="18"/>
                <w:szCs w:val="18"/>
              </w:rPr>
            </w:pPr>
          </w:p>
        </w:tc>
        <w:tc>
          <w:tcPr>
            <w:tcW w:w="1834" w:type="dxa"/>
            <w:vMerge w:val="continue"/>
            <w:vAlign w:val="center"/>
          </w:tcPr>
          <w:p w14:paraId="79A1B193">
            <w:pPr>
              <w:spacing w:before="156" w:beforeLines="50" w:after="156" w:afterLines="50"/>
              <w:jc w:val="left"/>
              <w:rPr>
                <w:rFonts w:ascii="宋体"/>
                <w:kern w:val="0"/>
                <w:sz w:val="18"/>
                <w:szCs w:val="18"/>
              </w:rPr>
            </w:pPr>
          </w:p>
        </w:tc>
        <w:tc>
          <w:tcPr>
            <w:tcW w:w="1130" w:type="dxa"/>
            <w:gridSpan w:val="2"/>
            <w:vMerge w:val="restart"/>
            <w:vAlign w:val="center"/>
          </w:tcPr>
          <w:p w14:paraId="764F0EDA">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3034" w:type="dxa"/>
            <w:gridSpan w:val="3"/>
            <w:tcBorders>
              <w:bottom w:val="single" w:color="auto" w:sz="4" w:space="0"/>
            </w:tcBorders>
            <w:vAlign w:val="center"/>
          </w:tcPr>
          <w:p w14:paraId="2909D41A">
            <w:pPr>
              <w:widowControl/>
              <w:spacing w:before="156" w:beforeLines="50" w:after="156" w:afterLines="50"/>
              <w:jc w:val="left"/>
              <w:rPr>
                <w:rFonts w:ascii="宋体"/>
                <w:kern w:val="0"/>
                <w:sz w:val="18"/>
                <w:szCs w:val="18"/>
              </w:rPr>
            </w:pPr>
            <w:r>
              <w:rPr>
                <w:rFonts w:hint="eastAsia" w:ascii="宋体"/>
                <w:kern w:val="0"/>
                <w:sz w:val="18"/>
                <w:szCs w:val="18"/>
              </w:rPr>
              <w:t>未在规定的甚高频通信频道上守听，发生一般等级以上事故的。</w:t>
            </w:r>
          </w:p>
        </w:tc>
        <w:tc>
          <w:tcPr>
            <w:tcW w:w="2827" w:type="dxa"/>
            <w:gridSpan w:val="2"/>
            <w:vMerge w:val="restart"/>
            <w:vAlign w:val="center"/>
          </w:tcPr>
          <w:p w14:paraId="37F6B190">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12" w:type="dxa"/>
            <w:gridSpan w:val="2"/>
            <w:vMerge w:val="restart"/>
            <w:vAlign w:val="center"/>
          </w:tcPr>
          <w:p w14:paraId="21FF87AF">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98" w:type="dxa"/>
            <w:gridSpan w:val="2"/>
            <w:vMerge w:val="restart"/>
            <w:vAlign w:val="center"/>
          </w:tcPr>
          <w:p w14:paraId="0C05287F">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32" w:type="dxa"/>
            <w:tcBorders>
              <w:bottom w:val="single" w:color="auto" w:sz="4" w:space="0"/>
            </w:tcBorders>
            <w:vAlign w:val="center"/>
          </w:tcPr>
          <w:p w14:paraId="68EC9605">
            <w:pPr>
              <w:spacing w:before="156" w:beforeLines="50" w:after="156" w:afterLines="50"/>
              <w:jc w:val="left"/>
              <w:rPr>
                <w:rFonts w:ascii="宋体"/>
                <w:kern w:val="0"/>
                <w:sz w:val="18"/>
                <w:szCs w:val="18"/>
              </w:rPr>
            </w:pPr>
            <w:r>
              <w:rPr>
                <w:rFonts w:hint="eastAsia" w:ascii="宋体"/>
                <w:kern w:val="0"/>
                <w:sz w:val="18"/>
                <w:szCs w:val="18"/>
              </w:rPr>
              <w:t>未在规定的甚高频通信频道上守听造成一般及以上等级水上交通事故的，暂扣直至吊销证书处罚的裁量按照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312FC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8" w:type="dxa"/>
          <w:trHeight w:val="1041" w:hRule="atLeast"/>
          <w:jc w:val="center"/>
        </w:trPr>
        <w:tc>
          <w:tcPr>
            <w:tcW w:w="785" w:type="dxa"/>
            <w:gridSpan w:val="2"/>
            <w:vMerge w:val="continue"/>
            <w:vAlign w:val="center"/>
          </w:tcPr>
          <w:p w14:paraId="50400324">
            <w:pPr>
              <w:spacing w:before="156" w:beforeLines="50" w:after="156" w:afterLines="50"/>
              <w:jc w:val="left"/>
              <w:rPr>
                <w:rFonts w:ascii="宋体"/>
                <w:kern w:val="0"/>
                <w:sz w:val="18"/>
                <w:szCs w:val="18"/>
              </w:rPr>
            </w:pPr>
          </w:p>
        </w:tc>
        <w:tc>
          <w:tcPr>
            <w:tcW w:w="998" w:type="dxa"/>
            <w:gridSpan w:val="2"/>
            <w:vMerge w:val="continue"/>
            <w:vAlign w:val="center"/>
          </w:tcPr>
          <w:p w14:paraId="31CF74A9">
            <w:pPr>
              <w:spacing w:before="156" w:beforeLines="50" w:after="156" w:afterLines="50"/>
              <w:jc w:val="left"/>
              <w:rPr>
                <w:rFonts w:ascii="宋体"/>
                <w:kern w:val="0"/>
                <w:sz w:val="18"/>
                <w:szCs w:val="18"/>
              </w:rPr>
            </w:pPr>
          </w:p>
        </w:tc>
        <w:tc>
          <w:tcPr>
            <w:tcW w:w="1570" w:type="dxa"/>
            <w:gridSpan w:val="2"/>
            <w:vMerge w:val="continue"/>
            <w:vAlign w:val="center"/>
          </w:tcPr>
          <w:p w14:paraId="1BB4633B">
            <w:pPr>
              <w:spacing w:before="156" w:beforeLines="50" w:after="156" w:afterLines="50"/>
              <w:jc w:val="left"/>
              <w:rPr>
                <w:rFonts w:ascii="宋体"/>
                <w:kern w:val="0"/>
                <w:sz w:val="18"/>
                <w:szCs w:val="18"/>
              </w:rPr>
            </w:pPr>
          </w:p>
        </w:tc>
        <w:tc>
          <w:tcPr>
            <w:tcW w:w="1834" w:type="dxa"/>
            <w:vMerge w:val="continue"/>
            <w:vAlign w:val="center"/>
          </w:tcPr>
          <w:p w14:paraId="075DB396">
            <w:pPr>
              <w:spacing w:before="156" w:beforeLines="50" w:after="156" w:afterLines="50"/>
              <w:jc w:val="left"/>
              <w:rPr>
                <w:rFonts w:ascii="宋体"/>
                <w:kern w:val="0"/>
                <w:sz w:val="18"/>
                <w:szCs w:val="18"/>
              </w:rPr>
            </w:pPr>
          </w:p>
        </w:tc>
        <w:tc>
          <w:tcPr>
            <w:tcW w:w="1130" w:type="dxa"/>
            <w:gridSpan w:val="2"/>
            <w:vMerge w:val="continue"/>
            <w:vAlign w:val="center"/>
          </w:tcPr>
          <w:p w14:paraId="70AC95B6">
            <w:pPr>
              <w:spacing w:before="156" w:beforeLines="50" w:after="156" w:afterLines="50"/>
              <w:jc w:val="center"/>
              <w:rPr>
                <w:rFonts w:ascii="宋体"/>
                <w:kern w:val="0"/>
                <w:sz w:val="18"/>
                <w:szCs w:val="18"/>
              </w:rPr>
            </w:pPr>
          </w:p>
        </w:tc>
        <w:tc>
          <w:tcPr>
            <w:tcW w:w="3034" w:type="dxa"/>
            <w:gridSpan w:val="3"/>
            <w:tcBorders>
              <w:top w:val="single" w:color="auto" w:sz="4" w:space="0"/>
            </w:tcBorders>
            <w:vAlign w:val="center"/>
          </w:tcPr>
          <w:p w14:paraId="551E26BF">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27" w:type="dxa"/>
            <w:gridSpan w:val="2"/>
            <w:vMerge w:val="continue"/>
            <w:vAlign w:val="center"/>
          </w:tcPr>
          <w:p w14:paraId="6D7BEAFC">
            <w:pPr>
              <w:spacing w:before="156" w:beforeLines="50" w:after="156" w:afterLines="50"/>
              <w:jc w:val="left"/>
              <w:rPr>
                <w:rFonts w:ascii="宋体"/>
                <w:sz w:val="18"/>
                <w:szCs w:val="18"/>
              </w:rPr>
            </w:pPr>
          </w:p>
        </w:tc>
        <w:tc>
          <w:tcPr>
            <w:tcW w:w="2812" w:type="dxa"/>
            <w:gridSpan w:val="2"/>
            <w:vMerge w:val="continue"/>
            <w:vAlign w:val="center"/>
          </w:tcPr>
          <w:p w14:paraId="48CA0D7D">
            <w:pPr>
              <w:spacing w:before="156" w:beforeLines="50" w:after="156" w:afterLines="50"/>
              <w:jc w:val="left"/>
              <w:rPr>
                <w:rFonts w:ascii="宋体"/>
                <w:sz w:val="18"/>
                <w:szCs w:val="18"/>
              </w:rPr>
            </w:pPr>
          </w:p>
        </w:tc>
        <w:tc>
          <w:tcPr>
            <w:tcW w:w="2798" w:type="dxa"/>
            <w:gridSpan w:val="2"/>
            <w:vMerge w:val="continue"/>
            <w:vAlign w:val="center"/>
          </w:tcPr>
          <w:p w14:paraId="6B9ABE38">
            <w:pPr>
              <w:spacing w:before="156" w:beforeLines="50" w:after="156" w:afterLines="50"/>
              <w:jc w:val="left"/>
              <w:rPr>
                <w:rFonts w:ascii="宋体"/>
                <w:spacing w:val="-4"/>
                <w:kern w:val="0"/>
                <w:sz w:val="18"/>
                <w:szCs w:val="18"/>
              </w:rPr>
            </w:pPr>
          </w:p>
        </w:tc>
        <w:tc>
          <w:tcPr>
            <w:tcW w:w="2732" w:type="dxa"/>
            <w:tcBorders>
              <w:top w:val="single" w:color="auto" w:sz="4" w:space="0"/>
            </w:tcBorders>
            <w:vAlign w:val="center"/>
          </w:tcPr>
          <w:p w14:paraId="735A6436">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7CFD2C46">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961"/>
        <w:gridCol w:w="1510"/>
        <w:gridCol w:w="2460"/>
        <w:gridCol w:w="1087"/>
        <w:gridCol w:w="2246"/>
        <w:gridCol w:w="2787"/>
        <w:gridCol w:w="2838"/>
        <w:gridCol w:w="2798"/>
        <w:gridCol w:w="2914"/>
      </w:tblGrid>
      <w:tr w14:paraId="67E79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7" w:hRule="atLeast"/>
          <w:jc w:val="center"/>
        </w:trPr>
        <w:tc>
          <w:tcPr>
            <w:tcW w:w="956" w:type="dxa"/>
            <w:vMerge w:val="restart"/>
            <w:vAlign w:val="center"/>
          </w:tcPr>
          <w:p w14:paraId="4EBE0D3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61" w:type="dxa"/>
            <w:vMerge w:val="restart"/>
            <w:vAlign w:val="center"/>
          </w:tcPr>
          <w:p w14:paraId="01A138D2">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70" w:type="dxa"/>
            <w:gridSpan w:val="2"/>
            <w:vMerge w:val="restart"/>
            <w:vAlign w:val="center"/>
          </w:tcPr>
          <w:p w14:paraId="78A9AFD1">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87" w:type="dxa"/>
            <w:vMerge w:val="restart"/>
            <w:vAlign w:val="center"/>
          </w:tcPr>
          <w:p w14:paraId="412E81E0">
            <w:pPr>
              <w:spacing w:before="156" w:beforeLines="50" w:after="156" w:afterLines="50"/>
              <w:jc w:val="center"/>
              <w:rPr>
                <w:rFonts w:ascii="宋体"/>
                <w:b/>
                <w:kern w:val="0"/>
                <w:sz w:val="18"/>
                <w:szCs w:val="18"/>
              </w:rPr>
            </w:pPr>
            <w:r>
              <w:rPr>
                <w:rFonts w:hint="eastAsia" w:ascii="宋体"/>
                <w:b/>
                <w:kern w:val="0"/>
                <w:sz w:val="18"/>
                <w:szCs w:val="18"/>
              </w:rPr>
              <w:t>违法行</w:t>
            </w:r>
          </w:p>
          <w:p w14:paraId="63C7385F">
            <w:pPr>
              <w:spacing w:before="156" w:beforeLines="50" w:after="156" w:afterLines="50"/>
              <w:jc w:val="center"/>
              <w:rPr>
                <w:rFonts w:ascii="宋体"/>
                <w:b/>
                <w:kern w:val="0"/>
                <w:sz w:val="18"/>
                <w:szCs w:val="18"/>
              </w:rPr>
            </w:pPr>
            <w:r>
              <w:rPr>
                <w:rFonts w:hint="eastAsia" w:ascii="宋体"/>
                <w:b/>
                <w:kern w:val="0"/>
                <w:sz w:val="18"/>
                <w:szCs w:val="18"/>
              </w:rPr>
              <w:t>为情节</w:t>
            </w:r>
          </w:p>
        </w:tc>
        <w:tc>
          <w:tcPr>
            <w:tcW w:w="2246" w:type="dxa"/>
            <w:vMerge w:val="restart"/>
            <w:vAlign w:val="center"/>
          </w:tcPr>
          <w:p w14:paraId="50BB4BA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2ACD875E">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337" w:type="dxa"/>
            <w:gridSpan w:val="4"/>
            <w:vAlign w:val="center"/>
          </w:tcPr>
          <w:p w14:paraId="5EFA00C0">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由海事管理机构责令改正，处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1CC86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14:paraId="00D327F2">
            <w:pPr>
              <w:spacing w:before="156" w:beforeLines="50" w:after="156" w:afterLines="50"/>
              <w:jc w:val="left"/>
              <w:rPr>
                <w:rFonts w:ascii="宋体"/>
                <w:b/>
                <w:kern w:val="0"/>
                <w:sz w:val="18"/>
                <w:szCs w:val="18"/>
              </w:rPr>
            </w:pPr>
          </w:p>
        </w:tc>
        <w:tc>
          <w:tcPr>
            <w:tcW w:w="961" w:type="dxa"/>
            <w:vMerge w:val="continue"/>
            <w:vAlign w:val="center"/>
          </w:tcPr>
          <w:p w14:paraId="63763513">
            <w:pPr>
              <w:spacing w:before="156" w:beforeLines="50" w:after="156" w:afterLines="50"/>
              <w:jc w:val="left"/>
              <w:rPr>
                <w:rFonts w:ascii="宋体"/>
                <w:b/>
                <w:kern w:val="0"/>
                <w:sz w:val="18"/>
                <w:szCs w:val="18"/>
              </w:rPr>
            </w:pPr>
          </w:p>
        </w:tc>
        <w:tc>
          <w:tcPr>
            <w:tcW w:w="3970" w:type="dxa"/>
            <w:gridSpan w:val="2"/>
            <w:vMerge w:val="continue"/>
            <w:vAlign w:val="center"/>
          </w:tcPr>
          <w:p w14:paraId="4397A7AE">
            <w:pPr>
              <w:spacing w:before="156" w:beforeLines="50" w:after="156" w:afterLines="50"/>
              <w:jc w:val="left"/>
              <w:rPr>
                <w:rFonts w:ascii="宋体"/>
                <w:b/>
                <w:kern w:val="0"/>
                <w:sz w:val="18"/>
                <w:szCs w:val="18"/>
              </w:rPr>
            </w:pPr>
          </w:p>
        </w:tc>
        <w:tc>
          <w:tcPr>
            <w:tcW w:w="1087" w:type="dxa"/>
            <w:vMerge w:val="continue"/>
            <w:vAlign w:val="center"/>
          </w:tcPr>
          <w:p w14:paraId="65168DC6">
            <w:pPr>
              <w:spacing w:before="156" w:beforeLines="50" w:after="156" w:afterLines="50"/>
              <w:jc w:val="left"/>
              <w:rPr>
                <w:rFonts w:ascii="宋体"/>
                <w:b/>
                <w:kern w:val="0"/>
                <w:sz w:val="18"/>
                <w:szCs w:val="18"/>
              </w:rPr>
            </w:pPr>
          </w:p>
        </w:tc>
        <w:tc>
          <w:tcPr>
            <w:tcW w:w="2246" w:type="dxa"/>
            <w:vMerge w:val="continue"/>
            <w:vAlign w:val="center"/>
          </w:tcPr>
          <w:p w14:paraId="58F9A669">
            <w:pPr>
              <w:spacing w:before="156" w:beforeLines="50" w:after="156" w:afterLines="50"/>
              <w:jc w:val="left"/>
              <w:rPr>
                <w:rFonts w:ascii="宋体"/>
                <w:b/>
                <w:kern w:val="0"/>
                <w:sz w:val="18"/>
                <w:szCs w:val="18"/>
              </w:rPr>
            </w:pPr>
          </w:p>
        </w:tc>
        <w:tc>
          <w:tcPr>
            <w:tcW w:w="11337" w:type="dxa"/>
            <w:gridSpan w:val="4"/>
            <w:vAlign w:val="center"/>
          </w:tcPr>
          <w:p w14:paraId="3C9FD810">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5D8F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14:paraId="14BD88FD">
            <w:pPr>
              <w:spacing w:before="156" w:beforeLines="50" w:after="156" w:afterLines="50"/>
              <w:jc w:val="left"/>
              <w:rPr>
                <w:rFonts w:ascii="宋体"/>
                <w:b/>
                <w:kern w:val="0"/>
                <w:sz w:val="18"/>
                <w:szCs w:val="18"/>
              </w:rPr>
            </w:pPr>
          </w:p>
        </w:tc>
        <w:tc>
          <w:tcPr>
            <w:tcW w:w="961" w:type="dxa"/>
            <w:vMerge w:val="continue"/>
            <w:vAlign w:val="center"/>
          </w:tcPr>
          <w:p w14:paraId="39AA6C1C">
            <w:pPr>
              <w:spacing w:before="156" w:beforeLines="50" w:after="156" w:afterLines="50"/>
              <w:jc w:val="left"/>
              <w:rPr>
                <w:rFonts w:ascii="宋体"/>
                <w:b/>
                <w:kern w:val="0"/>
                <w:sz w:val="18"/>
                <w:szCs w:val="18"/>
              </w:rPr>
            </w:pPr>
          </w:p>
        </w:tc>
        <w:tc>
          <w:tcPr>
            <w:tcW w:w="1510" w:type="dxa"/>
            <w:vMerge w:val="restart"/>
            <w:vAlign w:val="center"/>
          </w:tcPr>
          <w:p w14:paraId="66E9671F">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460" w:type="dxa"/>
            <w:vMerge w:val="restart"/>
            <w:vAlign w:val="center"/>
          </w:tcPr>
          <w:p w14:paraId="4B1F5596">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87" w:type="dxa"/>
            <w:vMerge w:val="continue"/>
            <w:vAlign w:val="center"/>
          </w:tcPr>
          <w:p w14:paraId="71472E38">
            <w:pPr>
              <w:spacing w:before="156" w:beforeLines="50" w:after="156" w:afterLines="50"/>
              <w:jc w:val="left"/>
              <w:rPr>
                <w:rFonts w:ascii="宋体"/>
                <w:b/>
                <w:kern w:val="0"/>
                <w:sz w:val="18"/>
                <w:szCs w:val="18"/>
              </w:rPr>
            </w:pPr>
          </w:p>
        </w:tc>
        <w:tc>
          <w:tcPr>
            <w:tcW w:w="2246" w:type="dxa"/>
            <w:vMerge w:val="continue"/>
            <w:vAlign w:val="center"/>
          </w:tcPr>
          <w:p w14:paraId="707693B9">
            <w:pPr>
              <w:spacing w:before="156" w:beforeLines="50" w:after="156" w:afterLines="50"/>
              <w:jc w:val="left"/>
              <w:rPr>
                <w:rFonts w:ascii="宋体"/>
                <w:b/>
                <w:kern w:val="0"/>
                <w:sz w:val="18"/>
                <w:szCs w:val="18"/>
              </w:rPr>
            </w:pPr>
          </w:p>
        </w:tc>
        <w:tc>
          <w:tcPr>
            <w:tcW w:w="8423" w:type="dxa"/>
            <w:gridSpan w:val="3"/>
            <w:vAlign w:val="center"/>
          </w:tcPr>
          <w:p w14:paraId="35224D82">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914" w:type="dxa"/>
            <w:vMerge w:val="restart"/>
            <w:vAlign w:val="center"/>
          </w:tcPr>
          <w:p w14:paraId="725BD58B">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627BE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14:paraId="5368325D">
            <w:pPr>
              <w:spacing w:before="156" w:beforeLines="50" w:after="156" w:afterLines="50"/>
              <w:jc w:val="left"/>
              <w:rPr>
                <w:rFonts w:ascii="宋体"/>
                <w:b/>
                <w:kern w:val="0"/>
                <w:sz w:val="18"/>
                <w:szCs w:val="18"/>
              </w:rPr>
            </w:pPr>
          </w:p>
        </w:tc>
        <w:tc>
          <w:tcPr>
            <w:tcW w:w="961" w:type="dxa"/>
            <w:vMerge w:val="continue"/>
            <w:vAlign w:val="center"/>
          </w:tcPr>
          <w:p w14:paraId="2A8972A9">
            <w:pPr>
              <w:spacing w:before="156" w:beforeLines="50" w:after="156" w:afterLines="50"/>
              <w:jc w:val="left"/>
              <w:rPr>
                <w:rFonts w:ascii="宋体"/>
                <w:b/>
                <w:kern w:val="0"/>
                <w:sz w:val="18"/>
                <w:szCs w:val="18"/>
              </w:rPr>
            </w:pPr>
          </w:p>
        </w:tc>
        <w:tc>
          <w:tcPr>
            <w:tcW w:w="1510" w:type="dxa"/>
            <w:vMerge w:val="continue"/>
            <w:vAlign w:val="center"/>
          </w:tcPr>
          <w:p w14:paraId="23EC30F8">
            <w:pPr>
              <w:spacing w:before="156" w:beforeLines="50" w:after="156" w:afterLines="50"/>
              <w:jc w:val="left"/>
              <w:rPr>
                <w:rFonts w:ascii="宋体"/>
                <w:b/>
                <w:kern w:val="0"/>
                <w:sz w:val="18"/>
                <w:szCs w:val="18"/>
              </w:rPr>
            </w:pPr>
          </w:p>
        </w:tc>
        <w:tc>
          <w:tcPr>
            <w:tcW w:w="2460" w:type="dxa"/>
            <w:vMerge w:val="continue"/>
            <w:vAlign w:val="center"/>
          </w:tcPr>
          <w:p w14:paraId="3D86552A">
            <w:pPr>
              <w:spacing w:before="156" w:beforeLines="50" w:after="156" w:afterLines="50"/>
              <w:jc w:val="left"/>
              <w:rPr>
                <w:rFonts w:ascii="宋体"/>
                <w:b/>
                <w:kern w:val="0"/>
                <w:sz w:val="18"/>
                <w:szCs w:val="18"/>
              </w:rPr>
            </w:pPr>
          </w:p>
        </w:tc>
        <w:tc>
          <w:tcPr>
            <w:tcW w:w="1087" w:type="dxa"/>
            <w:vMerge w:val="continue"/>
            <w:vAlign w:val="center"/>
          </w:tcPr>
          <w:p w14:paraId="66167C5E">
            <w:pPr>
              <w:spacing w:before="156" w:beforeLines="50" w:after="156" w:afterLines="50"/>
              <w:jc w:val="left"/>
              <w:rPr>
                <w:rFonts w:ascii="宋体"/>
                <w:b/>
                <w:kern w:val="0"/>
                <w:sz w:val="18"/>
                <w:szCs w:val="18"/>
              </w:rPr>
            </w:pPr>
          </w:p>
        </w:tc>
        <w:tc>
          <w:tcPr>
            <w:tcW w:w="2246" w:type="dxa"/>
            <w:vMerge w:val="continue"/>
            <w:vAlign w:val="center"/>
          </w:tcPr>
          <w:p w14:paraId="4F267954">
            <w:pPr>
              <w:spacing w:before="156" w:beforeLines="50" w:after="156" w:afterLines="50"/>
              <w:jc w:val="left"/>
              <w:rPr>
                <w:rFonts w:ascii="宋体"/>
                <w:b/>
                <w:kern w:val="0"/>
                <w:sz w:val="18"/>
                <w:szCs w:val="18"/>
              </w:rPr>
            </w:pPr>
          </w:p>
        </w:tc>
        <w:tc>
          <w:tcPr>
            <w:tcW w:w="2787" w:type="dxa"/>
            <w:vAlign w:val="center"/>
          </w:tcPr>
          <w:p w14:paraId="6B873FC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38" w:type="dxa"/>
            <w:vAlign w:val="center"/>
          </w:tcPr>
          <w:p w14:paraId="210F39E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798" w:type="dxa"/>
            <w:vAlign w:val="center"/>
          </w:tcPr>
          <w:p w14:paraId="3D1274C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914" w:type="dxa"/>
            <w:vMerge w:val="continue"/>
            <w:vAlign w:val="center"/>
          </w:tcPr>
          <w:p w14:paraId="517F6D15">
            <w:pPr>
              <w:spacing w:before="156" w:beforeLines="50" w:after="156" w:afterLines="50"/>
              <w:jc w:val="left"/>
              <w:rPr>
                <w:rFonts w:ascii="宋体"/>
                <w:b/>
                <w:sz w:val="18"/>
                <w:szCs w:val="18"/>
              </w:rPr>
            </w:pPr>
          </w:p>
        </w:tc>
      </w:tr>
      <w:tr w14:paraId="32433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restart"/>
            <w:vAlign w:val="center"/>
          </w:tcPr>
          <w:p w14:paraId="5F886C66">
            <w:pPr>
              <w:spacing w:before="156" w:beforeLines="50" w:after="156" w:afterLines="50"/>
              <w:jc w:val="center"/>
              <w:rPr>
                <w:rFonts w:ascii="宋体"/>
                <w:kern w:val="0"/>
                <w:sz w:val="18"/>
                <w:szCs w:val="18"/>
              </w:rPr>
            </w:pPr>
            <w:r>
              <w:rPr>
                <w:rFonts w:hint="eastAsia" w:ascii="宋体"/>
                <w:kern w:val="0"/>
                <w:sz w:val="18"/>
                <w:szCs w:val="18"/>
              </w:rPr>
              <w:t>7</w:t>
            </w:r>
          </w:p>
        </w:tc>
        <w:tc>
          <w:tcPr>
            <w:tcW w:w="961" w:type="dxa"/>
            <w:vMerge w:val="restart"/>
            <w:vAlign w:val="center"/>
          </w:tcPr>
          <w:p w14:paraId="6DAE4386">
            <w:pPr>
              <w:widowControl/>
              <w:spacing w:before="156" w:beforeLines="50" w:after="156" w:afterLines="50"/>
              <w:jc w:val="left"/>
              <w:rPr>
                <w:rFonts w:ascii="宋体"/>
                <w:kern w:val="0"/>
                <w:sz w:val="18"/>
                <w:szCs w:val="18"/>
              </w:rPr>
            </w:pPr>
            <w:r>
              <w:rPr>
                <w:rFonts w:hint="eastAsia" w:ascii="宋体"/>
                <w:sz w:val="18"/>
                <w:szCs w:val="18"/>
              </w:rPr>
              <w:t>在规定必须报告船位的地点，未报告船位</w:t>
            </w:r>
          </w:p>
        </w:tc>
        <w:tc>
          <w:tcPr>
            <w:tcW w:w="1510" w:type="dxa"/>
            <w:vMerge w:val="restart"/>
            <w:vAlign w:val="center"/>
          </w:tcPr>
          <w:p w14:paraId="44E1D025">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1.《中华人民共和国内河交通安全管理条例》第十七条第四款；</w:t>
            </w:r>
          </w:p>
          <w:p w14:paraId="4418A302">
            <w:pPr>
              <w:widowControl/>
              <w:spacing w:before="156" w:beforeLines="50" w:after="156" w:afterLines="50"/>
              <w:jc w:val="left"/>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修订本）第四十六条第（四）项；</w:t>
            </w:r>
          </w:p>
          <w:p w14:paraId="362B0D6A">
            <w:pPr>
              <w:widowControl/>
              <w:spacing w:before="156" w:beforeLines="50" w:after="156" w:afterLines="50"/>
              <w:jc w:val="left"/>
              <w:rPr>
                <w:rFonts w:ascii="宋体"/>
                <w:kern w:val="0"/>
                <w:sz w:val="18"/>
                <w:szCs w:val="18"/>
              </w:rPr>
            </w:pPr>
            <w:r>
              <w:rPr>
                <w:rFonts w:hint="eastAsia" w:ascii="宋体"/>
                <w:sz w:val="18"/>
                <w:szCs w:val="18"/>
              </w:rPr>
              <w:t>3.相关法律、法规、规章中关于船舶报告船位、船舶动态义务的条款。</w:t>
            </w:r>
          </w:p>
        </w:tc>
        <w:tc>
          <w:tcPr>
            <w:tcW w:w="2460" w:type="dxa"/>
            <w:vMerge w:val="restart"/>
            <w:vAlign w:val="center"/>
          </w:tcPr>
          <w:p w14:paraId="112B2DD8">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14:paraId="6A5C47CF">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2.《中华人民共和国内河海事行政处罚规定》第十七条第一款和第二款第（七）项；</w:t>
            </w:r>
          </w:p>
          <w:p w14:paraId="1EEB2BBB">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87" w:type="dxa"/>
            <w:vAlign w:val="center"/>
          </w:tcPr>
          <w:p w14:paraId="34D962DE">
            <w:pPr>
              <w:spacing w:before="156" w:beforeLines="50" w:after="156" w:afterLines="50"/>
              <w:jc w:val="center"/>
              <w:rPr>
                <w:rFonts w:ascii="宋体"/>
                <w:kern w:val="0"/>
                <w:sz w:val="18"/>
                <w:szCs w:val="18"/>
              </w:rPr>
            </w:pPr>
            <w:r>
              <w:rPr>
                <w:rFonts w:hint="eastAsia" w:ascii="宋体"/>
                <w:kern w:val="0"/>
                <w:sz w:val="18"/>
                <w:szCs w:val="18"/>
              </w:rPr>
              <w:t>从轻</w:t>
            </w:r>
          </w:p>
        </w:tc>
        <w:tc>
          <w:tcPr>
            <w:tcW w:w="2246" w:type="dxa"/>
            <w:vAlign w:val="center"/>
          </w:tcPr>
          <w:p w14:paraId="6A4502C2">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787" w:type="dxa"/>
            <w:vAlign w:val="center"/>
          </w:tcPr>
          <w:p w14:paraId="3F16BF7B">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38" w:type="dxa"/>
            <w:vAlign w:val="center"/>
          </w:tcPr>
          <w:p w14:paraId="1F8C8B85">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98" w:type="dxa"/>
            <w:vAlign w:val="center"/>
          </w:tcPr>
          <w:p w14:paraId="0C082DEB">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14" w:type="dxa"/>
            <w:vAlign w:val="center"/>
          </w:tcPr>
          <w:p w14:paraId="1631B96F">
            <w:pPr>
              <w:spacing w:before="156" w:beforeLines="50" w:after="156" w:afterLines="50"/>
              <w:jc w:val="center"/>
              <w:rPr>
                <w:rFonts w:ascii="宋体"/>
                <w:kern w:val="0"/>
                <w:sz w:val="18"/>
                <w:szCs w:val="18"/>
              </w:rPr>
            </w:pPr>
            <w:r>
              <w:rPr>
                <w:rFonts w:ascii="宋体"/>
                <w:kern w:val="0"/>
                <w:sz w:val="18"/>
                <w:szCs w:val="18"/>
              </w:rPr>
              <w:t>/</w:t>
            </w:r>
          </w:p>
        </w:tc>
      </w:tr>
      <w:tr w14:paraId="105A8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14:paraId="08047CBE">
            <w:pPr>
              <w:spacing w:before="156" w:beforeLines="50" w:after="156" w:afterLines="50"/>
              <w:jc w:val="left"/>
              <w:rPr>
                <w:rFonts w:ascii="宋体"/>
                <w:kern w:val="0"/>
                <w:sz w:val="18"/>
                <w:szCs w:val="18"/>
              </w:rPr>
            </w:pPr>
          </w:p>
        </w:tc>
        <w:tc>
          <w:tcPr>
            <w:tcW w:w="961" w:type="dxa"/>
            <w:vMerge w:val="continue"/>
            <w:vAlign w:val="center"/>
          </w:tcPr>
          <w:p w14:paraId="10F7B288">
            <w:pPr>
              <w:spacing w:before="156" w:beforeLines="50" w:after="156" w:afterLines="50"/>
              <w:jc w:val="left"/>
              <w:rPr>
                <w:rFonts w:ascii="宋体"/>
                <w:kern w:val="0"/>
                <w:sz w:val="18"/>
                <w:szCs w:val="18"/>
              </w:rPr>
            </w:pPr>
          </w:p>
        </w:tc>
        <w:tc>
          <w:tcPr>
            <w:tcW w:w="1510" w:type="dxa"/>
            <w:vMerge w:val="continue"/>
            <w:vAlign w:val="center"/>
          </w:tcPr>
          <w:p w14:paraId="7E1E23ED">
            <w:pPr>
              <w:widowControl/>
              <w:spacing w:before="156" w:beforeLines="50" w:after="156" w:afterLines="50"/>
              <w:jc w:val="left"/>
              <w:rPr>
                <w:rFonts w:ascii="宋体"/>
                <w:kern w:val="0"/>
                <w:sz w:val="18"/>
                <w:szCs w:val="18"/>
              </w:rPr>
            </w:pPr>
          </w:p>
        </w:tc>
        <w:tc>
          <w:tcPr>
            <w:tcW w:w="2460" w:type="dxa"/>
            <w:vMerge w:val="continue"/>
            <w:vAlign w:val="center"/>
          </w:tcPr>
          <w:p w14:paraId="3142C7C0">
            <w:pPr>
              <w:spacing w:before="156" w:beforeLines="50" w:after="156" w:afterLines="50"/>
              <w:jc w:val="left"/>
              <w:rPr>
                <w:rFonts w:ascii="宋体"/>
                <w:kern w:val="0"/>
                <w:sz w:val="18"/>
                <w:szCs w:val="18"/>
              </w:rPr>
            </w:pPr>
          </w:p>
        </w:tc>
        <w:tc>
          <w:tcPr>
            <w:tcW w:w="1087" w:type="dxa"/>
            <w:vMerge w:val="restart"/>
            <w:vAlign w:val="center"/>
          </w:tcPr>
          <w:p w14:paraId="44513213">
            <w:pPr>
              <w:spacing w:before="156" w:beforeLines="50" w:after="156" w:afterLines="50"/>
              <w:jc w:val="center"/>
              <w:rPr>
                <w:rFonts w:ascii="宋体"/>
                <w:kern w:val="0"/>
                <w:sz w:val="18"/>
                <w:szCs w:val="18"/>
              </w:rPr>
            </w:pPr>
            <w:r>
              <w:rPr>
                <w:rFonts w:hint="eastAsia" w:ascii="宋体"/>
                <w:kern w:val="0"/>
                <w:sz w:val="18"/>
                <w:szCs w:val="18"/>
              </w:rPr>
              <w:t>一般</w:t>
            </w:r>
          </w:p>
        </w:tc>
        <w:tc>
          <w:tcPr>
            <w:tcW w:w="2246" w:type="dxa"/>
            <w:vAlign w:val="center"/>
          </w:tcPr>
          <w:p w14:paraId="7C6A6F75">
            <w:pPr>
              <w:widowControl/>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在规定必须报告船位的地点，未报告船位，未造成事故及险情的。</w:t>
            </w:r>
          </w:p>
        </w:tc>
        <w:tc>
          <w:tcPr>
            <w:tcW w:w="2787" w:type="dxa"/>
            <w:vAlign w:val="center"/>
          </w:tcPr>
          <w:p w14:paraId="28AF350F">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838" w:type="dxa"/>
            <w:vAlign w:val="center"/>
          </w:tcPr>
          <w:p w14:paraId="4550528C">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798" w:type="dxa"/>
            <w:vAlign w:val="center"/>
          </w:tcPr>
          <w:p w14:paraId="76395E20">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914" w:type="dxa"/>
            <w:vAlign w:val="center"/>
          </w:tcPr>
          <w:p w14:paraId="020131A5">
            <w:pPr>
              <w:spacing w:before="156" w:beforeLines="50" w:after="156" w:afterLines="50"/>
              <w:jc w:val="center"/>
              <w:rPr>
                <w:rFonts w:ascii="宋体"/>
                <w:kern w:val="0"/>
                <w:sz w:val="18"/>
                <w:szCs w:val="18"/>
              </w:rPr>
            </w:pPr>
            <w:r>
              <w:rPr>
                <w:rFonts w:ascii="宋体"/>
                <w:kern w:val="0"/>
                <w:sz w:val="18"/>
                <w:szCs w:val="18"/>
              </w:rPr>
              <w:t>/</w:t>
            </w:r>
          </w:p>
        </w:tc>
      </w:tr>
      <w:tr w14:paraId="116C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6" w:type="dxa"/>
            <w:vMerge w:val="continue"/>
            <w:vAlign w:val="center"/>
          </w:tcPr>
          <w:p w14:paraId="6AEA40D2">
            <w:pPr>
              <w:spacing w:before="156" w:beforeLines="50" w:after="156" w:afterLines="50"/>
              <w:jc w:val="left"/>
              <w:rPr>
                <w:rFonts w:ascii="宋体"/>
                <w:kern w:val="0"/>
                <w:sz w:val="18"/>
                <w:szCs w:val="18"/>
              </w:rPr>
            </w:pPr>
          </w:p>
        </w:tc>
        <w:tc>
          <w:tcPr>
            <w:tcW w:w="961" w:type="dxa"/>
            <w:vMerge w:val="continue"/>
            <w:vAlign w:val="center"/>
          </w:tcPr>
          <w:p w14:paraId="62FC07F7">
            <w:pPr>
              <w:spacing w:before="156" w:beforeLines="50" w:after="156" w:afterLines="50"/>
              <w:jc w:val="left"/>
              <w:rPr>
                <w:rFonts w:ascii="宋体"/>
                <w:kern w:val="0"/>
                <w:sz w:val="18"/>
                <w:szCs w:val="18"/>
              </w:rPr>
            </w:pPr>
          </w:p>
        </w:tc>
        <w:tc>
          <w:tcPr>
            <w:tcW w:w="1510" w:type="dxa"/>
            <w:vMerge w:val="continue"/>
            <w:vAlign w:val="center"/>
          </w:tcPr>
          <w:p w14:paraId="45CAD220">
            <w:pPr>
              <w:spacing w:before="156" w:beforeLines="50" w:after="156" w:afterLines="50"/>
              <w:jc w:val="left"/>
              <w:rPr>
                <w:rFonts w:ascii="宋体"/>
                <w:kern w:val="0"/>
                <w:sz w:val="18"/>
                <w:szCs w:val="18"/>
              </w:rPr>
            </w:pPr>
          </w:p>
        </w:tc>
        <w:tc>
          <w:tcPr>
            <w:tcW w:w="2460" w:type="dxa"/>
            <w:vMerge w:val="continue"/>
            <w:vAlign w:val="center"/>
          </w:tcPr>
          <w:p w14:paraId="24289FBA">
            <w:pPr>
              <w:spacing w:before="156" w:beforeLines="50" w:after="156" w:afterLines="50"/>
              <w:jc w:val="left"/>
              <w:rPr>
                <w:rFonts w:ascii="宋体"/>
                <w:kern w:val="0"/>
                <w:sz w:val="18"/>
                <w:szCs w:val="18"/>
              </w:rPr>
            </w:pPr>
          </w:p>
        </w:tc>
        <w:tc>
          <w:tcPr>
            <w:tcW w:w="1087" w:type="dxa"/>
            <w:vMerge w:val="continue"/>
            <w:vAlign w:val="center"/>
          </w:tcPr>
          <w:p w14:paraId="356A2E17">
            <w:pPr>
              <w:spacing w:before="156" w:beforeLines="50" w:after="156" w:afterLines="50"/>
              <w:jc w:val="center"/>
              <w:rPr>
                <w:rFonts w:ascii="宋体"/>
                <w:kern w:val="0"/>
                <w:sz w:val="18"/>
                <w:szCs w:val="18"/>
              </w:rPr>
            </w:pPr>
          </w:p>
        </w:tc>
        <w:tc>
          <w:tcPr>
            <w:tcW w:w="2246" w:type="dxa"/>
            <w:vAlign w:val="center"/>
          </w:tcPr>
          <w:p w14:paraId="14090638">
            <w:pPr>
              <w:widowControl/>
              <w:spacing w:before="156" w:beforeLines="50" w:after="156" w:afterLines="50"/>
              <w:jc w:val="left"/>
              <w:rPr>
                <w:rFonts w:ascii="宋体"/>
                <w:kern w:val="0"/>
                <w:sz w:val="18"/>
                <w:szCs w:val="18"/>
              </w:rPr>
            </w:pPr>
            <w:r>
              <w:rPr>
                <w:rFonts w:hint="eastAsia" w:ascii="宋体"/>
                <w:kern w:val="0"/>
                <w:sz w:val="18"/>
                <w:szCs w:val="18"/>
              </w:rPr>
              <w:t>未在规定必须报告船位的地点，未报告船位，造成一般以下等级水上交通事故及险情的。</w:t>
            </w:r>
          </w:p>
        </w:tc>
        <w:tc>
          <w:tcPr>
            <w:tcW w:w="2787" w:type="dxa"/>
            <w:vAlign w:val="center"/>
          </w:tcPr>
          <w:p w14:paraId="147007A2">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838" w:type="dxa"/>
            <w:vAlign w:val="center"/>
          </w:tcPr>
          <w:p w14:paraId="1796EBEB">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798" w:type="dxa"/>
            <w:vAlign w:val="center"/>
          </w:tcPr>
          <w:p w14:paraId="7842DF4F">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914" w:type="dxa"/>
            <w:vAlign w:val="center"/>
          </w:tcPr>
          <w:p w14:paraId="7791CAB4">
            <w:pPr>
              <w:spacing w:before="156" w:beforeLines="50" w:after="156" w:afterLines="50"/>
              <w:jc w:val="center"/>
              <w:rPr>
                <w:rFonts w:ascii="宋体"/>
                <w:kern w:val="0"/>
                <w:sz w:val="18"/>
                <w:szCs w:val="18"/>
              </w:rPr>
            </w:pPr>
            <w:r>
              <w:rPr>
                <w:rFonts w:ascii="宋体"/>
                <w:kern w:val="0"/>
                <w:sz w:val="18"/>
                <w:szCs w:val="18"/>
              </w:rPr>
              <w:t>/</w:t>
            </w:r>
          </w:p>
        </w:tc>
      </w:tr>
      <w:tr w14:paraId="3C74B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956" w:type="dxa"/>
            <w:vMerge w:val="continue"/>
            <w:vAlign w:val="center"/>
          </w:tcPr>
          <w:p w14:paraId="6714937E">
            <w:pPr>
              <w:spacing w:before="156" w:beforeLines="50" w:after="156" w:afterLines="50"/>
              <w:jc w:val="left"/>
              <w:rPr>
                <w:rFonts w:ascii="宋体"/>
                <w:kern w:val="0"/>
                <w:sz w:val="18"/>
                <w:szCs w:val="18"/>
              </w:rPr>
            </w:pPr>
          </w:p>
        </w:tc>
        <w:tc>
          <w:tcPr>
            <w:tcW w:w="961" w:type="dxa"/>
            <w:vMerge w:val="continue"/>
            <w:vAlign w:val="center"/>
          </w:tcPr>
          <w:p w14:paraId="33F85445">
            <w:pPr>
              <w:spacing w:before="156" w:beforeLines="50" w:after="156" w:afterLines="50"/>
              <w:jc w:val="left"/>
              <w:rPr>
                <w:rFonts w:ascii="宋体"/>
                <w:kern w:val="0"/>
                <w:sz w:val="18"/>
                <w:szCs w:val="18"/>
              </w:rPr>
            </w:pPr>
          </w:p>
        </w:tc>
        <w:tc>
          <w:tcPr>
            <w:tcW w:w="1510" w:type="dxa"/>
            <w:vMerge w:val="continue"/>
            <w:vAlign w:val="center"/>
          </w:tcPr>
          <w:p w14:paraId="510847B3">
            <w:pPr>
              <w:spacing w:before="156" w:beforeLines="50" w:after="156" w:afterLines="50"/>
              <w:jc w:val="left"/>
              <w:rPr>
                <w:rFonts w:ascii="宋体"/>
                <w:kern w:val="0"/>
                <w:sz w:val="18"/>
                <w:szCs w:val="18"/>
              </w:rPr>
            </w:pPr>
          </w:p>
        </w:tc>
        <w:tc>
          <w:tcPr>
            <w:tcW w:w="2460" w:type="dxa"/>
            <w:vMerge w:val="continue"/>
            <w:vAlign w:val="center"/>
          </w:tcPr>
          <w:p w14:paraId="2B4A522C">
            <w:pPr>
              <w:spacing w:before="156" w:beforeLines="50" w:after="156" w:afterLines="50"/>
              <w:jc w:val="left"/>
              <w:rPr>
                <w:rFonts w:ascii="宋体"/>
                <w:kern w:val="0"/>
                <w:sz w:val="18"/>
                <w:szCs w:val="18"/>
              </w:rPr>
            </w:pPr>
          </w:p>
        </w:tc>
        <w:tc>
          <w:tcPr>
            <w:tcW w:w="1087" w:type="dxa"/>
            <w:vMerge w:val="restart"/>
            <w:vAlign w:val="center"/>
          </w:tcPr>
          <w:p w14:paraId="7E86AC9E">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246" w:type="dxa"/>
            <w:tcBorders>
              <w:bottom w:val="single" w:color="auto" w:sz="4" w:space="0"/>
            </w:tcBorders>
            <w:vAlign w:val="center"/>
          </w:tcPr>
          <w:p w14:paraId="7824CD44">
            <w:pPr>
              <w:widowControl/>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在规定必须报告船位的地点，未报告船位，造成一般及以上等级水上交通事故的。</w:t>
            </w:r>
          </w:p>
        </w:tc>
        <w:tc>
          <w:tcPr>
            <w:tcW w:w="2787" w:type="dxa"/>
            <w:vMerge w:val="restart"/>
            <w:vAlign w:val="center"/>
          </w:tcPr>
          <w:p w14:paraId="7FEF456F">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38" w:type="dxa"/>
            <w:vMerge w:val="restart"/>
            <w:vAlign w:val="center"/>
          </w:tcPr>
          <w:p w14:paraId="417C8841">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98" w:type="dxa"/>
            <w:vMerge w:val="restart"/>
            <w:vAlign w:val="center"/>
          </w:tcPr>
          <w:p w14:paraId="3EA99343">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914" w:type="dxa"/>
            <w:tcBorders>
              <w:bottom w:val="single" w:color="auto" w:sz="4" w:space="0"/>
            </w:tcBorders>
            <w:vAlign w:val="center"/>
          </w:tcPr>
          <w:p w14:paraId="54AC9163">
            <w:pPr>
              <w:spacing w:before="156" w:beforeLines="50" w:after="156" w:afterLines="50"/>
              <w:jc w:val="left"/>
              <w:rPr>
                <w:rFonts w:ascii="宋体"/>
                <w:kern w:val="0"/>
                <w:sz w:val="18"/>
                <w:szCs w:val="18"/>
              </w:rPr>
            </w:pPr>
            <w:r>
              <w:rPr>
                <w:rFonts w:hint="eastAsia" w:ascii="宋体"/>
                <w:kern w:val="0"/>
                <w:sz w:val="18"/>
                <w:szCs w:val="18"/>
              </w:rPr>
              <w:t>在规定必须报告船位的地点，未报告船位，造成一般及以上等级水上交通事故的，暂扣直至吊销证书处罚的裁量按照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3E1E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56" w:type="dxa"/>
            <w:vMerge w:val="continue"/>
            <w:vAlign w:val="center"/>
          </w:tcPr>
          <w:p w14:paraId="114B99F3">
            <w:pPr>
              <w:spacing w:before="156" w:beforeLines="50" w:after="156" w:afterLines="50"/>
              <w:jc w:val="left"/>
              <w:rPr>
                <w:rFonts w:ascii="宋体"/>
                <w:kern w:val="0"/>
                <w:sz w:val="18"/>
                <w:szCs w:val="18"/>
              </w:rPr>
            </w:pPr>
          </w:p>
        </w:tc>
        <w:tc>
          <w:tcPr>
            <w:tcW w:w="961" w:type="dxa"/>
            <w:vMerge w:val="continue"/>
            <w:vAlign w:val="center"/>
          </w:tcPr>
          <w:p w14:paraId="77BD36D9">
            <w:pPr>
              <w:spacing w:before="156" w:beforeLines="50" w:after="156" w:afterLines="50"/>
              <w:jc w:val="left"/>
              <w:rPr>
                <w:rFonts w:ascii="宋体"/>
                <w:kern w:val="0"/>
                <w:sz w:val="18"/>
                <w:szCs w:val="18"/>
              </w:rPr>
            </w:pPr>
          </w:p>
        </w:tc>
        <w:tc>
          <w:tcPr>
            <w:tcW w:w="1510" w:type="dxa"/>
            <w:vMerge w:val="continue"/>
            <w:vAlign w:val="center"/>
          </w:tcPr>
          <w:p w14:paraId="68618B67">
            <w:pPr>
              <w:spacing w:before="156" w:beforeLines="50" w:after="156" w:afterLines="50"/>
              <w:jc w:val="left"/>
              <w:rPr>
                <w:rFonts w:ascii="宋体"/>
                <w:kern w:val="0"/>
                <w:sz w:val="18"/>
                <w:szCs w:val="18"/>
              </w:rPr>
            </w:pPr>
          </w:p>
        </w:tc>
        <w:tc>
          <w:tcPr>
            <w:tcW w:w="2460" w:type="dxa"/>
            <w:vMerge w:val="continue"/>
            <w:vAlign w:val="center"/>
          </w:tcPr>
          <w:p w14:paraId="2D6FE5EE">
            <w:pPr>
              <w:spacing w:before="156" w:beforeLines="50" w:after="156" w:afterLines="50"/>
              <w:jc w:val="left"/>
              <w:rPr>
                <w:rFonts w:ascii="宋体"/>
                <w:kern w:val="0"/>
                <w:sz w:val="18"/>
                <w:szCs w:val="18"/>
              </w:rPr>
            </w:pPr>
          </w:p>
        </w:tc>
        <w:tc>
          <w:tcPr>
            <w:tcW w:w="1087" w:type="dxa"/>
            <w:vMerge w:val="continue"/>
            <w:vAlign w:val="center"/>
          </w:tcPr>
          <w:p w14:paraId="17FD9025">
            <w:pPr>
              <w:spacing w:before="156" w:beforeLines="50" w:after="156" w:afterLines="50"/>
              <w:jc w:val="center"/>
              <w:rPr>
                <w:rFonts w:ascii="宋体"/>
                <w:kern w:val="0"/>
                <w:sz w:val="18"/>
                <w:szCs w:val="18"/>
              </w:rPr>
            </w:pPr>
          </w:p>
        </w:tc>
        <w:tc>
          <w:tcPr>
            <w:tcW w:w="2246" w:type="dxa"/>
            <w:tcBorders>
              <w:top w:val="single" w:color="auto" w:sz="4" w:space="0"/>
            </w:tcBorders>
            <w:vAlign w:val="center"/>
          </w:tcPr>
          <w:p w14:paraId="534EA89F">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787" w:type="dxa"/>
            <w:vMerge w:val="continue"/>
            <w:vAlign w:val="center"/>
          </w:tcPr>
          <w:p w14:paraId="0AC37F86">
            <w:pPr>
              <w:spacing w:before="156" w:beforeLines="50" w:after="156" w:afterLines="50"/>
              <w:jc w:val="left"/>
              <w:rPr>
                <w:rFonts w:ascii="宋体"/>
                <w:sz w:val="18"/>
                <w:szCs w:val="18"/>
              </w:rPr>
            </w:pPr>
          </w:p>
        </w:tc>
        <w:tc>
          <w:tcPr>
            <w:tcW w:w="2838" w:type="dxa"/>
            <w:vMerge w:val="continue"/>
            <w:vAlign w:val="center"/>
          </w:tcPr>
          <w:p w14:paraId="48F81771">
            <w:pPr>
              <w:spacing w:before="156" w:beforeLines="50" w:after="156" w:afterLines="50"/>
              <w:jc w:val="left"/>
              <w:rPr>
                <w:rFonts w:ascii="宋体"/>
                <w:sz w:val="18"/>
                <w:szCs w:val="18"/>
              </w:rPr>
            </w:pPr>
          </w:p>
        </w:tc>
        <w:tc>
          <w:tcPr>
            <w:tcW w:w="2798" w:type="dxa"/>
            <w:vMerge w:val="continue"/>
            <w:vAlign w:val="center"/>
          </w:tcPr>
          <w:p w14:paraId="18211442">
            <w:pPr>
              <w:spacing w:before="156" w:beforeLines="50" w:after="156" w:afterLines="50"/>
              <w:jc w:val="left"/>
              <w:rPr>
                <w:rFonts w:ascii="宋体"/>
                <w:spacing w:val="-4"/>
                <w:kern w:val="0"/>
                <w:sz w:val="18"/>
                <w:szCs w:val="18"/>
              </w:rPr>
            </w:pPr>
          </w:p>
        </w:tc>
        <w:tc>
          <w:tcPr>
            <w:tcW w:w="2914" w:type="dxa"/>
            <w:tcBorders>
              <w:top w:val="single" w:color="auto" w:sz="4" w:space="0"/>
            </w:tcBorders>
            <w:vAlign w:val="center"/>
          </w:tcPr>
          <w:p w14:paraId="73488219">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3BD981E3">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890"/>
        <w:gridCol w:w="1140"/>
        <w:gridCol w:w="1311"/>
        <w:gridCol w:w="1012"/>
        <w:gridCol w:w="2098"/>
        <w:gridCol w:w="2493"/>
        <w:gridCol w:w="2861"/>
        <w:gridCol w:w="2505"/>
        <w:gridCol w:w="1913"/>
        <w:gridCol w:w="1985"/>
        <w:gridCol w:w="1729"/>
      </w:tblGrid>
      <w:tr w14:paraId="2F82A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668" w:type="dxa"/>
            <w:vMerge w:val="restart"/>
            <w:vAlign w:val="center"/>
          </w:tcPr>
          <w:p w14:paraId="4894B90D">
            <w:pPr>
              <w:spacing w:before="156" w:beforeLines="50" w:after="156" w:afterLines="50"/>
              <w:jc w:val="center"/>
              <w:rPr>
                <w:rFonts w:ascii="宋体"/>
                <w:b/>
                <w:sz w:val="18"/>
                <w:szCs w:val="18"/>
              </w:rPr>
            </w:pPr>
            <w:r>
              <w:rPr>
                <w:rFonts w:hint="eastAsia" w:ascii="宋体"/>
                <w:b/>
                <w:sz w:val="18"/>
                <w:szCs w:val="18"/>
              </w:rPr>
              <w:t>序号</w:t>
            </w:r>
          </w:p>
        </w:tc>
        <w:tc>
          <w:tcPr>
            <w:tcW w:w="890" w:type="dxa"/>
            <w:vMerge w:val="restart"/>
            <w:vAlign w:val="center"/>
          </w:tcPr>
          <w:p w14:paraId="3E5085AB">
            <w:pPr>
              <w:spacing w:before="156" w:beforeLines="50" w:after="156" w:afterLines="50"/>
              <w:jc w:val="center"/>
              <w:rPr>
                <w:rFonts w:ascii="宋体"/>
                <w:b/>
                <w:sz w:val="18"/>
                <w:szCs w:val="18"/>
              </w:rPr>
            </w:pPr>
            <w:r>
              <w:rPr>
                <w:rFonts w:hint="eastAsia" w:ascii="宋体"/>
                <w:b/>
                <w:sz w:val="18"/>
                <w:szCs w:val="18"/>
              </w:rPr>
              <w:t>案由</w:t>
            </w:r>
          </w:p>
        </w:tc>
        <w:tc>
          <w:tcPr>
            <w:tcW w:w="2451" w:type="dxa"/>
            <w:gridSpan w:val="2"/>
            <w:vMerge w:val="restart"/>
            <w:vAlign w:val="center"/>
          </w:tcPr>
          <w:p w14:paraId="78BCCD75">
            <w:pPr>
              <w:spacing w:before="156" w:beforeLines="50" w:after="156" w:afterLines="50"/>
              <w:jc w:val="center"/>
              <w:rPr>
                <w:rFonts w:ascii="宋体"/>
                <w:b/>
                <w:sz w:val="18"/>
                <w:szCs w:val="18"/>
              </w:rPr>
            </w:pPr>
            <w:r>
              <w:rPr>
                <w:rFonts w:hint="eastAsia" w:ascii="宋体"/>
                <w:b/>
                <w:sz w:val="18"/>
                <w:szCs w:val="18"/>
              </w:rPr>
              <w:t>法律依据</w:t>
            </w:r>
          </w:p>
        </w:tc>
        <w:tc>
          <w:tcPr>
            <w:tcW w:w="1012" w:type="dxa"/>
            <w:vMerge w:val="restart"/>
            <w:vAlign w:val="center"/>
          </w:tcPr>
          <w:p w14:paraId="56EB80DC">
            <w:pPr>
              <w:spacing w:before="156" w:beforeLines="50" w:after="156" w:afterLines="50"/>
              <w:jc w:val="center"/>
              <w:rPr>
                <w:rFonts w:ascii="宋体"/>
                <w:b/>
                <w:sz w:val="18"/>
                <w:szCs w:val="18"/>
              </w:rPr>
            </w:pPr>
            <w:r>
              <w:rPr>
                <w:rFonts w:hint="eastAsia" w:ascii="宋体"/>
                <w:b/>
                <w:sz w:val="18"/>
                <w:szCs w:val="18"/>
              </w:rPr>
              <w:t>违法行为情节</w:t>
            </w:r>
          </w:p>
        </w:tc>
        <w:tc>
          <w:tcPr>
            <w:tcW w:w="2098" w:type="dxa"/>
            <w:vMerge w:val="restart"/>
            <w:vAlign w:val="center"/>
          </w:tcPr>
          <w:p w14:paraId="58A95F71">
            <w:pPr>
              <w:spacing w:before="156" w:beforeLines="50" w:after="156" w:afterLines="50"/>
              <w:jc w:val="center"/>
              <w:rPr>
                <w:rFonts w:ascii="宋体"/>
                <w:b/>
                <w:sz w:val="18"/>
                <w:szCs w:val="18"/>
              </w:rPr>
            </w:pPr>
            <w:r>
              <w:rPr>
                <w:rFonts w:hint="eastAsia" w:ascii="宋体"/>
                <w:b/>
                <w:sz w:val="18"/>
                <w:szCs w:val="18"/>
              </w:rPr>
              <w:t>主要考虑因素</w:t>
            </w:r>
          </w:p>
          <w:p w14:paraId="0EDC6214">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3486" w:type="dxa"/>
            <w:gridSpan w:val="6"/>
            <w:vAlign w:val="center"/>
          </w:tcPr>
          <w:p w14:paraId="312E209E">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2CA43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continue"/>
            <w:vAlign w:val="center"/>
          </w:tcPr>
          <w:p w14:paraId="649F3550">
            <w:pPr>
              <w:spacing w:before="156" w:beforeLines="50" w:after="156" w:afterLines="50"/>
              <w:jc w:val="center"/>
              <w:rPr>
                <w:rFonts w:ascii="宋体"/>
                <w:b/>
                <w:sz w:val="18"/>
                <w:szCs w:val="18"/>
              </w:rPr>
            </w:pPr>
          </w:p>
        </w:tc>
        <w:tc>
          <w:tcPr>
            <w:tcW w:w="890" w:type="dxa"/>
            <w:vMerge w:val="continue"/>
            <w:vAlign w:val="center"/>
          </w:tcPr>
          <w:p w14:paraId="54495365">
            <w:pPr>
              <w:spacing w:before="156" w:beforeLines="50" w:after="156" w:afterLines="50"/>
              <w:jc w:val="center"/>
              <w:rPr>
                <w:rFonts w:ascii="宋体"/>
                <w:b/>
                <w:sz w:val="18"/>
                <w:szCs w:val="18"/>
              </w:rPr>
            </w:pPr>
          </w:p>
        </w:tc>
        <w:tc>
          <w:tcPr>
            <w:tcW w:w="2451" w:type="dxa"/>
            <w:gridSpan w:val="2"/>
            <w:vMerge w:val="continue"/>
            <w:vAlign w:val="center"/>
          </w:tcPr>
          <w:p w14:paraId="19C91404">
            <w:pPr>
              <w:spacing w:before="156" w:beforeLines="50" w:after="156" w:afterLines="50"/>
              <w:jc w:val="center"/>
              <w:rPr>
                <w:rFonts w:ascii="宋体"/>
                <w:b/>
                <w:sz w:val="18"/>
                <w:szCs w:val="18"/>
              </w:rPr>
            </w:pPr>
          </w:p>
        </w:tc>
        <w:tc>
          <w:tcPr>
            <w:tcW w:w="1012" w:type="dxa"/>
            <w:vMerge w:val="continue"/>
            <w:vAlign w:val="center"/>
          </w:tcPr>
          <w:p w14:paraId="59B72758">
            <w:pPr>
              <w:spacing w:before="156" w:beforeLines="50" w:after="156" w:afterLines="50"/>
              <w:jc w:val="center"/>
              <w:rPr>
                <w:rFonts w:ascii="宋体"/>
                <w:b/>
                <w:sz w:val="18"/>
                <w:szCs w:val="18"/>
              </w:rPr>
            </w:pPr>
          </w:p>
        </w:tc>
        <w:tc>
          <w:tcPr>
            <w:tcW w:w="2098" w:type="dxa"/>
            <w:vMerge w:val="continue"/>
            <w:vAlign w:val="center"/>
          </w:tcPr>
          <w:p w14:paraId="36257D57">
            <w:pPr>
              <w:spacing w:before="156" w:beforeLines="50" w:after="156" w:afterLines="50"/>
              <w:jc w:val="center"/>
              <w:rPr>
                <w:rFonts w:ascii="宋体"/>
                <w:b/>
                <w:sz w:val="18"/>
                <w:szCs w:val="18"/>
              </w:rPr>
            </w:pPr>
          </w:p>
        </w:tc>
        <w:tc>
          <w:tcPr>
            <w:tcW w:w="9772" w:type="dxa"/>
            <w:gridSpan w:val="4"/>
            <w:vAlign w:val="center"/>
          </w:tcPr>
          <w:p w14:paraId="0232FA56">
            <w:pPr>
              <w:spacing w:before="156" w:beforeLines="50" w:after="156" w:afterLines="50"/>
              <w:jc w:val="center"/>
              <w:rPr>
                <w:rFonts w:ascii="宋体"/>
                <w:b/>
                <w:sz w:val="18"/>
                <w:szCs w:val="18"/>
              </w:rPr>
            </w:pPr>
            <w:r>
              <w:rPr>
                <w:rFonts w:hint="eastAsia" w:ascii="宋体"/>
                <w:b/>
                <w:sz w:val="18"/>
                <w:szCs w:val="18"/>
              </w:rPr>
              <w:t>处罚基准</w:t>
            </w:r>
          </w:p>
        </w:tc>
        <w:tc>
          <w:tcPr>
            <w:tcW w:w="3714" w:type="dxa"/>
            <w:gridSpan w:val="2"/>
            <w:vAlign w:val="center"/>
          </w:tcPr>
          <w:p w14:paraId="3BA9F20D">
            <w:pPr>
              <w:spacing w:before="156" w:beforeLines="50" w:after="156" w:afterLines="50"/>
              <w:jc w:val="center"/>
              <w:rPr>
                <w:rFonts w:ascii="宋体"/>
                <w:b/>
                <w:sz w:val="18"/>
                <w:szCs w:val="18"/>
              </w:rPr>
            </w:pPr>
            <w:r>
              <w:rPr>
                <w:rFonts w:hint="eastAsia" w:ascii="宋体"/>
                <w:b/>
                <w:sz w:val="18"/>
                <w:szCs w:val="18"/>
              </w:rPr>
              <w:t>减轻处罚基准</w:t>
            </w:r>
          </w:p>
        </w:tc>
      </w:tr>
      <w:tr w14:paraId="19DEB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668" w:type="dxa"/>
            <w:vMerge w:val="continue"/>
            <w:vAlign w:val="center"/>
          </w:tcPr>
          <w:p w14:paraId="1F13D4D5">
            <w:pPr>
              <w:spacing w:before="156" w:beforeLines="50" w:after="156" w:afterLines="50"/>
              <w:jc w:val="left"/>
              <w:rPr>
                <w:rFonts w:ascii="宋体"/>
                <w:b/>
                <w:sz w:val="18"/>
                <w:szCs w:val="18"/>
              </w:rPr>
            </w:pPr>
          </w:p>
        </w:tc>
        <w:tc>
          <w:tcPr>
            <w:tcW w:w="890" w:type="dxa"/>
            <w:vMerge w:val="continue"/>
            <w:vAlign w:val="center"/>
          </w:tcPr>
          <w:p w14:paraId="355E3A88">
            <w:pPr>
              <w:spacing w:before="156" w:beforeLines="50" w:after="156" w:afterLines="50"/>
              <w:jc w:val="left"/>
              <w:rPr>
                <w:rFonts w:ascii="宋体"/>
                <w:b/>
                <w:sz w:val="18"/>
                <w:szCs w:val="18"/>
              </w:rPr>
            </w:pPr>
          </w:p>
        </w:tc>
        <w:tc>
          <w:tcPr>
            <w:tcW w:w="2451" w:type="dxa"/>
            <w:gridSpan w:val="2"/>
            <w:vMerge w:val="continue"/>
            <w:vAlign w:val="center"/>
          </w:tcPr>
          <w:p w14:paraId="1609B7EF">
            <w:pPr>
              <w:spacing w:before="156" w:beforeLines="50" w:after="156" w:afterLines="50"/>
              <w:jc w:val="left"/>
              <w:rPr>
                <w:rFonts w:ascii="宋体"/>
                <w:b/>
                <w:sz w:val="18"/>
                <w:szCs w:val="18"/>
              </w:rPr>
            </w:pPr>
          </w:p>
        </w:tc>
        <w:tc>
          <w:tcPr>
            <w:tcW w:w="1012" w:type="dxa"/>
            <w:vMerge w:val="continue"/>
            <w:vAlign w:val="center"/>
          </w:tcPr>
          <w:p w14:paraId="71DCF126">
            <w:pPr>
              <w:spacing w:before="156" w:beforeLines="50" w:after="156" w:afterLines="50"/>
              <w:jc w:val="left"/>
              <w:rPr>
                <w:rFonts w:ascii="宋体"/>
                <w:b/>
                <w:sz w:val="18"/>
                <w:szCs w:val="18"/>
              </w:rPr>
            </w:pPr>
          </w:p>
        </w:tc>
        <w:tc>
          <w:tcPr>
            <w:tcW w:w="2098" w:type="dxa"/>
            <w:vMerge w:val="continue"/>
            <w:vAlign w:val="center"/>
          </w:tcPr>
          <w:p w14:paraId="13B878A7">
            <w:pPr>
              <w:spacing w:before="156" w:beforeLines="50" w:after="156" w:afterLines="50"/>
              <w:jc w:val="left"/>
              <w:rPr>
                <w:rFonts w:ascii="宋体"/>
                <w:b/>
                <w:sz w:val="18"/>
                <w:szCs w:val="18"/>
              </w:rPr>
            </w:pPr>
          </w:p>
        </w:tc>
        <w:tc>
          <w:tcPr>
            <w:tcW w:w="9772" w:type="dxa"/>
            <w:gridSpan w:val="4"/>
            <w:vAlign w:val="center"/>
          </w:tcPr>
          <w:p w14:paraId="7CEA9FBC">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3714" w:type="dxa"/>
            <w:gridSpan w:val="2"/>
            <w:vAlign w:val="center"/>
          </w:tcPr>
          <w:p w14:paraId="209AA28C">
            <w:pPr>
              <w:spacing w:before="156" w:beforeLines="50" w:after="156" w:afterLines="50"/>
              <w:jc w:val="center"/>
              <w:rPr>
                <w:rFonts w:ascii="宋体"/>
                <w:b/>
                <w:sz w:val="18"/>
                <w:szCs w:val="18"/>
              </w:rPr>
            </w:pPr>
            <w:r>
              <w:rPr>
                <w:rFonts w:hint="eastAsia" w:ascii="宋体"/>
                <w:b/>
                <w:sz w:val="18"/>
                <w:szCs w:val="18"/>
              </w:rPr>
              <w:t>【对象】船舶经营人或所有人</w:t>
            </w:r>
          </w:p>
        </w:tc>
      </w:tr>
      <w:tr w14:paraId="50AAB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8" w:hRule="atLeast"/>
          <w:jc w:val="center"/>
        </w:trPr>
        <w:tc>
          <w:tcPr>
            <w:tcW w:w="668" w:type="dxa"/>
            <w:vMerge w:val="continue"/>
            <w:vAlign w:val="center"/>
          </w:tcPr>
          <w:p w14:paraId="33193715">
            <w:pPr>
              <w:spacing w:before="156" w:beforeLines="50" w:after="156" w:afterLines="50"/>
              <w:jc w:val="left"/>
              <w:rPr>
                <w:rFonts w:ascii="宋体"/>
                <w:b/>
                <w:sz w:val="18"/>
                <w:szCs w:val="18"/>
              </w:rPr>
            </w:pPr>
          </w:p>
        </w:tc>
        <w:tc>
          <w:tcPr>
            <w:tcW w:w="890" w:type="dxa"/>
            <w:vMerge w:val="continue"/>
            <w:vAlign w:val="center"/>
          </w:tcPr>
          <w:p w14:paraId="1A72433F">
            <w:pPr>
              <w:spacing w:before="156" w:beforeLines="50" w:after="156" w:afterLines="50"/>
              <w:jc w:val="left"/>
              <w:rPr>
                <w:rFonts w:ascii="宋体"/>
                <w:b/>
                <w:sz w:val="18"/>
                <w:szCs w:val="18"/>
              </w:rPr>
            </w:pPr>
          </w:p>
        </w:tc>
        <w:tc>
          <w:tcPr>
            <w:tcW w:w="1140" w:type="dxa"/>
            <w:vAlign w:val="center"/>
          </w:tcPr>
          <w:p w14:paraId="5E86360F">
            <w:pPr>
              <w:spacing w:before="156" w:beforeLines="50" w:after="156" w:afterLines="50"/>
              <w:jc w:val="center"/>
              <w:rPr>
                <w:rFonts w:ascii="宋体"/>
                <w:b/>
                <w:sz w:val="18"/>
                <w:szCs w:val="18"/>
              </w:rPr>
            </w:pPr>
            <w:r>
              <w:rPr>
                <w:rFonts w:hint="eastAsia" w:ascii="宋体"/>
                <w:b/>
                <w:sz w:val="18"/>
                <w:szCs w:val="18"/>
              </w:rPr>
              <w:t>违反条款</w:t>
            </w:r>
          </w:p>
        </w:tc>
        <w:tc>
          <w:tcPr>
            <w:tcW w:w="1311" w:type="dxa"/>
            <w:vAlign w:val="center"/>
          </w:tcPr>
          <w:p w14:paraId="5AAA09FE">
            <w:pPr>
              <w:spacing w:before="156" w:beforeLines="50" w:after="156" w:afterLines="50"/>
              <w:jc w:val="center"/>
              <w:rPr>
                <w:rFonts w:ascii="宋体"/>
                <w:b/>
                <w:sz w:val="18"/>
                <w:szCs w:val="18"/>
              </w:rPr>
            </w:pPr>
            <w:r>
              <w:rPr>
                <w:rFonts w:hint="eastAsia" w:ascii="宋体"/>
                <w:b/>
                <w:sz w:val="18"/>
                <w:szCs w:val="18"/>
              </w:rPr>
              <w:t>处罚依据</w:t>
            </w:r>
          </w:p>
        </w:tc>
        <w:tc>
          <w:tcPr>
            <w:tcW w:w="1012" w:type="dxa"/>
            <w:vMerge w:val="continue"/>
            <w:vAlign w:val="center"/>
          </w:tcPr>
          <w:p w14:paraId="3D366B6E">
            <w:pPr>
              <w:spacing w:before="156" w:beforeLines="50" w:after="156" w:afterLines="50"/>
              <w:jc w:val="left"/>
              <w:rPr>
                <w:rFonts w:ascii="宋体"/>
                <w:b/>
                <w:sz w:val="18"/>
                <w:szCs w:val="18"/>
              </w:rPr>
            </w:pPr>
          </w:p>
        </w:tc>
        <w:tc>
          <w:tcPr>
            <w:tcW w:w="2098" w:type="dxa"/>
            <w:vMerge w:val="continue"/>
            <w:vAlign w:val="center"/>
          </w:tcPr>
          <w:p w14:paraId="3794759C">
            <w:pPr>
              <w:spacing w:before="156" w:beforeLines="50" w:after="156" w:afterLines="50"/>
              <w:jc w:val="left"/>
              <w:rPr>
                <w:rFonts w:ascii="宋体"/>
                <w:b/>
                <w:sz w:val="18"/>
                <w:szCs w:val="18"/>
              </w:rPr>
            </w:pPr>
          </w:p>
        </w:tc>
        <w:tc>
          <w:tcPr>
            <w:tcW w:w="2493" w:type="dxa"/>
            <w:vAlign w:val="center"/>
          </w:tcPr>
          <w:p w14:paraId="2CA3DE6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861" w:type="dxa"/>
            <w:vAlign w:val="center"/>
          </w:tcPr>
          <w:p w14:paraId="454A927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05" w:type="dxa"/>
            <w:tcBorders>
              <w:right w:val="single" w:color="auto" w:sz="4" w:space="0"/>
            </w:tcBorders>
            <w:vAlign w:val="center"/>
          </w:tcPr>
          <w:p w14:paraId="4C5F85DC">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3" w:type="dxa"/>
            <w:tcBorders>
              <w:left w:val="single" w:color="auto" w:sz="4" w:space="0"/>
            </w:tcBorders>
            <w:vAlign w:val="center"/>
          </w:tcPr>
          <w:p w14:paraId="6D6029B3">
            <w:pPr>
              <w:spacing w:before="156" w:beforeLines="50" w:after="156" w:afterLines="50"/>
              <w:rPr>
                <w:rFonts w:ascii="宋体"/>
                <w:b/>
                <w:sz w:val="18"/>
                <w:szCs w:val="18"/>
              </w:rPr>
            </w:pPr>
            <w:r>
              <w:rPr>
                <w:rFonts w:hint="eastAsia" w:ascii="宋体"/>
                <w:b/>
                <w:sz w:val="18"/>
                <w:szCs w:val="18"/>
              </w:rPr>
              <w:t>【对象】</w:t>
            </w:r>
          </w:p>
          <w:p w14:paraId="3718A3C7">
            <w:pPr>
              <w:spacing w:before="156" w:beforeLines="50" w:after="156" w:afterLines="50"/>
              <w:rPr>
                <w:rFonts w:ascii="宋体"/>
                <w:b/>
                <w:sz w:val="18"/>
                <w:szCs w:val="18"/>
              </w:rPr>
            </w:pPr>
            <w:r>
              <w:rPr>
                <w:rFonts w:hint="eastAsia" w:ascii="宋体"/>
                <w:b/>
                <w:sz w:val="18"/>
                <w:szCs w:val="18"/>
              </w:rPr>
              <w:t>责任船员</w:t>
            </w:r>
          </w:p>
        </w:tc>
        <w:tc>
          <w:tcPr>
            <w:tcW w:w="1985" w:type="dxa"/>
            <w:vAlign w:val="center"/>
          </w:tcPr>
          <w:p w14:paraId="2D0FF46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29" w:type="dxa"/>
            <w:vAlign w:val="center"/>
          </w:tcPr>
          <w:p w14:paraId="308ECF3C">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4A502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restart"/>
            <w:vAlign w:val="center"/>
          </w:tcPr>
          <w:p w14:paraId="65477CB4">
            <w:pPr>
              <w:spacing w:before="156" w:beforeLines="50" w:after="156" w:afterLines="50"/>
              <w:jc w:val="center"/>
              <w:rPr>
                <w:rFonts w:ascii="宋体"/>
                <w:sz w:val="18"/>
                <w:szCs w:val="18"/>
              </w:rPr>
            </w:pPr>
            <w:r>
              <w:rPr>
                <w:rFonts w:hint="eastAsia" w:ascii="宋体"/>
                <w:sz w:val="18"/>
                <w:szCs w:val="18"/>
              </w:rPr>
              <w:t>8</w:t>
            </w:r>
          </w:p>
        </w:tc>
        <w:tc>
          <w:tcPr>
            <w:tcW w:w="890" w:type="dxa"/>
            <w:vMerge w:val="restart"/>
            <w:vAlign w:val="center"/>
          </w:tcPr>
          <w:p w14:paraId="170D7DE4">
            <w:pPr>
              <w:spacing w:before="156" w:beforeLines="50" w:after="156" w:afterLines="50"/>
              <w:jc w:val="left"/>
              <w:rPr>
                <w:rFonts w:ascii="宋体"/>
                <w:sz w:val="18"/>
                <w:szCs w:val="18"/>
              </w:rPr>
            </w:pPr>
            <w:r>
              <w:rPr>
                <w:rFonts w:hint="eastAsia" w:ascii="宋体"/>
                <w:sz w:val="18"/>
                <w:szCs w:val="18"/>
              </w:rPr>
              <w:t>未按照规定拖带或者非拖船从事拖带作业</w:t>
            </w:r>
          </w:p>
        </w:tc>
        <w:tc>
          <w:tcPr>
            <w:tcW w:w="1140" w:type="dxa"/>
            <w:vMerge w:val="restart"/>
            <w:vAlign w:val="center"/>
          </w:tcPr>
          <w:p w14:paraId="739E25C9">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《中华人民共和国内河交通安全管理条例》第二十一条第一款</w:t>
            </w:r>
          </w:p>
          <w:p w14:paraId="27E23BB7">
            <w:pPr>
              <w:widowControl/>
              <w:spacing w:before="156" w:beforeLines="50" w:after="156" w:afterLines="50"/>
              <w:jc w:val="left"/>
              <w:rPr>
                <w:rFonts w:ascii="宋体"/>
                <w:sz w:val="18"/>
                <w:szCs w:val="18"/>
              </w:rPr>
            </w:pPr>
          </w:p>
        </w:tc>
        <w:tc>
          <w:tcPr>
            <w:tcW w:w="1311" w:type="dxa"/>
            <w:vMerge w:val="restart"/>
            <w:vAlign w:val="center"/>
          </w:tcPr>
          <w:p w14:paraId="0459D54A">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14:paraId="52D95CC5">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2.《中华人民共和国内河海事行政处罚规定》第十八条第一款和第二款第(六)项；</w:t>
            </w:r>
          </w:p>
          <w:p w14:paraId="45F6EA24">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12" w:type="dxa"/>
            <w:vAlign w:val="center"/>
          </w:tcPr>
          <w:p w14:paraId="18594F4A">
            <w:pPr>
              <w:spacing w:before="156" w:beforeLines="50" w:after="156" w:afterLines="50"/>
              <w:jc w:val="left"/>
              <w:rPr>
                <w:rFonts w:ascii="宋体"/>
                <w:sz w:val="18"/>
                <w:szCs w:val="18"/>
              </w:rPr>
            </w:pPr>
            <w:r>
              <w:rPr>
                <w:rFonts w:hint="eastAsia" w:ascii="宋体"/>
                <w:sz w:val="18"/>
                <w:szCs w:val="18"/>
              </w:rPr>
              <w:t>从轻</w:t>
            </w:r>
          </w:p>
        </w:tc>
        <w:tc>
          <w:tcPr>
            <w:tcW w:w="2098" w:type="dxa"/>
            <w:vAlign w:val="center"/>
          </w:tcPr>
          <w:p w14:paraId="47C0ED0C">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493" w:type="dxa"/>
            <w:vAlign w:val="center"/>
          </w:tcPr>
          <w:p w14:paraId="09801A52">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861" w:type="dxa"/>
            <w:vAlign w:val="center"/>
          </w:tcPr>
          <w:p w14:paraId="753005D2">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505" w:type="dxa"/>
            <w:tcBorders>
              <w:right w:val="single" w:color="auto" w:sz="4" w:space="0"/>
            </w:tcBorders>
            <w:vAlign w:val="center"/>
          </w:tcPr>
          <w:p w14:paraId="7B2F743F">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913" w:type="dxa"/>
            <w:tcBorders>
              <w:left w:val="single" w:color="auto" w:sz="4" w:space="0"/>
            </w:tcBorders>
            <w:vAlign w:val="center"/>
          </w:tcPr>
          <w:p w14:paraId="138A2FDE">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restart"/>
            <w:vAlign w:val="center"/>
          </w:tcPr>
          <w:p w14:paraId="7E7C729E">
            <w:pPr>
              <w:spacing w:before="156" w:beforeLines="50" w:after="156" w:afterLines="50"/>
              <w:rPr>
                <w:rFonts w:ascii="宋体"/>
                <w:sz w:val="18"/>
                <w:szCs w:val="18"/>
              </w:rPr>
            </w:pPr>
            <w:r>
              <w:rPr>
                <w:rFonts w:hint="eastAsia" w:ascii="宋体"/>
                <w:sz w:val="18"/>
                <w:szCs w:val="18"/>
              </w:rPr>
              <w:t>1.船舶未按规定拖带，未造成事故及险情的的：3</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p w14:paraId="127356B3">
            <w:pPr>
              <w:spacing w:before="156" w:beforeLines="50" w:after="156" w:afterLines="50"/>
              <w:rPr>
                <w:rFonts w:ascii="宋体"/>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：4</w:t>
            </w:r>
            <w:r>
              <w:rPr>
                <w:rFonts w:ascii="宋体"/>
                <w:sz w:val="18"/>
                <w:szCs w:val="18"/>
              </w:rPr>
              <w:t>000</w:t>
            </w:r>
            <w:r>
              <w:rPr>
                <w:rFonts w:hint="eastAsia" w:ascii="宋体"/>
                <w:sz w:val="18"/>
                <w:szCs w:val="18"/>
              </w:rPr>
              <w:t>元及以上1万元以下。</w:t>
            </w:r>
          </w:p>
        </w:tc>
        <w:tc>
          <w:tcPr>
            <w:tcW w:w="1729" w:type="dxa"/>
            <w:vMerge w:val="restart"/>
            <w:vAlign w:val="center"/>
          </w:tcPr>
          <w:p w14:paraId="3FA7091C">
            <w:pPr>
              <w:spacing w:before="156" w:beforeLines="50" w:after="156" w:afterLines="50"/>
              <w:rPr>
                <w:rFonts w:ascii="宋体"/>
                <w:sz w:val="18"/>
                <w:szCs w:val="18"/>
              </w:rPr>
            </w:pPr>
            <w:r>
              <w:rPr>
                <w:rFonts w:hint="eastAsia" w:ascii="宋体"/>
                <w:sz w:val="18"/>
                <w:szCs w:val="18"/>
              </w:rPr>
              <w:t>1.船舶未按规定拖带的：4</w:t>
            </w:r>
            <w:r>
              <w:rPr>
                <w:rFonts w:ascii="宋体"/>
                <w:sz w:val="18"/>
                <w:szCs w:val="18"/>
              </w:rPr>
              <w:t>000</w:t>
            </w:r>
            <w:r>
              <w:rPr>
                <w:rFonts w:hint="eastAsia" w:ascii="宋体"/>
                <w:sz w:val="18"/>
                <w:szCs w:val="18"/>
              </w:rPr>
              <w:t>元及以上</w:t>
            </w:r>
            <w:r>
              <w:rPr>
                <w:rFonts w:ascii="宋体"/>
                <w:sz w:val="18"/>
                <w:szCs w:val="18"/>
              </w:rPr>
              <w:t>8000</w:t>
            </w:r>
            <w:r>
              <w:rPr>
                <w:rFonts w:hint="eastAsia" w:ascii="宋体"/>
                <w:sz w:val="18"/>
                <w:szCs w:val="18"/>
              </w:rPr>
              <w:t>元以下；</w:t>
            </w:r>
          </w:p>
          <w:p w14:paraId="10D7C681">
            <w:pPr>
              <w:spacing w:before="156" w:beforeLines="50" w:after="156" w:afterLines="50"/>
              <w:rPr>
                <w:rFonts w:ascii="宋体"/>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：6</w:t>
            </w:r>
            <w:r>
              <w:rPr>
                <w:rFonts w:ascii="宋体"/>
                <w:sz w:val="18"/>
                <w:szCs w:val="18"/>
              </w:rPr>
              <w:t>000</w:t>
            </w:r>
            <w:r>
              <w:rPr>
                <w:rFonts w:hint="eastAsia" w:ascii="宋体"/>
                <w:sz w:val="18"/>
                <w:szCs w:val="18"/>
              </w:rPr>
              <w:t>元及以上2万元以下。</w:t>
            </w:r>
          </w:p>
        </w:tc>
      </w:tr>
      <w:tr w14:paraId="3CDB1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8" w:type="dxa"/>
            <w:vMerge w:val="continue"/>
          </w:tcPr>
          <w:p w14:paraId="66CED808">
            <w:pPr>
              <w:spacing w:before="156" w:beforeLines="50" w:after="156" w:afterLines="50"/>
              <w:jc w:val="left"/>
              <w:rPr>
                <w:rFonts w:ascii="宋体"/>
                <w:sz w:val="18"/>
                <w:szCs w:val="18"/>
              </w:rPr>
            </w:pPr>
          </w:p>
        </w:tc>
        <w:tc>
          <w:tcPr>
            <w:tcW w:w="890" w:type="dxa"/>
            <w:vMerge w:val="continue"/>
            <w:vAlign w:val="center"/>
          </w:tcPr>
          <w:p w14:paraId="6AD3A3B7">
            <w:pPr>
              <w:spacing w:before="156" w:beforeLines="50" w:after="156" w:afterLines="50"/>
              <w:jc w:val="left"/>
              <w:rPr>
                <w:rFonts w:ascii="宋体"/>
                <w:sz w:val="18"/>
                <w:szCs w:val="18"/>
              </w:rPr>
            </w:pPr>
          </w:p>
        </w:tc>
        <w:tc>
          <w:tcPr>
            <w:tcW w:w="1140" w:type="dxa"/>
            <w:vMerge w:val="continue"/>
            <w:vAlign w:val="center"/>
          </w:tcPr>
          <w:p w14:paraId="54D90C30">
            <w:pPr>
              <w:spacing w:before="156" w:beforeLines="50" w:after="156" w:afterLines="50"/>
              <w:jc w:val="left"/>
              <w:rPr>
                <w:rFonts w:ascii="宋体"/>
                <w:sz w:val="18"/>
                <w:szCs w:val="18"/>
              </w:rPr>
            </w:pPr>
          </w:p>
        </w:tc>
        <w:tc>
          <w:tcPr>
            <w:tcW w:w="1311" w:type="dxa"/>
            <w:vMerge w:val="continue"/>
            <w:vAlign w:val="center"/>
          </w:tcPr>
          <w:p w14:paraId="1C5E6D42">
            <w:pPr>
              <w:spacing w:before="156" w:beforeLines="50" w:after="156" w:afterLines="50"/>
              <w:jc w:val="left"/>
              <w:rPr>
                <w:rFonts w:ascii="宋体"/>
                <w:sz w:val="18"/>
                <w:szCs w:val="18"/>
              </w:rPr>
            </w:pPr>
          </w:p>
        </w:tc>
        <w:tc>
          <w:tcPr>
            <w:tcW w:w="1012" w:type="dxa"/>
            <w:vMerge w:val="restart"/>
            <w:vAlign w:val="center"/>
          </w:tcPr>
          <w:p w14:paraId="3A17D1A9">
            <w:pPr>
              <w:spacing w:before="156" w:beforeLines="50" w:after="156" w:afterLines="50"/>
              <w:jc w:val="left"/>
              <w:rPr>
                <w:rFonts w:ascii="宋体"/>
                <w:sz w:val="18"/>
                <w:szCs w:val="18"/>
              </w:rPr>
            </w:pPr>
            <w:r>
              <w:rPr>
                <w:rFonts w:hint="eastAsia" w:ascii="宋体"/>
                <w:sz w:val="18"/>
                <w:szCs w:val="18"/>
              </w:rPr>
              <w:t>一般</w:t>
            </w:r>
          </w:p>
        </w:tc>
        <w:tc>
          <w:tcPr>
            <w:tcW w:w="2098" w:type="dxa"/>
            <w:vAlign w:val="center"/>
          </w:tcPr>
          <w:p w14:paraId="7F0A6238">
            <w:pPr>
              <w:widowControl/>
              <w:spacing w:before="156" w:beforeLines="50" w:after="156" w:afterLines="50"/>
              <w:jc w:val="left"/>
              <w:rPr>
                <w:rFonts w:ascii="宋体"/>
                <w:kern w:val="0"/>
                <w:sz w:val="18"/>
                <w:szCs w:val="18"/>
              </w:rPr>
            </w:pPr>
            <w:r>
              <w:rPr>
                <w:rFonts w:hint="eastAsia" w:ascii="宋体"/>
                <w:kern w:val="0"/>
                <w:sz w:val="18"/>
                <w:szCs w:val="18"/>
              </w:rPr>
              <w:t>船舶未按规定拖带。</w:t>
            </w:r>
          </w:p>
        </w:tc>
        <w:tc>
          <w:tcPr>
            <w:tcW w:w="2493" w:type="dxa"/>
            <w:vAlign w:val="center"/>
          </w:tcPr>
          <w:p w14:paraId="267FDBC3">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861" w:type="dxa"/>
            <w:vAlign w:val="center"/>
          </w:tcPr>
          <w:p w14:paraId="556DFD50">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505" w:type="dxa"/>
            <w:tcBorders>
              <w:right w:val="single" w:color="auto" w:sz="4" w:space="0"/>
            </w:tcBorders>
            <w:vAlign w:val="center"/>
          </w:tcPr>
          <w:p w14:paraId="1F4394C8">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1913" w:type="dxa"/>
            <w:tcBorders>
              <w:left w:val="single" w:color="auto" w:sz="4" w:space="0"/>
            </w:tcBorders>
            <w:vAlign w:val="center"/>
          </w:tcPr>
          <w:p w14:paraId="3805F405">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continue"/>
            <w:vAlign w:val="center"/>
          </w:tcPr>
          <w:p w14:paraId="3790DC70">
            <w:pPr>
              <w:spacing w:before="156" w:beforeLines="50" w:after="156" w:afterLines="50"/>
              <w:jc w:val="left"/>
              <w:rPr>
                <w:rFonts w:ascii="宋体"/>
                <w:sz w:val="18"/>
                <w:szCs w:val="18"/>
              </w:rPr>
            </w:pPr>
          </w:p>
        </w:tc>
        <w:tc>
          <w:tcPr>
            <w:tcW w:w="1729" w:type="dxa"/>
            <w:vMerge w:val="continue"/>
            <w:vAlign w:val="center"/>
          </w:tcPr>
          <w:p w14:paraId="1E11DAC4">
            <w:pPr>
              <w:spacing w:before="156" w:beforeLines="50" w:after="156" w:afterLines="50"/>
              <w:jc w:val="left"/>
              <w:rPr>
                <w:rFonts w:ascii="宋体"/>
                <w:sz w:val="18"/>
                <w:szCs w:val="18"/>
              </w:rPr>
            </w:pPr>
          </w:p>
        </w:tc>
      </w:tr>
      <w:tr w14:paraId="1607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2" w:hRule="atLeast"/>
          <w:jc w:val="center"/>
        </w:trPr>
        <w:tc>
          <w:tcPr>
            <w:tcW w:w="668" w:type="dxa"/>
            <w:vMerge w:val="continue"/>
          </w:tcPr>
          <w:p w14:paraId="31F06499">
            <w:pPr>
              <w:spacing w:before="156" w:beforeLines="50" w:after="156" w:afterLines="50"/>
              <w:jc w:val="left"/>
              <w:rPr>
                <w:rFonts w:ascii="宋体"/>
                <w:sz w:val="18"/>
                <w:szCs w:val="18"/>
              </w:rPr>
            </w:pPr>
          </w:p>
        </w:tc>
        <w:tc>
          <w:tcPr>
            <w:tcW w:w="890" w:type="dxa"/>
            <w:vMerge w:val="continue"/>
            <w:vAlign w:val="center"/>
          </w:tcPr>
          <w:p w14:paraId="61BD9CE0">
            <w:pPr>
              <w:spacing w:before="156" w:beforeLines="50" w:after="156" w:afterLines="50"/>
              <w:jc w:val="left"/>
              <w:rPr>
                <w:rFonts w:ascii="宋体"/>
                <w:sz w:val="18"/>
                <w:szCs w:val="18"/>
              </w:rPr>
            </w:pPr>
          </w:p>
        </w:tc>
        <w:tc>
          <w:tcPr>
            <w:tcW w:w="1140" w:type="dxa"/>
            <w:vMerge w:val="continue"/>
            <w:vAlign w:val="center"/>
          </w:tcPr>
          <w:p w14:paraId="4C9C8988">
            <w:pPr>
              <w:spacing w:before="156" w:beforeLines="50" w:after="156" w:afterLines="50"/>
              <w:jc w:val="left"/>
              <w:rPr>
                <w:rFonts w:ascii="宋体"/>
                <w:sz w:val="18"/>
                <w:szCs w:val="18"/>
              </w:rPr>
            </w:pPr>
          </w:p>
        </w:tc>
        <w:tc>
          <w:tcPr>
            <w:tcW w:w="1311" w:type="dxa"/>
            <w:vMerge w:val="continue"/>
            <w:vAlign w:val="center"/>
          </w:tcPr>
          <w:p w14:paraId="0BEB001A">
            <w:pPr>
              <w:spacing w:before="156" w:beforeLines="50" w:after="156" w:afterLines="50"/>
              <w:jc w:val="left"/>
              <w:rPr>
                <w:rFonts w:ascii="宋体"/>
                <w:sz w:val="18"/>
                <w:szCs w:val="18"/>
              </w:rPr>
            </w:pPr>
          </w:p>
        </w:tc>
        <w:tc>
          <w:tcPr>
            <w:tcW w:w="1012" w:type="dxa"/>
            <w:vMerge w:val="continue"/>
            <w:vAlign w:val="center"/>
          </w:tcPr>
          <w:p w14:paraId="3B551D3D">
            <w:pPr>
              <w:spacing w:before="156" w:beforeLines="50" w:after="156" w:afterLines="50"/>
              <w:jc w:val="left"/>
              <w:rPr>
                <w:rFonts w:ascii="宋体"/>
                <w:sz w:val="18"/>
                <w:szCs w:val="18"/>
              </w:rPr>
            </w:pPr>
          </w:p>
        </w:tc>
        <w:tc>
          <w:tcPr>
            <w:tcW w:w="2098" w:type="dxa"/>
            <w:vAlign w:val="center"/>
          </w:tcPr>
          <w:p w14:paraId="7091DECC">
            <w:pPr>
              <w:widowControl/>
              <w:spacing w:before="156" w:beforeLines="50" w:after="156" w:afterLines="50"/>
              <w:jc w:val="left"/>
              <w:rPr>
                <w:rFonts w:ascii="宋体"/>
                <w:kern w:val="0"/>
                <w:sz w:val="18"/>
                <w:szCs w:val="18"/>
              </w:rPr>
            </w:pPr>
            <w:r>
              <w:rPr>
                <w:rFonts w:hint="eastAsia" w:ascii="宋体"/>
                <w:kern w:val="0"/>
                <w:sz w:val="18"/>
                <w:szCs w:val="18"/>
              </w:rPr>
              <w:t>1.非拖带船从事拖带作业的；</w:t>
            </w:r>
          </w:p>
          <w:p w14:paraId="239820BC">
            <w:pPr>
              <w:widowControl/>
              <w:spacing w:before="156" w:beforeLines="50" w:after="156" w:afterLines="50"/>
              <w:jc w:val="left"/>
              <w:rPr>
                <w:rFonts w:ascii="宋体"/>
                <w:kern w:val="0"/>
                <w:sz w:val="18"/>
                <w:szCs w:val="18"/>
              </w:rPr>
            </w:pPr>
            <w:r>
              <w:rPr>
                <w:rFonts w:hint="eastAsia" w:ascii="宋体"/>
                <w:kern w:val="0"/>
                <w:sz w:val="18"/>
                <w:szCs w:val="18"/>
              </w:rPr>
              <w:t>2.船舶未按规定拖带，造成一般以下等级水上交通事故及险情的。</w:t>
            </w:r>
          </w:p>
        </w:tc>
        <w:tc>
          <w:tcPr>
            <w:tcW w:w="2493" w:type="dxa"/>
            <w:vAlign w:val="center"/>
          </w:tcPr>
          <w:p w14:paraId="15BA556A">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w:t>
            </w:r>
            <w:r>
              <w:rPr>
                <w:rFonts w:hint="eastAsia" w:ascii="宋体"/>
                <w:sz w:val="18"/>
                <w:szCs w:val="18"/>
              </w:rPr>
              <w:t>万元以下</w:t>
            </w:r>
            <w:r>
              <w:rPr>
                <w:rFonts w:ascii="宋体"/>
                <w:sz w:val="18"/>
                <w:szCs w:val="18"/>
              </w:rPr>
              <w:t xml:space="preserve"> </w:t>
            </w:r>
          </w:p>
        </w:tc>
        <w:tc>
          <w:tcPr>
            <w:tcW w:w="2861" w:type="dxa"/>
            <w:vAlign w:val="center"/>
          </w:tcPr>
          <w:p w14:paraId="3058FC7F">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4.5</w:t>
            </w:r>
            <w:r>
              <w:rPr>
                <w:rFonts w:hint="eastAsia" w:ascii="宋体"/>
                <w:sz w:val="18"/>
                <w:szCs w:val="18"/>
              </w:rPr>
              <w:t>万元以下</w:t>
            </w:r>
          </w:p>
        </w:tc>
        <w:tc>
          <w:tcPr>
            <w:tcW w:w="2505" w:type="dxa"/>
            <w:tcBorders>
              <w:right w:val="single" w:color="auto" w:sz="4" w:space="0"/>
            </w:tcBorders>
            <w:vAlign w:val="center"/>
          </w:tcPr>
          <w:p w14:paraId="1EAB6928">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5</w:t>
            </w:r>
            <w:r>
              <w:rPr>
                <w:rFonts w:hint="eastAsia" w:ascii="宋体"/>
                <w:sz w:val="18"/>
                <w:szCs w:val="18"/>
              </w:rPr>
              <w:t>万元以下</w:t>
            </w:r>
          </w:p>
        </w:tc>
        <w:tc>
          <w:tcPr>
            <w:tcW w:w="1913" w:type="dxa"/>
            <w:tcBorders>
              <w:left w:val="single" w:color="auto" w:sz="4" w:space="0"/>
            </w:tcBorders>
            <w:vAlign w:val="center"/>
          </w:tcPr>
          <w:p w14:paraId="3709FC4F">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并可以对责任船员给予暂扣适任证书或者其他适任证件6个月以上直至吊销适任证书或者其他适任证件的处罚。</w:t>
            </w:r>
          </w:p>
        </w:tc>
        <w:tc>
          <w:tcPr>
            <w:tcW w:w="1985" w:type="dxa"/>
            <w:vMerge w:val="continue"/>
            <w:vAlign w:val="center"/>
          </w:tcPr>
          <w:p w14:paraId="3222AEB9">
            <w:pPr>
              <w:spacing w:before="156" w:beforeLines="50" w:after="156" w:afterLines="50"/>
              <w:jc w:val="left"/>
              <w:rPr>
                <w:rFonts w:ascii="宋体"/>
                <w:sz w:val="18"/>
                <w:szCs w:val="18"/>
              </w:rPr>
            </w:pPr>
          </w:p>
        </w:tc>
        <w:tc>
          <w:tcPr>
            <w:tcW w:w="1729" w:type="dxa"/>
            <w:vMerge w:val="continue"/>
            <w:vAlign w:val="center"/>
          </w:tcPr>
          <w:p w14:paraId="15EC8553">
            <w:pPr>
              <w:spacing w:before="156" w:beforeLines="50" w:after="156" w:afterLines="50"/>
              <w:jc w:val="left"/>
              <w:rPr>
                <w:rFonts w:ascii="宋体"/>
                <w:sz w:val="18"/>
                <w:szCs w:val="18"/>
              </w:rPr>
            </w:pPr>
          </w:p>
        </w:tc>
      </w:tr>
      <w:tr w14:paraId="0DA34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 w:hRule="atLeast"/>
          <w:jc w:val="center"/>
        </w:trPr>
        <w:tc>
          <w:tcPr>
            <w:tcW w:w="668" w:type="dxa"/>
            <w:vMerge w:val="continue"/>
          </w:tcPr>
          <w:p w14:paraId="2AA8C810">
            <w:pPr>
              <w:spacing w:before="156" w:beforeLines="50" w:after="156" w:afterLines="50"/>
              <w:jc w:val="left"/>
              <w:rPr>
                <w:rFonts w:ascii="宋体"/>
                <w:sz w:val="18"/>
                <w:szCs w:val="18"/>
              </w:rPr>
            </w:pPr>
          </w:p>
        </w:tc>
        <w:tc>
          <w:tcPr>
            <w:tcW w:w="890" w:type="dxa"/>
            <w:vMerge w:val="continue"/>
            <w:vAlign w:val="center"/>
          </w:tcPr>
          <w:p w14:paraId="0027388E">
            <w:pPr>
              <w:spacing w:before="156" w:beforeLines="50" w:after="156" w:afterLines="50"/>
              <w:jc w:val="left"/>
              <w:rPr>
                <w:rFonts w:ascii="宋体"/>
                <w:sz w:val="18"/>
                <w:szCs w:val="18"/>
              </w:rPr>
            </w:pPr>
          </w:p>
        </w:tc>
        <w:tc>
          <w:tcPr>
            <w:tcW w:w="1140" w:type="dxa"/>
            <w:vMerge w:val="continue"/>
            <w:vAlign w:val="center"/>
          </w:tcPr>
          <w:p w14:paraId="41982B20">
            <w:pPr>
              <w:spacing w:before="156" w:beforeLines="50" w:after="156" w:afterLines="50"/>
              <w:jc w:val="left"/>
              <w:rPr>
                <w:rFonts w:ascii="宋体"/>
                <w:sz w:val="18"/>
                <w:szCs w:val="18"/>
              </w:rPr>
            </w:pPr>
          </w:p>
        </w:tc>
        <w:tc>
          <w:tcPr>
            <w:tcW w:w="1311" w:type="dxa"/>
            <w:vMerge w:val="continue"/>
            <w:vAlign w:val="center"/>
          </w:tcPr>
          <w:p w14:paraId="10177279">
            <w:pPr>
              <w:spacing w:before="156" w:beforeLines="50" w:after="156" w:afterLines="50"/>
              <w:jc w:val="left"/>
              <w:rPr>
                <w:rFonts w:ascii="宋体"/>
                <w:sz w:val="18"/>
                <w:szCs w:val="18"/>
              </w:rPr>
            </w:pPr>
          </w:p>
        </w:tc>
        <w:tc>
          <w:tcPr>
            <w:tcW w:w="1012" w:type="dxa"/>
            <w:vMerge w:val="continue"/>
            <w:vAlign w:val="center"/>
          </w:tcPr>
          <w:p w14:paraId="77A3F896">
            <w:pPr>
              <w:spacing w:before="156" w:beforeLines="50" w:after="156" w:afterLines="50"/>
              <w:jc w:val="left"/>
              <w:rPr>
                <w:rFonts w:ascii="宋体"/>
                <w:sz w:val="18"/>
                <w:szCs w:val="18"/>
              </w:rPr>
            </w:pPr>
          </w:p>
        </w:tc>
        <w:tc>
          <w:tcPr>
            <w:tcW w:w="2098" w:type="dxa"/>
            <w:tcBorders>
              <w:bottom w:val="single" w:color="auto" w:sz="4" w:space="0"/>
            </w:tcBorders>
            <w:vAlign w:val="center"/>
          </w:tcPr>
          <w:p w14:paraId="6941F072">
            <w:pPr>
              <w:widowControl/>
              <w:spacing w:before="156" w:beforeLines="50" w:after="156" w:afterLines="50"/>
              <w:jc w:val="left"/>
              <w:rPr>
                <w:rFonts w:ascii="宋体"/>
                <w:kern w:val="0"/>
                <w:sz w:val="18"/>
                <w:szCs w:val="18"/>
              </w:rPr>
            </w:pPr>
            <w:r>
              <w:rPr>
                <w:rFonts w:hint="eastAsia" w:ascii="宋体"/>
                <w:kern w:val="0"/>
                <w:sz w:val="18"/>
                <w:szCs w:val="18"/>
              </w:rPr>
              <w:t xml:space="preserve">未按照规定拖带或者非拖船从事拖带作业，造成一般及以上等级水上交通事故的。 </w:t>
            </w:r>
          </w:p>
        </w:tc>
        <w:tc>
          <w:tcPr>
            <w:tcW w:w="2493" w:type="dxa"/>
            <w:tcBorders>
              <w:bottom w:val="single" w:color="auto" w:sz="4" w:space="0"/>
            </w:tcBorders>
            <w:vAlign w:val="center"/>
          </w:tcPr>
          <w:p w14:paraId="15186B7D">
            <w:pPr>
              <w:spacing w:before="156" w:beforeLines="50" w:after="156" w:afterLines="50"/>
              <w:jc w:val="left"/>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861" w:type="dxa"/>
            <w:tcBorders>
              <w:bottom w:val="single" w:color="auto" w:sz="4" w:space="0"/>
            </w:tcBorders>
            <w:vAlign w:val="center"/>
          </w:tcPr>
          <w:p w14:paraId="089CF5F5">
            <w:pPr>
              <w:spacing w:before="156" w:beforeLines="50" w:after="156" w:afterLines="50"/>
              <w:jc w:val="left"/>
              <w:rPr>
                <w:rFonts w:ascii="宋体"/>
                <w:sz w:val="18"/>
                <w:szCs w:val="18"/>
              </w:rPr>
            </w:pPr>
            <w:r>
              <w:rPr>
                <w:rFonts w:ascii="宋体"/>
                <w:sz w:val="18"/>
                <w:szCs w:val="18"/>
              </w:rPr>
              <w:t>4.5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505" w:type="dxa"/>
            <w:tcBorders>
              <w:bottom w:val="single" w:color="auto" w:sz="4" w:space="0"/>
              <w:right w:val="single" w:color="auto" w:sz="4" w:space="0"/>
            </w:tcBorders>
            <w:vAlign w:val="center"/>
          </w:tcPr>
          <w:p w14:paraId="737897AD">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万元以下</w:t>
            </w:r>
            <w:r>
              <w:rPr>
                <w:rFonts w:ascii="宋体"/>
                <w:sz w:val="18"/>
                <w:szCs w:val="18"/>
              </w:rPr>
              <w:t xml:space="preserve"> </w:t>
            </w:r>
          </w:p>
        </w:tc>
        <w:tc>
          <w:tcPr>
            <w:tcW w:w="1913" w:type="dxa"/>
            <w:tcBorders>
              <w:left w:val="single" w:color="auto" w:sz="4" w:space="0"/>
              <w:bottom w:val="single" w:color="auto" w:sz="4" w:space="0"/>
            </w:tcBorders>
            <w:vAlign w:val="center"/>
          </w:tcPr>
          <w:p w14:paraId="515F9D1C">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85" w:type="dxa"/>
            <w:vMerge w:val="continue"/>
          </w:tcPr>
          <w:p w14:paraId="37F177B9">
            <w:pPr>
              <w:spacing w:before="156" w:beforeLines="50" w:after="156" w:afterLines="50"/>
              <w:jc w:val="left"/>
              <w:rPr>
                <w:rFonts w:ascii="宋体"/>
                <w:sz w:val="18"/>
                <w:szCs w:val="18"/>
              </w:rPr>
            </w:pPr>
          </w:p>
        </w:tc>
        <w:tc>
          <w:tcPr>
            <w:tcW w:w="1729" w:type="dxa"/>
            <w:vMerge w:val="continue"/>
          </w:tcPr>
          <w:p w14:paraId="69082F4C">
            <w:pPr>
              <w:spacing w:before="156" w:beforeLines="50" w:after="156" w:afterLines="50"/>
              <w:jc w:val="left"/>
              <w:rPr>
                <w:rFonts w:ascii="宋体"/>
                <w:sz w:val="18"/>
                <w:szCs w:val="18"/>
              </w:rPr>
            </w:pPr>
          </w:p>
        </w:tc>
      </w:tr>
      <w:tr w14:paraId="4DA3F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0605" w:type="dxa"/>
            <w:gridSpan w:val="12"/>
          </w:tcPr>
          <w:p w14:paraId="670CF3BA">
            <w:pPr>
              <w:spacing w:before="156" w:beforeLines="50" w:after="156" w:afterLines="50"/>
              <w:rPr>
                <w:rFonts w:ascii="宋体"/>
                <w:sz w:val="18"/>
                <w:szCs w:val="18"/>
              </w:rPr>
            </w:pPr>
            <w:r>
              <w:rPr>
                <w:rFonts w:hint="eastAsia" w:ascii="宋体"/>
                <w:b/>
                <w:sz w:val="18"/>
                <w:szCs w:val="18"/>
              </w:rPr>
              <w:t>注：如果当事人具有以下减轻情节的，按减轻处罚基准执行：1.主动改正，消除危害后果的；2.积极配合海事管理机构调查，并主动交代违规拖带或本船其他违法情况的；3.在航行过程中被发现存在违规拖带行为，主动或接受指令靠泊接受检查的；4.检举并配合海事管理机构查处他船海事行政违法行为有立功表现的；</w:t>
            </w:r>
            <w:r>
              <w:rPr>
                <w:rFonts w:ascii="宋体"/>
                <w:b/>
                <w:sz w:val="18"/>
                <w:szCs w:val="18"/>
              </w:rPr>
              <w:t>5</w:t>
            </w:r>
            <w:r>
              <w:rPr>
                <w:rFonts w:hint="eastAsia" w:ascii="宋体"/>
                <w:b/>
                <w:sz w:val="18"/>
                <w:szCs w:val="18"/>
              </w:rPr>
              <w:t>.其他可以给予减轻的情形。</w:t>
            </w:r>
          </w:p>
        </w:tc>
      </w:tr>
    </w:tbl>
    <w:p w14:paraId="56465656">
      <w:pPr>
        <w:widowControl/>
        <w:jc w:val="left"/>
        <w:rPr>
          <w:rFonts w:ascii="宋体"/>
          <w:b/>
          <w:sz w:val="18"/>
          <w:szCs w:val="18"/>
        </w:rPr>
      </w:pPr>
      <w:r>
        <w:rPr>
          <w:rFonts w:ascii="宋体"/>
          <w:b/>
          <w:sz w:val="18"/>
          <w:szCs w:val="18"/>
        </w:rPr>
        <w:br w:type="page"/>
      </w:r>
    </w:p>
    <w:tbl>
      <w:tblPr>
        <w:tblStyle w:val="6"/>
        <w:tblpPr w:leftFromText="180" w:rightFromText="180" w:vertAnchor="text" w:horzAnchor="margin" w:tblpXSpec="center" w:tblpY="2"/>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2"/>
        <w:gridCol w:w="934"/>
        <w:gridCol w:w="1430"/>
        <w:gridCol w:w="1750"/>
        <w:gridCol w:w="700"/>
        <w:gridCol w:w="2560"/>
        <w:gridCol w:w="2268"/>
        <w:gridCol w:w="2268"/>
        <w:gridCol w:w="2268"/>
        <w:gridCol w:w="2127"/>
        <w:gridCol w:w="1842"/>
        <w:gridCol w:w="1790"/>
      </w:tblGrid>
      <w:tr w14:paraId="1324A8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9" w:hRule="atLeast"/>
        </w:trPr>
        <w:tc>
          <w:tcPr>
            <w:tcW w:w="672" w:type="dxa"/>
            <w:vMerge w:val="restart"/>
            <w:vAlign w:val="center"/>
          </w:tcPr>
          <w:p w14:paraId="3125A3BF">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34" w:type="dxa"/>
            <w:vMerge w:val="restart"/>
            <w:vAlign w:val="center"/>
          </w:tcPr>
          <w:p w14:paraId="6D97AE23">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180" w:type="dxa"/>
            <w:gridSpan w:val="2"/>
            <w:vMerge w:val="restart"/>
            <w:vAlign w:val="center"/>
          </w:tcPr>
          <w:p w14:paraId="2A07EB2C">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00" w:type="dxa"/>
            <w:vMerge w:val="restart"/>
            <w:vAlign w:val="center"/>
          </w:tcPr>
          <w:p w14:paraId="56608BFF">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560" w:type="dxa"/>
            <w:vMerge w:val="restart"/>
            <w:vAlign w:val="center"/>
          </w:tcPr>
          <w:p w14:paraId="39F4E788">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0B53572">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2563" w:type="dxa"/>
            <w:gridSpan w:val="6"/>
            <w:vAlign w:val="center"/>
          </w:tcPr>
          <w:p w14:paraId="02C2A3AC">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由海事管理机构责令改正，处</w:t>
            </w:r>
            <w:r>
              <w:rPr>
                <w:rFonts w:ascii="宋体"/>
                <w:b/>
                <w:sz w:val="18"/>
                <w:szCs w:val="18"/>
              </w:rPr>
              <w:t>5000</w:t>
            </w:r>
            <w:r>
              <w:rPr>
                <w:rFonts w:hint="eastAsia" w:ascii="宋体"/>
                <w:b/>
                <w:sz w:val="18"/>
                <w:szCs w:val="18"/>
              </w:rPr>
              <w:t>元以上</w:t>
            </w:r>
            <w:r>
              <w:rPr>
                <w:rFonts w:ascii="宋体"/>
                <w:b/>
                <w:sz w:val="18"/>
                <w:szCs w:val="18"/>
              </w:rPr>
              <w:t>5</w:t>
            </w:r>
            <w:r>
              <w:rPr>
                <w:rFonts w:hint="eastAsia" w:ascii="宋体"/>
                <w:b/>
                <w:sz w:val="18"/>
                <w:szCs w:val="18"/>
              </w:rPr>
              <w:t>万元以下的罚款；情节严重的，禁止船舶进出港口或者责令停航，并可以对责任船员给予暂扣适任证书或者其他适任证件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个月的处罚。</w:t>
            </w:r>
          </w:p>
        </w:tc>
      </w:tr>
      <w:tr w14:paraId="218FCD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continue"/>
            <w:vAlign w:val="center"/>
          </w:tcPr>
          <w:p w14:paraId="427293A6">
            <w:pPr>
              <w:spacing w:before="156" w:beforeLines="50" w:after="156" w:afterLines="50"/>
              <w:jc w:val="center"/>
              <w:rPr>
                <w:rFonts w:ascii="宋体"/>
                <w:b/>
                <w:kern w:val="0"/>
                <w:sz w:val="18"/>
                <w:szCs w:val="18"/>
              </w:rPr>
            </w:pPr>
          </w:p>
        </w:tc>
        <w:tc>
          <w:tcPr>
            <w:tcW w:w="934" w:type="dxa"/>
            <w:vMerge w:val="continue"/>
            <w:vAlign w:val="center"/>
          </w:tcPr>
          <w:p w14:paraId="6285FF87">
            <w:pPr>
              <w:spacing w:before="156" w:beforeLines="50" w:after="156" w:afterLines="50"/>
              <w:jc w:val="center"/>
              <w:rPr>
                <w:rFonts w:ascii="宋体"/>
                <w:b/>
                <w:kern w:val="0"/>
                <w:sz w:val="18"/>
                <w:szCs w:val="18"/>
              </w:rPr>
            </w:pPr>
          </w:p>
        </w:tc>
        <w:tc>
          <w:tcPr>
            <w:tcW w:w="3180" w:type="dxa"/>
            <w:gridSpan w:val="2"/>
            <w:vMerge w:val="continue"/>
            <w:vAlign w:val="center"/>
          </w:tcPr>
          <w:p w14:paraId="7B9AA381">
            <w:pPr>
              <w:spacing w:before="156" w:beforeLines="50" w:after="156" w:afterLines="50"/>
              <w:jc w:val="center"/>
              <w:rPr>
                <w:rFonts w:ascii="宋体"/>
                <w:b/>
                <w:kern w:val="0"/>
                <w:sz w:val="18"/>
                <w:szCs w:val="18"/>
              </w:rPr>
            </w:pPr>
          </w:p>
        </w:tc>
        <w:tc>
          <w:tcPr>
            <w:tcW w:w="700" w:type="dxa"/>
            <w:vMerge w:val="continue"/>
            <w:vAlign w:val="center"/>
          </w:tcPr>
          <w:p w14:paraId="0A554A4E">
            <w:pPr>
              <w:spacing w:before="156" w:beforeLines="50" w:after="156" w:afterLines="50"/>
              <w:jc w:val="center"/>
              <w:rPr>
                <w:rFonts w:ascii="宋体"/>
                <w:b/>
                <w:kern w:val="0"/>
                <w:sz w:val="18"/>
                <w:szCs w:val="18"/>
              </w:rPr>
            </w:pPr>
          </w:p>
        </w:tc>
        <w:tc>
          <w:tcPr>
            <w:tcW w:w="2560" w:type="dxa"/>
            <w:vMerge w:val="continue"/>
            <w:vAlign w:val="center"/>
          </w:tcPr>
          <w:p w14:paraId="2BE37FE8">
            <w:pPr>
              <w:spacing w:before="156" w:beforeLines="50" w:after="156" w:afterLines="50"/>
              <w:jc w:val="center"/>
              <w:rPr>
                <w:rFonts w:ascii="宋体"/>
                <w:b/>
                <w:kern w:val="0"/>
                <w:sz w:val="18"/>
                <w:szCs w:val="18"/>
              </w:rPr>
            </w:pPr>
          </w:p>
        </w:tc>
        <w:tc>
          <w:tcPr>
            <w:tcW w:w="8931" w:type="dxa"/>
            <w:gridSpan w:val="4"/>
            <w:vAlign w:val="center"/>
          </w:tcPr>
          <w:p w14:paraId="2CEBE5FB">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632" w:type="dxa"/>
            <w:gridSpan w:val="2"/>
            <w:vAlign w:val="center"/>
          </w:tcPr>
          <w:p w14:paraId="73933310">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6C1414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672" w:type="dxa"/>
            <w:vMerge w:val="continue"/>
            <w:vAlign w:val="center"/>
          </w:tcPr>
          <w:p w14:paraId="7ABBE67C">
            <w:pPr>
              <w:spacing w:before="156" w:beforeLines="50" w:after="156" w:afterLines="50"/>
              <w:jc w:val="left"/>
              <w:rPr>
                <w:rFonts w:ascii="宋体"/>
                <w:b/>
                <w:kern w:val="0"/>
                <w:sz w:val="18"/>
                <w:szCs w:val="18"/>
              </w:rPr>
            </w:pPr>
          </w:p>
        </w:tc>
        <w:tc>
          <w:tcPr>
            <w:tcW w:w="934" w:type="dxa"/>
            <w:vMerge w:val="continue"/>
            <w:vAlign w:val="center"/>
          </w:tcPr>
          <w:p w14:paraId="20966AF5">
            <w:pPr>
              <w:spacing w:before="156" w:beforeLines="50" w:after="156" w:afterLines="50"/>
              <w:jc w:val="left"/>
              <w:rPr>
                <w:rFonts w:ascii="宋体"/>
                <w:b/>
                <w:kern w:val="0"/>
                <w:sz w:val="18"/>
                <w:szCs w:val="18"/>
              </w:rPr>
            </w:pPr>
          </w:p>
        </w:tc>
        <w:tc>
          <w:tcPr>
            <w:tcW w:w="1430" w:type="dxa"/>
            <w:vMerge w:val="restart"/>
            <w:vAlign w:val="center"/>
          </w:tcPr>
          <w:p w14:paraId="6307FE41">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750" w:type="dxa"/>
            <w:vMerge w:val="restart"/>
            <w:vAlign w:val="center"/>
          </w:tcPr>
          <w:p w14:paraId="5CCC3EF8">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00" w:type="dxa"/>
            <w:vMerge w:val="continue"/>
            <w:vAlign w:val="center"/>
          </w:tcPr>
          <w:p w14:paraId="66341315">
            <w:pPr>
              <w:spacing w:before="156" w:beforeLines="50" w:after="156" w:afterLines="50"/>
              <w:jc w:val="left"/>
              <w:rPr>
                <w:rFonts w:ascii="宋体"/>
                <w:b/>
                <w:kern w:val="0"/>
                <w:sz w:val="18"/>
                <w:szCs w:val="18"/>
              </w:rPr>
            </w:pPr>
          </w:p>
        </w:tc>
        <w:tc>
          <w:tcPr>
            <w:tcW w:w="2560" w:type="dxa"/>
            <w:vMerge w:val="continue"/>
            <w:vAlign w:val="center"/>
          </w:tcPr>
          <w:p w14:paraId="3B6003A0">
            <w:pPr>
              <w:spacing w:before="156" w:beforeLines="50" w:after="156" w:afterLines="50"/>
              <w:jc w:val="left"/>
              <w:rPr>
                <w:rFonts w:ascii="宋体"/>
                <w:b/>
                <w:kern w:val="0"/>
                <w:sz w:val="18"/>
                <w:szCs w:val="18"/>
              </w:rPr>
            </w:pPr>
          </w:p>
        </w:tc>
        <w:tc>
          <w:tcPr>
            <w:tcW w:w="8931" w:type="dxa"/>
            <w:gridSpan w:val="4"/>
            <w:vAlign w:val="center"/>
          </w:tcPr>
          <w:p w14:paraId="4D7F6868">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632" w:type="dxa"/>
            <w:gridSpan w:val="2"/>
            <w:vAlign w:val="center"/>
          </w:tcPr>
          <w:p w14:paraId="4F8223D2">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0711C8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46" w:hRule="atLeast"/>
        </w:trPr>
        <w:tc>
          <w:tcPr>
            <w:tcW w:w="672" w:type="dxa"/>
            <w:vMerge w:val="continue"/>
            <w:vAlign w:val="center"/>
          </w:tcPr>
          <w:p w14:paraId="52329264">
            <w:pPr>
              <w:spacing w:before="156" w:beforeLines="50" w:after="156" w:afterLines="50"/>
              <w:jc w:val="left"/>
              <w:rPr>
                <w:rFonts w:ascii="宋体"/>
                <w:b/>
                <w:kern w:val="0"/>
                <w:sz w:val="18"/>
                <w:szCs w:val="18"/>
              </w:rPr>
            </w:pPr>
          </w:p>
        </w:tc>
        <w:tc>
          <w:tcPr>
            <w:tcW w:w="934" w:type="dxa"/>
            <w:vMerge w:val="continue"/>
            <w:vAlign w:val="center"/>
          </w:tcPr>
          <w:p w14:paraId="3963A3FF">
            <w:pPr>
              <w:spacing w:before="156" w:beforeLines="50" w:after="156" w:afterLines="50"/>
              <w:jc w:val="left"/>
              <w:rPr>
                <w:rFonts w:ascii="宋体"/>
                <w:b/>
                <w:kern w:val="0"/>
                <w:sz w:val="18"/>
                <w:szCs w:val="18"/>
              </w:rPr>
            </w:pPr>
          </w:p>
        </w:tc>
        <w:tc>
          <w:tcPr>
            <w:tcW w:w="1430" w:type="dxa"/>
            <w:vMerge w:val="continue"/>
            <w:vAlign w:val="center"/>
          </w:tcPr>
          <w:p w14:paraId="0F674656">
            <w:pPr>
              <w:spacing w:before="156" w:beforeLines="50" w:after="156" w:afterLines="50"/>
              <w:jc w:val="left"/>
              <w:rPr>
                <w:rFonts w:ascii="宋体"/>
                <w:b/>
                <w:kern w:val="0"/>
                <w:sz w:val="18"/>
                <w:szCs w:val="18"/>
              </w:rPr>
            </w:pPr>
          </w:p>
        </w:tc>
        <w:tc>
          <w:tcPr>
            <w:tcW w:w="1750" w:type="dxa"/>
            <w:vMerge w:val="continue"/>
            <w:vAlign w:val="center"/>
          </w:tcPr>
          <w:p w14:paraId="11526E26">
            <w:pPr>
              <w:spacing w:before="156" w:beforeLines="50" w:after="156" w:afterLines="50"/>
              <w:jc w:val="left"/>
              <w:rPr>
                <w:rFonts w:ascii="宋体"/>
                <w:b/>
                <w:kern w:val="0"/>
                <w:sz w:val="18"/>
                <w:szCs w:val="18"/>
              </w:rPr>
            </w:pPr>
          </w:p>
        </w:tc>
        <w:tc>
          <w:tcPr>
            <w:tcW w:w="700" w:type="dxa"/>
            <w:vMerge w:val="continue"/>
            <w:vAlign w:val="center"/>
          </w:tcPr>
          <w:p w14:paraId="4410D6C9">
            <w:pPr>
              <w:spacing w:before="156" w:beforeLines="50" w:after="156" w:afterLines="50"/>
              <w:jc w:val="left"/>
              <w:rPr>
                <w:rFonts w:ascii="宋体"/>
                <w:b/>
                <w:kern w:val="0"/>
                <w:sz w:val="18"/>
                <w:szCs w:val="18"/>
              </w:rPr>
            </w:pPr>
          </w:p>
        </w:tc>
        <w:tc>
          <w:tcPr>
            <w:tcW w:w="2560" w:type="dxa"/>
            <w:vMerge w:val="continue"/>
            <w:vAlign w:val="center"/>
          </w:tcPr>
          <w:p w14:paraId="52779517">
            <w:pPr>
              <w:spacing w:before="156" w:beforeLines="50" w:after="156" w:afterLines="50"/>
              <w:jc w:val="left"/>
              <w:rPr>
                <w:rFonts w:ascii="宋体"/>
                <w:b/>
                <w:kern w:val="0"/>
                <w:sz w:val="18"/>
                <w:szCs w:val="18"/>
              </w:rPr>
            </w:pPr>
          </w:p>
        </w:tc>
        <w:tc>
          <w:tcPr>
            <w:tcW w:w="2268" w:type="dxa"/>
            <w:vAlign w:val="center"/>
          </w:tcPr>
          <w:p w14:paraId="18F851A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14:paraId="6F51967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vAlign w:val="center"/>
          </w:tcPr>
          <w:p w14:paraId="5471D17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27" w:type="dxa"/>
            <w:vAlign w:val="center"/>
          </w:tcPr>
          <w:p w14:paraId="2E9CA8DD">
            <w:pPr>
              <w:spacing w:before="156" w:beforeLines="50" w:after="156" w:afterLines="50"/>
              <w:rPr>
                <w:rFonts w:ascii="宋体"/>
                <w:b/>
                <w:sz w:val="18"/>
                <w:szCs w:val="18"/>
              </w:rPr>
            </w:pPr>
            <w:r>
              <w:rPr>
                <w:rFonts w:hint="eastAsia" w:ascii="宋体"/>
                <w:b/>
                <w:sz w:val="18"/>
                <w:szCs w:val="18"/>
              </w:rPr>
              <w:t>【对象】</w:t>
            </w:r>
          </w:p>
          <w:p w14:paraId="031BAC25">
            <w:pPr>
              <w:spacing w:before="156" w:beforeLines="50" w:after="156" w:afterLines="50"/>
              <w:rPr>
                <w:rFonts w:ascii="宋体"/>
                <w:b/>
                <w:sz w:val="18"/>
                <w:szCs w:val="18"/>
              </w:rPr>
            </w:pPr>
            <w:r>
              <w:rPr>
                <w:rFonts w:hint="eastAsia" w:ascii="宋体"/>
                <w:b/>
                <w:sz w:val="18"/>
                <w:szCs w:val="18"/>
              </w:rPr>
              <w:t>责任船员</w:t>
            </w:r>
          </w:p>
        </w:tc>
        <w:tc>
          <w:tcPr>
            <w:tcW w:w="1842" w:type="dxa"/>
            <w:vAlign w:val="center"/>
          </w:tcPr>
          <w:p w14:paraId="02EC13C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90" w:type="dxa"/>
            <w:vAlign w:val="center"/>
          </w:tcPr>
          <w:p w14:paraId="78BBC05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6E4920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restart"/>
            <w:vAlign w:val="center"/>
          </w:tcPr>
          <w:p w14:paraId="4EDF18B9">
            <w:pPr>
              <w:spacing w:before="156" w:beforeLines="50" w:after="156" w:afterLines="50"/>
              <w:jc w:val="center"/>
              <w:rPr>
                <w:rFonts w:ascii="宋体"/>
                <w:kern w:val="0"/>
                <w:sz w:val="18"/>
                <w:szCs w:val="18"/>
              </w:rPr>
            </w:pPr>
            <w:r>
              <w:rPr>
                <w:rFonts w:hint="eastAsia" w:ascii="宋体"/>
                <w:kern w:val="0"/>
                <w:sz w:val="18"/>
                <w:szCs w:val="18"/>
              </w:rPr>
              <w:t>9</w:t>
            </w:r>
          </w:p>
        </w:tc>
        <w:tc>
          <w:tcPr>
            <w:tcW w:w="934" w:type="dxa"/>
            <w:vMerge w:val="restart"/>
            <w:vAlign w:val="center"/>
          </w:tcPr>
          <w:p w14:paraId="4DDF599A">
            <w:pPr>
              <w:widowControl/>
              <w:spacing w:before="156" w:beforeLines="50" w:after="156" w:afterLines="50"/>
              <w:jc w:val="left"/>
              <w:rPr>
                <w:rFonts w:ascii="宋体"/>
                <w:sz w:val="18"/>
                <w:szCs w:val="18"/>
              </w:rPr>
            </w:pPr>
            <w:r>
              <w:rPr>
                <w:rFonts w:hint="eastAsia" w:ascii="宋体"/>
                <w:sz w:val="18"/>
                <w:szCs w:val="18"/>
              </w:rPr>
              <w:t>船舶进出港口和通过交通管制区、通航密集区、航行条件受到限制区域，未遵守海事管理机构发布的特别规定</w:t>
            </w:r>
          </w:p>
        </w:tc>
        <w:tc>
          <w:tcPr>
            <w:tcW w:w="1430" w:type="dxa"/>
            <w:vMerge w:val="restart"/>
            <w:vAlign w:val="center"/>
          </w:tcPr>
          <w:p w14:paraId="256DE060">
            <w:pPr>
              <w:spacing w:before="156" w:beforeLines="50" w:after="156" w:afterLines="50"/>
              <w:jc w:val="left"/>
              <w:rPr>
                <w:rFonts w:ascii="宋体"/>
                <w:sz w:val="18"/>
                <w:szCs w:val="18"/>
              </w:rPr>
            </w:pPr>
            <w:r>
              <w:rPr>
                <w:rFonts w:hint="eastAsia" w:ascii="宋体"/>
                <w:sz w:val="18"/>
                <w:szCs w:val="18"/>
              </w:rPr>
              <w:t>《中华人民共和国内河交通安全管理条例》第二十条</w:t>
            </w:r>
          </w:p>
          <w:p w14:paraId="35E7A29F">
            <w:pPr>
              <w:widowControl/>
              <w:spacing w:before="156" w:beforeLines="50" w:after="156" w:afterLines="50"/>
              <w:jc w:val="left"/>
              <w:rPr>
                <w:rFonts w:ascii="宋体"/>
                <w:kern w:val="0"/>
                <w:sz w:val="18"/>
                <w:szCs w:val="18"/>
              </w:rPr>
            </w:pPr>
          </w:p>
        </w:tc>
        <w:tc>
          <w:tcPr>
            <w:tcW w:w="1750" w:type="dxa"/>
            <w:vMerge w:val="restart"/>
            <w:vAlign w:val="center"/>
          </w:tcPr>
          <w:p w14:paraId="389FBA7E">
            <w:pPr>
              <w:spacing w:before="156" w:beforeLines="50" w:after="156" w:afterLines="50"/>
              <w:jc w:val="left"/>
              <w:rPr>
                <w:rFonts w:ascii="宋体"/>
                <w:sz w:val="18"/>
                <w:szCs w:val="18"/>
              </w:rPr>
            </w:pPr>
            <w:r>
              <w:rPr>
                <w:rFonts w:hint="eastAsia" w:ascii="宋体"/>
                <w:sz w:val="18"/>
                <w:szCs w:val="18"/>
              </w:rPr>
              <w:t>1.《中华人民共和国内河交通安全管理条例》第六十八条第（四）项；</w:t>
            </w:r>
          </w:p>
          <w:p w14:paraId="318561B8">
            <w:pPr>
              <w:spacing w:before="156" w:beforeLines="50" w:after="156" w:afterLines="50"/>
              <w:jc w:val="left"/>
              <w:rPr>
                <w:rFonts w:ascii="宋体"/>
                <w:sz w:val="18"/>
                <w:szCs w:val="18"/>
              </w:rPr>
            </w:pPr>
            <w:r>
              <w:rPr>
                <w:rFonts w:hint="eastAsia" w:ascii="宋体"/>
                <w:sz w:val="18"/>
                <w:szCs w:val="18"/>
              </w:rPr>
              <w:t>2.《中华人民共和国内河海事行政处罚规定》第十六条第（五）项；</w:t>
            </w:r>
          </w:p>
          <w:p w14:paraId="51F73CEA">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700" w:type="dxa"/>
            <w:vAlign w:val="center"/>
          </w:tcPr>
          <w:p w14:paraId="085E48CD">
            <w:pPr>
              <w:spacing w:before="156" w:beforeLines="50" w:after="156" w:afterLines="50"/>
              <w:jc w:val="left"/>
              <w:rPr>
                <w:rFonts w:ascii="宋体"/>
                <w:kern w:val="0"/>
                <w:sz w:val="18"/>
                <w:szCs w:val="18"/>
              </w:rPr>
            </w:pPr>
            <w:r>
              <w:rPr>
                <w:rFonts w:hint="eastAsia" w:ascii="宋体"/>
                <w:kern w:val="0"/>
                <w:sz w:val="18"/>
                <w:szCs w:val="18"/>
              </w:rPr>
              <w:t>从轻</w:t>
            </w:r>
          </w:p>
        </w:tc>
        <w:tc>
          <w:tcPr>
            <w:tcW w:w="2560" w:type="dxa"/>
            <w:vAlign w:val="center"/>
          </w:tcPr>
          <w:p w14:paraId="4DCB739F">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268" w:type="dxa"/>
            <w:vAlign w:val="center"/>
          </w:tcPr>
          <w:p w14:paraId="4CC4DF84">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268" w:type="dxa"/>
            <w:vAlign w:val="center"/>
          </w:tcPr>
          <w:p w14:paraId="4B75256D">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268" w:type="dxa"/>
            <w:vAlign w:val="center"/>
          </w:tcPr>
          <w:p w14:paraId="25CA8954">
            <w:pPr>
              <w:widowControl/>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tc>
        <w:tc>
          <w:tcPr>
            <w:tcW w:w="2127" w:type="dxa"/>
            <w:vAlign w:val="center"/>
          </w:tcPr>
          <w:p w14:paraId="4B1AA297">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restart"/>
            <w:vAlign w:val="center"/>
          </w:tcPr>
          <w:p w14:paraId="4AFC4D46">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船舶进出港口和通过交通管制区、通航密集区、航行条件受到限制区域，未遵守海事管理机构发布的特别规定：1</w:t>
            </w:r>
            <w:r>
              <w:rPr>
                <w:rFonts w:ascii="宋体"/>
                <w:kern w:val="0"/>
                <w:sz w:val="18"/>
                <w:szCs w:val="18"/>
              </w:rPr>
              <w:t>000</w:t>
            </w:r>
            <w:r>
              <w:rPr>
                <w:rFonts w:hint="eastAsia" w:ascii="宋体"/>
                <w:kern w:val="0"/>
                <w:sz w:val="18"/>
                <w:szCs w:val="18"/>
              </w:rPr>
              <w:t>元及以上30</w:t>
            </w:r>
            <w:r>
              <w:rPr>
                <w:rFonts w:ascii="宋体"/>
                <w:kern w:val="0"/>
                <w:sz w:val="18"/>
                <w:szCs w:val="18"/>
              </w:rPr>
              <w:t>00</w:t>
            </w:r>
            <w:r>
              <w:rPr>
                <w:rFonts w:hint="eastAsia" w:ascii="宋体"/>
                <w:kern w:val="0"/>
                <w:sz w:val="18"/>
                <w:szCs w:val="18"/>
              </w:rPr>
              <w:t>元以下。</w:t>
            </w:r>
          </w:p>
        </w:tc>
        <w:tc>
          <w:tcPr>
            <w:tcW w:w="1790" w:type="dxa"/>
            <w:vMerge w:val="restart"/>
            <w:vAlign w:val="center"/>
          </w:tcPr>
          <w:p w14:paraId="1EF80C72">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船舶进出港口和通过交通管制区、通航密集区、航行条件受到限制区域，未遵守海事管理机构发布的特别规定：3</w:t>
            </w:r>
            <w:r>
              <w:rPr>
                <w:rFonts w:ascii="宋体"/>
                <w:kern w:val="0"/>
                <w:sz w:val="18"/>
                <w:szCs w:val="18"/>
              </w:rPr>
              <w:t>000</w:t>
            </w:r>
            <w:r>
              <w:rPr>
                <w:rFonts w:hint="eastAsia" w:ascii="宋体"/>
                <w:kern w:val="0"/>
                <w:sz w:val="18"/>
                <w:szCs w:val="18"/>
              </w:rPr>
              <w:t>元及以上50</w:t>
            </w:r>
            <w:r>
              <w:rPr>
                <w:rFonts w:ascii="宋体"/>
                <w:kern w:val="0"/>
                <w:sz w:val="18"/>
                <w:szCs w:val="18"/>
              </w:rPr>
              <w:t>00</w:t>
            </w:r>
            <w:r>
              <w:rPr>
                <w:rFonts w:hint="eastAsia" w:ascii="宋体"/>
                <w:kern w:val="0"/>
                <w:sz w:val="18"/>
                <w:szCs w:val="18"/>
              </w:rPr>
              <w:t>元以下。</w:t>
            </w:r>
          </w:p>
        </w:tc>
      </w:tr>
      <w:tr w14:paraId="6CF9BD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4" w:hRule="atLeast"/>
        </w:trPr>
        <w:tc>
          <w:tcPr>
            <w:tcW w:w="672" w:type="dxa"/>
            <w:vMerge w:val="continue"/>
            <w:vAlign w:val="center"/>
          </w:tcPr>
          <w:p w14:paraId="4144160E">
            <w:pPr>
              <w:spacing w:before="156" w:beforeLines="50" w:after="156" w:afterLines="50"/>
              <w:jc w:val="left"/>
              <w:rPr>
                <w:rFonts w:ascii="宋体"/>
                <w:kern w:val="0"/>
                <w:sz w:val="18"/>
                <w:szCs w:val="18"/>
              </w:rPr>
            </w:pPr>
          </w:p>
        </w:tc>
        <w:tc>
          <w:tcPr>
            <w:tcW w:w="934" w:type="dxa"/>
            <w:vMerge w:val="continue"/>
            <w:vAlign w:val="center"/>
          </w:tcPr>
          <w:p w14:paraId="60500DB4">
            <w:pPr>
              <w:spacing w:before="156" w:beforeLines="50" w:after="156" w:afterLines="50"/>
              <w:jc w:val="left"/>
              <w:rPr>
                <w:rFonts w:ascii="宋体"/>
                <w:kern w:val="0"/>
                <w:sz w:val="18"/>
                <w:szCs w:val="18"/>
              </w:rPr>
            </w:pPr>
          </w:p>
        </w:tc>
        <w:tc>
          <w:tcPr>
            <w:tcW w:w="1430" w:type="dxa"/>
            <w:vMerge w:val="continue"/>
            <w:vAlign w:val="center"/>
          </w:tcPr>
          <w:p w14:paraId="26F56D76">
            <w:pPr>
              <w:widowControl/>
              <w:spacing w:before="156" w:beforeLines="50" w:after="156" w:afterLines="50"/>
              <w:jc w:val="left"/>
              <w:rPr>
                <w:rFonts w:ascii="宋体"/>
                <w:kern w:val="0"/>
                <w:sz w:val="18"/>
                <w:szCs w:val="18"/>
              </w:rPr>
            </w:pPr>
          </w:p>
        </w:tc>
        <w:tc>
          <w:tcPr>
            <w:tcW w:w="1750" w:type="dxa"/>
            <w:vMerge w:val="continue"/>
            <w:vAlign w:val="center"/>
          </w:tcPr>
          <w:p w14:paraId="7574392E">
            <w:pPr>
              <w:spacing w:before="156" w:beforeLines="50" w:after="156" w:afterLines="50"/>
              <w:jc w:val="left"/>
              <w:rPr>
                <w:rFonts w:ascii="宋体"/>
                <w:kern w:val="0"/>
                <w:sz w:val="18"/>
                <w:szCs w:val="18"/>
              </w:rPr>
            </w:pPr>
          </w:p>
        </w:tc>
        <w:tc>
          <w:tcPr>
            <w:tcW w:w="700" w:type="dxa"/>
            <w:vMerge w:val="restart"/>
            <w:vAlign w:val="center"/>
          </w:tcPr>
          <w:p w14:paraId="23E54122">
            <w:pPr>
              <w:spacing w:before="156" w:beforeLines="50" w:after="156" w:afterLines="50"/>
              <w:jc w:val="left"/>
              <w:rPr>
                <w:rFonts w:ascii="宋体"/>
                <w:kern w:val="0"/>
                <w:sz w:val="18"/>
                <w:szCs w:val="18"/>
              </w:rPr>
            </w:pPr>
            <w:r>
              <w:rPr>
                <w:rFonts w:hint="eastAsia" w:ascii="宋体"/>
                <w:kern w:val="0"/>
                <w:sz w:val="18"/>
                <w:szCs w:val="18"/>
              </w:rPr>
              <w:t>一般</w:t>
            </w:r>
          </w:p>
        </w:tc>
        <w:tc>
          <w:tcPr>
            <w:tcW w:w="2560" w:type="dxa"/>
            <w:vAlign w:val="center"/>
          </w:tcPr>
          <w:p w14:paraId="6A6C8E31">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w:t>
            </w:r>
          </w:p>
        </w:tc>
        <w:tc>
          <w:tcPr>
            <w:tcW w:w="2268" w:type="dxa"/>
            <w:vAlign w:val="center"/>
          </w:tcPr>
          <w:p w14:paraId="1FD31D26">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c>
          <w:tcPr>
            <w:tcW w:w="2268" w:type="dxa"/>
            <w:vAlign w:val="center"/>
          </w:tcPr>
          <w:p w14:paraId="6FEAB4FB">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.5万元以下</w:t>
            </w:r>
          </w:p>
        </w:tc>
        <w:tc>
          <w:tcPr>
            <w:tcW w:w="2268" w:type="dxa"/>
            <w:vAlign w:val="center"/>
          </w:tcPr>
          <w:p w14:paraId="29F4169B">
            <w:pPr>
              <w:widowControl/>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元及以上2万元以下</w:t>
            </w:r>
          </w:p>
        </w:tc>
        <w:tc>
          <w:tcPr>
            <w:tcW w:w="2127" w:type="dxa"/>
            <w:vAlign w:val="center"/>
          </w:tcPr>
          <w:p w14:paraId="79922DED">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continue"/>
            <w:vAlign w:val="center"/>
          </w:tcPr>
          <w:p w14:paraId="2ABC08AB">
            <w:pPr>
              <w:widowControl/>
              <w:spacing w:before="156" w:beforeLines="50" w:after="156" w:afterLines="50"/>
              <w:jc w:val="left"/>
              <w:rPr>
                <w:rFonts w:ascii="宋体"/>
                <w:kern w:val="0"/>
                <w:sz w:val="18"/>
                <w:szCs w:val="18"/>
              </w:rPr>
            </w:pPr>
          </w:p>
        </w:tc>
        <w:tc>
          <w:tcPr>
            <w:tcW w:w="1790" w:type="dxa"/>
            <w:vMerge w:val="continue"/>
            <w:vAlign w:val="center"/>
          </w:tcPr>
          <w:p w14:paraId="367FF915">
            <w:pPr>
              <w:widowControl/>
              <w:spacing w:before="156" w:beforeLines="50" w:after="156" w:afterLines="50"/>
              <w:jc w:val="left"/>
              <w:rPr>
                <w:rFonts w:ascii="宋体"/>
                <w:kern w:val="0"/>
                <w:sz w:val="18"/>
                <w:szCs w:val="18"/>
              </w:rPr>
            </w:pPr>
          </w:p>
        </w:tc>
      </w:tr>
      <w:tr w14:paraId="79977F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41" w:hRule="atLeast"/>
        </w:trPr>
        <w:tc>
          <w:tcPr>
            <w:tcW w:w="672" w:type="dxa"/>
            <w:vMerge w:val="continue"/>
            <w:vAlign w:val="center"/>
          </w:tcPr>
          <w:p w14:paraId="67E3FC20">
            <w:pPr>
              <w:spacing w:before="156" w:beforeLines="50" w:after="156" w:afterLines="50"/>
              <w:jc w:val="left"/>
              <w:rPr>
                <w:rFonts w:ascii="宋体"/>
                <w:kern w:val="0"/>
                <w:sz w:val="18"/>
                <w:szCs w:val="18"/>
              </w:rPr>
            </w:pPr>
          </w:p>
        </w:tc>
        <w:tc>
          <w:tcPr>
            <w:tcW w:w="934" w:type="dxa"/>
            <w:vMerge w:val="continue"/>
            <w:vAlign w:val="center"/>
          </w:tcPr>
          <w:p w14:paraId="2662D795">
            <w:pPr>
              <w:spacing w:before="156" w:beforeLines="50" w:after="156" w:afterLines="50"/>
              <w:jc w:val="left"/>
              <w:rPr>
                <w:rFonts w:ascii="宋体"/>
                <w:kern w:val="0"/>
                <w:sz w:val="18"/>
                <w:szCs w:val="18"/>
              </w:rPr>
            </w:pPr>
          </w:p>
        </w:tc>
        <w:tc>
          <w:tcPr>
            <w:tcW w:w="1430" w:type="dxa"/>
            <w:vMerge w:val="continue"/>
            <w:vAlign w:val="center"/>
          </w:tcPr>
          <w:p w14:paraId="5F04CD31">
            <w:pPr>
              <w:spacing w:before="156" w:beforeLines="50" w:after="156" w:afterLines="50"/>
              <w:jc w:val="left"/>
              <w:rPr>
                <w:rFonts w:ascii="宋体"/>
                <w:kern w:val="0"/>
                <w:sz w:val="18"/>
                <w:szCs w:val="18"/>
              </w:rPr>
            </w:pPr>
          </w:p>
        </w:tc>
        <w:tc>
          <w:tcPr>
            <w:tcW w:w="1750" w:type="dxa"/>
            <w:vMerge w:val="continue"/>
            <w:vAlign w:val="center"/>
          </w:tcPr>
          <w:p w14:paraId="1282C779">
            <w:pPr>
              <w:spacing w:before="156" w:beforeLines="50" w:after="156" w:afterLines="50"/>
              <w:jc w:val="left"/>
              <w:rPr>
                <w:rFonts w:ascii="宋体"/>
                <w:kern w:val="0"/>
                <w:sz w:val="18"/>
                <w:szCs w:val="18"/>
              </w:rPr>
            </w:pPr>
          </w:p>
        </w:tc>
        <w:tc>
          <w:tcPr>
            <w:tcW w:w="700" w:type="dxa"/>
            <w:vMerge w:val="continue"/>
            <w:vAlign w:val="center"/>
          </w:tcPr>
          <w:p w14:paraId="2F34CCAA">
            <w:pPr>
              <w:spacing w:before="156" w:beforeLines="50" w:after="156" w:afterLines="50"/>
              <w:jc w:val="left"/>
              <w:rPr>
                <w:rFonts w:ascii="宋体"/>
                <w:kern w:val="0"/>
                <w:sz w:val="18"/>
                <w:szCs w:val="18"/>
              </w:rPr>
            </w:pPr>
          </w:p>
        </w:tc>
        <w:tc>
          <w:tcPr>
            <w:tcW w:w="2560" w:type="dxa"/>
            <w:vAlign w:val="center"/>
          </w:tcPr>
          <w:p w14:paraId="291C70C0">
            <w:pPr>
              <w:widowControl/>
              <w:spacing w:before="156" w:beforeLines="50" w:after="156" w:afterLines="50"/>
              <w:jc w:val="left"/>
              <w:rPr>
                <w:rFonts w:ascii="宋体"/>
                <w:kern w:val="0"/>
                <w:sz w:val="18"/>
                <w:szCs w:val="18"/>
              </w:rPr>
            </w:pPr>
            <w:r>
              <w:rPr>
                <w:rFonts w:hint="eastAsia" w:ascii="宋体"/>
                <w:b/>
                <w:kern w:val="0"/>
                <w:sz w:val="18"/>
                <w:szCs w:val="18"/>
              </w:rPr>
              <w:t>船</w:t>
            </w:r>
            <w:r>
              <w:rPr>
                <w:rFonts w:hint="eastAsia" w:ascii="宋体"/>
                <w:kern w:val="0"/>
                <w:sz w:val="18"/>
                <w:szCs w:val="18"/>
              </w:rPr>
              <w:t>舶进出港口和通过交通管制区、通航密集区、航行条件受到限制区域，未遵守海事管理机构发布的特别规定，导致发生一般以下等级水上交通事故。</w:t>
            </w:r>
          </w:p>
        </w:tc>
        <w:tc>
          <w:tcPr>
            <w:tcW w:w="2268" w:type="dxa"/>
            <w:vAlign w:val="center"/>
          </w:tcPr>
          <w:p w14:paraId="29B4038A">
            <w:pPr>
              <w:widowControl/>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万元及以上1.5万元以下</w:t>
            </w:r>
          </w:p>
        </w:tc>
        <w:tc>
          <w:tcPr>
            <w:tcW w:w="2268" w:type="dxa"/>
            <w:vAlign w:val="center"/>
          </w:tcPr>
          <w:p w14:paraId="106298B9">
            <w:pPr>
              <w:widowControl/>
              <w:spacing w:before="156" w:beforeLines="50" w:after="156" w:afterLines="50"/>
              <w:jc w:val="left"/>
              <w:rPr>
                <w:rFonts w:ascii="宋体"/>
                <w:kern w:val="0"/>
                <w:sz w:val="18"/>
                <w:szCs w:val="18"/>
              </w:rPr>
            </w:pPr>
            <w:r>
              <w:rPr>
                <w:rFonts w:hint="eastAsia" w:ascii="宋体"/>
                <w:kern w:val="0"/>
                <w:sz w:val="18"/>
                <w:szCs w:val="18"/>
              </w:rPr>
              <w:t>1.5万元及以上</w:t>
            </w:r>
            <w:r>
              <w:rPr>
                <w:rFonts w:ascii="宋体"/>
                <w:kern w:val="0"/>
                <w:sz w:val="18"/>
                <w:szCs w:val="18"/>
              </w:rPr>
              <w:t>2</w:t>
            </w:r>
            <w:r>
              <w:rPr>
                <w:rFonts w:hint="eastAsia" w:ascii="宋体"/>
                <w:kern w:val="0"/>
                <w:sz w:val="18"/>
                <w:szCs w:val="18"/>
              </w:rPr>
              <w:t>万元以下</w:t>
            </w:r>
          </w:p>
        </w:tc>
        <w:tc>
          <w:tcPr>
            <w:tcW w:w="2268" w:type="dxa"/>
            <w:vAlign w:val="center"/>
          </w:tcPr>
          <w:p w14:paraId="411E2D2E">
            <w:pPr>
              <w:widowControl/>
              <w:spacing w:before="156" w:beforeLines="50" w:after="156" w:afterLines="50"/>
              <w:jc w:val="left"/>
              <w:rPr>
                <w:rFonts w:ascii="宋体"/>
                <w:kern w:val="0"/>
                <w:sz w:val="18"/>
                <w:szCs w:val="18"/>
              </w:rPr>
            </w:pPr>
            <w:r>
              <w:rPr>
                <w:rFonts w:hint="eastAsia" w:ascii="宋体"/>
                <w:kern w:val="0"/>
                <w:sz w:val="18"/>
                <w:szCs w:val="18"/>
              </w:rPr>
              <w:t>2万元及以上</w:t>
            </w:r>
            <w:r>
              <w:rPr>
                <w:rFonts w:ascii="宋体"/>
                <w:kern w:val="0"/>
                <w:sz w:val="18"/>
                <w:szCs w:val="18"/>
              </w:rPr>
              <w:t>3</w:t>
            </w:r>
            <w:r>
              <w:rPr>
                <w:rFonts w:hint="eastAsia" w:ascii="宋体"/>
                <w:kern w:val="0"/>
                <w:sz w:val="18"/>
                <w:szCs w:val="18"/>
              </w:rPr>
              <w:t>万元以下</w:t>
            </w:r>
          </w:p>
        </w:tc>
        <w:tc>
          <w:tcPr>
            <w:tcW w:w="2127" w:type="dxa"/>
            <w:vAlign w:val="center"/>
          </w:tcPr>
          <w:p w14:paraId="3298BB8F">
            <w:pPr>
              <w:widowControl/>
              <w:spacing w:before="156" w:beforeLines="50" w:after="156" w:afterLines="50"/>
              <w:jc w:val="center"/>
              <w:rPr>
                <w:rFonts w:ascii="宋体"/>
                <w:kern w:val="0"/>
                <w:sz w:val="18"/>
                <w:szCs w:val="18"/>
              </w:rPr>
            </w:pPr>
            <w:r>
              <w:rPr>
                <w:rFonts w:ascii="宋体"/>
                <w:kern w:val="0"/>
                <w:sz w:val="18"/>
                <w:szCs w:val="18"/>
              </w:rPr>
              <w:t>/</w:t>
            </w:r>
          </w:p>
        </w:tc>
        <w:tc>
          <w:tcPr>
            <w:tcW w:w="1842" w:type="dxa"/>
            <w:vMerge w:val="continue"/>
            <w:vAlign w:val="center"/>
          </w:tcPr>
          <w:p w14:paraId="27BFA034">
            <w:pPr>
              <w:widowControl/>
              <w:spacing w:before="156" w:beforeLines="50" w:after="156" w:afterLines="50"/>
              <w:jc w:val="left"/>
              <w:rPr>
                <w:rFonts w:ascii="宋体"/>
                <w:kern w:val="0"/>
                <w:sz w:val="18"/>
                <w:szCs w:val="18"/>
              </w:rPr>
            </w:pPr>
          </w:p>
        </w:tc>
        <w:tc>
          <w:tcPr>
            <w:tcW w:w="1790" w:type="dxa"/>
            <w:vMerge w:val="continue"/>
            <w:vAlign w:val="center"/>
          </w:tcPr>
          <w:p w14:paraId="00956E18">
            <w:pPr>
              <w:widowControl/>
              <w:spacing w:before="156" w:beforeLines="50" w:after="156" w:afterLines="50"/>
              <w:jc w:val="left"/>
              <w:rPr>
                <w:rFonts w:ascii="宋体"/>
                <w:kern w:val="0"/>
                <w:sz w:val="18"/>
                <w:szCs w:val="18"/>
              </w:rPr>
            </w:pPr>
          </w:p>
        </w:tc>
      </w:tr>
      <w:tr w14:paraId="0AF4D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42" w:hRule="atLeast"/>
        </w:trPr>
        <w:tc>
          <w:tcPr>
            <w:tcW w:w="672" w:type="dxa"/>
            <w:vMerge w:val="continue"/>
            <w:vAlign w:val="center"/>
          </w:tcPr>
          <w:p w14:paraId="3EBDF280">
            <w:pPr>
              <w:spacing w:before="156" w:beforeLines="50" w:after="156" w:afterLines="50"/>
              <w:jc w:val="left"/>
              <w:rPr>
                <w:rFonts w:ascii="宋体"/>
                <w:kern w:val="0"/>
                <w:sz w:val="18"/>
                <w:szCs w:val="18"/>
              </w:rPr>
            </w:pPr>
          </w:p>
        </w:tc>
        <w:tc>
          <w:tcPr>
            <w:tcW w:w="934" w:type="dxa"/>
            <w:vMerge w:val="continue"/>
            <w:vAlign w:val="center"/>
          </w:tcPr>
          <w:p w14:paraId="1C4B97B1">
            <w:pPr>
              <w:spacing w:before="156" w:beforeLines="50" w:after="156" w:afterLines="50"/>
              <w:jc w:val="left"/>
              <w:rPr>
                <w:rFonts w:ascii="宋体"/>
                <w:kern w:val="0"/>
                <w:sz w:val="18"/>
                <w:szCs w:val="18"/>
              </w:rPr>
            </w:pPr>
          </w:p>
        </w:tc>
        <w:tc>
          <w:tcPr>
            <w:tcW w:w="1430" w:type="dxa"/>
            <w:vMerge w:val="continue"/>
            <w:vAlign w:val="center"/>
          </w:tcPr>
          <w:p w14:paraId="629C6DA9">
            <w:pPr>
              <w:spacing w:before="156" w:beforeLines="50" w:after="156" w:afterLines="50"/>
              <w:jc w:val="left"/>
              <w:rPr>
                <w:rFonts w:ascii="宋体"/>
                <w:kern w:val="0"/>
                <w:sz w:val="18"/>
                <w:szCs w:val="18"/>
              </w:rPr>
            </w:pPr>
          </w:p>
        </w:tc>
        <w:tc>
          <w:tcPr>
            <w:tcW w:w="1750" w:type="dxa"/>
            <w:vMerge w:val="continue"/>
            <w:vAlign w:val="center"/>
          </w:tcPr>
          <w:p w14:paraId="48EFC1D6">
            <w:pPr>
              <w:spacing w:before="156" w:beforeLines="50" w:after="156" w:afterLines="50"/>
              <w:jc w:val="left"/>
              <w:rPr>
                <w:rFonts w:ascii="宋体"/>
                <w:kern w:val="0"/>
                <w:sz w:val="18"/>
                <w:szCs w:val="18"/>
              </w:rPr>
            </w:pPr>
          </w:p>
        </w:tc>
        <w:tc>
          <w:tcPr>
            <w:tcW w:w="700" w:type="dxa"/>
            <w:vMerge w:val="restart"/>
            <w:vAlign w:val="center"/>
          </w:tcPr>
          <w:p w14:paraId="2B178F50">
            <w:pPr>
              <w:spacing w:before="156" w:beforeLines="50" w:after="156" w:afterLines="50"/>
              <w:jc w:val="left"/>
              <w:rPr>
                <w:rFonts w:ascii="宋体"/>
                <w:kern w:val="0"/>
                <w:sz w:val="18"/>
                <w:szCs w:val="18"/>
              </w:rPr>
            </w:pPr>
            <w:r>
              <w:rPr>
                <w:rFonts w:hint="eastAsia" w:ascii="宋体"/>
                <w:kern w:val="0"/>
                <w:sz w:val="18"/>
                <w:szCs w:val="18"/>
              </w:rPr>
              <w:t>情节严重</w:t>
            </w:r>
          </w:p>
        </w:tc>
        <w:tc>
          <w:tcPr>
            <w:tcW w:w="2560" w:type="dxa"/>
            <w:tcBorders>
              <w:bottom w:val="single" w:color="auto" w:sz="4" w:space="0"/>
            </w:tcBorders>
            <w:vAlign w:val="center"/>
          </w:tcPr>
          <w:p w14:paraId="65E574E3">
            <w:pPr>
              <w:widowControl/>
              <w:spacing w:before="156" w:beforeLines="50" w:after="156" w:afterLines="50"/>
              <w:jc w:val="left"/>
              <w:rPr>
                <w:rFonts w:ascii="宋体"/>
                <w:kern w:val="0"/>
                <w:sz w:val="18"/>
                <w:szCs w:val="18"/>
              </w:rPr>
            </w:pPr>
            <w:r>
              <w:rPr>
                <w:rFonts w:hint="eastAsia" w:ascii="宋体"/>
                <w:kern w:val="0"/>
                <w:sz w:val="18"/>
                <w:szCs w:val="18"/>
              </w:rPr>
              <w:t>船舶进出港口和通过交通管制区、通航密集区、航行条件受到限制区域，未遵守海事管理机构发布的特别规定，导致发生一般及以上等级水上交通事故。</w:t>
            </w:r>
          </w:p>
        </w:tc>
        <w:tc>
          <w:tcPr>
            <w:tcW w:w="2268" w:type="dxa"/>
            <w:vMerge w:val="restart"/>
            <w:vAlign w:val="center"/>
          </w:tcPr>
          <w:p w14:paraId="409E3380">
            <w:pPr>
              <w:widowControl/>
              <w:spacing w:before="156" w:beforeLines="50" w:after="156" w:afterLines="50"/>
              <w:jc w:val="left"/>
              <w:rPr>
                <w:rFonts w:ascii="宋体"/>
                <w:kern w:val="0"/>
                <w:sz w:val="18"/>
                <w:szCs w:val="18"/>
              </w:rPr>
            </w:pPr>
            <w:r>
              <w:rPr>
                <w:rFonts w:ascii="宋体"/>
                <w:kern w:val="0"/>
                <w:sz w:val="18"/>
                <w:szCs w:val="18"/>
              </w:rPr>
              <w:t>1.5</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268" w:type="dxa"/>
            <w:vMerge w:val="restart"/>
            <w:vAlign w:val="center"/>
          </w:tcPr>
          <w:p w14:paraId="0306DEA5">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268" w:type="dxa"/>
            <w:vMerge w:val="restart"/>
            <w:vAlign w:val="center"/>
          </w:tcPr>
          <w:p w14:paraId="1A66A3EB">
            <w:pPr>
              <w:widowControl/>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万元以下，禁止船舶进出港口或者责令停航。</w:t>
            </w:r>
          </w:p>
        </w:tc>
        <w:tc>
          <w:tcPr>
            <w:tcW w:w="2127" w:type="dxa"/>
            <w:tcBorders>
              <w:bottom w:val="single" w:color="auto" w:sz="4" w:space="0"/>
            </w:tcBorders>
            <w:vAlign w:val="center"/>
          </w:tcPr>
          <w:p w14:paraId="26C527B6">
            <w:pPr>
              <w:spacing w:before="156" w:beforeLines="50" w:after="156" w:afterLines="50"/>
              <w:rPr>
                <w:rFonts w:ascii="宋体"/>
                <w:kern w:val="0"/>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842" w:type="dxa"/>
            <w:vMerge w:val="continue"/>
            <w:vAlign w:val="center"/>
          </w:tcPr>
          <w:p w14:paraId="598F039D">
            <w:pPr>
              <w:widowControl/>
              <w:spacing w:before="156" w:beforeLines="50" w:after="156" w:afterLines="50"/>
              <w:jc w:val="left"/>
              <w:rPr>
                <w:rFonts w:ascii="宋体"/>
                <w:kern w:val="0"/>
                <w:sz w:val="18"/>
                <w:szCs w:val="18"/>
              </w:rPr>
            </w:pPr>
          </w:p>
        </w:tc>
        <w:tc>
          <w:tcPr>
            <w:tcW w:w="1790" w:type="dxa"/>
            <w:vMerge w:val="continue"/>
            <w:vAlign w:val="center"/>
          </w:tcPr>
          <w:p w14:paraId="1EDEF2B3">
            <w:pPr>
              <w:widowControl/>
              <w:spacing w:before="156" w:beforeLines="50" w:after="156" w:afterLines="50"/>
              <w:jc w:val="left"/>
              <w:rPr>
                <w:rFonts w:ascii="宋体"/>
                <w:kern w:val="0"/>
                <w:sz w:val="18"/>
                <w:szCs w:val="18"/>
              </w:rPr>
            </w:pPr>
          </w:p>
        </w:tc>
      </w:tr>
      <w:tr w14:paraId="604AA8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672" w:type="dxa"/>
            <w:vMerge w:val="continue"/>
            <w:vAlign w:val="center"/>
          </w:tcPr>
          <w:p w14:paraId="04B4D961">
            <w:pPr>
              <w:spacing w:before="156" w:beforeLines="50" w:after="156" w:afterLines="50"/>
              <w:jc w:val="left"/>
              <w:rPr>
                <w:rFonts w:ascii="宋体"/>
                <w:kern w:val="0"/>
                <w:sz w:val="18"/>
                <w:szCs w:val="18"/>
              </w:rPr>
            </w:pPr>
          </w:p>
        </w:tc>
        <w:tc>
          <w:tcPr>
            <w:tcW w:w="934" w:type="dxa"/>
            <w:vMerge w:val="continue"/>
            <w:vAlign w:val="center"/>
          </w:tcPr>
          <w:p w14:paraId="1C7AB2DA">
            <w:pPr>
              <w:spacing w:before="156" w:beforeLines="50" w:after="156" w:afterLines="50"/>
              <w:jc w:val="left"/>
              <w:rPr>
                <w:rFonts w:ascii="宋体"/>
                <w:kern w:val="0"/>
                <w:sz w:val="18"/>
                <w:szCs w:val="18"/>
              </w:rPr>
            </w:pPr>
          </w:p>
        </w:tc>
        <w:tc>
          <w:tcPr>
            <w:tcW w:w="1430" w:type="dxa"/>
            <w:vMerge w:val="continue"/>
            <w:vAlign w:val="center"/>
          </w:tcPr>
          <w:p w14:paraId="5D9AE374">
            <w:pPr>
              <w:spacing w:before="156" w:beforeLines="50" w:after="156" w:afterLines="50"/>
              <w:jc w:val="left"/>
              <w:rPr>
                <w:rFonts w:ascii="宋体"/>
                <w:kern w:val="0"/>
                <w:sz w:val="18"/>
                <w:szCs w:val="18"/>
              </w:rPr>
            </w:pPr>
          </w:p>
        </w:tc>
        <w:tc>
          <w:tcPr>
            <w:tcW w:w="1750" w:type="dxa"/>
            <w:vMerge w:val="continue"/>
            <w:vAlign w:val="center"/>
          </w:tcPr>
          <w:p w14:paraId="74296EF4">
            <w:pPr>
              <w:spacing w:before="156" w:beforeLines="50" w:after="156" w:afterLines="50"/>
              <w:jc w:val="left"/>
              <w:rPr>
                <w:rFonts w:ascii="宋体"/>
                <w:kern w:val="0"/>
                <w:sz w:val="18"/>
                <w:szCs w:val="18"/>
              </w:rPr>
            </w:pPr>
          </w:p>
        </w:tc>
        <w:tc>
          <w:tcPr>
            <w:tcW w:w="700" w:type="dxa"/>
            <w:vMerge w:val="continue"/>
            <w:vAlign w:val="center"/>
          </w:tcPr>
          <w:p w14:paraId="559E1538">
            <w:pPr>
              <w:spacing w:before="156" w:beforeLines="50" w:after="156" w:afterLines="50"/>
              <w:jc w:val="left"/>
              <w:rPr>
                <w:rFonts w:ascii="宋体"/>
                <w:kern w:val="0"/>
                <w:sz w:val="18"/>
                <w:szCs w:val="18"/>
              </w:rPr>
            </w:pPr>
          </w:p>
        </w:tc>
        <w:tc>
          <w:tcPr>
            <w:tcW w:w="2560" w:type="dxa"/>
            <w:tcBorders>
              <w:top w:val="single" w:color="auto" w:sz="4" w:space="0"/>
              <w:bottom w:val="single" w:color="auto" w:sz="4" w:space="0"/>
            </w:tcBorders>
            <w:vAlign w:val="center"/>
          </w:tcPr>
          <w:p w14:paraId="6A2C7CFD">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268" w:type="dxa"/>
            <w:vMerge w:val="continue"/>
            <w:tcBorders>
              <w:bottom w:val="single" w:color="auto" w:sz="4" w:space="0"/>
            </w:tcBorders>
            <w:vAlign w:val="center"/>
          </w:tcPr>
          <w:p w14:paraId="1A7F59D3">
            <w:pPr>
              <w:widowControl/>
              <w:spacing w:before="156" w:beforeLines="50" w:after="156" w:afterLines="50"/>
              <w:jc w:val="left"/>
              <w:rPr>
                <w:rFonts w:ascii="宋体"/>
                <w:kern w:val="0"/>
                <w:sz w:val="18"/>
                <w:szCs w:val="18"/>
              </w:rPr>
            </w:pPr>
          </w:p>
        </w:tc>
        <w:tc>
          <w:tcPr>
            <w:tcW w:w="2268" w:type="dxa"/>
            <w:vMerge w:val="continue"/>
            <w:tcBorders>
              <w:bottom w:val="single" w:color="auto" w:sz="4" w:space="0"/>
            </w:tcBorders>
            <w:vAlign w:val="center"/>
          </w:tcPr>
          <w:p w14:paraId="654CF354">
            <w:pPr>
              <w:widowControl/>
              <w:spacing w:before="156" w:beforeLines="50" w:after="156" w:afterLines="50"/>
              <w:jc w:val="left"/>
              <w:rPr>
                <w:rFonts w:ascii="宋体"/>
                <w:kern w:val="0"/>
                <w:sz w:val="18"/>
                <w:szCs w:val="18"/>
              </w:rPr>
            </w:pPr>
          </w:p>
        </w:tc>
        <w:tc>
          <w:tcPr>
            <w:tcW w:w="2268" w:type="dxa"/>
            <w:vMerge w:val="continue"/>
            <w:tcBorders>
              <w:bottom w:val="single" w:color="auto" w:sz="4" w:space="0"/>
            </w:tcBorders>
            <w:vAlign w:val="center"/>
          </w:tcPr>
          <w:p w14:paraId="6599D7A8">
            <w:pPr>
              <w:widowControl/>
              <w:spacing w:before="156" w:beforeLines="50" w:after="156" w:afterLines="50"/>
              <w:jc w:val="left"/>
              <w:rPr>
                <w:rFonts w:ascii="宋体"/>
                <w:kern w:val="0"/>
                <w:sz w:val="18"/>
                <w:szCs w:val="18"/>
              </w:rPr>
            </w:pPr>
          </w:p>
        </w:tc>
        <w:tc>
          <w:tcPr>
            <w:tcW w:w="2127" w:type="dxa"/>
            <w:tcBorders>
              <w:top w:val="single" w:color="auto" w:sz="4" w:space="0"/>
              <w:bottom w:val="single" w:color="auto" w:sz="4" w:space="0"/>
            </w:tcBorders>
            <w:vAlign w:val="center"/>
          </w:tcPr>
          <w:p w14:paraId="413DAFD9">
            <w:pPr>
              <w:spacing w:before="156" w:beforeLines="50" w:after="156" w:afterLines="50"/>
              <w:rPr>
                <w:rFonts w:ascii="宋体"/>
                <w:kern w:val="0"/>
                <w:sz w:val="18"/>
                <w:szCs w:val="18"/>
              </w:rPr>
            </w:pPr>
            <w:r>
              <w:rPr>
                <w:rFonts w:hint="eastAsia" w:ascii="宋体"/>
                <w:kern w:val="0"/>
                <w:sz w:val="18"/>
                <w:szCs w:val="18"/>
              </w:rPr>
              <w:t>并可以对责任船员给予暂扣适任证书或者其他适任证件3个月至6个月的处罚。</w:t>
            </w:r>
          </w:p>
          <w:p w14:paraId="39C94AEC">
            <w:pPr>
              <w:spacing w:before="156" w:beforeLines="50" w:after="156" w:afterLines="50"/>
              <w:rPr>
                <w:rFonts w:ascii="宋体"/>
                <w:kern w:val="0"/>
                <w:sz w:val="18"/>
                <w:szCs w:val="18"/>
              </w:rPr>
            </w:pPr>
          </w:p>
        </w:tc>
        <w:tc>
          <w:tcPr>
            <w:tcW w:w="1842" w:type="dxa"/>
            <w:vMerge w:val="continue"/>
            <w:vAlign w:val="center"/>
          </w:tcPr>
          <w:p w14:paraId="42238C07">
            <w:pPr>
              <w:widowControl/>
              <w:spacing w:before="156" w:beforeLines="50" w:after="156" w:afterLines="50"/>
              <w:jc w:val="left"/>
              <w:rPr>
                <w:rFonts w:ascii="宋体"/>
                <w:kern w:val="0"/>
                <w:sz w:val="18"/>
                <w:szCs w:val="18"/>
              </w:rPr>
            </w:pPr>
          </w:p>
        </w:tc>
        <w:tc>
          <w:tcPr>
            <w:tcW w:w="1790" w:type="dxa"/>
            <w:vMerge w:val="continue"/>
            <w:vAlign w:val="center"/>
          </w:tcPr>
          <w:p w14:paraId="48360E9F">
            <w:pPr>
              <w:widowControl/>
              <w:spacing w:before="156" w:beforeLines="50" w:after="156" w:afterLines="50"/>
              <w:jc w:val="left"/>
              <w:rPr>
                <w:rFonts w:ascii="宋体"/>
                <w:kern w:val="0"/>
                <w:sz w:val="18"/>
                <w:szCs w:val="18"/>
              </w:rPr>
            </w:pPr>
          </w:p>
        </w:tc>
      </w:tr>
      <w:tr w14:paraId="351BCB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20609" w:type="dxa"/>
            <w:gridSpan w:val="12"/>
            <w:vAlign w:val="center"/>
          </w:tcPr>
          <w:p w14:paraId="0F82E631">
            <w:pPr>
              <w:spacing w:before="156" w:beforeLines="50" w:after="156" w:afterLines="50"/>
              <w:rPr>
                <w:rFonts w:ascii="宋体"/>
                <w:kern w:val="0"/>
                <w:sz w:val="18"/>
                <w:szCs w:val="18"/>
              </w:rPr>
            </w:pPr>
            <w:r>
              <w:rPr>
                <w:rFonts w:hint="eastAsia" w:ascii="宋体"/>
                <w:b/>
                <w:sz w:val="18"/>
                <w:szCs w:val="18"/>
              </w:rPr>
              <w:t>注：如果当事人具有以下减轻情节的，按减轻处罚基准执行：1.积极配合海事管理机构调查，并主动交代违法情况的；2.检举并配合海事管理机构查处他船海事行政违法行为有立功表现的；3.其他可以给予减轻的情形。</w:t>
            </w:r>
          </w:p>
        </w:tc>
      </w:tr>
    </w:tbl>
    <w:p w14:paraId="31CB4E35">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990"/>
        <w:gridCol w:w="1008"/>
        <w:gridCol w:w="762"/>
        <w:gridCol w:w="2056"/>
        <w:gridCol w:w="23"/>
        <w:gridCol w:w="930"/>
        <w:gridCol w:w="2217"/>
        <w:gridCol w:w="572"/>
        <w:gridCol w:w="426"/>
        <w:gridCol w:w="2498"/>
        <w:gridCol w:w="2307"/>
        <w:gridCol w:w="415"/>
        <w:gridCol w:w="2882"/>
        <w:gridCol w:w="1718"/>
        <w:gridCol w:w="1003"/>
      </w:tblGrid>
      <w:tr w14:paraId="59F45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714" w:type="dxa"/>
            <w:vMerge w:val="restart"/>
            <w:vAlign w:val="center"/>
          </w:tcPr>
          <w:p w14:paraId="7109990F">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90" w:type="dxa"/>
            <w:vMerge w:val="restart"/>
            <w:vAlign w:val="center"/>
          </w:tcPr>
          <w:p w14:paraId="5E57D0DA">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849" w:type="dxa"/>
            <w:gridSpan w:val="4"/>
            <w:vMerge w:val="restart"/>
            <w:vAlign w:val="center"/>
          </w:tcPr>
          <w:p w14:paraId="1C0CED68">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30" w:type="dxa"/>
            <w:vMerge w:val="restart"/>
            <w:vAlign w:val="center"/>
          </w:tcPr>
          <w:p w14:paraId="5629794E">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789" w:type="dxa"/>
            <w:gridSpan w:val="2"/>
            <w:vMerge w:val="restart"/>
            <w:vAlign w:val="center"/>
          </w:tcPr>
          <w:p w14:paraId="4D61C61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591CB4A">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11249" w:type="dxa"/>
            <w:gridSpan w:val="7"/>
            <w:vAlign w:val="center"/>
          </w:tcPr>
          <w:p w14:paraId="180F5C28">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5FE6C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4" w:type="dxa"/>
            <w:vMerge w:val="continue"/>
            <w:vAlign w:val="center"/>
          </w:tcPr>
          <w:p w14:paraId="3D506850">
            <w:pPr>
              <w:spacing w:before="156" w:beforeLines="50" w:after="156" w:afterLines="50"/>
              <w:jc w:val="left"/>
              <w:rPr>
                <w:rFonts w:ascii="宋体"/>
                <w:b/>
                <w:kern w:val="0"/>
                <w:sz w:val="18"/>
                <w:szCs w:val="18"/>
              </w:rPr>
            </w:pPr>
          </w:p>
        </w:tc>
        <w:tc>
          <w:tcPr>
            <w:tcW w:w="990" w:type="dxa"/>
            <w:vMerge w:val="continue"/>
            <w:vAlign w:val="center"/>
          </w:tcPr>
          <w:p w14:paraId="1E769116">
            <w:pPr>
              <w:spacing w:before="156" w:beforeLines="50" w:after="156" w:afterLines="50"/>
              <w:jc w:val="left"/>
              <w:rPr>
                <w:rFonts w:ascii="宋体"/>
                <w:b/>
                <w:kern w:val="0"/>
                <w:sz w:val="18"/>
                <w:szCs w:val="18"/>
              </w:rPr>
            </w:pPr>
          </w:p>
        </w:tc>
        <w:tc>
          <w:tcPr>
            <w:tcW w:w="3849" w:type="dxa"/>
            <w:gridSpan w:val="4"/>
            <w:vMerge w:val="continue"/>
            <w:vAlign w:val="center"/>
          </w:tcPr>
          <w:p w14:paraId="4670978E">
            <w:pPr>
              <w:spacing w:before="156" w:beforeLines="50" w:after="156" w:afterLines="50"/>
              <w:jc w:val="left"/>
              <w:rPr>
                <w:rFonts w:ascii="宋体"/>
                <w:b/>
                <w:kern w:val="0"/>
                <w:sz w:val="18"/>
                <w:szCs w:val="18"/>
              </w:rPr>
            </w:pPr>
          </w:p>
        </w:tc>
        <w:tc>
          <w:tcPr>
            <w:tcW w:w="930" w:type="dxa"/>
            <w:vMerge w:val="continue"/>
            <w:vAlign w:val="center"/>
          </w:tcPr>
          <w:p w14:paraId="35020F1E">
            <w:pPr>
              <w:spacing w:before="156" w:beforeLines="50" w:after="156" w:afterLines="50"/>
              <w:jc w:val="left"/>
              <w:rPr>
                <w:rFonts w:ascii="宋体"/>
                <w:b/>
                <w:kern w:val="0"/>
                <w:sz w:val="18"/>
                <w:szCs w:val="18"/>
              </w:rPr>
            </w:pPr>
          </w:p>
        </w:tc>
        <w:tc>
          <w:tcPr>
            <w:tcW w:w="2789" w:type="dxa"/>
            <w:gridSpan w:val="2"/>
            <w:vMerge w:val="continue"/>
            <w:vAlign w:val="center"/>
          </w:tcPr>
          <w:p w14:paraId="4CD4899A">
            <w:pPr>
              <w:spacing w:before="156" w:beforeLines="50" w:after="156" w:afterLines="50"/>
              <w:jc w:val="left"/>
              <w:rPr>
                <w:rFonts w:ascii="宋体"/>
                <w:b/>
                <w:kern w:val="0"/>
                <w:sz w:val="18"/>
                <w:szCs w:val="18"/>
              </w:rPr>
            </w:pPr>
          </w:p>
        </w:tc>
        <w:tc>
          <w:tcPr>
            <w:tcW w:w="11249" w:type="dxa"/>
            <w:gridSpan w:val="7"/>
            <w:vAlign w:val="center"/>
          </w:tcPr>
          <w:p w14:paraId="58F0F51B">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680D2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714" w:type="dxa"/>
            <w:vMerge w:val="continue"/>
            <w:vAlign w:val="center"/>
          </w:tcPr>
          <w:p w14:paraId="072C147C">
            <w:pPr>
              <w:spacing w:before="156" w:beforeLines="50" w:after="156" w:afterLines="50"/>
              <w:jc w:val="left"/>
              <w:rPr>
                <w:rFonts w:ascii="宋体"/>
                <w:b/>
                <w:kern w:val="0"/>
                <w:sz w:val="18"/>
                <w:szCs w:val="18"/>
              </w:rPr>
            </w:pPr>
          </w:p>
        </w:tc>
        <w:tc>
          <w:tcPr>
            <w:tcW w:w="990" w:type="dxa"/>
            <w:vMerge w:val="continue"/>
            <w:vAlign w:val="center"/>
          </w:tcPr>
          <w:p w14:paraId="04DE1CA9">
            <w:pPr>
              <w:spacing w:before="156" w:beforeLines="50" w:after="156" w:afterLines="50"/>
              <w:jc w:val="left"/>
              <w:rPr>
                <w:rFonts w:ascii="宋体"/>
                <w:b/>
                <w:kern w:val="0"/>
                <w:sz w:val="18"/>
                <w:szCs w:val="18"/>
              </w:rPr>
            </w:pPr>
          </w:p>
        </w:tc>
        <w:tc>
          <w:tcPr>
            <w:tcW w:w="1770" w:type="dxa"/>
            <w:gridSpan w:val="2"/>
            <w:vMerge w:val="restart"/>
            <w:vAlign w:val="center"/>
          </w:tcPr>
          <w:p w14:paraId="49159329">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79" w:type="dxa"/>
            <w:gridSpan w:val="2"/>
            <w:vMerge w:val="restart"/>
            <w:vAlign w:val="center"/>
          </w:tcPr>
          <w:p w14:paraId="5EA6018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30" w:type="dxa"/>
            <w:vMerge w:val="continue"/>
            <w:vAlign w:val="center"/>
          </w:tcPr>
          <w:p w14:paraId="7E1F00C4">
            <w:pPr>
              <w:spacing w:before="156" w:beforeLines="50" w:after="156" w:afterLines="50"/>
              <w:jc w:val="left"/>
              <w:rPr>
                <w:rFonts w:ascii="宋体"/>
                <w:b/>
                <w:kern w:val="0"/>
                <w:sz w:val="18"/>
                <w:szCs w:val="18"/>
              </w:rPr>
            </w:pPr>
          </w:p>
        </w:tc>
        <w:tc>
          <w:tcPr>
            <w:tcW w:w="2789" w:type="dxa"/>
            <w:gridSpan w:val="2"/>
            <w:vMerge w:val="continue"/>
            <w:vAlign w:val="center"/>
          </w:tcPr>
          <w:p w14:paraId="3DBC34AA">
            <w:pPr>
              <w:spacing w:before="156" w:beforeLines="50" w:after="156" w:afterLines="50"/>
              <w:jc w:val="left"/>
              <w:rPr>
                <w:rFonts w:ascii="宋体"/>
                <w:b/>
                <w:kern w:val="0"/>
                <w:sz w:val="18"/>
                <w:szCs w:val="18"/>
              </w:rPr>
            </w:pPr>
          </w:p>
        </w:tc>
        <w:tc>
          <w:tcPr>
            <w:tcW w:w="8528" w:type="dxa"/>
            <w:gridSpan w:val="5"/>
            <w:vAlign w:val="center"/>
          </w:tcPr>
          <w:p w14:paraId="31DAB644">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721" w:type="dxa"/>
            <w:gridSpan w:val="2"/>
            <w:vMerge w:val="restart"/>
            <w:vAlign w:val="center"/>
          </w:tcPr>
          <w:p w14:paraId="2675907A">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60061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9" w:hRule="atLeast"/>
          <w:jc w:val="center"/>
        </w:trPr>
        <w:tc>
          <w:tcPr>
            <w:tcW w:w="714" w:type="dxa"/>
            <w:vMerge w:val="continue"/>
            <w:vAlign w:val="center"/>
          </w:tcPr>
          <w:p w14:paraId="5B3636BA">
            <w:pPr>
              <w:spacing w:before="156" w:beforeLines="50" w:after="156" w:afterLines="50"/>
              <w:jc w:val="left"/>
              <w:rPr>
                <w:rFonts w:ascii="宋体"/>
                <w:b/>
                <w:kern w:val="0"/>
                <w:sz w:val="18"/>
                <w:szCs w:val="18"/>
              </w:rPr>
            </w:pPr>
          </w:p>
        </w:tc>
        <w:tc>
          <w:tcPr>
            <w:tcW w:w="990" w:type="dxa"/>
            <w:vMerge w:val="continue"/>
            <w:vAlign w:val="center"/>
          </w:tcPr>
          <w:p w14:paraId="344CBA71">
            <w:pPr>
              <w:spacing w:before="156" w:beforeLines="50" w:after="156" w:afterLines="50"/>
              <w:jc w:val="left"/>
              <w:rPr>
                <w:rFonts w:ascii="宋体"/>
                <w:b/>
                <w:kern w:val="0"/>
                <w:sz w:val="18"/>
                <w:szCs w:val="18"/>
              </w:rPr>
            </w:pPr>
          </w:p>
        </w:tc>
        <w:tc>
          <w:tcPr>
            <w:tcW w:w="1770" w:type="dxa"/>
            <w:gridSpan w:val="2"/>
            <w:vMerge w:val="continue"/>
            <w:vAlign w:val="center"/>
          </w:tcPr>
          <w:p w14:paraId="7E07A1BE">
            <w:pPr>
              <w:spacing w:before="156" w:beforeLines="50" w:after="156" w:afterLines="50"/>
              <w:jc w:val="left"/>
              <w:rPr>
                <w:rFonts w:ascii="宋体"/>
                <w:b/>
                <w:kern w:val="0"/>
                <w:sz w:val="18"/>
                <w:szCs w:val="18"/>
              </w:rPr>
            </w:pPr>
          </w:p>
        </w:tc>
        <w:tc>
          <w:tcPr>
            <w:tcW w:w="2079" w:type="dxa"/>
            <w:gridSpan w:val="2"/>
            <w:vMerge w:val="continue"/>
            <w:vAlign w:val="center"/>
          </w:tcPr>
          <w:p w14:paraId="59E73E20">
            <w:pPr>
              <w:spacing w:before="156" w:beforeLines="50" w:after="156" w:afterLines="50"/>
              <w:jc w:val="left"/>
              <w:rPr>
                <w:rFonts w:ascii="宋体"/>
                <w:b/>
                <w:kern w:val="0"/>
                <w:sz w:val="18"/>
                <w:szCs w:val="18"/>
              </w:rPr>
            </w:pPr>
          </w:p>
        </w:tc>
        <w:tc>
          <w:tcPr>
            <w:tcW w:w="930" w:type="dxa"/>
            <w:vMerge w:val="continue"/>
            <w:vAlign w:val="center"/>
          </w:tcPr>
          <w:p w14:paraId="5CE810B9">
            <w:pPr>
              <w:spacing w:before="156" w:beforeLines="50" w:after="156" w:afterLines="50"/>
              <w:jc w:val="left"/>
              <w:rPr>
                <w:rFonts w:ascii="宋体"/>
                <w:b/>
                <w:kern w:val="0"/>
                <w:sz w:val="18"/>
                <w:szCs w:val="18"/>
              </w:rPr>
            </w:pPr>
          </w:p>
        </w:tc>
        <w:tc>
          <w:tcPr>
            <w:tcW w:w="2789" w:type="dxa"/>
            <w:gridSpan w:val="2"/>
            <w:vMerge w:val="continue"/>
            <w:vAlign w:val="center"/>
          </w:tcPr>
          <w:p w14:paraId="2A2D97F3">
            <w:pPr>
              <w:spacing w:before="156" w:beforeLines="50" w:after="156" w:afterLines="50"/>
              <w:jc w:val="left"/>
              <w:rPr>
                <w:rFonts w:ascii="宋体"/>
                <w:b/>
                <w:kern w:val="0"/>
                <w:sz w:val="18"/>
                <w:szCs w:val="18"/>
              </w:rPr>
            </w:pPr>
          </w:p>
        </w:tc>
        <w:tc>
          <w:tcPr>
            <w:tcW w:w="2924" w:type="dxa"/>
            <w:gridSpan w:val="2"/>
            <w:vAlign w:val="center"/>
          </w:tcPr>
          <w:p w14:paraId="4DA82C9F">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22" w:type="dxa"/>
            <w:gridSpan w:val="2"/>
            <w:vAlign w:val="center"/>
          </w:tcPr>
          <w:p w14:paraId="3200164B">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882" w:type="dxa"/>
            <w:vAlign w:val="center"/>
          </w:tcPr>
          <w:p w14:paraId="70E0B8E2">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721" w:type="dxa"/>
            <w:gridSpan w:val="2"/>
            <w:vMerge w:val="continue"/>
            <w:vAlign w:val="center"/>
          </w:tcPr>
          <w:p w14:paraId="372E735D">
            <w:pPr>
              <w:spacing w:before="156" w:beforeLines="50" w:after="156" w:afterLines="50"/>
              <w:jc w:val="left"/>
              <w:rPr>
                <w:rFonts w:ascii="宋体"/>
                <w:b/>
                <w:sz w:val="18"/>
                <w:szCs w:val="18"/>
              </w:rPr>
            </w:pPr>
          </w:p>
        </w:tc>
      </w:tr>
      <w:tr w14:paraId="2B010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714" w:type="dxa"/>
            <w:vMerge w:val="restart"/>
            <w:vAlign w:val="center"/>
          </w:tcPr>
          <w:p w14:paraId="730BCB78">
            <w:pPr>
              <w:spacing w:before="156" w:beforeLines="50" w:after="156" w:afterLines="50"/>
              <w:jc w:val="center"/>
              <w:rPr>
                <w:rFonts w:ascii="宋体"/>
                <w:kern w:val="0"/>
                <w:sz w:val="18"/>
                <w:szCs w:val="18"/>
              </w:rPr>
            </w:pPr>
            <w:r>
              <w:rPr>
                <w:rFonts w:hint="eastAsia" w:ascii="宋体"/>
                <w:kern w:val="0"/>
                <w:sz w:val="18"/>
                <w:szCs w:val="18"/>
              </w:rPr>
              <w:t>10</w:t>
            </w:r>
          </w:p>
        </w:tc>
        <w:tc>
          <w:tcPr>
            <w:tcW w:w="990" w:type="dxa"/>
            <w:vMerge w:val="restart"/>
            <w:vAlign w:val="center"/>
          </w:tcPr>
          <w:p w14:paraId="16F91D1F">
            <w:pPr>
              <w:widowControl/>
              <w:spacing w:before="156" w:beforeLines="50" w:after="156" w:afterLines="50"/>
              <w:jc w:val="left"/>
              <w:rPr>
                <w:rFonts w:ascii="宋体"/>
                <w:kern w:val="0"/>
                <w:sz w:val="18"/>
                <w:szCs w:val="18"/>
              </w:rPr>
            </w:pPr>
            <w:r>
              <w:rPr>
                <w:rFonts w:hint="eastAsia" w:ascii="宋体"/>
                <w:sz w:val="18"/>
                <w:szCs w:val="18"/>
              </w:rPr>
              <w:t>不遵守海事管理机构发布的有关航行、避让和信号规则规定</w:t>
            </w:r>
          </w:p>
        </w:tc>
        <w:tc>
          <w:tcPr>
            <w:tcW w:w="1770" w:type="dxa"/>
            <w:gridSpan w:val="2"/>
            <w:vMerge w:val="restart"/>
            <w:vAlign w:val="center"/>
          </w:tcPr>
          <w:p w14:paraId="294974F8">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1.《中华人民共和国内河交通安全管理条例》第十七条第四款；</w:t>
            </w:r>
          </w:p>
          <w:p w14:paraId="65427BEF">
            <w:pPr>
              <w:widowControl/>
              <w:spacing w:before="156" w:beforeLines="50" w:after="156" w:afterLines="50"/>
              <w:jc w:val="left"/>
              <w:rPr>
                <w:rFonts w:ascii="宋体"/>
                <w:sz w:val="18"/>
                <w:szCs w:val="18"/>
              </w:rPr>
            </w:pPr>
            <w:r>
              <w:rPr>
                <w:rFonts w:hint="eastAsia" w:ascii="宋体"/>
                <w:sz w:val="18"/>
                <w:szCs w:val="18"/>
              </w:rPr>
              <w:t>2.《中华人民共和国内河避碰规则》（</w:t>
            </w:r>
            <w:r>
              <w:rPr>
                <w:rFonts w:ascii="宋体"/>
                <w:sz w:val="18"/>
                <w:szCs w:val="18"/>
              </w:rPr>
              <w:t>2003</w:t>
            </w:r>
            <w:r>
              <w:rPr>
                <w:rFonts w:hint="eastAsia" w:ascii="宋体"/>
                <w:sz w:val="18"/>
                <w:szCs w:val="18"/>
              </w:rPr>
              <w:t>修订本）第四条；</w:t>
            </w:r>
          </w:p>
          <w:p w14:paraId="22BAF356">
            <w:pPr>
              <w:widowControl/>
              <w:spacing w:before="156" w:beforeLines="50" w:after="156" w:afterLines="50"/>
              <w:jc w:val="left"/>
              <w:rPr>
                <w:rFonts w:ascii="宋体"/>
                <w:sz w:val="18"/>
                <w:szCs w:val="18"/>
              </w:rPr>
            </w:pPr>
            <w:r>
              <w:rPr>
                <w:rFonts w:hint="eastAsia" w:ascii="宋体"/>
                <w:sz w:val="18"/>
                <w:szCs w:val="18"/>
              </w:rPr>
              <w:t>3.海事管理机构发布的有关航行、避让和信号规则规定。</w:t>
            </w:r>
          </w:p>
        </w:tc>
        <w:tc>
          <w:tcPr>
            <w:tcW w:w="2079" w:type="dxa"/>
            <w:gridSpan w:val="2"/>
            <w:vMerge w:val="restart"/>
            <w:vAlign w:val="center"/>
          </w:tcPr>
          <w:p w14:paraId="11F5F4CF">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14:paraId="7301B6BC">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2.《中华人民共和国内河海事行政处罚规定》第十七条第一款和第二款第（十一）项；</w:t>
            </w:r>
          </w:p>
          <w:p w14:paraId="0388E0BF">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30" w:type="dxa"/>
            <w:vAlign w:val="center"/>
          </w:tcPr>
          <w:p w14:paraId="7D8E6832">
            <w:pPr>
              <w:spacing w:before="156" w:beforeLines="50" w:after="156" w:afterLines="50"/>
              <w:jc w:val="center"/>
              <w:rPr>
                <w:rFonts w:ascii="宋体"/>
                <w:kern w:val="0"/>
                <w:sz w:val="18"/>
                <w:szCs w:val="18"/>
              </w:rPr>
            </w:pPr>
            <w:r>
              <w:rPr>
                <w:rFonts w:hint="eastAsia" w:ascii="宋体"/>
                <w:kern w:val="0"/>
                <w:sz w:val="18"/>
                <w:szCs w:val="18"/>
              </w:rPr>
              <w:t>从轻</w:t>
            </w:r>
          </w:p>
        </w:tc>
        <w:tc>
          <w:tcPr>
            <w:tcW w:w="2789" w:type="dxa"/>
            <w:gridSpan w:val="2"/>
            <w:vAlign w:val="center"/>
          </w:tcPr>
          <w:p w14:paraId="4481A993">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924" w:type="dxa"/>
            <w:gridSpan w:val="2"/>
            <w:vAlign w:val="center"/>
          </w:tcPr>
          <w:p w14:paraId="16EA177A">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22" w:type="dxa"/>
            <w:gridSpan w:val="2"/>
            <w:vAlign w:val="center"/>
          </w:tcPr>
          <w:p w14:paraId="0D6E67C9">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882" w:type="dxa"/>
            <w:vAlign w:val="center"/>
          </w:tcPr>
          <w:p w14:paraId="1D5A3350">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21" w:type="dxa"/>
            <w:gridSpan w:val="2"/>
            <w:vAlign w:val="center"/>
          </w:tcPr>
          <w:p w14:paraId="4B839D74">
            <w:pPr>
              <w:spacing w:before="156" w:beforeLines="50" w:after="156" w:afterLines="50"/>
              <w:jc w:val="center"/>
              <w:rPr>
                <w:rFonts w:ascii="宋体"/>
                <w:kern w:val="0"/>
                <w:sz w:val="18"/>
                <w:szCs w:val="18"/>
              </w:rPr>
            </w:pPr>
            <w:r>
              <w:rPr>
                <w:rFonts w:ascii="宋体"/>
                <w:kern w:val="0"/>
                <w:sz w:val="18"/>
                <w:szCs w:val="18"/>
              </w:rPr>
              <w:t>/</w:t>
            </w:r>
          </w:p>
        </w:tc>
      </w:tr>
      <w:tr w14:paraId="0A455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714" w:type="dxa"/>
            <w:vMerge w:val="continue"/>
            <w:vAlign w:val="center"/>
          </w:tcPr>
          <w:p w14:paraId="2E7F51A0">
            <w:pPr>
              <w:spacing w:before="156" w:beforeLines="50" w:after="156" w:afterLines="50"/>
              <w:jc w:val="left"/>
              <w:rPr>
                <w:rFonts w:ascii="宋体"/>
                <w:kern w:val="0"/>
                <w:sz w:val="18"/>
                <w:szCs w:val="18"/>
              </w:rPr>
            </w:pPr>
          </w:p>
        </w:tc>
        <w:tc>
          <w:tcPr>
            <w:tcW w:w="990" w:type="dxa"/>
            <w:vMerge w:val="continue"/>
            <w:vAlign w:val="center"/>
          </w:tcPr>
          <w:p w14:paraId="2E10BA46">
            <w:pPr>
              <w:spacing w:before="156" w:beforeLines="50" w:after="156" w:afterLines="50"/>
              <w:jc w:val="left"/>
              <w:rPr>
                <w:rFonts w:ascii="宋体"/>
                <w:kern w:val="0"/>
                <w:sz w:val="18"/>
                <w:szCs w:val="18"/>
              </w:rPr>
            </w:pPr>
          </w:p>
        </w:tc>
        <w:tc>
          <w:tcPr>
            <w:tcW w:w="1770" w:type="dxa"/>
            <w:gridSpan w:val="2"/>
            <w:vMerge w:val="continue"/>
            <w:vAlign w:val="center"/>
          </w:tcPr>
          <w:p w14:paraId="0168026A">
            <w:pPr>
              <w:widowControl/>
              <w:spacing w:before="156" w:beforeLines="50" w:after="156" w:afterLines="50"/>
              <w:jc w:val="left"/>
              <w:rPr>
                <w:rFonts w:ascii="宋体"/>
                <w:kern w:val="0"/>
                <w:sz w:val="18"/>
                <w:szCs w:val="18"/>
              </w:rPr>
            </w:pPr>
          </w:p>
        </w:tc>
        <w:tc>
          <w:tcPr>
            <w:tcW w:w="2079" w:type="dxa"/>
            <w:gridSpan w:val="2"/>
            <w:vMerge w:val="continue"/>
            <w:vAlign w:val="center"/>
          </w:tcPr>
          <w:p w14:paraId="76B488C3">
            <w:pPr>
              <w:spacing w:before="156" w:beforeLines="50" w:after="156" w:afterLines="50"/>
              <w:jc w:val="left"/>
              <w:rPr>
                <w:rFonts w:ascii="宋体"/>
                <w:kern w:val="0"/>
                <w:sz w:val="18"/>
                <w:szCs w:val="18"/>
              </w:rPr>
            </w:pPr>
          </w:p>
        </w:tc>
        <w:tc>
          <w:tcPr>
            <w:tcW w:w="930" w:type="dxa"/>
            <w:vMerge w:val="restart"/>
            <w:vAlign w:val="center"/>
          </w:tcPr>
          <w:p w14:paraId="24EE736E">
            <w:pPr>
              <w:spacing w:before="156" w:beforeLines="50" w:after="156" w:afterLines="50"/>
              <w:jc w:val="center"/>
              <w:rPr>
                <w:rFonts w:ascii="宋体"/>
                <w:kern w:val="0"/>
                <w:sz w:val="18"/>
                <w:szCs w:val="18"/>
              </w:rPr>
            </w:pPr>
            <w:r>
              <w:rPr>
                <w:rFonts w:hint="eastAsia" w:ascii="宋体"/>
                <w:kern w:val="0"/>
                <w:sz w:val="18"/>
                <w:szCs w:val="18"/>
              </w:rPr>
              <w:t>一般</w:t>
            </w:r>
          </w:p>
        </w:tc>
        <w:tc>
          <w:tcPr>
            <w:tcW w:w="2789" w:type="dxa"/>
            <w:gridSpan w:val="2"/>
            <w:vAlign w:val="center"/>
          </w:tcPr>
          <w:p w14:paraId="6C231FAD">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不遵守海事管理机构发布的有关航行、避让和信号规则规定，未造成事故及险情的。</w:t>
            </w:r>
          </w:p>
        </w:tc>
        <w:tc>
          <w:tcPr>
            <w:tcW w:w="2924" w:type="dxa"/>
            <w:gridSpan w:val="2"/>
            <w:vAlign w:val="center"/>
          </w:tcPr>
          <w:p w14:paraId="74979BFE">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22" w:type="dxa"/>
            <w:gridSpan w:val="2"/>
            <w:vAlign w:val="center"/>
          </w:tcPr>
          <w:p w14:paraId="5AC0BA6D">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882" w:type="dxa"/>
            <w:vAlign w:val="center"/>
          </w:tcPr>
          <w:p w14:paraId="363C0998">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2721" w:type="dxa"/>
            <w:gridSpan w:val="2"/>
            <w:vAlign w:val="center"/>
          </w:tcPr>
          <w:p w14:paraId="489ACF94">
            <w:pPr>
              <w:spacing w:before="156" w:beforeLines="50" w:after="156" w:afterLines="50"/>
              <w:jc w:val="center"/>
              <w:rPr>
                <w:rFonts w:ascii="宋体"/>
                <w:kern w:val="0"/>
                <w:sz w:val="18"/>
                <w:szCs w:val="18"/>
              </w:rPr>
            </w:pPr>
            <w:r>
              <w:rPr>
                <w:rFonts w:ascii="宋体"/>
                <w:kern w:val="0"/>
                <w:sz w:val="18"/>
                <w:szCs w:val="18"/>
              </w:rPr>
              <w:t>/</w:t>
            </w:r>
          </w:p>
        </w:tc>
      </w:tr>
      <w:tr w14:paraId="2B5E2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714" w:type="dxa"/>
            <w:vMerge w:val="continue"/>
            <w:vAlign w:val="center"/>
          </w:tcPr>
          <w:p w14:paraId="26E4D600">
            <w:pPr>
              <w:spacing w:before="156" w:beforeLines="50" w:after="156" w:afterLines="50"/>
              <w:jc w:val="left"/>
              <w:rPr>
                <w:rFonts w:ascii="宋体"/>
                <w:kern w:val="0"/>
                <w:sz w:val="18"/>
                <w:szCs w:val="18"/>
              </w:rPr>
            </w:pPr>
          </w:p>
        </w:tc>
        <w:tc>
          <w:tcPr>
            <w:tcW w:w="990" w:type="dxa"/>
            <w:vMerge w:val="continue"/>
            <w:vAlign w:val="center"/>
          </w:tcPr>
          <w:p w14:paraId="53A94D7B">
            <w:pPr>
              <w:spacing w:before="156" w:beforeLines="50" w:after="156" w:afterLines="50"/>
              <w:jc w:val="left"/>
              <w:rPr>
                <w:rFonts w:ascii="宋体"/>
                <w:kern w:val="0"/>
                <w:sz w:val="18"/>
                <w:szCs w:val="18"/>
              </w:rPr>
            </w:pPr>
          </w:p>
        </w:tc>
        <w:tc>
          <w:tcPr>
            <w:tcW w:w="1770" w:type="dxa"/>
            <w:gridSpan w:val="2"/>
            <w:vMerge w:val="continue"/>
            <w:vAlign w:val="center"/>
          </w:tcPr>
          <w:p w14:paraId="0D1D8BB6">
            <w:pPr>
              <w:spacing w:before="156" w:beforeLines="50" w:after="156" w:afterLines="50"/>
              <w:jc w:val="left"/>
              <w:rPr>
                <w:rFonts w:ascii="宋体"/>
                <w:kern w:val="0"/>
                <w:sz w:val="18"/>
                <w:szCs w:val="18"/>
              </w:rPr>
            </w:pPr>
          </w:p>
        </w:tc>
        <w:tc>
          <w:tcPr>
            <w:tcW w:w="2079" w:type="dxa"/>
            <w:gridSpan w:val="2"/>
            <w:vMerge w:val="continue"/>
            <w:vAlign w:val="center"/>
          </w:tcPr>
          <w:p w14:paraId="4EF87EA3">
            <w:pPr>
              <w:spacing w:before="156" w:beforeLines="50" w:after="156" w:afterLines="50"/>
              <w:jc w:val="left"/>
              <w:rPr>
                <w:rFonts w:ascii="宋体"/>
                <w:kern w:val="0"/>
                <w:sz w:val="18"/>
                <w:szCs w:val="18"/>
              </w:rPr>
            </w:pPr>
          </w:p>
        </w:tc>
        <w:tc>
          <w:tcPr>
            <w:tcW w:w="930" w:type="dxa"/>
            <w:vMerge w:val="continue"/>
            <w:vAlign w:val="center"/>
          </w:tcPr>
          <w:p w14:paraId="2B898845">
            <w:pPr>
              <w:spacing w:before="156" w:beforeLines="50" w:after="156" w:afterLines="50"/>
              <w:jc w:val="center"/>
              <w:rPr>
                <w:rFonts w:ascii="宋体"/>
                <w:kern w:val="0"/>
                <w:sz w:val="18"/>
                <w:szCs w:val="18"/>
              </w:rPr>
            </w:pPr>
          </w:p>
        </w:tc>
        <w:tc>
          <w:tcPr>
            <w:tcW w:w="2789" w:type="dxa"/>
            <w:gridSpan w:val="2"/>
            <w:vAlign w:val="center"/>
          </w:tcPr>
          <w:p w14:paraId="5A718F3A">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不遵守海事管理机构发布的有关航行、避让和信号规则规定，造成一般以下等级水上交通事故及险情的。</w:t>
            </w:r>
          </w:p>
        </w:tc>
        <w:tc>
          <w:tcPr>
            <w:tcW w:w="2924" w:type="dxa"/>
            <w:gridSpan w:val="2"/>
            <w:vAlign w:val="center"/>
          </w:tcPr>
          <w:p w14:paraId="023CAEE2">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22" w:type="dxa"/>
            <w:gridSpan w:val="2"/>
            <w:vAlign w:val="center"/>
          </w:tcPr>
          <w:p w14:paraId="7BD89600">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882" w:type="dxa"/>
            <w:vAlign w:val="center"/>
          </w:tcPr>
          <w:p w14:paraId="1D0CAA90">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721" w:type="dxa"/>
            <w:gridSpan w:val="2"/>
            <w:vAlign w:val="center"/>
          </w:tcPr>
          <w:p w14:paraId="7D0D75E1">
            <w:pPr>
              <w:spacing w:before="156" w:beforeLines="50" w:after="156" w:afterLines="50"/>
              <w:jc w:val="center"/>
              <w:rPr>
                <w:rFonts w:ascii="宋体"/>
                <w:kern w:val="0"/>
                <w:sz w:val="18"/>
                <w:szCs w:val="18"/>
              </w:rPr>
            </w:pPr>
            <w:r>
              <w:rPr>
                <w:rFonts w:ascii="宋体"/>
                <w:kern w:val="0"/>
                <w:sz w:val="18"/>
                <w:szCs w:val="18"/>
              </w:rPr>
              <w:t>/</w:t>
            </w:r>
          </w:p>
        </w:tc>
      </w:tr>
      <w:tr w14:paraId="335B5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5" w:hRule="atLeast"/>
          <w:jc w:val="center"/>
        </w:trPr>
        <w:tc>
          <w:tcPr>
            <w:tcW w:w="714" w:type="dxa"/>
            <w:vMerge w:val="continue"/>
            <w:vAlign w:val="center"/>
          </w:tcPr>
          <w:p w14:paraId="15CD7BA7">
            <w:pPr>
              <w:spacing w:before="156" w:beforeLines="50" w:after="156" w:afterLines="50"/>
              <w:jc w:val="left"/>
              <w:rPr>
                <w:rFonts w:ascii="宋体"/>
                <w:kern w:val="0"/>
                <w:sz w:val="18"/>
                <w:szCs w:val="18"/>
              </w:rPr>
            </w:pPr>
          </w:p>
        </w:tc>
        <w:tc>
          <w:tcPr>
            <w:tcW w:w="990" w:type="dxa"/>
            <w:vMerge w:val="continue"/>
            <w:vAlign w:val="center"/>
          </w:tcPr>
          <w:p w14:paraId="44B8D111">
            <w:pPr>
              <w:spacing w:before="156" w:beforeLines="50" w:after="156" w:afterLines="50"/>
              <w:jc w:val="left"/>
              <w:rPr>
                <w:rFonts w:ascii="宋体"/>
                <w:kern w:val="0"/>
                <w:sz w:val="18"/>
                <w:szCs w:val="18"/>
              </w:rPr>
            </w:pPr>
          </w:p>
        </w:tc>
        <w:tc>
          <w:tcPr>
            <w:tcW w:w="1770" w:type="dxa"/>
            <w:gridSpan w:val="2"/>
            <w:vMerge w:val="continue"/>
            <w:vAlign w:val="center"/>
          </w:tcPr>
          <w:p w14:paraId="77DB8D5B">
            <w:pPr>
              <w:spacing w:before="156" w:beforeLines="50" w:after="156" w:afterLines="50"/>
              <w:jc w:val="left"/>
              <w:rPr>
                <w:rFonts w:ascii="宋体"/>
                <w:kern w:val="0"/>
                <w:sz w:val="18"/>
                <w:szCs w:val="18"/>
              </w:rPr>
            </w:pPr>
          </w:p>
        </w:tc>
        <w:tc>
          <w:tcPr>
            <w:tcW w:w="2079" w:type="dxa"/>
            <w:gridSpan w:val="2"/>
            <w:vMerge w:val="continue"/>
            <w:vAlign w:val="center"/>
          </w:tcPr>
          <w:p w14:paraId="6EBFCC1E">
            <w:pPr>
              <w:spacing w:before="156" w:beforeLines="50" w:after="156" w:afterLines="50"/>
              <w:jc w:val="left"/>
              <w:rPr>
                <w:rFonts w:ascii="宋体"/>
                <w:kern w:val="0"/>
                <w:sz w:val="18"/>
                <w:szCs w:val="18"/>
              </w:rPr>
            </w:pPr>
          </w:p>
        </w:tc>
        <w:tc>
          <w:tcPr>
            <w:tcW w:w="930" w:type="dxa"/>
            <w:vMerge w:val="restart"/>
            <w:vAlign w:val="center"/>
          </w:tcPr>
          <w:p w14:paraId="112B2A76">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2789" w:type="dxa"/>
            <w:gridSpan w:val="2"/>
            <w:tcBorders>
              <w:bottom w:val="single" w:color="auto" w:sz="4" w:space="0"/>
            </w:tcBorders>
            <w:vAlign w:val="center"/>
          </w:tcPr>
          <w:p w14:paraId="017DA980">
            <w:pPr>
              <w:widowControl/>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不遵守海事管理机构发布的有关航行、避让和信号规则规定，造成一般及以上等级水上交通事故的。</w:t>
            </w:r>
          </w:p>
        </w:tc>
        <w:tc>
          <w:tcPr>
            <w:tcW w:w="2924" w:type="dxa"/>
            <w:gridSpan w:val="2"/>
            <w:vMerge w:val="restart"/>
            <w:vAlign w:val="center"/>
          </w:tcPr>
          <w:p w14:paraId="35AE2D79">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22" w:type="dxa"/>
            <w:gridSpan w:val="2"/>
            <w:vMerge w:val="restart"/>
            <w:vAlign w:val="center"/>
          </w:tcPr>
          <w:p w14:paraId="2C7A769E">
            <w:pPr>
              <w:spacing w:before="156" w:beforeLines="50" w:after="156" w:afterLines="50"/>
              <w:jc w:val="left"/>
              <w:rPr>
                <w:rFonts w:ascii="宋体"/>
                <w:sz w:val="18"/>
                <w:szCs w:val="18"/>
              </w:rPr>
            </w:pPr>
            <w:r>
              <w:rPr>
                <w:rFonts w:ascii="宋体"/>
                <w:sz w:val="18"/>
                <w:szCs w:val="18"/>
              </w:rPr>
              <w:t>6000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882" w:type="dxa"/>
            <w:vMerge w:val="restart"/>
            <w:vAlign w:val="center"/>
          </w:tcPr>
          <w:p w14:paraId="0E2579BF">
            <w:pPr>
              <w:spacing w:before="156" w:beforeLines="50" w:after="156" w:afterLines="50"/>
              <w:jc w:val="left"/>
              <w:rPr>
                <w:rFonts w:ascii="宋体"/>
                <w:spacing w:val="-4"/>
                <w:kern w:val="0"/>
                <w:sz w:val="18"/>
                <w:szCs w:val="18"/>
              </w:rPr>
            </w:pPr>
            <w:r>
              <w:rPr>
                <w:rFonts w:ascii="宋体"/>
                <w:spacing w:val="-4"/>
                <w:kern w:val="0"/>
                <w:sz w:val="18"/>
                <w:szCs w:val="18"/>
              </w:rPr>
              <w:t>8000</w:t>
            </w:r>
            <w:r>
              <w:rPr>
                <w:rFonts w:hint="eastAsia" w:ascii="宋体"/>
                <w:spacing w:val="-4"/>
                <w:kern w:val="0"/>
                <w:sz w:val="18"/>
                <w:szCs w:val="18"/>
              </w:rPr>
              <w:t>元及以上</w:t>
            </w:r>
            <w:r>
              <w:rPr>
                <w:rFonts w:ascii="宋体"/>
                <w:spacing w:val="-4"/>
                <w:kern w:val="0"/>
                <w:sz w:val="18"/>
                <w:szCs w:val="18"/>
              </w:rPr>
              <w:t>1</w:t>
            </w:r>
            <w:r>
              <w:rPr>
                <w:rFonts w:hint="eastAsia" w:ascii="宋体"/>
                <w:spacing w:val="-4"/>
                <w:kern w:val="0"/>
                <w:sz w:val="18"/>
                <w:szCs w:val="18"/>
              </w:rPr>
              <w:t>万元及以下</w:t>
            </w:r>
          </w:p>
        </w:tc>
        <w:tc>
          <w:tcPr>
            <w:tcW w:w="2721" w:type="dxa"/>
            <w:gridSpan w:val="2"/>
            <w:tcBorders>
              <w:bottom w:val="single" w:color="auto" w:sz="4" w:space="0"/>
            </w:tcBorders>
            <w:vAlign w:val="center"/>
          </w:tcPr>
          <w:p w14:paraId="032F445C">
            <w:pPr>
              <w:spacing w:before="156" w:beforeLines="50" w:after="156" w:afterLines="50"/>
              <w:jc w:val="left"/>
              <w:rPr>
                <w:rFonts w:ascii="宋体"/>
                <w:kern w:val="0"/>
                <w:sz w:val="18"/>
                <w:szCs w:val="18"/>
              </w:rPr>
            </w:pPr>
            <w:r>
              <w:rPr>
                <w:rFonts w:hint="eastAsia" w:ascii="宋体"/>
                <w:kern w:val="0"/>
                <w:sz w:val="18"/>
                <w:szCs w:val="18"/>
              </w:rPr>
              <w:t>不遵守海事管理机构发布的有关航行、避让和信号规则规定，造成一般及以上等级水上交通事故的，暂扣直至吊销证书处罚的裁量按照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6AF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714" w:type="dxa"/>
            <w:vMerge w:val="continue"/>
            <w:vAlign w:val="center"/>
          </w:tcPr>
          <w:p w14:paraId="64C355A9">
            <w:pPr>
              <w:spacing w:before="156" w:beforeLines="50" w:after="156" w:afterLines="50"/>
              <w:jc w:val="left"/>
              <w:rPr>
                <w:rFonts w:ascii="宋体"/>
                <w:kern w:val="0"/>
                <w:sz w:val="18"/>
                <w:szCs w:val="18"/>
              </w:rPr>
            </w:pPr>
          </w:p>
        </w:tc>
        <w:tc>
          <w:tcPr>
            <w:tcW w:w="990" w:type="dxa"/>
            <w:vMerge w:val="continue"/>
            <w:vAlign w:val="center"/>
          </w:tcPr>
          <w:p w14:paraId="262485D0">
            <w:pPr>
              <w:spacing w:before="156" w:beforeLines="50" w:after="156" w:afterLines="50"/>
              <w:jc w:val="left"/>
              <w:rPr>
                <w:rFonts w:ascii="宋体"/>
                <w:kern w:val="0"/>
                <w:sz w:val="18"/>
                <w:szCs w:val="18"/>
              </w:rPr>
            </w:pPr>
          </w:p>
        </w:tc>
        <w:tc>
          <w:tcPr>
            <w:tcW w:w="1770" w:type="dxa"/>
            <w:gridSpan w:val="2"/>
            <w:vMerge w:val="continue"/>
            <w:vAlign w:val="center"/>
          </w:tcPr>
          <w:p w14:paraId="16191FFA">
            <w:pPr>
              <w:spacing w:before="156" w:beforeLines="50" w:after="156" w:afterLines="50"/>
              <w:jc w:val="left"/>
              <w:rPr>
                <w:rFonts w:ascii="宋体"/>
                <w:kern w:val="0"/>
                <w:sz w:val="18"/>
                <w:szCs w:val="18"/>
              </w:rPr>
            </w:pPr>
          </w:p>
        </w:tc>
        <w:tc>
          <w:tcPr>
            <w:tcW w:w="2079" w:type="dxa"/>
            <w:gridSpan w:val="2"/>
            <w:vMerge w:val="continue"/>
            <w:vAlign w:val="center"/>
          </w:tcPr>
          <w:p w14:paraId="56093672">
            <w:pPr>
              <w:spacing w:before="156" w:beforeLines="50" w:after="156" w:afterLines="50"/>
              <w:jc w:val="left"/>
              <w:rPr>
                <w:rFonts w:ascii="宋体"/>
                <w:kern w:val="0"/>
                <w:sz w:val="18"/>
                <w:szCs w:val="18"/>
              </w:rPr>
            </w:pPr>
          </w:p>
        </w:tc>
        <w:tc>
          <w:tcPr>
            <w:tcW w:w="930" w:type="dxa"/>
            <w:vMerge w:val="continue"/>
            <w:vAlign w:val="center"/>
          </w:tcPr>
          <w:p w14:paraId="3ED32A09">
            <w:pPr>
              <w:spacing w:before="156" w:beforeLines="50" w:after="156" w:afterLines="50"/>
              <w:jc w:val="center"/>
              <w:rPr>
                <w:rFonts w:ascii="宋体"/>
                <w:kern w:val="0"/>
                <w:sz w:val="18"/>
                <w:szCs w:val="18"/>
              </w:rPr>
            </w:pPr>
          </w:p>
        </w:tc>
        <w:tc>
          <w:tcPr>
            <w:tcW w:w="2789" w:type="dxa"/>
            <w:gridSpan w:val="2"/>
            <w:tcBorders>
              <w:top w:val="single" w:color="auto" w:sz="4" w:space="0"/>
            </w:tcBorders>
            <w:vAlign w:val="center"/>
          </w:tcPr>
          <w:p w14:paraId="466BFC21">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924" w:type="dxa"/>
            <w:gridSpan w:val="2"/>
            <w:vMerge w:val="continue"/>
            <w:vAlign w:val="center"/>
          </w:tcPr>
          <w:p w14:paraId="00D52BDD">
            <w:pPr>
              <w:spacing w:before="156" w:beforeLines="50" w:after="156" w:afterLines="50"/>
              <w:jc w:val="left"/>
              <w:rPr>
                <w:rFonts w:ascii="宋体"/>
                <w:sz w:val="18"/>
                <w:szCs w:val="18"/>
              </w:rPr>
            </w:pPr>
          </w:p>
        </w:tc>
        <w:tc>
          <w:tcPr>
            <w:tcW w:w="2722" w:type="dxa"/>
            <w:gridSpan w:val="2"/>
            <w:vMerge w:val="continue"/>
            <w:vAlign w:val="center"/>
          </w:tcPr>
          <w:p w14:paraId="5D624ACE">
            <w:pPr>
              <w:spacing w:before="156" w:beforeLines="50" w:after="156" w:afterLines="50"/>
              <w:jc w:val="left"/>
              <w:rPr>
                <w:rFonts w:ascii="宋体"/>
                <w:sz w:val="18"/>
                <w:szCs w:val="18"/>
              </w:rPr>
            </w:pPr>
          </w:p>
        </w:tc>
        <w:tc>
          <w:tcPr>
            <w:tcW w:w="2882" w:type="dxa"/>
            <w:vMerge w:val="continue"/>
            <w:vAlign w:val="center"/>
          </w:tcPr>
          <w:p w14:paraId="1B42ADEA">
            <w:pPr>
              <w:spacing w:before="156" w:beforeLines="50" w:after="156" w:afterLines="50"/>
              <w:jc w:val="left"/>
              <w:rPr>
                <w:rFonts w:ascii="宋体"/>
                <w:spacing w:val="-4"/>
                <w:kern w:val="0"/>
                <w:sz w:val="18"/>
                <w:szCs w:val="18"/>
              </w:rPr>
            </w:pPr>
          </w:p>
        </w:tc>
        <w:tc>
          <w:tcPr>
            <w:tcW w:w="2721" w:type="dxa"/>
            <w:gridSpan w:val="2"/>
            <w:tcBorders>
              <w:top w:val="single" w:color="auto" w:sz="4" w:space="0"/>
            </w:tcBorders>
            <w:vAlign w:val="center"/>
          </w:tcPr>
          <w:p w14:paraId="06A65D5D">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528CA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772" w:hRule="atLeast"/>
          <w:jc w:val="center"/>
        </w:trPr>
        <w:tc>
          <w:tcPr>
            <w:tcW w:w="716" w:type="dxa"/>
            <w:vMerge w:val="restart"/>
            <w:vAlign w:val="center"/>
          </w:tcPr>
          <w:p w14:paraId="06B7594D">
            <w:pPr>
              <w:spacing w:before="156" w:beforeLines="50" w:after="156" w:afterLines="50"/>
              <w:jc w:val="center"/>
              <w:rPr>
                <w:rFonts w:ascii="宋体"/>
                <w:b/>
                <w:kern w:val="0"/>
                <w:sz w:val="18"/>
                <w:szCs w:val="18"/>
              </w:rPr>
            </w:pPr>
            <w:r>
              <w:rPr>
                <w:rFonts w:ascii="宋体"/>
                <w:b/>
                <w:sz w:val="18"/>
                <w:szCs w:val="18"/>
              </w:rPr>
              <w:br w:type="page"/>
            </w:r>
            <w:r>
              <w:rPr>
                <w:rFonts w:hint="eastAsia" w:ascii="宋体"/>
                <w:b/>
                <w:kern w:val="0"/>
                <w:sz w:val="18"/>
                <w:szCs w:val="18"/>
              </w:rPr>
              <w:t>序号</w:t>
            </w:r>
          </w:p>
        </w:tc>
        <w:tc>
          <w:tcPr>
            <w:tcW w:w="1998" w:type="dxa"/>
            <w:gridSpan w:val="2"/>
            <w:vMerge w:val="restart"/>
            <w:vAlign w:val="center"/>
          </w:tcPr>
          <w:p w14:paraId="7BDF3D6E">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5"/>
            <w:vMerge w:val="restart"/>
            <w:vAlign w:val="center"/>
          </w:tcPr>
          <w:p w14:paraId="15BAC9F1">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gridSpan w:val="2"/>
            <w:vMerge w:val="restart"/>
            <w:vAlign w:val="center"/>
          </w:tcPr>
          <w:p w14:paraId="69F20144">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805" w:type="dxa"/>
            <w:gridSpan w:val="2"/>
            <w:vMerge w:val="restart"/>
            <w:vAlign w:val="center"/>
          </w:tcPr>
          <w:p w14:paraId="36053560">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F8B2D65">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gridSpan w:val="3"/>
            <w:vAlign w:val="center"/>
          </w:tcPr>
          <w:p w14:paraId="3557ED11">
            <w:pPr>
              <w:spacing w:before="156" w:beforeLines="50" w:after="156" w:afterLines="50"/>
              <w:rPr>
                <w:rFonts w:ascii="宋体"/>
                <w:b/>
                <w:kern w:val="0"/>
                <w:sz w:val="18"/>
                <w:szCs w:val="18"/>
              </w:rPr>
            </w:pPr>
            <w:r>
              <w:rPr>
                <w:rFonts w:hint="eastAsia" w:ascii="宋体"/>
                <w:b/>
                <w:kern w:val="0"/>
                <w:sz w:val="18"/>
                <w:szCs w:val="18"/>
              </w:rPr>
              <w:t>【法定幅度和种类】责令立即停止作业或活动，责令限期改正，</w:t>
            </w:r>
            <w:r>
              <w:rPr>
                <w:rFonts w:hint="eastAsia" w:ascii="宋体"/>
                <w:b/>
                <w:sz w:val="18"/>
                <w:szCs w:val="18"/>
              </w:rPr>
              <w:t>处5000元以上5万元以下的罚款。</w:t>
            </w:r>
          </w:p>
        </w:tc>
      </w:tr>
      <w:tr w14:paraId="5826A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738" w:hRule="atLeast"/>
          <w:jc w:val="center"/>
        </w:trPr>
        <w:tc>
          <w:tcPr>
            <w:tcW w:w="716" w:type="dxa"/>
            <w:vMerge w:val="continue"/>
            <w:vAlign w:val="center"/>
          </w:tcPr>
          <w:p w14:paraId="489044E9">
            <w:pPr>
              <w:spacing w:before="156" w:beforeLines="50" w:after="156" w:afterLines="50"/>
              <w:jc w:val="center"/>
              <w:rPr>
                <w:rFonts w:ascii="宋体"/>
                <w:b/>
                <w:kern w:val="0"/>
                <w:sz w:val="18"/>
                <w:szCs w:val="18"/>
              </w:rPr>
            </w:pPr>
          </w:p>
        </w:tc>
        <w:tc>
          <w:tcPr>
            <w:tcW w:w="1998" w:type="dxa"/>
            <w:gridSpan w:val="2"/>
            <w:vMerge w:val="continue"/>
            <w:vAlign w:val="center"/>
          </w:tcPr>
          <w:p w14:paraId="0EDCDF24">
            <w:pPr>
              <w:spacing w:before="156" w:beforeLines="50" w:after="156" w:afterLines="50"/>
              <w:jc w:val="center"/>
              <w:rPr>
                <w:rFonts w:ascii="宋体"/>
                <w:b/>
                <w:kern w:val="0"/>
                <w:sz w:val="18"/>
                <w:szCs w:val="18"/>
              </w:rPr>
            </w:pPr>
          </w:p>
        </w:tc>
        <w:tc>
          <w:tcPr>
            <w:tcW w:w="5988" w:type="dxa"/>
            <w:gridSpan w:val="5"/>
            <w:vMerge w:val="continue"/>
            <w:vAlign w:val="center"/>
          </w:tcPr>
          <w:p w14:paraId="79F2A391">
            <w:pPr>
              <w:spacing w:before="156" w:beforeLines="50" w:after="156" w:afterLines="50"/>
              <w:jc w:val="center"/>
              <w:rPr>
                <w:rFonts w:ascii="宋体"/>
                <w:b/>
                <w:kern w:val="0"/>
                <w:sz w:val="18"/>
                <w:szCs w:val="18"/>
              </w:rPr>
            </w:pPr>
          </w:p>
        </w:tc>
        <w:tc>
          <w:tcPr>
            <w:tcW w:w="998" w:type="dxa"/>
            <w:gridSpan w:val="2"/>
            <w:vMerge w:val="continue"/>
            <w:vAlign w:val="center"/>
          </w:tcPr>
          <w:p w14:paraId="76A934E8">
            <w:pPr>
              <w:spacing w:before="156" w:beforeLines="50" w:after="156" w:afterLines="50"/>
              <w:jc w:val="left"/>
              <w:rPr>
                <w:rFonts w:ascii="宋体"/>
                <w:b/>
                <w:kern w:val="0"/>
                <w:sz w:val="18"/>
                <w:szCs w:val="18"/>
              </w:rPr>
            </w:pPr>
          </w:p>
        </w:tc>
        <w:tc>
          <w:tcPr>
            <w:tcW w:w="4805" w:type="dxa"/>
            <w:gridSpan w:val="2"/>
            <w:vMerge w:val="continue"/>
            <w:vAlign w:val="center"/>
          </w:tcPr>
          <w:p w14:paraId="5DFD8A6F">
            <w:pPr>
              <w:spacing w:before="156" w:beforeLines="50" w:after="156" w:afterLines="50"/>
              <w:jc w:val="left"/>
              <w:rPr>
                <w:rFonts w:ascii="宋体"/>
                <w:b/>
                <w:kern w:val="0"/>
                <w:sz w:val="18"/>
                <w:szCs w:val="18"/>
              </w:rPr>
            </w:pPr>
          </w:p>
        </w:tc>
        <w:tc>
          <w:tcPr>
            <w:tcW w:w="5015" w:type="dxa"/>
            <w:gridSpan w:val="3"/>
            <w:vAlign w:val="center"/>
          </w:tcPr>
          <w:p w14:paraId="611D5F74">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BD1F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926" w:hRule="atLeast"/>
          <w:jc w:val="center"/>
        </w:trPr>
        <w:tc>
          <w:tcPr>
            <w:tcW w:w="716" w:type="dxa"/>
            <w:vMerge w:val="continue"/>
            <w:vAlign w:val="center"/>
          </w:tcPr>
          <w:p w14:paraId="587C122B">
            <w:pPr>
              <w:spacing w:before="156" w:beforeLines="50" w:after="156" w:afterLines="50"/>
              <w:jc w:val="center"/>
              <w:rPr>
                <w:rFonts w:ascii="宋体"/>
                <w:b/>
                <w:kern w:val="0"/>
                <w:sz w:val="18"/>
                <w:szCs w:val="18"/>
              </w:rPr>
            </w:pPr>
          </w:p>
        </w:tc>
        <w:tc>
          <w:tcPr>
            <w:tcW w:w="1998" w:type="dxa"/>
            <w:gridSpan w:val="2"/>
            <w:vMerge w:val="continue"/>
            <w:vAlign w:val="center"/>
          </w:tcPr>
          <w:p w14:paraId="7F90F988">
            <w:pPr>
              <w:spacing w:before="156" w:beforeLines="50" w:after="156" w:afterLines="50"/>
              <w:jc w:val="center"/>
              <w:rPr>
                <w:rFonts w:ascii="宋体"/>
                <w:b/>
                <w:kern w:val="0"/>
                <w:sz w:val="18"/>
                <w:szCs w:val="18"/>
              </w:rPr>
            </w:pPr>
          </w:p>
        </w:tc>
        <w:tc>
          <w:tcPr>
            <w:tcW w:w="2818" w:type="dxa"/>
            <w:gridSpan w:val="2"/>
            <w:vAlign w:val="center"/>
          </w:tcPr>
          <w:p w14:paraId="3A46C91B">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gridSpan w:val="3"/>
            <w:vAlign w:val="center"/>
          </w:tcPr>
          <w:p w14:paraId="568E0976">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gridSpan w:val="2"/>
            <w:vMerge w:val="continue"/>
            <w:vAlign w:val="center"/>
          </w:tcPr>
          <w:p w14:paraId="638F43C8">
            <w:pPr>
              <w:spacing w:before="156" w:beforeLines="50" w:after="156" w:afterLines="50"/>
              <w:jc w:val="left"/>
              <w:rPr>
                <w:rFonts w:ascii="宋体"/>
                <w:b/>
                <w:kern w:val="0"/>
                <w:sz w:val="18"/>
                <w:szCs w:val="18"/>
              </w:rPr>
            </w:pPr>
          </w:p>
        </w:tc>
        <w:tc>
          <w:tcPr>
            <w:tcW w:w="4805" w:type="dxa"/>
            <w:gridSpan w:val="2"/>
            <w:vMerge w:val="continue"/>
            <w:vAlign w:val="center"/>
          </w:tcPr>
          <w:p w14:paraId="63F624F0">
            <w:pPr>
              <w:spacing w:before="156" w:beforeLines="50" w:after="156" w:afterLines="50"/>
              <w:jc w:val="left"/>
              <w:rPr>
                <w:rFonts w:ascii="宋体"/>
                <w:b/>
                <w:kern w:val="0"/>
                <w:sz w:val="18"/>
                <w:szCs w:val="18"/>
              </w:rPr>
            </w:pPr>
          </w:p>
        </w:tc>
        <w:tc>
          <w:tcPr>
            <w:tcW w:w="5015" w:type="dxa"/>
            <w:gridSpan w:val="3"/>
            <w:vAlign w:val="center"/>
          </w:tcPr>
          <w:p w14:paraId="378BB57E">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14:paraId="448B6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183" w:hRule="atLeast"/>
          <w:jc w:val="center"/>
        </w:trPr>
        <w:tc>
          <w:tcPr>
            <w:tcW w:w="716" w:type="dxa"/>
            <w:vMerge w:val="restart"/>
            <w:vAlign w:val="center"/>
          </w:tcPr>
          <w:p w14:paraId="0883108C">
            <w:pPr>
              <w:spacing w:before="156" w:beforeLines="50" w:after="156" w:afterLines="50"/>
              <w:jc w:val="center"/>
              <w:rPr>
                <w:rFonts w:ascii="宋体"/>
                <w:kern w:val="0"/>
                <w:sz w:val="18"/>
                <w:szCs w:val="18"/>
              </w:rPr>
            </w:pPr>
            <w:r>
              <w:rPr>
                <w:rFonts w:hint="eastAsia" w:ascii="宋体"/>
                <w:kern w:val="0"/>
                <w:sz w:val="18"/>
                <w:szCs w:val="18"/>
              </w:rPr>
              <w:t>11</w:t>
            </w:r>
          </w:p>
        </w:tc>
        <w:tc>
          <w:tcPr>
            <w:tcW w:w="1998" w:type="dxa"/>
            <w:gridSpan w:val="2"/>
            <w:vMerge w:val="restart"/>
            <w:vAlign w:val="center"/>
          </w:tcPr>
          <w:p w14:paraId="1F31EFCB">
            <w:pPr>
              <w:spacing w:before="156" w:beforeLines="50" w:after="156" w:afterLines="50"/>
              <w:jc w:val="left"/>
              <w:rPr>
                <w:rFonts w:ascii="宋体"/>
                <w:kern w:val="0"/>
                <w:sz w:val="18"/>
                <w:szCs w:val="18"/>
              </w:rPr>
            </w:pPr>
            <w:r>
              <w:rPr>
                <w:rFonts w:hint="eastAsia" w:ascii="宋体"/>
                <w:kern w:val="0"/>
                <w:sz w:val="18"/>
                <w:szCs w:val="18"/>
              </w:rPr>
              <w:t>应申请许可证而未取得，擅自进行水上水下作业或者活动的</w:t>
            </w:r>
          </w:p>
        </w:tc>
        <w:tc>
          <w:tcPr>
            <w:tcW w:w="2818" w:type="dxa"/>
            <w:gridSpan w:val="2"/>
            <w:vMerge w:val="restart"/>
            <w:vAlign w:val="center"/>
          </w:tcPr>
          <w:p w14:paraId="6FBA3361">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gridSpan w:val="3"/>
            <w:vMerge w:val="restart"/>
            <w:vAlign w:val="center"/>
          </w:tcPr>
          <w:p w14:paraId="137CCFA8">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1.《中华人民共和国水上水下作业和活动通航安全管理规定》第三十二条第（一）项；</w:t>
            </w:r>
          </w:p>
          <w:p w14:paraId="190C27D4">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gridSpan w:val="2"/>
            <w:vAlign w:val="center"/>
          </w:tcPr>
          <w:p w14:paraId="0595A428">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gridSpan w:val="2"/>
            <w:vAlign w:val="center"/>
          </w:tcPr>
          <w:p w14:paraId="16CC9443">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015" w:type="dxa"/>
            <w:gridSpan w:val="3"/>
            <w:vAlign w:val="center"/>
          </w:tcPr>
          <w:p w14:paraId="50A22009">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648C9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139" w:hRule="atLeast"/>
          <w:jc w:val="center"/>
        </w:trPr>
        <w:tc>
          <w:tcPr>
            <w:tcW w:w="716" w:type="dxa"/>
            <w:vMerge w:val="continue"/>
            <w:vAlign w:val="center"/>
          </w:tcPr>
          <w:p w14:paraId="3F784264">
            <w:pPr>
              <w:spacing w:before="156" w:beforeLines="50" w:after="156" w:afterLines="50"/>
              <w:jc w:val="left"/>
              <w:rPr>
                <w:rFonts w:ascii="宋体"/>
                <w:kern w:val="0"/>
                <w:sz w:val="18"/>
                <w:szCs w:val="18"/>
              </w:rPr>
            </w:pPr>
          </w:p>
        </w:tc>
        <w:tc>
          <w:tcPr>
            <w:tcW w:w="1998" w:type="dxa"/>
            <w:gridSpan w:val="2"/>
            <w:vMerge w:val="continue"/>
            <w:vAlign w:val="center"/>
          </w:tcPr>
          <w:p w14:paraId="3A232018">
            <w:pPr>
              <w:spacing w:before="156" w:beforeLines="50" w:after="156" w:afterLines="50"/>
              <w:jc w:val="left"/>
              <w:rPr>
                <w:rFonts w:ascii="宋体"/>
                <w:kern w:val="0"/>
                <w:sz w:val="18"/>
                <w:szCs w:val="18"/>
              </w:rPr>
            </w:pPr>
          </w:p>
        </w:tc>
        <w:tc>
          <w:tcPr>
            <w:tcW w:w="2818" w:type="dxa"/>
            <w:gridSpan w:val="2"/>
            <w:vMerge w:val="continue"/>
            <w:vAlign w:val="center"/>
          </w:tcPr>
          <w:p w14:paraId="74645069">
            <w:pPr>
              <w:widowControl/>
              <w:spacing w:before="156" w:beforeLines="50" w:after="156" w:afterLines="50"/>
              <w:jc w:val="left"/>
              <w:rPr>
                <w:rFonts w:ascii="宋体"/>
                <w:kern w:val="0"/>
                <w:sz w:val="18"/>
                <w:szCs w:val="18"/>
              </w:rPr>
            </w:pPr>
          </w:p>
        </w:tc>
        <w:tc>
          <w:tcPr>
            <w:tcW w:w="3170" w:type="dxa"/>
            <w:gridSpan w:val="3"/>
            <w:vMerge w:val="continue"/>
            <w:vAlign w:val="center"/>
          </w:tcPr>
          <w:p w14:paraId="4C249614">
            <w:pPr>
              <w:spacing w:before="156" w:beforeLines="50" w:after="156" w:afterLines="50"/>
              <w:jc w:val="left"/>
              <w:rPr>
                <w:rFonts w:ascii="宋体"/>
                <w:kern w:val="0"/>
                <w:sz w:val="18"/>
                <w:szCs w:val="18"/>
              </w:rPr>
            </w:pPr>
          </w:p>
        </w:tc>
        <w:tc>
          <w:tcPr>
            <w:tcW w:w="998" w:type="dxa"/>
            <w:gridSpan w:val="2"/>
            <w:vMerge w:val="restart"/>
            <w:vAlign w:val="center"/>
          </w:tcPr>
          <w:p w14:paraId="7FFF437D">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gridSpan w:val="2"/>
            <w:vAlign w:val="center"/>
          </w:tcPr>
          <w:p w14:paraId="2D9633E6">
            <w:pPr>
              <w:widowControl/>
              <w:spacing w:before="156" w:beforeLines="50" w:after="156" w:afterLines="50"/>
              <w:jc w:val="left"/>
              <w:rPr>
                <w:rFonts w:ascii="宋体"/>
                <w:kern w:val="0"/>
                <w:sz w:val="18"/>
                <w:szCs w:val="18"/>
              </w:rPr>
            </w:pPr>
            <w:r>
              <w:rPr>
                <w:rFonts w:hint="eastAsia" w:ascii="宋体"/>
                <w:kern w:val="0"/>
                <w:sz w:val="18"/>
                <w:szCs w:val="18"/>
              </w:rPr>
              <w:t>未经许可擅自进行水上水下作业或者活动的。</w:t>
            </w:r>
          </w:p>
        </w:tc>
        <w:tc>
          <w:tcPr>
            <w:tcW w:w="5015" w:type="dxa"/>
            <w:gridSpan w:val="3"/>
            <w:vAlign w:val="center"/>
          </w:tcPr>
          <w:p w14:paraId="038A81A4">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14:paraId="64142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851" w:hRule="atLeast"/>
          <w:jc w:val="center"/>
        </w:trPr>
        <w:tc>
          <w:tcPr>
            <w:tcW w:w="716" w:type="dxa"/>
            <w:vMerge w:val="continue"/>
            <w:vAlign w:val="center"/>
          </w:tcPr>
          <w:p w14:paraId="0536B116">
            <w:pPr>
              <w:spacing w:before="156" w:beforeLines="50" w:after="156" w:afterLines="50"/>
              <w:jc w:val="left"/>
              <w:rPr>
                <w:rFonts w:ascii="宋体"/>
                <w:kern w:val="0"/>
                <w:sz w:val="18"/>
                <w:szCs w:val="18"/>
              </w:rPr>
            </w:pPr>
          </w:p>
        </w:tc>
        <w:tc>
          <w:tcPr>
            <w:tcW w:w="1998" w:type="dxa"/>
            <w:gridSpan w:val="2"/>
            <w:vMerge w:val="continue"/>
            <w:vAlign w:val="center"/>
          </w:tcPr>
          <w:p w14:paraId="17D89F25">
            <w:pPr>
              <w:spacing w:before="156" w:beforeLines="50" w:after="156" w:afterLines="50"/>
              <w:jc w:val="left"/>
              <w:rPr>
                <w:rFonts w:ascii="宋体"/>
                <w:kern w:val="0"/>
                <w:sz w:val="18"/>
                <w:szCs w:val="18"/>
              </w:rPr>
            </w:pPr>
          </w:p>
        </w:tc>
        <w:tc>
          <w:tcPr>
            <w:tcW w:w="2818" w:type="dxa"/>
            <w:gridSpan w:val="2"/>
            <w:vMerge w:val="continue"/>
            <w:vAlign w:val="center"/>
          </w:tcPr>
          <w:p w14:paraId="5A19E1E6">
            <w:pPr>
              <w:spacing w:before="156" w:beforeLines="50" w:after="156" w:afterLines="50"/>
              <w:jc w:val="left"/>
              <w:rPr>
                <w:rFonts w:ascii="宋体"/>
                <w:kern w:val="0"/>
                <w:sz w:val="18"/>
                <w:szCs w:val="18"/>
              </w:rPr>
            </w:pPr>
          </w:p>
        </w:tc>
        <w:tc>
          <w:tcPr>
            <w:tcW w:w="3170" w:type="dxa"/>
            <w:gridSpan w:val="3"/>
            <w:vMerge w:val="continue"/>
            <w:vAlign w:val="center"/>
          </w:tcPr>
          <w:p w14:paraId="69D34891">
            <w:pPr>
              <w:spacing w:before="156" w:beforeLines="50" w:after="156" w:afterLines="50"/>
              <w:jc w:val="left"/>
              <w:rPr>
                <w:rFonts w:ascii="宋体"/>
                <w:kern w:val="0"/>
                <w:sz w:val="18"/>
                <w:szCs w:val="18"/>
              </w:rPr>
            </w:pPr>
          </w:p>
        </w:tc>
        <w:tc>
          <w:tcPr>
            <w:tcW w:w="998" w:type="dxa"/>
            <w:gridSpan w:val="2"/>
            <w:vMerge w:val="continue"/>
            <w:vAlign w:val="center"/>
          </w:tcPr>
          <w:p w14:paraId="37BC938B">
            <w:pPr>
              <w:spacing w:before="156" w:beforeLines="50" w:after="156" w:afterLines="50"/>
              <w:jc w:val="center"/>
              <w:rPr>
                <w:rFonts w:ascii="宋体"/>
                <w:kern w:val="0"/>
                <w:sz w:val="18"/>
                <w:szCs w:val="18"/>
              </w:rPr>
            </w:pPr>
          </w:p>
        </w:tc>
        <w:tc>
          <w:tcPr>
            <w:tcW w:w="4805" w:type="dxa"/>
            <w:gridSpan w:val="2"/>
            <w:vAlign w:val="center"/>
          </w:tcPr>
          <w:p w14:paraId="0DF1A497">
            <w:pPr>
              <w:widowControl/>
              <w:spacing w:before="156" w:beforeLines="50" w:after="156" w:afterLines="50"/>
              <w:jc w:val="left"/>
              <w:rPr>
                <w:rFonts w:ascii="宋体"/>
                <w:kern w:val="0"/>
                <w:sz w:val="18"/>
                <w:szCs w:val="18"/>
              </w:rPr>
            </w:pPr>
            <w:r>
              <w:rPr>
                <w:rFonts w:hint="eastAsia" w:ascii="宋体"/>
                <w:kern w:val="0"/>
                <w:sz w:val="18"/>
                <w:szCs w:val="18"/>
              </w:rPr>
              <w:t>1.未经许可擅自进行水上水下作业或者活动，经海事管理机构指出后，仍未办理许可手续或拒不停止作业的；</w:t>
            </w:r>
          </w:p>
          <w:p w14:paraId="615FE09B">
            <w:pPr>
              <w:widowControl/>
              <w:spacing w:before="156" w:beforeLines="50" w:after="156" w:afterLines="50"/>
              <w:jc w:val="left"/>
              <w:rPr>
                <w:rFonts w:ascii="宋体"/>
                <w:kern w:val="0"/>
                <w:sz w:val="18"/>
                <w:szCs w:val="18"/>
              </w:rPr>
            </w:pPr>
            <w:r>
              <w:rPr>
                <w:rFonts w:hint="eastAsia" w:ascii="宋体"/>
                <w:kern w:val="0"/>
                <w:sz w:val="18"/>
                <w:szCs w:val="18"/>
              </w:rPr>
              <w:t>2.水上水下作业或者活动过程中发生一般以下等级水上交通事故的。</w:t>
            </w:r>
          </w:p>
        </w:tc>
        <w:tc>
          <w:tcPr>
            <w:tcW w:w="5015" w:type="dxa"/>
            <w:gridSpan w:val="3"/>
            <w:vAlign w:val="center"/>
          </w:tcPr>
          <w:p w14:paraId="5A1969FE">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14:paraId="00CA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01" w:type="dxa"/>
          <w:trHeight w:val="1849" w:hRule="atLeast"/>
          <w:jc w:val="center"/>
        </w:trPr>
        <w:tc>
          <w:tcPr>
            <w:tcW w:w="716" w:type="dxa"/>
            <w:vMerge w:val="continue"/>
            <w:vAlign w:val="center"/>
          </w:tcPr>
          <w:p w14:paraId="1A1EEAC8">
            <w:pPr>
              <w:spacing w:before="156" w:beforeLines="50" w:after="156" w:afterLines="50"/>
              <w:jc w:val="left"/>
              <w:rPr>
                <w:rFonts w:ascii="宋体"/>
                <w:kern w:val="0"/>
                <w:sz w:val="18"/>
                <w:szCs w:val="18"/>
              </w:rPr>
            </w:pPr>
          </w:p>
        </w:tc>
        <w:tc>
          <w:tcPr>
            <w:tcW w:w="1998" w:type="dxa"/>
            <w:gridSpan w:val="2"/>
            <w:vMerge w:val="continue"/>
            <w:vAlign w:val="center"/>
          </w:tcPr>
          <w:p w14:paraId="6AA1330C">
            <w:pPr>
              <w:spacing w:before="156" w:beforeLines="50" w:after="156" w:afterLines="50"/>
              <w:jc w:val="left"/>
              <w:rPr>
                <w:rFonts w:ascii="宋体"/>
                <w:kern w:val="0"/>
                <w:sz w:val="18"/>
                <w:szCs w:val="18"/>
              </w:rPr>
            </w:pPr>
          </w:p>
        </w:tc>
        <w:tc>
          <w:tcPr>
            <w:tcW w:w="2818" w:type="dxa"/>
            <w:gridSpan w:val="2"/>
            <w:vMerge w:val="continue"/>
            <w:vAlign w:val="center"/>
          </w:tcPr>
          <w:p w14:paraId="0BD16477">
            <w:pPr>
              <w:spacing w:before="156" w:beforeLines="50" w:after="156" w:afterLines="50"/>
              <w:jc w:val="left"/>
              <w:rPr>
                <w:rFonts w:ascii="宋体"/>
                <w:kern w:val="0"/>
                <w:sz w:val="18"/>
                <w:szCs w:val="18"/>
              </w:rPr>
            </w:pPr>
          </w:p>
        </w:tc>
        <w:tc>
          <w:tcPr>
            <w:tcW w:w="3170" w:type="dxa"/>
            <w:gridSpan w:val="3"/>
            <w:vMerge w:val="continue"/>
            <w:vAlign w:val="center"/>
          </w:tcPr>
          <w:p w14:paraId="0DC4AEB4">
            <w:pPr>
              <w:spacing w:before="156" w:beforeLines="50" w:after="156" w:afterLines="50"/>
              <w:jc w:val="left"/>
              <w:rPr>
                <w:rFonts w:ascii="宋体"/>
                <w:kern w:val="0"/>
                <w:sz w:val="18"/>
                <w:szCs w:val="18"/>
              </w:rPr>
            </w:pPr>
          </w:p>
        </w:tc>
        <w:tc>
          <w:tcPr>
            <w:tcW w:w="998" w:type="dxa"/>
            <w:gridSpan w:val="2"/>
            <w:vMerge w:val="continue"/>
            <w:vAlign w:val="center"/>
          </w:tcPr>
          <w:p w14:paraId="3B7ADC42">
            <w:pPr>
              <w:spacing w:before="156" w:beforeLines="50" w:after="156" w:afterLines="50"/>
              <w:jc w:val="center"/>
              <w:rPr>
                <w:rFonts w:ascii="宋体"/>
                <w:kern w:val="0"/>
                <w:sz w:val="18"/>
                <w:szCs w:val="18"/>
              </w:rPr>
            </w:pPr>
          </w:p>
        </w:tc>
        <w:tc>
          <w:tcPr>
            <w:tcW w:w="4805" w:type="dxa"/>
            <w:gridSpan w:val="2"/>
            <w:vAlign w:val="center"/>
          </w:tcPr>
          <w:p w14:paraId="7202DDFF">
            <w:pPr>
              <w:widowControl/>
              <w:spacing w:before="156" w:beforeLines="50" w:after="156" w:afterLines="50"/>
              <w:jc w:val="left"/>
              <w:rPr>
                <w:rFonts w:ascii="宋体"/>
                <w:kern w:val="0"/>
                <w:sz w:val="18"/>
                <w:szCs w:val="18"/>
              </w:rPr>
            </w:pPr>
            <w:r>
              <w:rPr>
                <w:rFonts w:hint="eastAsia" w:ascii="宋体"/>
                <w:kern w:val="0"/>
                <w:sz w:val="18"/>
                <w:szCs w:val="18"/>
              </w:rPr>
              <w:t>水上水下作业或者活动过程中发生一般及以上等级水上交通事故的。</w:t>
            </w:r>
          </w:p>
          <w:p w14:paraId="3F22F353">
            <w:pPr>
              <w:widowControl/>
              <w:spacing w:before="156" w:beforeLines="50" w:after="156" w:afterLines="50"/>
              <w:jc w:val="left"/>
              <w:rPr>
                <w:rFonts w:ascii="宋体"/>
                <w:kern w:val="0"/>
                <w:sz w:val="18"/>
                <w:szCs w:val="18"/>
              </w:rPr>
            </w:pPr>
          </w:p>
        </w:tc>
        <w:tc>
          <w:tcPr>
            <w:tcW w:w="5015" w:type="dxa"/>
            <w:gridSpan w:val="3"/>
            <w:vAlign w:val="center"/>
          </w:tcPr>
          <w:p w14:paraId="25F96F0B">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14:paraId="66EE8637">
      <w:pPr>
        <w:spacing w:before="156" w:beforeLines="50" w:after="156" w:afterLines="50"/>
        <w:jc w:val="left"/>
        <w:rPr>
          <w:rFonts w:ascii="宋体"/>
          <w:b/>
          <w:kern w:val="0"/>
          <w:sz w:val="18"/>
          <w:szCs w:val="18"/>
        </w:rPr>
      </w:pPr>
      <w:r>
        <w:rPr>
          <w:rFonts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2016"/>
        <w:gridCol w:w="2835"/>
        <w:gridCol w:w="3247"/>
        <w:gridCol w:w="995"/>
        <w:gridCol w:w="4686"/>
        <w:gridCol w:w="4791"/>
      </w:tblGrid>
      <w:tr w14:paraId="4BCAC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732" w:type="dxa"/>
            <w:vMerge w:val="restart"/>
            <w:vAlign w:val="center"/>
          </w:tcPr>
          <w:p w14:paraId="5B140B6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16" w:type="dxa"/>
            <w:vMerge w:val="restart"/>
            <w:vAlign w:val="center"/>
          </w:tcPr>
          <w:p w14:paraId="00CD8D20">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6082" w:type="dxa"/>
            <w:gridSpan w:val="2"/>
            <w:vMerge w:val="restart"/>
            <w:vAlign w:val="center"/>
          </w:tcPr>
          <w:p w14:paraId="3835ACD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5" w:type="dxa"/>
            <w:vMerge w:val="restart"/>
            <w:vAlign w:val="center"/>
          </w:tcPr>
          <w:p w14:paraId="30A78A40">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686" w:type="dxa"/>
            <w:vMerge w:val="restart"/>
            <w:vAlign w:val="center"/>
          </w:tcPr>
          <w:p w14:paraId="35FF8F77">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9ADA74E">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4791" w:type="dxa"/>
            <w:vAlign w:val="center"/>
          </w:tcPr>
          <w:p w14:paraId="02C746BD">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责令立即停止施工作业，责令限期改正，处</w:t>
            </w:r>
            <w:r>
              <w:rPr>
                <w:rFonts w:ascii="宋体"/>
                <w:b/>
                <w:sz w:val="18"/>
                <w:szCs w:val="18"/>
              </w:rPr>
              <w:t>5000</w:t>
            </w:r>
            <w:r>
              <w:rPr>
                <w:rFonts w:hint="eastAsia" w:ascii="宋体"/>
                <w:b/>
                <w:sz w:val="18"/>
                <w:szCs w:val="18"/>
              </w:rPr>
              <w:t>元以上</w:t>
            </w:r>
            <w:r>
              <w:rPr>
                <w:rFonts w:ascii="宋体"/>
                <w:b/>
                <w:sz w:val="18"/>
                <w:szCs w:val="18"/>
              </w:rPr>
              <w:t>5</w:t>
            </w:r>
            <w:r>
              <w:rPr>
                <w:rFonts w:hint="eastAsia" w:ascii="宋体"/>
                <w:b/>
                <w:sz w:val="18"/>
                <w:szCs w:val="18"/>
              </w:rPr>
              <w:t>万元以下的罚款。</w:t>
            </w:r>
          </w:p>
        </w:tc>
      </w:tr>
      <w:tr w14:paraId="29BAF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732" w:type="dxa"/>
            <w:vMerge w:val="continue"/>
            <w:vAlign w:val="center"/>
          </w:tcPr>
          <w:p w14:paraId="04953EAB">
            <w:pPr>
              <w:spacing w:before="156" w:beforeLines="50" w:after="156" w:afterLines="50"/>
              <w:jc w:val="left"/>
              <w:rPr>
                <w:rFonts w:ascii="宋体"/>
                <w:b/>
                <w:kern w:val="0"/>
                <w:sz w:val="18"/>
                <w:szCs w:val="18"/>
              </w:rPr>
            </w:pPr>
          </w:p>
        </w:tc>
        <w:tc>
          <w:tcPr>
            <w:tcW w:w="2016" w:type="dxa"/>
            <w:vMerge w:val="continue"/>
            <w:vAlign w:val="center"/>
          </w:tcPr>
          <w:p w14:paraId="0EF209D5">
            <w:pPr>
              <w:spacing w:before="156" w:beforeLines="50" w:after="156" w:afterLines="50"/>
              <w:jc w:val="left"/>
              <w:rPr>
                <w:rFonts w:ascii="宋体"/>
                <w:b/>
                <w:kern w:val="0"/>
                <w:sz w:val="18"/>
                <w:szCs w:val="18"/>
              </w:rPr>
            </w:pPr>
          </w:p>
        </w:tc>
        <w:tc>
          <w:tcPr>
            <w:tcW w:w="6082" w:type="dxa"/>
            <w:gridSpan w:val="2"/>
            <w:vMerge w:val="continue"/>
            <w:vAlign w:val="center"/>
          </w:tcPr>
          <w:p w14:paraId="41C2B1B5">
            <w:pPr>
              <w:spacing w:before="156" w:beforeLines="50" w:after="156" w:afterLines="50"/>
              <w:jc w:val="left"/>
              <w:rPr>
                <w:rFonts w:ascii="宋体"/>
                <w:b/>
                <w:kern w:val="0"/>
                <w:sz w:val="18"/>
                <w:szCs w:val="18"/>
              </w:rPr>
            </w:pPr>
          </w:p>
        </w:tc>
        <w:tc>
          <w:tcPr>
            <w:tcW w:w="995" w:type="dxa"/>
            <w:vMerge w:val="continue"/>
            <w:vAlign w:val="center"/>
          </w:tcPr>
          <w:p w14:paraId="02E1338F">
            <w:pPr>
              <w:spacing w:before="156" w:beforeLines="50" w:after="156" w:afterLines="50"/>
              <w:jc w:val="left"/>
              <w:rPr>
                <w:rFonts w:ascii="宋体"/>
                <w:b/>
                <w:kern w:val="0"/>
                <w:sz w:val="18"/>
                <w:szCs w:val="18"/>
              </w:rPr>
            </w:pPr>
          </w:p>
        </w:tc>
        <w:tc>
          <w:tcPr>
            <w:tcW w:w="4686" w:type="dxa"/>
            <w:vMerge w:val="continue"/>
            <w:vAlign w:val="center"/>
          </w:tcPr>
          <w:p w14:paraId="0518C5C1">
            <w:pPr>
              <w:spacing w:before="156" w:beforeLines="50" w:after="156" w:afterLines="50"/>
              <w:jc w:val="left"/>
              <w:rPr>
                <w:rFonts w:ascii="宋体"/>
                <w:b/>
                <w:kern w:val="0"/>
                <w:sz w:val="18"/>
                <w:szCs w:val="18"/>
              </w:rPr>
            </w:pPr>
          </w:p>
        </w:tc>
        <w:tc>
          <w:tcPr>
            <w:tcW w:w="4791" w:type="dxa"/>
            <w:vAlign w:val="center"/>
          </w:tcPr>
          <w:p w14:paraId="38B049C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55218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5" w:hRule="atLeast"/>
          <w:jc w:val="center"/>
        </w:trPr>
        <w:tc>
          <w:tcPr>
            <w:tcW w:w="732" w:type="dxa"/>
            <w:vMerge w:val="continue"/>
            <w:vAlign w:val="center"/>
          </w:tcPr>
          <w:p w14:paraId="42A5B807">
            <w:pPr>
              <w:spacing w:before="156" w:beforeLines="50" w:after="156" w:afterLines="50"/>
              <w:jc w:val="left"/>
              <w:rPr>
                <w:rFonts w:ascii="宋体"/>
                <w:b/>
                <w:kern w:val="0"/>
                <w:sz w:val="18"/>
                <w:szCs w:val="18"/>
              </w:rPr>
            </w:pPr>
          </w:p>
        </w:tc>
        <w:tc>
          <w:tcPr>
            <w:tcW w:w="2016" w:type="dxa"/>
            <w:vMerge w:val="continue"/>
            <w:vAlign w:val="center"/>
          </w:tcPr>
          <w:p w14:paraId="11DA9176">
            <w:pPr>
              <w:spacing w:before="156" w:beforeLines="50" w:after="156" w:afterLines="50"/>
              <w:jc w:val="left"/>
              <w:rPr>
                <w:rFonts w:ascii="宋体"/>
                <w:b/>
                <w:kern w:val="0"/>
                <w:sz w:val="18"/>
                <w:szCs w:val="18"/>
              </w:rPr>
            </w:pPr>
          </w:p>
        </w:tc>
        <w:tc>
          <w:tcPr>
            <w:tcW w:w="2835" w:type="dxa"/>
            <w:vAlign w:val="center"/>
          </w:tcPr>
          <w:p w14:paraId="208C51E4">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247" w:type="dxa"/>
            <w:vAlign w:val="center"/>
          </w:tcPr>
          <w:p w14:paraId="4F1082A1">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5" w:type="dxa"/>
            <w:vMerge w:val="continue"/>
            <w:vAlign w:val="center"/>
          </w:tcPr>
          <w:p w14:paraId="7EF80641">
            <w:pPr>
              <w:spacing w:before="156" w:beforeLines="50" w:after="156" w:afterLines="50"/>
              <w:jc w:val="left"/>
              <w:rPr>
                <w:rFonts w:ascii="宋体"/>
                <w:b/>
                <w:kern w:val="0"/>
                <w:sz w:val="18"/>
                <w:szCs w:val="18"/>
              </w:rPr>
            </w:pPr>
          </w:p>
        </w:tc>
        <w:tc>
          <w:tcPr>
            <w:tcW w:w="4686" w:type="dxa"/>
            <w:vMerge w:val="continue"/>
            <w:vAlign w:val="center"/>
          </w:tcPr>
          <w:p w14:paraId="3C4BB94A">
            <w:pPr>
              <w:spacing w:before="156" w:beforeLines="50" w:after="156" w:afterLines="50"/>
              <w:jc w:val="left"/>
              <w:rPr>
                <w:rFonts w:ascii="宋体"/>
                <w:b/>
                <w:kern w:val="0"/>
                <w:sz w:val="18"/>
                <w:szCs w:val="18"/>
              </w:rPr>
            </w:pPr>
          </w:p>
        </w:tc>
        <w:tc>
          <w:tcPr>
            <w:tcW w:w="4791" w:type="dxa"/>
            <w:vAlign w:val="center"/>
          </w:tcPr>
          <w:p w14:paraId="5D5BB064">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14:paraId="1494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732" w:type="dxa"/>
            <w:vMerge w:val="restart"/>
            <w:vAlign w:val="center"/>
          </w:tcPr>
          <w:p w14:paraId="1BC4D47F">
            <w:pPr>
              <w:spacing w:before="156" w:beforeLines="50" w:after="156" w:afterLines="50"/>
              <w:jc w:val="center"/>
              <w:rPr>
                <w:rFonts w:ascii="宋体"/>
                <w:kern w:val="0"/>
                <w:sz w:val="18"/>
                <w:szCs w:val="18"/>
              </w:rPr>
            </w:pPr>
            <w:r>
              <w:rPr>
                <w:rFonts w:hint="eastAsia" w:ascii="宋体"/>
                <w:kern w:val="0"/>
                <w:sz w:val="18"/>
                <w:szCs w:val="18"/>
              </w:rPr>
              <w:t>12</w:t>
            </w:r>
          </w:p>
        </w:tc>
        <w:tc>
          <w:tcPr>
            <w:tcW w:w="2016" w:type="dxa"/>
            <w:vMerge w:val="restart"/>
            <w:vAlign w:val="center"/>
          </w:tcPr>
          <w:p w14:paraId="0C9A454A">
            <w:pPr>
              <w:spacing w:before="156" w:beforeLines="50" w:after="156" w:afterLines="50"/>
              <w:jc w:val="left"/>
              <w:rPr>
                <w:rFonts w:ascii="宋体"/>
                <w:kern w:val="0"/>
                <w:sz w:val="18"/>
                <w:szCs w:val="18"/>
              </w:rPr>
            </w:pPr>
            <w:r>
              <w:rPr>
                <w:rFonts w:hint="eastAsia" w:ascii="宋体"/>
                <w:kern w:val="0"/>
                <w:sz w:val="18"/>
                <w:szCs w:val="18"/>
              </w:rPr>
              <w:t>许可证件失效后仍进行水上水下作业或者活动</w:t>
            </w:r>
          </w:p>
        </w:tc>
        <w:tc>
          <w:tcPr>
            <w:tcW w:w="2835" w:type="dxa"/>
            <w:vMerge w:val="restart"/>
            <w:vAlign w:val="center"/>
          </w:tcPr>
          <w:p w14:paraId="18F67F8F">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247" w:type="dxa"/>
            <w:vMerge w:val="restart"/>
            <w:vAlign w:val="center"/>
          </w:tcPr>
          <w:p w14:paraId="13A6DBE2">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1.《中华人民共和国水上水下作业和活动通航安全管理规定》第三十二条第（一）项；</w:t>
            </w:r>
          </w:p>
          <w:p w14:paraId="15D1716A">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5" w:type="dxa"/>
            <w:vAlign w:val="center"/>
          </w:tcPr>
          <w:p w14:paraId="0622FD84">
            <w:pPr>
              <w:spacing w:before="156" w:beforeLines="50" w:after="156" w:afterLines="50"/>
              <w:jc w:val="center"/>
              <w:rPr>
                <w:rFonts w:ascii="宋体"/>
                <w:kern w:val="0"/>
                <w:sz w:val="18"/>
                <w:szCs w:val="18"/>
              </w:rPr>
            </w:pPr>
            <w:r>
              <w:rPr>
                <w:rFonts w:hint="eastAsia" w:ascii="宋体"/>
                <w:kern w:val="0"/>
                <w:sz w:val="18"/>
                <w:szCs w:val="18"/>
              </w:rPr>
              <w:t>从轻</w:t>
            </w:r>
          </w:p>
        </w:tc>
        <w:tc>
          <w:tcPr>
            <w:tcW w:w="4686" w:type="dxa"/>
            <w:vAlign w:val="center"/>
          </w:tcPr>
          <w:p w14:paraId="1F152467">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4791" w:type="dxa"/>
            <w:vAlign w:val="center"/>
          </w:tcPr>
          <w:p w14:paraId="19F8F115">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1880C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atLeast"/>
          <w:jc w:val="center"/>
        </w:trPr>
        <w:tc>
          <w:tcPr>
            <w:tcW w:w="732" w:type="dxa"/>
            <w:vMerge w:val="continue"/>
            <w:vAlign w:val="center"/>
          </w:tcPr>
          <w:p w14:paraId="54550850">
            <w:pPr>
              <w:spacing w:before="156" w:beforeLines="50" w:after="156" w:afterLines="50"/>
              <w:jc w:val="left"/>
              <w:rPr>
                <w:rFonts w:ascii="宋体"/>
                <w:kern w:val="0"/>
                <w:sz w:val="18"/>
                <w:szCs w:val="18"/>
              </w:rPr>
            </w:pPr>
          </w:p>
        </w:tc>
        <w:tc>
          <w:tcPr>
            <w:tcW w:w="2016" w:type="dxa"/>
            <w:vMerge w:val="continue"/>
            <w:vAlign w:val="center"/>
          </w:tcPr>
          <w:p w14:paraId="23DF5B91">
            <w:pPr>
              <w:spacing w:before="156" w:beforeLines="50" w:after="156" w:afterLines="50"/>
              <w:jc w:val="left"/>
              <w:rPr>
                <w:rFonts w:ascii="宋体"/>
                <w:kern w:val="0"/>
                <w:sz w:val="18"/>
                <w:szCs w:val="18"/>
              </w:rPr>
            </w:pPr>
          </w:p>
        </w:tc>
        <w:tc>
          <w:tcPr>
            <w:tcW w:w="2835" w:type="dxa"/>
            <w:vMerge w:val="continue"/>
            <w:vAlign w:val="center"/>
          </w:tcPr>
          <w:p w14:paraId="783687EC">
            <w:pPr>
              <w:widowControl/>
              <w:spacing w:before="156" w:beforeLines="50" w:after="156" w:afterLines="50"/>
              <w:jc w:val="left"/>
              <w:rPr>
                <w:rFonts w:ascii="宋体"/>
                <w:kern w:val="0"/>
                <w:sz w:val="18"/>
                <w:szCs w:val="18"/>
              </w:rPr>
            </w:pPr>
          </w:p>
        </w:tc>
        <w:tc>
          <w:tcPr>
            <w:tcW w:w="3247" w:type="dxa"/>
            <w:vMerge w:val="continue"/>
            <w:vAlign w:val="center"/>
          </w:tcPr>
          <w:p w14:paraId="5AFC1E04">
            <w:pPr>
              <w:spacing w:before="156" w:beforeLines="50" w:after="156" w:afterLines="50"/>
              <w:jc w:val="left"/>
              <w:rPr>
                <w:rFonts w:ascii="宋体"/>
                <w:kern w:val="0"/>
                <w:sz w:val="18"/>
                <w:szCs w:val="18"/>
              </w:rPr>
            </w:pPr>
          </w:p>
        </w:tc>
        <w:tc>
          <w:tcPr>
            <w:tcW w:w="995" w:type="dxa"/>
            <w:vMerge w:val="restart"/>
            <w:vAlign w:val="center"/>
          </w:tcPr>
          <w:p w14:paraId="041EE225">
            <w:pPr>
              <w:spacing w:before="156" w:beforeLines="50" w:after="156" w:afterLines="50"/>
              <w:jc w:val="center"/>
              <w:rPr>
                <w:rFonts w:ascii="宋体"/>
                <w:kern w:val="0"/>
                <w:sz w:val="18"/>
                <w:szCs w:val="18"/>
              </w:rPr>
            </w:pPr>
            <w:r>
              <w:rPr>
                <w:rFonts w:hint="eastAsia" w:ascii="宋体"/>
                <w:kern w:val="0"/>
                <w:sz w:val="18"/>
                <w:szCs w:val="18"/>
              </w:rPr>
              <w:t>一般</w:t>
            </w:r>
          </w:p>
        </w:tc>
        <w:tc>
          <w:tcPr>
            <w:tcW w:w="4686" w:type="dxa"/>
            <w:vAlign w:val="center"/>
          </w:tcPr>
          <w:p w14:paraId="03382917">
            <w:pPr>
              <w:widowControl/>
              <w:spacing w:before="156" w:beforeLines="50" w:after="156" w:afterLines="50"/>
              <w:jc w:val="left"/>
              <w:rPr>
                <w:rFonts w:ascii="宋体"/>
                <w:kern w:val="0"/>
                <w:sz w:val="18"/>
                <w:szCs w:val="18"/>
              </w:rPr>
            </w:pPr>
            <w:r>
              <w:rPr>
                <w:rFonts w:hint="eastAsia" w:ascii="宋体"/>
                <w:kern w:val="0"/>
                <w:sz w:val="18"/>
                <w:szCs w:val="18"/>
              </w:rPr>
              <w:t>证件失效后仍进行水上水下作业或者活动的。</w:t>
            </w:r>
          </w:p>
        </w:tc>
        <w:tc>
          <w:tcPr>
            <w:tcW w:w="4791" w:type="dxa"/>
            <w:vAlign w:val="center"/>
          </w:tcPr>
          <w:p w14:paraId="7D5D89B8">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14:paraId="2EC8E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2" w:hRule="atLeast"/>
          <w:jc w:val="center"/>
        </w:trPr>
        <w:tc>
          <w:tcPr>
            <w:tcW w:w="732" w:type="dxa"/>
            <w:vMerge w:val="continue"/>
            <w:vAlign w:val="center"/>
          </w:tcPr>
          <w:p w14:paraId="27EC5680">
            <w:pPr>
              <w:spacing w:before="156" w:beforeLines="50" w:after="156" w:afterLines="50"/>
              <w:jc w:val="left"/>
              <w:rPr>
                <w:rFonts w:ascii="宋体"/>
                <w:kern w:val="0"/>
                <w:sz w:val="18"/>
                <w:szCs w:val="18"/>
              </w:rPr>
            </w:pPr>
          </w:p>
        </w:tc>
        <w:tc>
          <w:tcPr>
            <w:tcW w:w="2016" w:type="dxa"/>
            <w:vMerge w:val="continue"/>
            <w:vAlign w:val="center"/>
          </w:tcPr>
          <w:p w14:paraId="38E8E0E6">
            <w:pPr>
              <w:spacing w:before="156" w:beforeLines="50" w:after="156" w:afterLines="50"/>
              <w:jc w:val="left"/>
              <w:rPr>
                <w:rFonts w:ascii="宋体"/>
                <w:kern w:val="0"/>
                <w:sz w:val="18"/>
                <w:szCs w:val="18"/>
              </w:rPr>
            </w:pPr>
          </w:p>
        </w:tc>
        <w:tc>
          <w:tcPr>
            <w:tcW w:w="2835" w:type="dxa"/>
            <w:vMerge w:val="continue"/>
            <w:vAlign w:val="center"/>
          </w:tcPr>
          <w:p w14:paraId="72A2459B">
            <w:pPr>
              <w:spacing w:before="156" w:beforeLines="50" w:after="156" w:afterLines="50"/>
              <w:jc w:val="left"/>
              <w:rPr>
                <w:rFonts w:ascii="宋体"/>
                <w:kern w:val="0"/>
                <w:sz w:val="18"/>
                <w:szCs w:val="18"/>
              </w:rPr>
            </w:pPr>
          </w:p>
        </w:tc>
        <w:tc>
          <w:tcPr>
            <w:tcW w:w="3247" w:type="dxa"/>
            <w:vMerge w:val="continue"/>
            <w:vAlign w:val="center"/>
          </w:tcPr>
          <w:p w14:paraId="7EC12B6E">
            <w:pPr>
              <w:spacing w:before="156" w:beforeLines="50" w:after="156" w:afterLines="50"/>
              <w:jc w:val="left"/>
              <w:rPr>
                <w:rFonts w:ascii="宋体"/>
                <w:kern w:val="0"/>
                <w:sz w:val="18"/>
                <w:szCs w:val="18"/>
              </w:rPr>
            </w:pPr>
          </w:p>
        </w:tc>
        <w:tc>
          <w:tcPr>
            <w:tcW w:w="995" w:type="dxa"/>
            <w:vMerge w:val="continue"/>
            <w:vAlign w:val="center"/>
          </w:tcPr>
          <w:p w14:paraId="739F1C06">
            <w:pPr>
              <w:spacing w:before="156" w:beforeLines="50" w:after="156" w:afterLines="50"/>
              <w:jc w:val="center"/>
              <w:rPr>
                <w:rFonts w:ascii="宋体"/>
                <w:kern w:val="0"/>
                <w:sz w:val="18"/>
                <w:szCs w:val="18"/>
              </w:rPr>
            </w:pPr>
          </w:p>
        </w:tc>
        <w:tc>
          <w:tcPr>
            <w:tcW w:w="4686" w:type="dxa"/>
            <w:vAlign w:val="center"/>
          </w:tcPr>
          <w:p w14:paraId="2DC5B024">
            <w:pPr>
              <w:widowControl/>
              <w:spacing w:before="156" w:beforeLines="50" w:after="156" w:afterLines="50"/>
              <w:jc w:val="left"/>
              <w:rPr>
                <w:rFonts w:ascii="宋体"/>
                <w:kern w:val="0"/>
                <w:sz w:val="18"/>
                <w:szCs w:val="18"/>
              </w:rPr>
            </w:pPr>
            <w:r>
              <w:rPr>
                <w:rFonts w:hint="eastAsia" w:ascii="宋体"/>
                <w:kern w:val="0"/>
                <w:sz w:val="18"/>
                <w:szCs w:val="18"/>
              </w:rPr>
              <w:t>1.证件失效后仍进行水上水下作业或者活动，经海事管理机构指出后，仍未办理许可手续或拒不停止作业的；</w:t>
            </w:r>
          </w:p>
          <w:p w14:paraId="1B920504">
            <w:pPr>
              <w:widowControl/>
              <w:spacing w:before="156" w:beforeLines="50" w:after="156" w:afterLines="50"/>
              <w:jc w:val="left"/>
              <w:rPr>
                <w:rFonts w:ascii="宋体"/>
                <w:kern w:val="0"/>
                <w:sz w:val="18"/>
                <w:szCs w:val="18"/>
              </w:rPr>
            </w:pPr>
            <w:r>
              <w:rPr>
                <w:rFonts w:hint="eastAsia" w:ascii="宋体"/>
                <w:kern w:val="0"/>
                <w:sz w:val="18"/>
                <w:szCs w:val="18"/>
              </w:rPr>
              <w:t>2.证件失效后进行水上水下作业或者活动过程中发生一般以下等级水上交通事故的。</w:t>
            </w:r>
          </w:p>
        </w:tc>
        <w:tc>
          <w:tcPr>
            <w:tcW w:w="4791" w:type="dxa"/>
            <w:vAlign w:val="center"/>
          </w:tcPr>
          <w:p w14:paraId="64158915">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14:paraId="78AB2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5" w:hRule="atLeast"/>
          <w:jc w:val="center"/>
        </w:trPr>
        <w:tc>
          <w:tcPr>
            <w:tcW w:w="732" w:type="dxa"/>
            <w:vMerge w:val="continue"/>
            <w:vAlign w:val="center"/>
          </w:tcPr>
          <w:p w14:paraId="43164240">
            <w:pPr>
              <w:spacing w:before="156" w:beforeLines="50" w:after="156" w:afterLines="50"/>
              <w:jc w:val="left"/>
              <w:rPr>
                <w:rFonts w:ascii="宋体"/>
                <w:kern w:val="0"/>
                <w:sz w:val="18"/>
                <w:szCs w:val="18"/>
              </w:rPr>
            </w:pPr>
          </w:p>
        </w:tc>
        <w:tc>
          <w:tcPr>
            <w:tcW w:w="2016" w:type="dxa"/>
            <w:vMerge w:val="continue"/>
            <w:vAlign w:val="center"/>
          </w:tcPr>
          <w:p w14:paraId="2284EEF8">
            <w:pPr>
              <w:spacing w:before="156" w:beforeLines="50" w:after="156" w:afterLines="50"/>
              <w:jc w:val="left"/>
              <w:rPr>
                <w:rFonts w:ascii="宋体"/>
                <w:kern w:val="0"/>
                <w:sz w:val="18"/>
                <w:szCs w:val="18"/>
              </w:rPr>
            </w:pPr>
          </w:p>
        </w:tc>
        <w:tc>
          <w:tcPr>
            <w:tcW w:w="2835" w:type="dxa"/>
            <w:vMerge w:val="continue"/>
            <w:vAlign w:val="center"/>
          </w:tcPr>
          <w:p w14:paraId="15AA3F01">
            <w:pPr>
              <w:spacing w:before="156" w:beforeLines="50" w:after="156" w:afterLines="50"/>
              <w:jc w:val="left"/>
              <w:rPr>
                <w:rFonts w:ascii="宋体"/>
                <w:kern w:val="0"/>
                <w:sz w:val="18"/>
                <w:szCs w:val="18"/>
              </w:rPr>
            </w:pPr>
          </w:p>
        </w:tc>
        <w:tc>
          <w:tcPr>
            <w:tcW w:w="3247" w:type="dxa"/>
            <w:vMerge w:val="continue"/>
            <w:vAlign w:val="center"/>
          </w:tcPr>
          <w:p w14:paraId="7E2BCD34">
            <w:pPr>
              <w:spacing w:before="156" w:beforeLines="50" w:after="156" w:afterLines="50"/>
              <w:jc w:val="left"/>
              <w:rPr>
                <w:rFonts w:ascii="宋体"/>
                <w:kern w:val="0"/>
                <w:sz w:val="18"/>
                <w:szCs w:val="18"/>
              </w:rPr>
            </w:pPr>
          </w:p>
        </w:tc>
        <w:tc>
          <w:tcPr>
            <w:tcW w:w="995" w:type="dxa"/>
            <w:vMerge w:val="continue"/>
            <w:vAlign w:val="center"/>
          </w:tcPr>
          <w:p w14:paraId="4D7C830B">
            <w:pPr>
              <w:spacing w:before="156" w:beforeLines="50" w:after="156" w:afterLines="50"/>
              <w:jc w:val="center"/>
              <w:rPr>
                <w:rFonts w:ascii="宋体"/>
                <w:kern w:val="0"/>
                <w:sz w:val="18"/>
                <w:szCs w:val="18"/>
              </w:rPr>
            </w:pPr>
          </w:p>
        </w:tc>
        <w:tc>
          <w:tcPr>
            <w:tcW w:w="4686" w:type="dxa"/>
            <w:vAlign w:val="center"/>
          </w:tcPr>
          <w:p w14:paraId="41BC2244">
            <w:pPr>
              <w:widowControl/>
              <w:spacing w:before="156" w:beforeLines="50" w:after="156" w:afterLines="50"/>
              <w:jc w:val="left"/>
              <w:rPr>
                <w:rFonts w:ascii="宋体"/>
                <w:kern w:val="0"/>
                <w:sz w:val="18"/>
                <w:szCs w:val="18"/>
              </w:rPr>
            </w:pPr>
            <w:r>
              <w:rPr>
                <w:rFonts w:hint="eastAsia" w:ascii="宋体"/>
                <w:kern w:val="0"/>
                <w:sz w:val="18"/>
                <w:szCs w:val="18"/>
              </w:rPr>
              <w:t>1.证件失效后仍进行水上水下作业活动</w:t>
            </w:r>
            <w:r>
              <w:rPr>
                <w:rFonts w:ascii="宋体"/>
                <w:kern w:val="0"/>
                <w:sz w:val="18"/>
                <w:szCs w:val="18"/>
              </w:rPr>
              <w:t>1</w:t>
            </w:r>
            <w:r>
              <w:rPr>
                <w:rFonts w:hint="eastAsia" w:ascii="宋体"/>
                <w:kern w:val="0"/>
                <w:sz w:val="18"/>
                <w:szCs w:val="18"/>
              </w:rPr>
              <w:t>个月以上的；</w:t>
            </w:r>
          </w:p>
          <w:p w14:paraId="0A86E8B9">
            <w:pPr>
              <w:widowControl/>
              <w:spacing w:before="156" w:beforeLines="50" w:after="156" w:afterLines="50"/>
              <w:jc w:val="left"/>
              <w:rPr>
                <w:rFonts w:ascii="宋体"/>
                <w:kern w:val="0"/>
                <w:sz w:val="18"/>
                <w:szCs w:val="18"/>
              </w:rPr>
            </w:pPr>
            <w:r>
              <w:rPr>
                <w:rFonts w:hint="eastAsia" w:ascii="宋体"/>
                <w:kern w:val="0"/>
                <w:sz w:val="18"/>
                <w:szCs w:val="18"/>
              </w:rPr>
              <w:t>2.证件失效后进行水上水下作业或者活动过程中发生一般及以上等级水上交通事故的。</w:t>
            </w:r>
          </w:p>
          <w:p w14:paraId="114BDCAB">
            <w:pPr>
              <w:widowControl/>
              <w:spacing w:before="156" w:beforeLines="50" w:after="156" w:afterLines="50"/>
              <w:jc w:val="left"/>
              <w:rPr>
                <w:rFonts w:ascii="宋体"/>
                <w:kern w:val="0"/>
                <w:sz w:val="18"/>
                <w:szCs w:val="18"/>
              </w:rPr>
            </w:pPr>
          </w:p>
        </w:tc>
        <w:tc>
          <w:tcPr>
            <w:tcW w:w="4791" w:type="dxa"/>
            <w:vAlign w:val="center"/>
          </w:tcPr>
          <w:p w14:paraId="53322AFB">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14:paraId="1C4CE131">
      <w:pPr>
        <w:spacing w:before="156" w:beforeLines="50" w:after="156" w:afterLines="50"/>
        <w:jc w:val="left"/>
        <w:rPr>
          <w:rFonts w:ascii="宋体"/>
          <w:b/>
          <w:kern w:val="0"/>
          <w:sz w:val="18"/>
          <w:szCs w:val="18"/>
        </w:rPr>
      </w:pPr>
      <w:r>
        <w:rPr>
          <w:rFonts w:hint="eastAsia"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14:paraId="0F33D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678C9A2F">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1C27DFEE">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49CBE892">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6B48D652">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805" w:type="dxa"/>
            <w:vMerge w:val="restart"/>
            <w:vAlign w:val="center"/>
          </w:tcPr>
          <w:p w14:paraId="2B17069F">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66E8D361">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14:paraId="7F09AE16">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b/>
                <w:sz w:val="18"/>
                <w:szCs w:val="18"/>
              </w:rPr>
              <w:t>5000</w:t>
            </w:r>
            <w:r>
              <w:rPr>
                <w:rFonts w:hint="eastAsia"/>
                <w:b/>
                <w:sz w:val="18"/>
                <w:szCs w:val="18"/>
              </w:rPr>
              <w:t>元以上</w:t>
            </w:r>
            <w:r>
              <w:rPr>
                <w:b/>
                <w:sz w:val="18"/>
                <w:szCs w:val="18"/>
              </w:rPr>
              <w:t>3</w:t>
            </w:r>
            <w:r>
              <w:rPr>
                <w:rFonts w:hint="eastAsia"/>
                <w:b/>
                <w:sz w:val="18"/>
                <w:szCs w:val="18"/>
              </w:rPr>
              <w:t>万元以下</w:t>
            </w:r>
            <w:r>
              <w:rPr>
                <w:rFonts w:hint="eastAsia" w:ascii="宋体"/>
                <w:b/>
                <w:sz w:val="18"/>
                <w:szCs w:val="18"/>
              </w:rPr>
              <w:t>。</w:t>
            </w:r>
          </w:p>
        </w:tc>
      </w:tr>
      <w:tr w14:paraId="60F18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3CFD5861">
            <w:pPr>
              <w:spacing w:before="156" w:beforeLines="50" w:after="156" w:afterLines="50"/>
              <w:jc w:val="center"/>
              <w:rPr>
                <w:rFonts w:ascii="宋体"/>
                <w:b/>
                <w:kern w:val="0"/>
                <w:sz w:val="18"/>
                <w:szCs w:val="18"/>
              </w:rPr>
            </w:pPr>
          </w:p>
        </w:tc>
        <w:tc>
          <w:tcPr>
            <w:tcW w:w="1998" w:type="dxa"/>
            <w:vMerge w:val="continue"/>
            <w:vAlign w:val="center"/>
          </w:tcPr>
          <w:p w14:paraId="1F7FE159">
            <w:pPr>
              <w:spacing w:before="156" w:beforeLines="50" w:after="156" w:afterLines="50"/>
              <w:jc w:val="center"/>
              <w:rPr>
                <w:rFonts w:ascii="宋体"/>
                <w:b/>
                <w:kern w:val="0"/>
                <w:sz w:val="18"/>
                <w:szCs w:val="18"/>
              </w:rPr>
            </w:pPr>
          </w:p>
        </w:tc>
        <w:tc>
          <w:tcPr>
            <w:tcW w:w="5988" w:type="dxa"/>
            <w:gridSpan w:val="2"/>
            <w:vMerge w:val="continue"/>
            <w:vAlign w:val="center"/>
          </w:tcPr>
          <w:p w14:paraId="45C3AB3A">
            <w:pPr>
              <w:spacing w:before="156" w:beforeLines="50" w:after="156" w:afterLines="50"/>
              <w:jc w:val="center"/>
              <w:rPr>
                <w:rFonts w:ascii="宋体"/>
                <w:b/>
                <w:kern w:val="0"/>
                <w:sz w:val="18"/>
                <w:szCs w:val="18"/>
              </w:rPr>
            </w:pPr>
          </w:p>
        </w:tc>
        <w:tc>
          <w:tcPr>
            <w:tcW w:w="998" w:type="dxa"/>
            <w:vMerge w:val="continue"/>
            <w:vAlign w:val="center"/>
          </w:tcPr>
          <w:p w14:paraId="7C050E44">
            <w:pPr>
              <w:spacing w:before="156" w:beforeLines="50" w:after="156" w:afterLines="50"/>
              <w:jc w:val="left"/>
              <w:rPr>
                <w:rFonts w:ascii="宋体"/>
                <w:b/>
                <w:kern w:val="0"/>
                <w:sz w:val="18"/>
                <w:szCs w:val="18"/>
              </w:rPr>
            </w:pPr>
          </w:p>
        </w:tc>
        <w:tc>
          <w:tcPr>
            <w:tcW w:w="4805" w:type="dxa"/>
            <w:vMerge w:val="continue"/>
            <w:vAlign w:val="center"/>
          </w:tcPr>
          <w:p w14:paraId="4F80FF80">
            <w:pPr>
              <w:spacing w:before="156" w:beforeLines="50" w:after="156" w:afterLines="50"/>
              <w:jc w:val="left"/>
              <w:rPr>
                <w:rFonts w:ascii="宋体"/>
                <w:b/>
                <w:kern w:val="0"/>
                <w:sz w:val="18"/>
                <w:szCs w:val="18"/>
              </w:rPr>
            </w:pPr>
          </w:p>
        </w:tc>
        <w:tc>
          <w:tcPr>
            <w:tcW w:w="5015" w:type="dxa"/>
            <w:vAlign w:val="center"/>
          </w:tcPr>
          <w:p w14:paraId="746FC7A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3068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08765395">
            <w:pPr>
              <w:spacing w:before="156" w:beforeLines="50" w:after="156" w:afterLines="50"/>
              <w:jc w:val="center"/>
              <w:rPr>
                <w:rFonts w:ascii="宋体"/>
                <w:b/>
                <w:kern w:val="0"/>
                <w:sz w:val="18"/>
                <w:szCs w:val="18"/>
              </w:rPr>
            </w:pPr>
          </w:p>
        </w:tc>
        <w:tc>
          <w:tcPr>
            <w:tcW w:w="1998" w:type="dxa"/>
            <w:vMerge w:val="continue"/>
            <w:vAlign w:val="center"/>
          </w:tcPr>
          <w:p w14:paraId="6C21F620">
            <w:pPr>
              <w:spacing w:before="156" w:beforeLines="50" w:after="156" w:afterLines="50"/>
              <w:jc w:val="center"/>
              <w:rPr>
                <w:rFonts w:ascii="宋体"/>
                <w:b/>
                <w:kern w:val="0"/>
                <w:sz w:val="18"/>
                <w:szCs w:val="18"/>
              </w:rPr>
            </w:pPr>
          </w:p>
        </w:tc>
        <w:tc>
          <w:tcPr>
            <w:tcW w:w="2818" w:type="dxa"/>
            <w:vAlign w:val="center"/>
          </w:tcPr>
          <w:p w14:paraId="67BFA13B">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64316995">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0C2B05FE">
            <w:pPr>
              <w:spacing w:before="156" w:beforeLines="50" w:after="156" w:afterLines="50"/>
              <w:jc w:val="left"/>
              <w:rPr>
                <w:rFonts w:ascii="宋体"/>
                <w:b/>
                <w:kern w:val="0"/>
                <w:sz w:val="18"/>
                <w:szCs w:val="18"/>
              </w:rPr>
            </w:pPr>
          </w:p>
        </w:tc>
        <w:tc>
          <w:tcPr>
            <w:tcW w:w="4805" w:type="dxa"/>
            <w:vMerge w:val="continue"/>
            <w:vAlign w:val="center"/>
          </w:tcPr>
          <w:p w14:paraId="1A679AC7">
            <w:pPr>
              <w:spacing w:before="156" w:beforeLines="50" w:after="156" w:afterLines="50"/>
              <w:jc w:val="left"/>
              <w:rPr>
                <w:rFonts w:ascii="宋体"/>
                <w:b/>
                <w:kern w:val="0"/>
                <w:sz w:val="18"/>
                <w:szCs w:val="18"/>
              </w:rPr>
            </w:pPr>
          </w:p>
        </w:tc>
        <w:tc>
          <w:tcPr>
            <w:tcW w:w="5015" w:type="dxa"/>
            <w:vAlign w:val="center"/>
          </w:tcPr>
          <w:p w14:paraId="0C5F9DDF">
            <w:pPr>
              <w:spacing w:before="156" w:beforeLines="50" w:after="156" w:afterLines="50"/>
              <w:jc w:val="center"/>
              <w:rPr>
                <w:rFonts w:ascii="宋体"/>
                <w:b/>
                <w:kern w:val="0"/>
                <w:sz w:val="18"/>
                <w:szCs w:val="18"/>
              </w:rPr>
            </w:pPr>
            <w:r>
              <w:rPr>
                <w:rFonts w:hint="eastAsia" w:ascii="宋体"/>
                <w:b/>
                <w:kern w:val="0"/>
                <w:sz w:val="18"/>
                <w:szCs w:val="18"/>
              </w:rPr>
              <w:t>【对象】施工作业单位</w:t>
            </w:r>
          </w:p>
        </w:tc>
      </w:tr>
      <w:tr w14:paraId="77514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3D78526B">
            <w:pPr>
              <w:spacing w:before="156" w:beforeLines="50" w:after="156" w:afterLines="50"/>
              <w:jc w:val="center"/>
              <w:rPr>
                <w:rFonts w:ascii="宋体"/>
                <w:kern w:val="0"/>
                <w:sz w:val="18"/>
                <w:szCs w:val="18"/>
              </w:rPr>
            </w:pPr>
            <w:r>
              <w:rPr>
                <w:rFonts w:hint="eastAsia" w:ascii="宋体"/>
                <w:kern w:val="0"/>
                <w:sz w:val="18"/>
                <w:szCs w:val="18"/>
              </w:rPr>
              <w:t>13</w:t>
            </w:r>
          </w:p>
        </w:tc>
        <w:tc>
          <w:tcPr>
            <w:tcW w:w="1998" w:type="dxa"/>
            <w:vMerge w:val="restart"/>
            <w:vAlign w:val="center"/>
          </w:tcPr>
          <w:p w14:paraId="7D7EEAD5">
            <w:pPr>
              <w:spacing w:before="156" w:beforeLines="50" w:after="156" w:afterLines="50"/>
              <w:jc w:val="left"/>
              <w:rPr>
                <w:rFonts w:ascii="宋体"/>
                <w:kern w:val="0"/>
                <w:sz w:val="18"/>
                <w:szCs w:val="18"/>
              </w:rPr>
            </w:pPr>
            <w:r>
              <w:rPr>
                <w:rFonts w:hint="eastAsia" w:ascii="宋体"/>
                <w:kern w:val="0"/>
                <w:sz w:val="18"/>
                <w:szCs w:val="18"/>
              </w:rPr>
              <w:t>以欺骗或其他不正当手段取得水上水下活动许可证的</w:t>
            </w:r>
          </w:p>
        </w:tc>
        <w:tc>
          <w:tcPr>
            <w:tcW w:w="2818" w:type="dxa"/>
            <w:vMerge w:val="restart"/>
            <w:vAlign w:val="center"/>
          </w:tcPr>
          <w:p w14:paraId="289A4D8A">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vMerge w:val="restart"/>
            <w:vAlign w:val="center"/>
          </w:tcPr>
          <w:p w14:paraId="24247E0C">
            <w:pPr>
              <w:spacing w:before="156" w:beforeLines="50" w:after="156" w:afterLines="50"/>
              <w:jc w:val="left"/>
              <w:rPr>
                <w:rFonts w:ascii="宋体"/>
                <w:strike/>
                <w:kern w:val="0"/>
                <w:sz w:val="18"/>
                <w:szCs w:val="18"/>
              </w:rPr>
            </w:pPr>
            <w:r>
              <w:rPr>
                <w:rFonts w:hint="eastAsia" w:ascii="宋体"/>
                <w:kern w:val="0"/>
                <w:sz w:val="18"/>
                <w:szCs w:val="18"/>
              </w:rPr>
              <w:t>1.《中华人民共和国水上水下作业和活动通航安全管理规定》第三十条；</w:t>
            </w:r>
          </w:p>
          <w:p w14:paraId="46CAAECF">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14:paraId="6032C4C1">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14:paraId="29DEB95B">
            <w:pPr>
              <w:spacing w:before="156" w:beforeLines="50" w:after="156" w:afterLines="50"/>
              <w:jc w:val="left"/>
              <w:rPr>
                <w:rFonts w:ascii="宋体"/>
                <w:kern w:val="0"/>
                <w:sz w:val="18"/>
                <w:szCs w:val="18"/>
              </w:rPr>
            </w:pPr>
            <w:r>
              <w:rPr>
                <w:rFonts w:hint="eastAsia" w:ascii="宋体"/>
                <w:kern w:val="0"/>
                <w:sz w:val="18"/>
                <w:szCs w:val="18"/>
              </w:rPr>
              <w:t>具有法定从轻处罚情节的。</w:t>
            </w:r>
          </w:p>
        </w:tc>
        <w:tc>
          <w:tcPr>
            <w:tcW w:w="5015" w:type="dxa"/>
            <w:vAlign w:val="center"/>
          </w:tcPr>
          <w:p w14:paraId="73A5AD16">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3351F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1BE6D729">
            <w:pPr>
              <w:spacing w:before="156" w:beforeLines="50" w:after="156" w:afterLines="50"/>
              <w:jc w:val="left"/>
              <w:rPr>
                <w:rFonts w:ascii="宋体"/>
                <w:kern w:val="0"/>
                <w:sz w:val="18"/>
                <w:szCs w:val="18"/>
              </w:rPr>
            </w:pPr>
          </w:p>
        </w:tc>
        <w:tc>
          <w:tcPr>
            <w:tcW w:w="1998" w:type="dxa"/>
            <w:vMerge w:val="continue"/>
            <w:vAlign w:val="center"/>
          </w:tcPr>
          <w:p w14:paraId="6A6F399B">
            <w:pPr>
              <w:spacing w:before="156" w:beforeLines="50" w:after="156" w:afterLines="50"/>
              <w:jc w:val="left"/>
              <w:rPr>
                <w:rFonts w:ascii="宋体"/>
                <w:kern w:val="0"/>
                <w:sz w:val="18"/>
                <w:szCs w:val="18"/>
              </w:rPr>
            </w:pPr>
          </w:p>
        </w:tc>
        <w:tc>
          <w:tcPr>
            <w:tcW w:w="2818" w:type="dxa"/>
            <w:vMerge w:val="continue"/>
            <w:vAlign w:val="center"/>
          </w:tcPr>
          <w:p w14:paraId="187AFE7D">
            <w:pPr>
              <w:widowControl/>
              <w:spacing w:before="156" w:beforeLines="50" w:after="156" w:afterLines="50"/>
              <w:jc w:val="left"/>
              <w:rPr>
                <w:rFonts w:ascii="宋体"/>
                <w:kern w:val="0"/>
                <w:sz w:val="18"/>
                <w:szCs w:val="18"/>
              </w:rPr>
            </w:pPr>
          </w:p>
        </w:tc>
        <w:tc>
          <w:tcPr>
            <w:tcW w:w="3170" w:type="dxa"/>
            <w:vMerge w:val="continue"/>
            <w:vAlign w:val="center"/>
          </w:tcPr>
          <w:p w14:paraId="6CD8619E">
            <w:pPr>
              <w:spacing w:before="156" w:beforeLines="50" w:after="156" w:afterLines="50"/>
              <w:jc w:val="left"/>
              <w:rPr>
                <w:rFonts w:ascii="宋体"/>
                <w:kern w:val="0"/>
                <w:sz w:val="18"/>
                <w:szCs w:val="18"/>
              </w:rPr>
            </w:pPr>
          </w:p>
        </w:tc>
        <w:tc>
          <w:tcPr>
            <w:tcW w:w="998" w:type="dxa"/>
            <w:vMerge w:val="restart"/>
            <w:vAlign w:val="center"/>
          </w:tcPr>
          <w:p w14:paraId="40A5A7D7">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14:paraId="4B98A95F">
            <w:pPr>
              <w:spacing w:before="156" w:beforeLines="50" w:after="156" w:afterLines="50"/>
              <w:jc w:val="left"/>
              <w:rPr>
                <w:rFonts w:ascii="宋体"/>
                <w:kern w:val="0"/>
                <w:sz w:val="18"/>
                <w:szCs w:val="18"/>
              </w:rPr>
            </w:pPr>
            <w:r>
              <w:rPr>
                <w:rFonts w:hint="eastAsia" w:ascii="宋体"/>
                <w:kern w:val="0"/>
                <w:sz w:val="18"/>
                <w:szCs w:val="18"/>
              </w:rPr>
              <w:t>隐瞒有关情况取得许可证的。</w:t>
            </w:r>
          </w:p>
        </w:tc>
        <w:tc>
          <w:tcPr>
            <w:tcW w:w="5015" w:type="dxa"/>
            <w:vAlign w:val="center"/>
          </w:tcPr>
          <w:p w14:paraId="22C6AD57">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万元及以上1.5万元以下</w:t>
            </w:r>
          </w:p>
        </w:tc>
      </w:tr>
      <w:tr w14:paraId="1DB9B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7CA42F9B">
            <w:pPr>
              <w:spacing w:before="156" w:beforeLines="50" w:after="156" w:afterLines="50"/>
              <w:jc w:val="left"/>
              <w:rPr>
                <w:rFonts w:ascii="宋体"/>
                <w:kern w:val="0"/>
                <w:sz w:val="18"/>
                <w:szCs w:val="18"/>
              </w:rPr>
            </w:pPr>
          </w:p>
        </w:tc>
        <w:tc>
          <w:tcPr>
            <w:tcW w:w="1998" w:type="dxa"/>
            <w:vMerge w:val="continue"/>
            <w:vAlign w:val="center"/>
          </w:tcPr>
          <w:p w14:paraId="6B63703B">
            <w:pPr>
              <w:spacing w:before="156" w:beforeLines="50" w:after="156" w:afterLines="50"/>
              <w:jc w:val="left"/>
              <w:rPr>
                <w:rFonts w:ascii="宋体"/>
                <w:kern w:val="0"/>
                <w:sz w:val="18"/>
                <w:szCs w:val="18"/>
              </w:rPr>
            </w:pPr>
          </w:p>
        </w:tc>
        <w:tc>
          <w:tcPr>
            <w:tcW w:w="2818" w:type="dxa"/>
            <w:vMerge w:val="continue"/>
            <w:vAlign w:val="center"/>
          </w:tcPr>
          <w:p w14:paraId="53F86F64">
            <w:pPr>
              <w:spacing w:before="156" w:beforeLines="50" w:after="156" w:afterLines="50"/>
              <w:jc w:val="left"/>
              <w:rPr>
                <w:rFonts w:ascii="宋体"/>
                <w:kern w:val="0"/>
                <w:sz w:val="18"/>
                <w:szCs w:val="18"/>
              </w:rPr>
            </w:pPr>
          </w:p>
        </w:tc>
        <w:tc>
          <w:tcPr>
            <w:tcW w:w="3170" w:type="dxa"/>
            <w:vMerge w:val="continue"/>
            <w:vAlign w:val="center"/>
          </w:tcPr>
          <w:p w14:paraId="523AAE73">
            <w:pPr>
              <w:spacing w:before="156" w:beforeLines="50" w:after="156" w:afterLines="50"/>
              <w:jc w:val="left"/>
              <w:rPr>
                <w:rFonts w:ascii="宋体"/>
                <w:kern w:val="0"/>
                <w:sz w:val="18"/>
                <w:szCs w:val="18"/>
              </w:rPr>
            </w:pPr>
          </w:p>
        </w:tc>
        <w:tc>
          <w:tcPr>
            <w:tcW w:w="998" w:type="dxa"/>
            <w:vMerge w:val="continue"/>
            <w:vAlign w:val="center"/>
          </w:tcPr>
          <w:p w14:paraId="41B852B8">
            <w:pPr>
              <w:spacing w:before="156" w:beforeLines="50" w:after="156" w:afterLines="50"/>
              <w:jc w:val="center"/>
              <w:rPr>
                <w:rFonts w:ascii="宋体"/>
                <w:kern w:val="0"/>
                <w:sz w:val="18"/>
                <w:szCs w:val="18"/>
              </w:rPr>
            </w:pPr>
          </w:p>
        </w:tc>
        <w:tc>
          <w:tcPr>
            <w:tcW w:w="4805" w:type="dxa"/>
            <w:vAlign w:val="center"/>
          </w:tcPr>
          <w:p w14:paraId="43969236">
            <w:pPr>
              <w:spacing w:before="156" w:beforeLines="50" w:after="156" w:afterLines="50"/>
              <w:jc w:val="left"/>
              <w:rPr>
                <w:rFonts w:ascii="宋体"/>
                <w:kern w:val="0"/>
                <w:sz w:val="18"/>
                <w:szCs w:val="18"/>
              </w:rPr>
            </w:pPr>
            <w:r>
              <w:rPr>
                <w:rFonts w:hint="eastAsia" w:ascii="宋体"/>
                <w:kern w:val="0"/>
                <w:sz w:val="18"/>
                <w:szCs w:val="18"/>
              </w:rPr>
              <w:t>1.提供虚假材料，以欺骗或其他不正当手段取得许可证的；</w:t>
            </w:r>
          </w:p>
          <w:p w14:paraId="47313099">
            <w:pPr>
              <w:spacing w:before="156" w:beforeLines="50" w:after="156" w:afterLines="50"/>
              <w:jc w:val="left"/>
              <w:rPr>
                <w:rFonts w:ascii="宋体"/>
                <w:kern w:val="0"/>
                <w:sz w:val="18"/>
                <w:szCs w:val="18"/>
              </w:rPr>
            </w:pPr>
            <w:r>
              <w:rPr>
                <w:rFonts w:hint="eastAsia" w:ascii="宋体"/>
                <w:kern w:val="0"/>
                <w:sz w:val="18"/>
                <w:szCs w:val="18"/>
              </w:rPr>
              <w:t>2.隐瞒有关情况或者提供虚假材料，以欺骗或其他不正当手段取得许可证后，水上水下作业或者活动过程中发生一般以下等级事故的。</w:t>
            </w:r>
          </w:p>
        </w:tc>
        <w:tc>
          <w:tcPr>
            <w:tcW w:w="5015" w:type="dxa"/>
            <w:vAlign w:val="center"/>
          </w:tcPr>
          <w:p w14:paraId="6AF5D32E">
            <w:pPr>
              <w:spacing w:before="156" w:beforeLines="50" w:after="156" w:afterLines="50"/>
              <w:jc w:val="left"/>
              <w:rPr>
                <w:rFonts w:ascii="宋体"/>
                <w:kern w:val="0"/>
                <w:sz w:val="18"/>
                <w:szCs w:val="18"/>
              </w:rPr>
            </w:pPr>
            <w:r>
              <w:rPr>
                <w:rFonts w:hint="eastAsia" w:ascii="宋体"/>
                <w:kern w:val="0"/>
                <w:sz w:val="18"/>
                <w:szCs w:val="18"/>
              </w:rPr>
              <w:t>1.5万元及以上2万元以下</w:t>
            </w:r>
          </w:p>
        </w:tc>
      </w:tr>
      <w:tr w14:paraId="3CE61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3347DF13">
            <w:pPr>
              <w:spacing w:before="156" w:beforeLines="50" w:after="156" w:afterLines="50"/>
              <w:jc w:val="left"/>
              <w:rPr>
                <w:rFonts w:ascii="宋体"/>
                <w:kern w:val="0"/>
                <w:sz w:val="18"/>
                <w:szCs w:val="18"/>
              </w:rPr>
            </w:pPr>
          </w:p>
        </w:tc>
        <w:tc>
          <w:tcPr>
            <w:tcW w:w="1998" w:type="dxa"/>
            <w:vMerge w:val="continue"/>
            <w:vAlign w:val="center"/>
          </w:tcPr>
          <w:p w14:paraId="60A64E58">
            <w:pPr>
              <w:spacing w:before="156" w:beforeLines="50" w:after="156" w:afterLines="50"/>
              <w:jc w:val="left"/>
              <w:rPr>
                <w:rFonts w:ascii="宋体"/>
                <w:kern w:val="0"/>
                <w:sz w:val="18"/>
                <w:szCs w:val="18"/>
              </w:rPr>
            </w:pPr>
          </w:p>
        </w:tc>
        <w:tc>
          <w:tcPr>
            <w:tcW w:w="2818" w:type="dxa"/>
            <w:vMerge w:val="continue"/>
            <w:vAlign w:val="center"/>
          </w:tcPr>
          <w:p w14:paraId="57E07851">
            <w:pPr>
              <w:spacing w:before="156" w:beforeLines="50" w:after="156" w:afterLines="50"/>
              <w:jc w:val="left"/>
              <w:rPr>
                <w:rFonts w:ascii="宋体"/>
                <w:kern w:val="0"/>
                <w:sz w:val="18"/>
                <w:szCs w:val="18"/>
              </w:rPr>
            </w:pPr>
          </w:p>
        </w:tc>
        <w:tc>
          <w:tcPr>
            <w:tcW w:w="3170" w:type="dxa"/>
            <w:vMerge w:val="continue"/>
            <w:vAlign w:val="center"/>
          </w:tcPr>
          <w:p w14:paraId="158B5CF5">
            <w:pPr>
              <w:spacing w:before="156" w:beforeLines="50" w:after="156" w:afterLines="50"/>
              <w:jc w:val="left"/>
              <w:rPr>
                <w:rFonts w:ascii="宋体"/>
                <w:kern w:val="0"/>
                <w:sz w:val="18"/>
                <w:szCs w:val="18"/>
              </w:rPr>
            </w:pPr>
          </w:p>
        </w:tc>
        <w:tc>
          <w:tcPr>
            <w:tcW w:w="998" w:type="dxa"/>
            <w:vMerge w:val="continue"/>
            <w:vAlign w:val="center"/>
          </w:tcPr>
          <w:p w14:paraId="5DA0E2C7">
            <w:pPr>
              <w:spacing w:before="156" w:beforeLines="50" w:after="156" w:afterLines="50"/>
              <w:jc w:val="center"/>
              <w:rPr>
                <w:rFonts w:ascii="宋体"/>
                <w:kern w:val="0"/>
                <w:sz w:val="18"/>
                <w:szCs w:val="18"/>
              </w:rPr>
            </w:pPr>
          </w:p>
        </w:tc>
        <w:tc>
          <w:tcPr>
            <w:tcW w:w="4805" w:type="dxa"/>
            <w:vAlign w:val="center"/>
          </w:tcPr>
          <w:p w14:paraId="5AE53293">
            <w:pPr>
              <w:spacing w:before="156" w:beforeLines="50" w:after="156" w:afterLines="50"/>
              <w:jc w:val="left"/>
              <w:rPr>
                <w:rFonts w:ascii="宋体"/>
                <w:kern w:val="0"/>
                <w:sz w:val="18"/>
                <w:szCs w:val="18"/>
              </w:rPr>
            </w:pPr>
            <w:r>
              <w:rPr>
                <w:rFonts w:hint="eastAsia" w:ascii="宋体"/>
                <w:kern w:val="0"/>
                <w:sz w:val="18"/>
                <w:szCs w:val="18"/>
              </w:rPr>
              <w:t>采用不正当手段取得许可证后进行水上水下作业或者活动过程中发生一般等级以上事故的。</w:t>
            </w:r>
          </w:p>
          <w:p w14:paraId="647B8458">
            <w:pPr>
              <w:spacing w:before="156" w:beforeLines="50" w:after="156" w:afterLines="50"/>
              <w:jc w:val="left"/>
              <w:rPr>
                <w:rFonts w:ascii="宋体"/>
                <w:kern w:val="0"/>
                <w:sz w:val="18"/>
                <w:szCs w:val="18"/>
              </w:rPr>
            </w:pPr>
          </w:p>
        </w:tc>
        <w:tc>
          <w:tcPr>
            <w:tcW w:w="5015" w:type="dxa"/>
            <w:vAlign w:val="center"/>
          </w:tcPr>
          <w:p w14:paraId="3BFB23BA">
            <w:pPr>
              <w:spacing w:before="156" w:beforeLines="50" w:after="156" w:afterLines="50"/>
              <w:jc w:val="left"/>
              <w:rPr>
                <w:rFonts w:ascii="宋体"/>
                <w:kern w:val="0"/>
                <w:sz w:val="18"/>
                <w:szCs w:val="18"/>
              </w:rPr>
            </w:pPr>
            <w:r>
              <w:rPr>
                <w:rFonts w:hint="eastAsia" w:ascii="宋体"/>
                <w:kern w:val="0"/>
                <w:sz w:val="18"/>
                <w:szCs w:val="18"/>
              </w:rPr>
              <w:t>2万元及以上3万元及以下</w:t>
            </w:r>
          </w:p>
        </w:tc>
      </w:tr>
    </w:tbl>
    <w:p w14:paraId="2EB3BE4F">
      <w:pPr>
        <w:spacing w:before="156" w:beforeLines="50" w:after="156" w:afterLines="50"/>
        <w:jc w:val="left"/>
        <w:rPr>
          <w:rFonts w:ascii="宋体"/>
          <w:b/>
          <w:kern w:val="0"/>
          <w:sz w:val="18"/>
          <w:szCs w:val="18"/>
        </w:rPr>
      </w:pPr>
      <w:r>
        <w:rPr>
          <w:rFonts w:hint="eastAsia"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14:paraId="0A033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19E2CB4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6833A562">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35AE9D9B">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2F87CA0F">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14:paraId="2382BC3E">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13CA2371">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14:paraId="32EA6996">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5000元以上5万元以下。</w:t>
            </w:r>
          </w:p>
        </w:tc>
      </w:tr>
      <w:tr w14:paraId="5DBCD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34DAD818">
            <w:pPr>
              <w:spacing w:before="156" w:beforeLines="50" w:after="156" w:afterLines="50"/>
              <w:jc w:val="center"/>
              <w:rPr>
                <w:rFonts w:ascii="宋体"/>
                <w:b/>
                <w:kern w:val="0"/>
                <w:sz w:val="18"/>
                <w:szCs w:val="18"/>
              </w:rPr>
            </w:pPr>
          </w:p>
        </w:tc>
        <w:tc>
          <w:tcPr>
            <w:tcW w:w="1998" w:type="dxa"/>
            <w:vMerge w:val="continue"/>
            <w:vAlign w:val="center"/>
          </w:tcPr>
          <w:p w14:paraId="74B66B74">
            <w:pPr>
              <w:spacing w:before="156" w:beforeLines="50" w:after="156" w:afterLines="50"/>
              <w:jc w:val="center"/>
              <w:rPr>
                <w:rFonts w:ascii="宋体"/>
                <w:b/>
                <w:kern w:val="0"/>
                <w:sz w:val="18"/>
                <w:szCs w:val="18"/>
              </w:rPr>
            </w:pPr>
          </w:p>
        </w:tc>
        <w:tc>
          <w:tcPr>
            <w:tcW w:w="5988" w:type="dxa"/>
            <w:gridSpan w:val="2"/>
            <w:vMerge w:val="continue"/>
            <w:vAlign w:val="center"/>
          </w:tcPr>
          <w:p w14:paraId="0F7F30F1">
            <w:pPr>
              <w:spacing w:before="156" w:beforeLines="50" w:after="156" w:afterLines="50"/>
              <w:jc w:val="center"/>
              <w:rPr>
                <w:rFonts w:ascii="宋体"/>
                <w:b/>
                <w:kern w:val="0"/>
                <w:sz w:val="18"/>
                <w:szCs w:val="18"/>
              </w:rPr>
            </w:pPr>
          </w:p>
        </w:tc>
        <w:tc>
          <w:tcPr>
            <w:tcW w:w="998" w:type="dxa"/>
            <w:vMerge w:val="continue"/>
            <w:vAlign w:val="center"/>
          </w:tcPr>
          <w:p w14:paraId="4427DDDF">
            <w:pPr>
              <w:spacing w:before="156" w:beforeLines="50" w:after="156" w:afterLines="50"/>
              <w:jc w:val="left"/>
              <w:rPr>
                <w:rFonts w:ascii="宋体"/>
                <w:b/>
                <w:kern w:val="0"/>
                <w:sz w:val="18"/>
                <w:szCs w:val="18"/>
              </w:rPr>
            </w:pPr>
          </w:p>
        </w:tc>
        <w:tc>
          <w:tcPr>
            <w:tcW w:w="4805" w:type="dxa"/>
            <w:vMerge w:val="continue"/>
            <w:vAlign w:val="center"/>
          </w:tcPr>
          <w:p w14:paraId="0D81AFB6">
            <w:pPr>
              <w:spacing w:before="156" w:beforeLines="50" w:after="156" w:afterLines="50"/>
              <w:jc w:val="left"/>
              <w:rPr>
                <w:rFonts w:ascii="宋体"/>
                <w:b/>
                <w:kern w:val="0"/>
                <w:sz w:val="18"/>
                <w:szCs w:val="18"/>
              </w:rPr>
            </w:pPr>
          </w:p>
        </w:tc>
        <w:tc>
          <w:tcPr>
            <w:tcW w:w="5015" w:type="dxa"/>
            <w:vAlign w:val="center"/>
          </w:tcPr>
          <w:p w14:paraId="7A96D3AF">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83BA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5FA5ED0A">
            <w:pPr>
              <w:spacing w:before="156" w:beforeLines="50" w:after="156" w:afterLines="50"/>
              <w:jc w:val="center"/>
              <w:rPr>
                <w:rFonts w:ascii="宋体"/>
                <w:b/>
                <w:kern w:val="0"/>
                <w:sz w:val="18"/>
                <w:szCs w:val="18"/>
              </w:rPr>
            </w:pPr>
          </w:p>
        </w:tc>
        <w:tc>
          <w:tcPr>
            <w:tcW w:w="1998" w:type="dxa"/>
            <w:vMerge w:val="continue"/>
            <w:vAlign w:val="center"/>
          </w:tcPr>
          <w:p w14:paraId="43842BA7">
            <w:pPr>
              <w:spacing w:before="156" w:beforeLines="50" w:after="156" w:afterLines="50"/>
              <w:jc w:val="center"/>
              <w:rPr>
                <w:rFonts w:ascii="宋体"/>
                <w:b/>
                <w:kern w:val="0"/>
                <w:sz w:val="18"/>
                <w:szCs w:val="18"/>
              </w:rPr>
            </w:pPr>
          </w:p>
        </w:tc>
        <w:tc>
          <w:tcPr>
            <w:tcW w:w="2818" w:type="dxa"/>
            <w:vAlign w:val="center"/>
          </w:tcPr>
          <w:p w14:paraId="66813376">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49B0A7B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78B880A5">
            <w:pPr>
              <w:spacing w:before="156" w:beforeLines="50" w:after="156" w:afterLines="50"/>
              <w:jc w:val="left"/>
              <w:rPr>
                <w:rFonts w:ascii="宋体"/>
                <w:b/>
                <w:kern w:val="0"/>
                <w:sz w:val="18"/>
                <w:szCs w:val="18"/>
              </w:rPr>
            </w:pPr>
          </w:p>
        </w:tc>
        <w:tc>
          <w:tcPr>
            <w:tcW w:w="4805" w:type="dxa"/>
            <w:vMerge w:val="continue"/>
            <w:vAlign w:val="center"/>
          </w:tcPr>
          <w:p w14:paraId="6A83E602">
            <w:pPr>
              <w:spacing w:before="156" w:beforeLines="50" w:after="156" w:afterLines="50"/>
              <w:jc w:val="left"/>
              <w:rPr>
                <w:rFonts w:ascii="宋体"/>
                <w:b/>
                <w:kern w:val="0"/>
                <w:sz w:val="18"/>
                <w:szCs w:val="18"/>
              </w:rPr>
            </w:pPr>
          </w:p>
        </w:tc>
        <w:tc>
          <w:tcPr>
            <w:tcW w:w="5015" w:type="dxa"/>
            <w:vAlign w:val="center"/>
          </w:tcPr>
          <w:p w14:paraId="6BEE9991">
            <w:pPr>
              <w:spacing w:before="156" w:beforeLines="50" w:after="156" w:afterLines="50"/>
              <w:jc w:val="center"/>
              <w:rPr>
                <w:rFonts w:ascii="宋体"/>
                <w:b/>
                <w:kern w:val="0"/>
                <w:sz w:val="18"/>
                <w:szCs w:val="18"/>
              </w:rPr>
            </w:pPr>
            <w:r>
              <w:rPr>
                <w:rFonts w:hint="eastAsia" w:ascii="宋体"/>
                <w:b/>
                <w:kern w:val="0"/>
                <w:sz w:val="18"/>
                <w:szCs w:val="18"/>
              </w:rPr>
              <w:t>【对象】施工作业单位</w:t>
            </w:r>
          </w:p>
        </w:tc>
      </w:tr>
      <w:tr w14:paraId="64D68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3C955F70">
            <w:pPr>
              <w:spacing w:before="156" w:beforeLines="50" w:after="156" w:afterLines="50"/>
              <w:jc w:val="center"/>
              <w:rPr>
                <w:rFonts w:ascii="宋体"/>
                <w:kern w:val="0"/>
                <w:sz w:val="18"/>
                <w:szCs w:val="18"/>
              </w:rPr>
            </w:pPr>
            <w:r>
              <w:rPr>
                <w:rFonts w:hint="eastAsia" w:ascii="宋体"/>
                <w:kern w:val="0"/>
                <w:sz w:val="18"/>
                <w:szCs w:val="18"/>
              </w:rPr>
              <w:t>14</w:t>
            </w:r>
          </w:p>
        </w:tc>
        <w:tc>
          <w:tcPr>
            <w:tcW w:w="1998" w:type="dxa"/>
            <w:vMerge w:val="restart"/>
            <w:vAlign w:val="center"/>
          </w:tcPr>
          <w:p w14:paraId="092D90BB">
            <w:pPr>
              <w:spacing w:before="156" w:beforeLines="50" w:after="156" w:afterLines="50"/>
              <w:jc w:val="left"/>
              <w:rPr>
                <w:rFonts w:ascii="宋体"/>
                <w:kern w:val="0"/>
                <w:sz w:val="18"/>
                <w:szCs w:val="18"/>
              </w:rPr>
            </w:pPr>
            <w:r>
              <w:rPr>
                <w:rFonts w:hint="eastAsia" w:ascii="宋体"/>
                <w:kern w:val="0"/>
                <w:sz w:val="18"/>
                <w:szCs w:val="18"/>
              </w:rPr>
              <w:t>使用涂改或者非法受让的许可证进行水上水下作业或者活动的</w:t>
            </w:r>
          </w:p>
        </w:tc>
        <w:tc>
          <w:tcPr>
            <w:tcW w:w="2818" w:type="dxa"/>
            <w:vMerge w:val="restart"/>
            <w:vAlign w:val="center"/>
          </w:tcPr>
          <w:p w14:paraId="655DB58C">
            <w:pPr>
              <w:widowControl/>
              <w:spacing w:before="156" w:beforeLines="50" w:after="156" w:afterLines="50"/>
              <w:jc w:val="left"/>
              <w:rPr>
                <w:rFonts w:ascii="宋体"/>
                <w:kern w:val="0"/>
                <w:sz w:val="18"/>
                <w:szCs w:val="18"/>
              </w:rPr>
            </w:pPr>
            <w:r>
              <w:rPr>
                <w:rFonts w:hint="eastAsia" w:ascii="宋体"/>
                <w:kern w:val="0"/>
                <w:sz w:val="18"/>
                <w:szCs w:val="18"/>
              </w:rPr>
              <w:t>《中华人民共和国水上水下作业和活动通航安全管理规定》第六条</w:t>
            </w:r>
          </w:p>
        </w:tc>
        <w:tc>
          <w:tcPr>
            <w:tcW w:w="3170" w:type="dxa"/>
            <w:vMerge w:val="restart"/>
            <w:vAlign w:val="center"/>
          </w:tcPr>
          <w:p w14:paraId="6A512167">
            <w:pPr>
              <w:spacing w:before="156" w:beforeLines="50" w:after="156" w:afterLines="50"/>
              <w:jc w:val="left"/>
              <w:rPr>
                <w:rFonts w:ascii="宋体"/>
                <w:kern w:val="0"/>
                <w:sz w:val="18"/>
                <w:szCs w:val="18"/>
              </w:rPr>
            </w:pPr>
            <w:r>
              <w:rPr>
                <w:rFonts w:hint="eastAsia" w:ascii="宋体"/>
                <w:kern w:val="0"/>
                <w:sz w:val="18"/>
                <w:szCs w:val="18"/>
              </w:rPr>
              <w:t>1. 《中华人民共和国水上水下作业和活动通航安全管理规定》第三十二条第（二）项；</w:t>
            </w:r>
          </w:p>
          <w:p w14:paraId="5AE13478">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14:paraId="2E4D5FA1">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14:paraId="77D42996">
            <w:pPr>
              <w:widowControl/>
              <w:spacing w:before="156" w:beforeLines="50" w:after="156" w:afterLines="50"/>
              <w:jc w:val="left"/>
              <w:rPr>
                <w:rFonts w:ascii="宋体"/>
                <w:kern w:val="0"/>
                <w:sz w:val="18"/>
                <w:szCs w:val="18"/>
              </w:rPr>
            </w:pPr>
            <w:r>
              <w:rPr>
                <w:rFonts w:hint="eastAsia" w:ascii="宋体"/>
                <w:kern w:val="0"/>
                <w:sz w:val="18"/>
                <w:szCs w:val="18"/>
              </w:rPr>
              <w:t>具有法定从轻处罚情节的。</w:t>
            </w:r>
          </w:p>
        </w:tc>
        <w:tc>
          <w:tcPr>
            <w:tcW w:w="5015" w:type="dxa"/>
            <w:vAlign w:val="center"/>
          </w:tcPr>
          <w:p w14:paraId="388CD93B">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59425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4C9B7F5D">
            <w:pPr>
              <w:spacing w:before="156" w:beforeLines="50" w:after="156" w:afterLines="50"/>
              <w:jc w:val="left"/>
              <w:rPr>
                <w:rFonts w:ascii="宋体"/>
                <w:kern w:val="0"/>
                <w:sz w:val="18"/>
                <w:szCs w:val="18"/>
              </w:rPr>
            </w:pPr>
          </w:p>
        </w:tc>
        <w:tc>
          <w:tcPr>
            <w:tcW w:w="1998" w:type="dxa"/>
            <w:vMerge w:val="continue"/>
            <w:vAlign w:val="center"/>
          </w:tcPr>
          <w:p w14:paraId="6B2A11A7">
            <w:pPr>
              <w:spacing w:before="156" w:beforeLines="50" w:after="156" w:afterLines="50"/>
              <w:jc w:val="left"/>
              <w:rPr>
                <w:rFonts w:ascii="宋体"/>
                <w:kern w:val="0"/>
                <w:sz w:val="18"/>
                <w:szCs w:val="18"/>
              </w:rPr>
            </w:pPr>
          </w:p>
        </w:tc>
        <w:tc>
          <w:tcPr>
            <w:tcW w:w="2818" w:type="dxa"/>
            <w:vMerge w:val="continue"/>
            <w:vAlign w:val="center"/>
          </w:tcPr>
          <w:p w14:paraId="1C7CD344">
            <w:pPr>
              <w:widowControl/>
              <w:spacing w:before="156" w:beforeLines="50" w:after="156" w:afterLines="50"/>
              <w:jc w:val="left"/>
              <w:rPr>
                <w:rFonts w:ascii="宋体"/>
                <w:kern w:val="0"/>
                <w:sz w:val="18"/>
                <w:szCs w:val="18"/>
              </w:rPr>
            </w:pPr>
          </w:p>
        </w:tc>
        <w:tc>
          <w:tcPr>
            <w:tcW w:w="3170" w:type="dxa"/>
            <w:vMerge w:val="continue"/>
            <w:vAlign w:val="center"/>
          </w:tcPr>
          <w:p w14:paraId="45ADEBCF">
            <w:pPr>
              <w:spacing w:before="156" w:beforeLines="50" w:after="156" w:afterLines="50"/>
              <w:jc w:val="left"/>
              <w:rPr>
                <w:rFonts w:ascii="宋体"/>
                <w:kern w:val="0"/>
                <w:sz w:val="18"/>
                <w:szCs w:val="18"/>
              </w:rPr>
            </w:pPr>
          </w:p>
        </w:tc>
        <w:tc>
          <w:tcPr>
            <w:tcW w:w="998" w:type="dxa"/>
            <w:vMerge w:val="restart"/>
            <w:vAlign w:val="center"/>
          </w:tcPr>
          <w:p w14:paraId="6DA0B252">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14:paraId="10CDE8A1">
            <w:pPr>
              <w:spacing w:before="156" w:beforeLines="50" w:after="156" w:afterLines="50" w:line="280" w:lineRule="exact"/>
              <w:jc w:val="left"/>
              <w:rPr>
                <w:rFonts w:ascii="宋体"/>
                <w:kern w:val="0"/>
                <w:sz w:val="18"/>
                <w:szCs w:val="18"/>
              </w:rPr>
            </w:pPr>
            <w:r>
              <w:rPr>
                <w:rFonts w:hint="eastAsia" w:ascii="宋体"/>
                <w:kern w:val="0"/>
                <w:sz w:val="18"/>
                <w:szCs w:val="18"/>
              </w:rPr>
              <w:t>使用涂改的许可证进行水上水下作业或者活动的。</w:t>
            </w:r>
          </w:p>
        </w:tc>
        <w:tc>
          <w:tcPr>
            <w:tcW w:w="5015" w:type="dxa"/>
            <w:vAlign w:val="center"/>
          </w:tcPr>
          <w:p w14:paraId="285F3633">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14:paraId="50F1A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62774BA7">
            <w:pPr>
              <w:spacing w:before="156" w:beforeLines="50" w:after="156" w:afterLines="50"/>
              <w:jc w:val="left"/>
              <w:rPr>
                <w:rFonts w:ascii="宋体"/>
                <w:kern w:val="0"/>
                <w:sz w:val="18"/>
                <w:szCs w:val="18"/>
              </w:rPr>
            </w:pPr>
          </w:p>
        </w:tc>
        <w:tc>
          <w:tcPr>
            <w:tcW w:w="1998" w:type="dxa"/>
            <w:vMerge w:val="continue"/>
            <w:vAlign w:val="center"/>
          </w:tcPr>
          <w:p w14:paraId="341C0E84">
            <w:pPr>
              <w:spacing w:before="156" w:beforeLines="50" w:after="156" w:afterLines="50"/>
              <w:jc w:val="left"/>
              <w:rPr>
                <w:rFonts w:ascii="宋体"/>
                <w:kern w:val="0"/>
                <w:sz w:val="18"/>
                <w:szCs w:val="18"/>
              </w:rPr>
            </w:pPr>
          </w:p>
        </w:tc>
        <w:tc>
          <w:tcPr>
            <w:tcW w:w="2818" w:type="dxa"/>
            <w:vMerge w:val="continue"/>
            <w:vAlign w:val="center"/>
          </w:tcPr>
          <w:p w14:paraId="40FF93F6">
            <w:pPr>
              <w:spacing w:before="156" w:beforeLines="50" w:after="156" w:afterLines="50"/>
              <w:jc w:val="left"/>
              <w:rPr>
                <w:rFonts w:ascii="宋体"/>
                <w:kern w:val="0"/>
                <w:sz w:val="18"/>
                <w:szCs w:val="18"/>
              </w:rPr>
            </w:pPr>
          </w:p>
        </w:tc>
        <w:tc>
          <w:tcPr>
            <w:tcW w:w="3170" w:type="dxa"/>
            <w:vMerge w:val="continue"/>
            <w:vAlign w:val="center"/>
          </w:tcPr>
          <w:p w14:paraId="77BE2AA8">
            <w:pPr>
              <w:spacing w:before="156" w:beforeLines="50" w:after="156" w:afterLines="50"/>
              <w:jc w:val="left"/>
              <w:rPr>
                <w:rFonts w:ascii="宋体"/>
                <w:kern w:val="0"/>
                <w:sz w:val="18"/>
                <w:szCs w:val="18"/>
              </w:rPr>
            </w:pPr>
          </w:p>
        </w:tc>
        <w:tc>
          <w:tcPr>
            <w:tcW w:w="998" w:type="dxa"/>
            <w:vMerge w:val="continue"/>
            <w:vAlign w:val="center"/>
          </w:tcPr>
          <w:p w14:paraId="4A738C32">
            <w:pPr>
              <w:spacing w:before="156" w:beforeLines="50" w:after="156" w:afterLines="50"/>
              <w:jc w:val="center"/>
              <w:rPr>
                <w:rFonts w:ascii="宋体"/>
                <w:kern w:val="0"/>
                <w:sz w:val="18"/>
                <w:szCs w:val="18"/>
              </w:rPr>
            </w:pPr>
          </w:p>
        </w:tc>
        <w:tc>
          <w:tcPr>
            <w:tcW w:w="4805" w:type="dxa"/>
            <w:vAlign w:val="center"/>
          </w:tcPr>
          <w:p w14:paraId="060FA1DA">
            <w:pPr>
              <w:spacing w:before="156" w:beforeLines="50" w:after="156" w:afterLines="50"/>
              <w:jc w:val="left"/>
              <w:rPr>
                <w:rFonts w:ascii="宋体"/>
                <w:kern w:val="0"/>
                <w:sz w:val="18"/>
                <w:szCs w:val="18"/>
              </w:rPr>
            </w:pPr>
            <w:r>
              <w:rPr>
                <w:rFonts w:hint="eastAsia" w:ascii="宋体"/>
                <w:kern w:val="0"/>
                <w:sz w:val="18"/>
                <w:szCs w:val="18"/>
              </w:rPr>
              <w:t>1.使用非法受让的许可证进行水上水下作业或者活动的；</w:t>
            </w:r>
          </w:p>
          <w:p w14:paraId="75B9CD12">
            <w:pPr>
              <w:spacing w:before="156" w:beforeLines="50" w:after="156" w:afterLines="50"/>
              <w:jc w:val="left"/>
              <w:rPr>
                <w:rFonts w:ascii="宋体"/>
                <w:kern w:val="0"/>
                <w:sz w:val="18"/>
                <w:szCs w:val="18"/>
              </w:rPr>
            </w:pPr>
            <w:r>
              <w:rPr>
                <w:rFonts w:hint="eastAsia" w:ascii="宋体"/>
                <w:kern w:val="0"/>
                <w:sz w:val="18"/>
                <w:szCs w:val="18"/>
              </w:rPr>
              <w:t>2.使用涂改或者非法受让的许可证进行水上水下作业或者活动过程中发生一般以下等级事故的。</w:t>
            </w:r>
          </w:p>
        </w:tc>
        <w:tc>
          <w:tcPr>
            <w:tcW w:w="5015" w:type="dxa"/>
            <w:vAlign w:val="center"/>
          </w:tcPr>
          <w:p w14:paraId="29D2596E">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14:paraId="0E88D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179210AC">
            <w:pPr>
              <w:spacing w:before="156" w:beforeLines="50" w:after="156" w:afterLines="50"/>
              <w:jc w:val="left"/>
              <w:rPr>
                <w:rFonts w:ascii="宋体"/>
                <w:kern w:val="0"/>
                <w:sz w:val="18"/>
                <w:szCs w:val="18"/>
              </w:rPr>
            </w:pPr>
          </w:p>
        </w:tc>
        <w:tc>
          <w:tcPr>
            <w:tcW w:w="1998" w:type="dxa"/>
            <w:vMerge w:val="continue"/>
            <w:vAlign w:val="center"/>
          </w:tcPr>
          <w:p w14:paraId="33720ED8">
            <w:pPr>
              <w:spacing w:before="156" w:beforeLines="50" w:after="156" w:afterLines="50"/>
              <w:jc w:val="left"/>
              <w:rPr>
                <w:rFonts w:ascii="宋体"/>
                <w:kern w:val="0"/>
                <w:sz w:val="18"/>
                <w:szCs w:val="18"/>
              </w:rPr>
            </w:pPr>
          </w:p>
        </w:tc>
        <w:tc>
          <w:tcPr>
            <w:tcW w:w="2818" w:type="dxa"/>
            <w:vMerge w:val="continue"/>
            <w:vAlign w:val="center"/>
          </w:tcPr>
          <w:p w14:paraId="1A8877D9">
            <w:pPr>
              <w:spacing w:before="156" w:beforeLines="50" w:after="156" w:afterLines="50"/>
              <w:jc w:val="left"/>
              <w:rPr>
                <w:rFonts w:ascii="宋体"/>
                <w:kern w:val="0"/>
                <w:sz w:val="18"/>
                <w:szCs w:val="18"/>
              </w:rPr>
            </w:pPr>
          </w:p>
        </w:tc>
        <w:tc>
          <w:tcPr>
            <w:tcW w:w="3170" w:type="dxa"/>
            <w:vMerge w:val="continue"/>
            <w:vAlign w:val="center"/>
          </w:tcPr>
          <w:p w14:paraId="04F2B0BC">
            <w:pPr>
              <w:spacing w:before="156" w:beforeLines="50" w:after="156" w:afterLines="50"/>
              <w:jc w:val="left"/>
              <w:rPr>
                <w:rFonts w:ascii="宋体"/>
                <w:kern w:val="0"/>
                <w:sz w:val="18"/>
                <w:szCs w:val="18"/>
              </w:rPr>
            </w:pPr>
          </w:p>
        </w:tc>
        <w:tc>
          <w:tcPr>
            <w:tcW w:w="998" w:type="dxa"/>
            <w:vMerge w:val="continue"/>
            <w:vAlign w:val="center"/>
          </w:tcPr>
          <w:p w14:paraId="6F96D41B">
            <w:pPr>
              <w:spacing w:before="156" w:beforeLines="50" w:after="156" w:afterLines="50"/>
              <w:jc w:val="center"/>
              <w:rPr>
                <w:rFonts w:ascii="宋体"/>
                <w:kern w:val="0"/>
                <w:sz w:val="18"/>
                <w:szCs w:val="18"/>
              </w:rPr>
            </w:pPr>
          </w:p>
        </w:tc>
        <w:tc>
          <w:tcPr>
            <w:tcW w:w="4805" w:type="dxa"/>
            <w:vAlign w:val="center"/>
          </w:tcPr>
          <w:p w14:paraId="3719DCF1">
            <w:pPr>
              <w:spacing w:before="156" w:beforeLines="50" w:after="156" w:afterLines="50"/>
              <w:jc w:val="left"/>
              <w:rPr>
                <w:rFonts w:ascii="宋体"/>
                <w:kern w:val="0"/>
                <w:sz w:val="18"/>
                <w:szCs w:val="18"/>
              </w:rPr>
            </w:pPr>
            <w:r>
              <w:rPr>
                <w:rFonts w:hint="eastAsia" w:ascii="宋体"/>
                <w:kern w:val="0"/>
                <w:sz w:val="18"/>
                <w:szCs w:val="18"/>
              </w:rPr>
              <w:t>用涂改或者非法受让的许可证进行水上水下作业或者活动过程中发生一般等级以上事故的。</w:t>
            </w:r>
          </w:p>
          <w:p w14:paraId="3978E4A9">
            <w:pPr>
              <w:spacing w:before="156" w:beforeLines="50" w:after="156" w:afterLines="50"/>
              <w:jc w:val="left"/>
              <w:rPr>
                <w:rFonts w:ascii="宋体"/>
                <w:kern w:val="0"/>
                <w:sz w:val="18"/>
                <w:szCs w:val="18"/>
              </w:rPr>
            </w:pPr>
          </w:p>
        </w:tc>
        <w:tc>
          <w:tcPr>
            <w:tcW w:w="5015" w:type="dxa"/>
            <w:vAlign w:val="center"/>
          </w:tcPr>
          <w:p w14:paraId="777B04BF">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万元及以上</w:t>
            </w:r>
            <w:r>
              <w:rPr>
                <w:rFonts w:ascii="宋体"/>
                <w:kern w:val="0"/>
                <w:sz w:val="18"/>
                <w:szCs w:val="18"/>
              </w:rPr>
              <w:t>5</w:t>
            </w:r>
            <w:r>
              <w:rPr>
                <w:rFonts w:hint="eastAsia" w:ascii="宋体"/>
                <w:kern w:val="0"/>
                <w:sz w:val="18"/>
                <w:szCs w:val="18"/>
              </w:rPr>
              <w:t>万元及以下</w:t>
            </w:r>
          </w:p>
        </w:tc>
      </w:tr>
    </w:tbl>
    <w:p w14:paraId="175A9528">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14:paraId="24EB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681EBD6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6F9C4AE8">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481974EE">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0C2DBACF">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14:paraId="77CDF38E">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2981A5E">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14:paraId="7F486603">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处5000元以上5万元以下的罚款。</w:t>
            </w:r>
          </w:p>
        </w:tc>
      </w:tr>
      <w:tr w14:paraId="34142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25DD5797">
            <w:pPr>
              <w:spacing w:before="156" w:beforeLines="50" w:after="156" w:afterLines="50"/>
              <w:jc w:val="center"/>
              <w:rPr>
                <w:rFonts w:ascii="宋体"/>
                <w:b/>
                <w:kern w:val="0"/>
                <w:sz w:val="18"/>
                <w:szCs w:val="18"/>
              </w:rPr>
            </w:pPr>
          </w:p>
        </w:tc>
        <w:tc>
          <w:tcPr>
            <w:tcW w:w="1998" w:type="dxa"/>
            <w:vMerge w:val="continue"/>
            <w:vAlign w:val="center"/>
          </w:tcPr>
          <w:p w14:paraId="6E4A0B8E">
            <w:pPr>
              <w:spacing w:before="156" w:beforeLines="50" w:after="156" w:afterLines="50"/>
              <w:jc w:val="center"/>
              <w:rPr>
                <w:rFonts w:ascii="宋体"/>
                <w:b/>
                <w:kern w:val="0"/>
                <w:sz w:val="18"/>
                <w:szCs w:val="18"/>
              </w:rPr>
            </w:pPr>
          </w:p>
        </w:tc>
        <w:tc>
          <w:tcPr>
            <w:tcW w:w="5988" w:type="dxa"/>
            <w:gridSpan w:val="2"/>
            <w:vMerge w:val="continue"/>
            <w:vAlign w:val="center"/>
          </w:tcPr>
          <w:p w14:paraId="73FF7780">
            <w:pPr>
              <w:spacing w:before="156" w:beforeLines="50" w:after="156" w:afterLines="50"/>
              <w:jc w:val="center"/>
              <w:rPr>
                <w:rFonts w:ascii="宋体"/>
                <w:b/>
                <w:kern w:val="0"/>
                <w:sz w:val="18"/>
                <w:szCs w:val="18"/>
              </w:rPr>
            </w:pPr>
          </w:p>
        </w:tc>
        <w:tc>
          <w:tcPr>
            <w:tcW w:w="998" w:type="dxa"/>
            <w:vMerge w:val="continue"/>
            <w:vAlign w:val="center"/>
          </w:tcPr>
          <w:p w14:paraId="4B326F91">
            <w:pPr>
              <w:spacing w:before="156" w:beforeLines="50" w:after="156" w:afterLines="50"/>
              <w:jc w:val="left"/>
              <w:rPr>
                <w:rFonts w:ascii="宋体"/>
                <w:b/>
                <w:kern w:val="0"/>
                <w:sz w:val="18"/>
                <w:szCs w:val="18"/>
              </w:rPr>
            </w:pPr>
          </w:p>
        </w:tc>
        <w:tc>
          <w:tcPr>
            <w:tcW w:w="4805" w:type="dxa"/>
            <w:vMerge w:val="continue"/>
            <w:vAlign w:val="center"/>
          </w:tcPr>
          <w:p w14:paraId="7F6811B7">
            <w:pPr>
              <w:spacing w:before="156" w:beforeLines="50" w:after="156" w:afterLines="50"/>
              <w:jc w:val="left"/>
              <w:rPr>
                <w:rFonts w:ascii="宋体"/>
                <w:b/>
                <w:kern w:val="0"/>
                <w:sz w:val="18"/>
                <w:szCs w:val="18"/>
              </w:rPr>
            </w:pPr>
          </w:p>
        </w:tc>
        <w:tc>
          <w:tcPr>
            <w:tcW w:w="5015" w:type="dxa"/>
            <w:vAlign w:val="center"/>
          </w:tcPr>
          <w:p w14:paraId="7E5D71BD">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B36C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30870784">
            <w:pPr>
              <w:spacing w:before="156" w:beforeLines="50" w:after="156" w:afterLines="50"/>
              <w:jc w:val="center"/>
              <w:rPr>
                <w:rFonts w:ascii="宋体"/>
                <w:b/>
                <w:kern w:val="0"/>
                <w:sz w:val="18"/>
                <w:szCs w:val="18"/>
              </w:rPr>
            </w:pPr>
          </w:p>
        </w:tc>
        <w:tc>
          <w:tcPr>
            <w:tcW w:w="1998" w:type="dxa"/>
            <w:vMerge w:val="continue"/>
            <w:vAlign w:val="center"/>
          </w:tcPr>
          <w:p w14:paraId="214D13A9">
            <w:pPr>
              <w:spacing w:before="156" w:beforeLines="50" w:after="156" w:afterLines="50"/>
              <w:jc w:val="center"/>
              <w:rPr>
                <w:rFonts w:ascii="宋体"/>
                <w:b/>
                <w:kern w:val="0"/>
                <w:sz w:val="18"/>
                <w:szCs w:val="18"/>
              </w:rPr>
            </w:pPr>
          </w:p>
        </w:tc>
        <w:tc>
          <w:tcPr>
            <w:tcW w:w="2818" w:type="dxa"/>
            <w:vAlign w:val="center"/>
          </w:tcPr>
          <w:p w14:paraId="088BCF03">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2D5AD088">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3A10D119">
            <w:pPr>
              <w:spacing w:before="156" w:beforeLines="50" w:after="156" w:afterLines="50"/>
              <w:jc w:val="left"/>
              <w:rPr>
                <w:rFonts w:ascii="宋体"/>
                <w:b/>
                <w:kern w:val="0"/>
                <w:sz w:val="18"/>
                <w:szCs w:val="18"/>
              </w:rPr>
            </w:pPr>
          </w:p>
        </w:tc>
        <w:tc>
          <w:tcPr>
            <w:tcW w:w="4805" w:type="dxa"/>
            <w:vMerge w:val="continue"/>
            <w:vAlign w:val="center"/>
          </w:tcPr>
          <w:p w14:paraId="2EFF585C">
            <w:pPr>
              <w:spacing w:before="156" w:beforeLines="50" w:after="156" w:afterLines="50"/>
              <w:jc w:val="left"/>
              <w:rPr>
                <w:rFonts w:ascii="宋体"/>
                <w:b/>
                <w:kern w:val="0"/>
                <w:sz w:val="18"/>
                <w:szCs w:val="18"/>
              </w:rPr>
            </w:pPr>
          </w:p>
        </w:tc>
        <w:tc>
          <w:tcPr>
            <w:tcW w:w="5015" w:type="dxa"/>
            <w:vAlign w:val="center"/>
          </w:tcPr>
          <w:p w14:paraId="79BC866C">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施工作业单位或船舶和浮动设施经营人、所有人</w:t>
            </w:r>
          </w:p>
        </w:tc>
      </w:tr>
      <w:tr w14:paraId="09B0E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4A497341">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5</w:t>
            </w:r>
          </w:p>
        </w:tc>
        <w:tc>
          <w:tcPr>
            <w:tcW w:w="1998" w:type="dxa"/>
            <w:vMerge w:val="restart"/>
            <w:vAlign w:val="center"/>
          </w:tcPr>
          <w:p w14:paraId="74E6885C">
            <w:pPr>
              <w:spacing w:before="156" w:beforeLines="50" w:after="156" w:afterLines="50"/>
              <w:rPr>
                <w:rFonts w:ascii="宋体"/>
                <w:kern w:val="0"/>
                <w:sz w:val="18"/>
                <w:szCs w:val="18"/>
              </w:rPr>
            </w:pPr>
            <w:r>
              <w:rPr>
                <w:rFonts w:hint="eastAsia" w:ascii="宋体"/>
                <w:kern w:val="0"/>
                <w:sz w:val="18"/>
                <w:szCs w:val="18"/>
              </w:rPr>
              <w:t>未按《水上水下作业和活动通航安全管理规定》报备水上水下作业或者活动的</w:t>
            </w:r>
          </w:p>
        </w:tc>
        <w:tc>
          <w:tcPr>
            <w:tcW w:w="2818" w:type="dxa"/>
            <w:vMerge w:val="restart"/>
            <w:vAlign w:val="center"/>
          </w:tcPr>
          <w:p w14:paraId="156F567B">
            <w:pPr>
              <w:widowControl/>
              <w:spacing w:before="156" w:beforeLines="50" w:after="156" w:afterLines="50"/>
              <w:jc w:val="left"/>
              <w:rPr>
                <w:rFonts w:ascii="宋体"/>
                <w:kern w:val="0"/>
                <w:sz w:val="18"/>
                <w:szCs w:val="18"/>
              </w:rPr>
            </w:pPr>
            <w:r>
              <w:rPr>
                <w:rFonts w:hint="eastAsia" w:ascii="宋体"/>
                <w:kern w:val="0"/>
                <w:sz w:val="18"/>
                <w:szCs w:val="18"/>
              </w:rPr>
              <w:t>1.《中华人民共和国内河交通安全管理条例》第二十八条；</w:t>
            </w:r>
          </w:p>
          <w:p w14:paraId="6E92FF5B">
            <w:pPr>
              <w:widowControl/>
              <w:spacing w:before="156" w:beforeLines="50" w:after="156" w:afterLines="50"/>
              <w:jc w:val="left"/>
              <w:rPr>
                <w:rFonts w:ascii="宋体"/>
                <w:kern w:val="0"/>
                <w:sz w:val="18"/>
                <w:szCs w:val="18"/>
              </w:rPr>
            </w:pPr>
            <w:r>
              <w:rPr>
                <w:rFonts w:hint="eastAsia" w:ascii="宋体"/>
                <w:kern w:val="0"/>
                <w:sz w:val="18"/>
                <w:szCs w:val="18"/>
              </w:rPr>
              <w:t>2.《中华人民共和国水上水下作业和活动通航安全管理规定》第十六条第二款。</w:t>
            </w:r>
          </w:p>
        </w:tc>
        <w:tc>
          <w:tcPr>
            <w:tcW w:w="3170" w:type="dxa"/>
            <w:vMerge w:val="restart"/>
            <w:vAlign w:val="center"/>
          </w:tcPr>
          <w:p w14:paraId="53AF3022">
            <w:pPr>
              <w:spacing w:before="156" w:beforeLines="50" w:after="156" w:afterLines="50"/>
              <w:jc w:val="left"/>
              <w:rPr>
                <w:rFonts w:ascii="宋体"/>
                <w:kern w:val="0"/>
                <w:sz w:val="18"/>
                <w:szCs w:val="18"/>
              </w:rPr>
            </w:pPr>
            <w:r>
              <w:rPr>
                <w:rFonts w:hint="eastAsia" w:ascii="宋体"/>
                <w:kern w:val="0"/>
                <w:sz w:val="18"/>
                <w:szCs w:val="18"/>
              </w:rPr>
              <w:t>1.《中华人民共和国水上水下作业和活动通航安全管理规定》第三十二条第（三）项；</w:t>
            </w:r>
          </w:p>
          <w:p w14:paraId="3604F5F8">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998" w:type="dxa"/>
            <w:vAlign w:val="center"/>
          </w:tcPr>
          <w:p w14:paraId="49DD0E26">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14:paraId="0618BC27">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015" w:type="dxa"/>
            <w:vAlign w:val="center"/>
          </w:tcPr>
          <w:p w14:paraId="193EFD62">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23856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24D013B0">
            <w:pPr>
              <w:spacing w:before="156" w:beforeLines="50" w:after="156" w:afterLines="50"/>
              <w:jc w:val="left"/>
              <w:rPr>
                <w:rFonts w:ascii="宋体"/>
                <w:kern w:val="0"/>
                <w:sz w:val="18"/>
                <w:szCs w:val="18"/>
              </w:rPr>
            </w:pPr>
          </w:p>
        </w:tc>
        <w:tc>
          <w:tcPr>
            <w:tcW w:w="1998" w:type="dxa"/>
            <w:vMerge w:val="continue"/>
            <w:vAlign w:val="center"/>
          </w:tcPr>
          <w:p w14:paraId="1A2424EE">
            <w:pPr>
              <w:spacing w:before="156" w:beforeLines="50" w:after="156" w:afterLines="50"/>
              <w:jc w:val="left"/>
              <w:rPr>
                <w:rFonts w:ascii="宋体"/>
                <w:kern w:val="0"/>
                <w:sz w:val="18"/>
                <w:szCs w:val="18"/>
              </w:rPr>
            </w:pPr>
          </w:p>
        </w:tc>
        <w:tc>
          <w:tcPr>
            <w:tcW w:w="2818" w:type="dxa"/>
            <w:vMerge w:val="continue"/>
            <w:vAlign w:val="center"/>
          </w:tcPr>
          <w:p w14:paraId="48A28F60">
            <w:pPr>
              <w:widowControl/>
              <w:spacing w:before="156" w:beforeLines="50" w:after="156" w:afterLines="50"/>
              <w:jc w:val="left"/>
              <w:rPr>
                <w:rFonts w:ascii="宋体"/>
                <w:kern w:val="0"/>
                <w:sz w:val="18"/>
                <w:szCs w:val="18"/>
              </w:rPr>
            </w:pPr>
          </w:p>
        </w:tc>
        <w:tc>
          <w:tcPr>
            <w:tcW w:w="3170" w:type="dxa"/>
            <w:vMerge w:val="continue"/>
            <w:vAlign w:val="center"/>
          </w:tcPr>
          <w:p w14:paraId="0943B9D4">
            <w:pPr>
              <w:spacing w:before="156" w:beforeLines="50" w:after="156" w:afterLines="50"/>
              <w:jc w:val="left"/>
              <w:rPr>
                <w:rFonts w:ascii="宋体"/>
                <w:kern w:val="0"/>
                <w:sz w:val="18"/>
                <w:szCs w:val="18"/>
              </w:rPr>
            </w:pPr>
          </w:p>
        </w:tc>
        <w:tc>
          <w:tcPr>
            <w:tcW w:w="998" w:type="dxa"/>
            <w:vMerge w:val="restart"/>
            <w:vAlign w:val="center"/>
          </w:tcPr>
          <w:p w14:paraId="13065235">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14:paraId="5CC9C1D1">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未按《水上水下作业和活动通航安全管理规定》报备，进行水上水下作业或者活动的。</w:t>
            </w:r>
          </w:p>
        </w:tc>
        <w:tc>
          <w:tcPr>
            <w:tcW w:w="5015" w:type="dxa"/>
            <w:vAlign w:val="center"/>
          </w:tcPr>
          <w:p w14:paraId="399AB1FA">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14:paraId="5BEC3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17315811">
            <w:pPr>
              <w:spacing w:before="156" w:beforeLines="50" w:after="156" w:afterLines="50"/>
              <w:jc w:val="left"/>
              <w:rPr>
                <w:rFonts w:ascii="宋体"/>
                <w:kern w:val="0"/>
                <w:sz w:val="18"/>
                <w:szCs w:val="18"/>
              </w:rPr>
            </w:pPr>
          </w:p>
        </w:tc>
        <w:tc>
          <w:tcPr>
            <w:tcW w:w="1998" w:type="dxa"/>
            <w:vMerge w:val="continue"/>
            <w:vAlign w:val="center"/>
          </w:tcPr>
          <w:p w14:paraId="58C32ED7">
            <w:pPr>
              <w:spacing w:before="156" w:beforeLines="50" w:after="156" w:afterLines="50"/>
              <w:jc w:val="left"/>
              <w:rPr>
                <w:rFonts w:ascii="宋体"/>
                <w:kern w:val="0"/>
                <w:sz w:val="18"/>
                <w:szCs w:val="18"/>
              </w:rPr>
            </w:pPr>
          </w:p>
        </w:tc>
        <w:tc>
          <w:tcPr>
            <w:tcW w:w="2818" w:type="dxa"/>
            <w:vMerge w:val="continue"/>
            <w:vAlign w:val="center"/>
          </w:tcPr>
          <w:p w14:paraId="748473D3">
            <w:pPr>
              <w:spacing w:before="156" w:beforeLines="50" w:after="156" w:afterLines="50"/>
              <w:jc w:val="left"/>
              <w:rPr>
                <w:rFonts w:ascii="宋体"/>
                <w:kern w:val="0"/>
                <w:sz w:val="18"/>
                <w:szCs w:val="18"/>
              </w:rPr>
            </w:pPr>
          </w:p>
        </w:tc>
        <w:tc>
          <w:tcPr>
            <w:tcW w:w="3170" w:type="dxa"/>
            <w:vMerge w:val="continue"/>
            <w:vAlign w:val="center"/>
          </w:tcPr>
          <w:p w14:paraId="250ECAD8">
            <w:pPr>
              <w:spacing w:before="156" w:beforeLines="50" w:after="156" w:afterLines="50"/>
              <w:jc w:val="left"/>
              <w:rPr>
                <w:rFonts w:ascii="宋体"/>
                <w:kern w:val="0"/>
                <w:sz w:val="18"/>
                <w:szCs w:val="18"/>
              </w:rPr>
            </w:pPr>
          </w:p>
        </w:tc>
        <w:tc>
          <w:tcPr>
            <w:tcW w:w="998" w:type="dxa"/>
            <w:vMerge w:val="continue"/>
            <w:vAlign w:val="center"/>
          </w:tcPr>
          <w:p w14:paraId="56A50932">
            <w:pPr>
              <w:spacing w:before="156" w:beforeLines="50" w:after="156" w:afterLines="50"/>
              <w:jc w:val="center"/>
              <w:rPr>
                <w:rFonts w:ascii="宋体"/>
                <w:kern w:val="0"/>
                <w:sz w:val="18"/>
                <w:szCs w:val="18"/>
              </w:rPr>
            </w:pPr>
          </w:p>
        </w:tc>
        <w:tc>
          <w:tcPr>
            <w:tcW w:w="4805" w:type="dxa"/>
            <w:vAlign w:val="center"/>
          </w:tcPr>
          <w:p w14:paraId="38439228">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未按《水上水下作业和活动通航安全管理规定》报备，进行水上水下作业或者活动，发生一般以下等级水上交通事故的。</w:t>
            </w:r>
          </w:p>
        </w:tc>
        <w:tc>
          <w:tcPr>
            <w:tcW w:w="5015" w:type="dxa"/>
            <w:vAlign w:val="center"/>
          </w:tcPr>
          <w:p w14:paraId="2167686A">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14:paraId="1386D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33135137">
            <w:pPr>
              <w:spacing w:before="156" w:beforeLines="50" w:after="156" w:afterLines="50"/>
              <w:jc w:val="left"/>
              <w:rPr>
                <w:rFonts w:ascii="宋体"/>
                <w:kern w:val="0"/>
                <w:sz w:val="18"/>
                <w:szCs w:val="18"/>
              </w:rPr>
            </w:pPr>
          </w:p>
        </w:tc>
        <w:tc>
          <w:tcPr>
            <w:tcW w:w="1998" w:type="dxa"/>
            <w:vMerge w:val="continue"/>
            <w:vAlign w:val="center"/>
          </w:tcPr>
          <w:p w14:paraId="7DC766FD">
            <w:pPr>
              <w:spacing w:before="156" w:beforeLines="50" w:after="156" w:afterLines="50"/>
              <w:jc w:val="left"/>
              <w:rPr>
                <w:rFonts w:ascii="宋体"/>
                <w:kern w:val="0"/>
                <w:sz w:val="18"/>
                <w:szCs w:val="18"/>
              </w:rPr>
            </w:pPr>
          </w:p>
        </w:tc>
        <w:tc>
          <w:tcPr>
            <w:tcW w:w="2818" w:type="dxa"/>
            <w:vMerge w:val="continue"/>
            <w:vAlign w:val="center"/>
          </w:tcPr>
          <w:p w14:paraId="02831597">
            <w:pPr>
              <w:spacing w:before="156" w:beforeLines="50" w:after="156" w:afterLines="50"/>
              <w:jc w:val="left"/>
              <w:rPr>
                <w:rFonts w:ascii="宋体"/>
                <w:kern w:val="0"/>
                <w:sz w:val="18"/>
                <w:szCs w:val="18"/>
              </w:rPr>
            </w:pPr>
          </w:p>
        </w:tc>
        <w:tc>
          <w:tcPr>
            <w:tcW w:w="3170" w:type="dxa"/>
            <w:vMerge w:val="continue"/>
            <w:vAlign w:val="center"/>
          </w:tcPr>
          <w:p w14:paraId="74D361D6">
            <w:pPr>
              <w:spacing w:before="156" w:beforeLines="50" w:after="156" w:afterLines="50"/>
              <w:jc w:val="left"/>
              <w:rPr>
                <w:rFonts w:ascii="宋体"/>
                <w:kern w:val="0"/>
                <w:sz w:val="18"/>
                <w:szCs w:val="18"/>
              </w:rPr>
            </w:pPr>
          </w:p>
        </w:tc>
        <w:tc>
          <w:tcPr>
            <w:tcW w:w="998" w:type="dxa"/>
            <w:vMerge w:val="continue"/>
            <w:vAlign w:val="center"/>
          </w:tcPr>
          <w:p w14:paraId="6AC7A7B9">
            <w:pPr>
              <w:spacing w:before="156" w:beforeLines="50" w:after="156" w:afterLines="50"/>
              <w:jc w:val="center"/>
              <w:rPr>
                <w:rFonts w:ascii="宋体"/>
                <w:kern w:val="0"/>
                <w:sz w:val="18"/>
                <w:szCs w:val="18"/>
              </w:rPr>
            </w:pPr>
          </w:p>
        </w:tc>
        <w:tc>
          <w:tcPr>
            <w:tcW w:w="4805" w:type="dxa"/>
            <w:vAlign w:val="center"/>
          </w:tcPr>
          <w:p w14:paraId="6AE310E6">
            <w:pPr>
              <w:widowControl/>
              <w:spacing w:before="156" w:beforeLines="50" w:after="156" w:afterLines="50"/>
              <w:jc w:val="left"/>
              <w:rPr>
                <w:rFonts w:ascii="宋体"/>
                <w:kern w:val="0"/>
                <w:sz w:val="18"/>
                <w:szCs w:val="18"/>
              </w:rPr>
            </w:pPr>
            <w:r>
              <w:rPr>
                <w:rFonts w:hint="eastAsia" w:ascii="宋体"/>
                <w:kern w:val="0"/>
                <w:sz w:val="18"/>
                <w:szCs w:val="18"/>
              </w:rPr>
              <w:t>未按《水上水下作业和活动通航安全管理规定》报备，进行水上水下作业或者活动，发生一般及以上等级水上交通事故的。</w:t>
            </w:r>
          </w:p>
          <w:p w14:paraId="6E60429E">
            <w:pPr>
              <w:widowControl/>
              <w:spacing w:before="156" w:beforeLines="50" w:after="156" w:afterLines="50"/>
              <w:jc w:val="left"/>
              <w:rPr>
                <w:rFonts w:ascii="宋体"/>
                <w:kern w:val="0"/>
                <w:sz w:val="18"/>
                <w:szCs w:val="18"/>
              </w:rPr>
            </w:pPr>
          </w:p>
        </w:tc>
        <w:tc>
          <w:tcPr>
            <w:tcW w:w="5015" w:type="dxa"/>
            <w:vAlign w:val="center"/>
          </w:tcPr>
          <w:p w14:paraId="5B7BA03A">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元及以上</w:t>
            </w:r>
            <w:r>
              <w:rPr>
                <w:rFonts w:ascii="宋体"/>
                <w:kern w:val="0"/>
                <w:sz w:val="18"/>
                <w:szCs w:val="18"/>
              </w:rPr>
              <w:t>5</w:t>
            </w:r>
            <w:r>
              <w:rPr>
                <w:rFonts w:hint="eastAsia" w:ascii="宋体"/>
                <w:kern w:val="0"/>
                <w:sz w:val="18"/>
                <w:szCs w:val="18"/>
              </w:rPr>
              <w:t>万元及以下</w:t>
            </w:r>
          </w:p>
        </w:tc>
      </w:tr>
    </w:tbl>
    <w:p w14:paraId="20FCFA95">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307"/>
        <w:gridCol w:w="1603"/>
        <w:gridCol w:w="3368"/>
        <w:gridCol w:w="1004"/>
        <w:gridCol w:w="3861"/>
        <w:gridCol w:w="7388"/>
      </w:tblGrid>
      <w:tr w14:paraId="63126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39158474">
            <w:pPr>
              <w:spacing w:before="156" w:beforeLines="50" w:after="156" w:afterLines="50"/>
              <w:jc w:val="center"/>
              <w:rPr>
                <w:b/>
                <w:sz w:val="18"/>
                <w:szCs w:val="18"/>
              </w:rPr>
            </w:pPr>
            <w:r>
              <w:rPr>
                <w:rFonts w:hint="eastAsia"/>
                <w:b/>
                <w:sz w:val="18"/>
                <w:szCs w:val="18"/>
              </w:rPr>
              <w:t>序号</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14:paraId="17CFF455">
            <w:pPr>
              <w:spacing w:before="156" w:beforeLines="50" w:after="156" w:afterLines="50"/>
              <w:jc w:val="center"/>
              <w:rPr>
                <w:b/>
                <w:sz w:val="18"/>
                <w:szCs w:val="18"/>
              </w:rPr>
            </w:pPr>
            <w:r>
              <w:rPr>
                <w:rFonts w:hint="eastAsia"/>
                <w:b/>
                <w:sz w:val="18"/>
                <w:szCs w:val="18"/>
              </w:rPr>
              <w:t>案由</w:t>
            </w:r>
          </w:p>
        </w:tc>
        <w:tc>
          <w:tcPr>
            <w:tcW w:w="497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0E8EEE6">
            <w:pPr>
              <w:spacing w:before="156" w:beforeLines="50" w:after="156" w:afterLines="50"/>
              <w:jc w:val="center"/>
              <w:rPr>
                <w:b/>
                <w:sz w:val="18"/>
                <w:szCs w:val="18"/>
              </w:rPr>
            </w:pPr>
            <w:r>
              <w:rPr>
                <w:rFonts w:hint="eastAsia"/>
                <w:b/>
                <w:sz w:val="18"/>
                <w:szCs w:val="18"/>
              </w:rPr>
              <w:t>法律依据</w:t>
            </w:r>
          </w:p>
        </w:tc>
        <w:tc>
          <w:tcPr>
            <w:tcW w:w="1004" w:type="dxa"/>
            <w:vMerge w:val="restart"/>
            <w:tcBorders>
              <w:top w:val="single" w:color="000000" w:sz="4" w:space="0"/>
              <w:left w:val="single" w:color="000000" w:sz="4" w:space="0"/>
              <w:bottom w:val="single" w:color="000000" w:sz="4" w:space="0"/>
              <w:right w:val="single" w:color="000000" w:sz="4" w:space="0"/>
            </w:tcBorders>
            <w:vAlign w:val="center"/>
          </w:tcPr>
          <w:p w14:paraId="5BE77301">
            <w:pPr>
              <w:spacing w:before="156" w:beforeLines="50" w:after="156" w:afterLines="50"/>
              <w:jc w:val="left"/>
              <w:rPr>
                <w:b/>
                <w:sz w:val="18"/>
                <w:szCs w:val="18"/>
              </w:rPr>
            </w:pPr>
            <w:r>
              <w:rPr>
                <w:rFonts w:hint="eastAsia"/>
                <w:b/>
                <w:sz w:val="18"/>
                <w:szCs w:val="18"/>
              </w:rPr>
              <w:t>违法情节</w:t>
            </w:r>
          </w:p>
        </w:tc>
        <w:tc>
          <w:tcPr>
            <w:tcW w:w="3861" w:type="dxa"/>
            <w:vMerge w:val="restart"/>
            <w:tcBorders>
              <w:top w:val="single" w:color="000000" w:sz="4" w:space="0"/>
              <w:left w:val="single" w:color="000000" w:sz="4" w:space="0"/>
              <w:bottom w:val="single" w:color="000000" w:sz="4" w:space="0"/>
              <w:right w:val="single" w:color="000000" w:sz="4" w:space="0"/>
            </w:tcBorders>
            <w:vAlign w:val="center"/>
          </w:tcPr>
          <w:p w14:paraId="6A281723">
            <w:pPr>
              <w:spacing w:before="156" w:beforeLines="50" w:after="156" w:afterLines="50"/>
              <w:jc w:val="center"/>
              <w:rPr>
                <w:b/>
                <w:sz w:val="18"/>
                <w:szCs w:val="18"/>
              </w:rPr>
            </w:pPr>
            <w:r>
              <w:rPr>
                <w:rFonts w:hint="eastAsia"/>
                <w:b/>
                <w:sz w:val="18"/>
                <w:szCs w:val="18"/>
              </w:rPr>
              <w:t>主要考虑因素</w:t>
            </w:r>
          </w:p>
          <w:p w14:paraId="1F58F1D6">
            <w:pPr>
              <w:spacing w:before="156" w:beforeLines="50" w:after="156" w:afterLines="50"/>
              <w:jc w:val="left"/>
              <w:rPr>
                <w:b/>
                <w:sz w:val="18"/>
                <w:szCs w:val="18"/>
              </w:rPr>
            </w:pPr>
            <w:r>
              <w:rPr>
                <w:rFonts w:hint="eastAsia"/>
                <w:b/>
                <w:sz w:val="18"/>
                <w:szCs w:val="18"/>
              </w:rPr>
              <w:t>（事实、性质、情节、危害程度和实际后果等）</w:t>
            </w:r>
          </w:p>
        </w:tc>
        <w:tc>
          <w:tcPr>
            <w:tcW w:w="7388" w:type="dxa"/>
            <w:tcBorders>
              <w:top w:val="single" w:color="000000" w:sz="4" w:space="0"/>
              <w:left w:val="single" w:color="000000" w:sz="4" w:space="0"/>
              <w:bottom w:val="single" w:color="auto" w:sz="4" w:space="0"/>
              <w:right w:val="single" w:color="auto" w:sz="4" w:space="0"/>
            </w:tcBorders>
            <w:vAlign w:val="center"/>
          </w:tcPr>
          <w:p w14:paraId="58A2C1D8">
            <w:pPr>
              <w:spacing w:before="156" w:beforeLines="50" w:after="156" w:afterLines="50"/>
              <w:jc w:val="center"/>
              <w:rPr>
                <w:b/>
                <w:sz w:val="18"/>
                <w:szCs w:val="18"/>
              </w:rPr>
            </w:pPr>
            <w:r>
              <w:rPr>
                <w:rFonts w:hint="eastAsia"/>
                <w:b/>
                <w:sz w:val="18"/>
                <w:szCs w:val="18"/>
              </w:rPr>
              <w:t>【法定幅度和种类】责令改正，处</w:t>
            </w:r>
            <w:r>
              <w:rPr>
                <w:b/>
                <w:sz w:val="18"/>
                <w:szCs w:val="18"/>
              </w:rPr>
              <w:t>5000</w:t>
            </w:r>
            <w:r>
              <w:rPr>
                <w:rFonts w:hint="eastAsia"/>
                <w:b/>
                <w:sz w:val="18"/>
                <w:szCs w:val="18"/>
              </w:rPr>
              <w:t>元以上5万元以下的罚款。</w:t>
            </w:r>
          </w:p>
        </w:tc>
      </w:tr>
      <w:tr w14:paraId="24C0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3DE35E24">
            <w:pPr>
              <w:spacing w:before="156" w:beforeLines="50" w:after="156" w:afterLines="50"/>
              <w:jc w:val="center"/>
              <w:rPr>
                <w:b/>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79E1553E">
            <w:pPr>
              <w:spacing w:before="156" w:beforeLines="50" w:after="156" w:afterLines="50"/>
              <w:jc w:val="center"/>
              <w:rPr>
                <w:b/>
                <w:sz w:val="18"/>
                <w:szCs w:val="18"/>
              </w:rPr>
            </w:pPr>
          </w:p>
        </w:tc>
        <w:tc>
          <w:tcPr>
            <w:tcW w:w="497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CCADBC6">
            <w:pPr>
              <w:spacing w:before="156" w:beforeLines="50" w:after="156" w:afterLines="50"/>
              <w:jc w:val="center"/>
              <w:rPr>
                <w:b/>
                <w:sz w:val="18"/>
                <w:szCs w:val="18"/>
              </w:rPr>
            </w:pP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75C3871A">
            <w:pPr>
              <w:spacing w:before="156" w:beforeLines="50" w:after="156" w:afterLines="50"/>
              <w:jc w:val="left"/>
              <w:rPr>
                <w:b/>
                <w:sz w:val="18"/>
                <w:szCs w:val="18"/>
              </w:rPr>
            </w:pPr>
          </w:p>
        </w:tc>
        <w:tc>
          <w:tcPr>
            <w:tcW w:w="3861" w:type="dxa"/>
            <w:vMerge w:val="continue"/>
            <w:tcBorders>
              <w:top w:val="single" w:color="000000" w:sz="4" w:space="0"/>
              <w:left w:val="single" w:color="000000" w:sz="4" w:space="0"/>
              <w:bottom w:val="single" w:color="000000" w:sz="4" w:space="0"/>
              <w:right w:val="single" w:color="000000" w:sz="4" w:space="0"/>
            </w:tcBorders>
            <w:vAlign w:val="center"/>
          </w:tcPr>
          <w:p w14:paraId="143FDBAE">
            <w:pPr>
              <w:spacing w:before="156" w:beforeLines="50" w:after="156" w:afterLines="50"/>
              <w:jc w:val="left"/>
              <w:rPr>
                <w:b/>
                <w:sz w:val="18"/>
                <w:szCs w:val="18"/>
              </w:rPr>
            </w:pPr>
          </w:p>
        </w:tc>
        <w:tc>
          <w:tcPr>
            <w:tcW w:w="7388" w:type="dxa"/>
            <w:tcBorders>
              <w:top w:val="single" w:color="auto" w:sz="4" w:space="0"/>
              <w:left w:val="single" w:color="000000" w:sz="4" w:space="0"/>
              <w:bottom w:val="single" w:color="auto" w:sz="4" w:space="0"/>
              <w:right w:val="single" w:color="auto" w:sz="4" w:space="0"/>
            </w:tcBorders>
            <w:vAlign w:val="center"/>
          </w:tcPr>
          <w:p w14:paraId="522AC8D1">
            <w:pPr>
              <w:spacing w:before="156" w:beforeLines="50" w:after="156" w:afterLines="50"/>
              <w:jc w:val="center"/>
              <w:rPr>
                <w:b/>
                <w:sz w:val="18"/>
                <w:szCs w:val="18"/>
              </w:rPr>
            </w:pPr>
            <w:r>
              <w:rPr>
                <w:rFonts w:hint="eastAsia"/>
                <w:b/>
                <w:sz w:val="18"/>
                <w:szCs w:val="18"/>
              </w:rPr>
              <w:t>处罚基准</w:t>
            </w:r>
          </w:p>
        </w:tc>
      </w:tr>
      <w:tr w14:paraId="20B3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8F676C2">
            <w:pPr>
              <w:spacing w:before="156" w:beforeLines="50" w:after="156" w:afterLines="50"/>
              <w:jc w:val="center"/>
              <w:rPr>
                <w:b/>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1288BC47">
            <w:pPr>
              <w:spacing w:before="156" w:beforeLines="50" w:after="156" w:afterLines="50"/>
              <w:jc w:val="center"/>
              <w:rPr>
                <w:b/>
                <w:sz w:val="18"/>
                <w:szCs w:val="18"/>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5D95DAB4">
            <w:pPr>
              <w:spacing w:before="156" w:beforeLines="50" w:after="156" w:afterLines="50"/>
              <w:jc w:val="center"/>
              <w:rPr>
                <w:b/>
                <w:sz w:val="18"/>
                <w:szCs w:val="18"/>
              </w:rPr>
            </w:pPr>
            <w:r>
              <w:rPr>
                <w:rFonts w:hint="eastAsia"/>
                <w:b/>
                <w:sz w:val="18"/>
                <w:szCs w:val="18"/>
              </w:rPr>
              <w:t>违反条款</w:t>
            </w:r>
          </w:p>
        </w:tc>
        <w:tc>
          <w:tcPr>
            <w:tcW w:w="3368" w:type="dxa"/>
            <w:tcBorders>
              <w:top w:val="single" w:color="000000" w:sz="4" w:space="0"/>
              <w:left w:val="single" w:color="000000" w:sz="4" w:space="0"/>
              <w:bottom w:val="single" w:color="000000" w:sz="4" w:space="0"/>
              <w:right w:val="single" w:color="000000" w:sz="4" w:space="0"/>
            </w:tcBorders>
            <w:vAlign w:val="center"/>
          </w:tcPr>
          <w:p w14:paraId="2BE34361">
            <w:pPr>
              <w:spacing w:before="156" w:beforeLines="50" w:after="156" w:afterLines="50"/>
              <w:jc w:val="center"/>
              <w:rPr>
                <w:b/>
                <w:sz w:val="18"/>
                <w:szCs w:val="18"/>
              </w:rPr>
            </w:pPr>
            <w:r>
              <w:rPr>
                <w:rFonts w:hint="eastAsia"/>
                <w:b/>
                <w:sz w:val="18"/>
                <w:szCs w:val="18"/>
              </w:rPr>
              <w:t>处罚依据</w:t>
            </w: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209C0CCC">
            <w:pPr>
              <w:spacing w:before="156" w:beforeLines="50" w:after="156" w:afterLines="50"/>
              <w:jc w:val="left"/>
              <w:rPr>
                <w:b/>
                <w:sz w:val="18"/>
                <w:szCs w:val="18"/>
              </w:rPr>
            </w:pPr>
          </w:p>
        </w:tc>
        <w:tc>
          <w:tcPr>
            <w:tcW w:w="3861" w:type="dxa"/>
            <w:vMerge w:val="continue"/>
            <w:tcBorders>
              <w:top w:val="single" w:color="000000" w:sz="4" w:space="0"/>
              <w:left w:val="single" w:color="000000" w:sz="4" w:space="0"/>
              <w:bottom w:val="single" w:color="000000" w:sz="4" w:space="0"/>
              <w:right w:val="single" w:color="000000" w:sz="4" w:space="0"/>
            </w:tcBorders>
            <w:vAlign w:val="center"/>
          </w:tcPr>
          <w:p w14:paraId="1222A880">
            <w:pPr>
              <w:spacing w:before="156" w:beforeLines="50" w:after="156" w:afterLines="50"/>
              <w:jc w:val="left"/>
              <w:rPr>
                <w:b/>
                <w:sz w:val="18"/>
                <w:szCs w:val="18"/>
              </w:rPr>
            </w:pPr>
          </w:p>
        </w:tc>
        <w:tc>
          <w:tcPr>
            <w:tcW w:w="7388" w:type="dxa"/>
            <w:tcBorders>
              <w:top w:val="single" w:color="auto" w:sz="4" w:space="0"/>
              <w:left w:val="single" w:color="000000" w:sz="4" w:space="0"/>
              <w:bottom w:val="single" w:color="auto" w:sz="4" w:space="0"/>
              <w:right w:val="single" w:color="auto" w:sz="4" w:space="0"/>
            </w:tcBorders>
            <w:vAlign w:val="center"/>
          </w:tcPr>
          <w:p w14:paraId="40DEEEDE">
            <w:pPr>
              <w:spacing w:before="156" w:beforeLines="50" w:after="156" w:afterLines="50"/>
              <w:jc w:val="center"/>
              <w:rPr>
                <w:b/>
                <w:sz w:val="18"/>
                <w:szCs w:val="18"/>
              </w:rPr>
            </w:pPr>
            <w:r>
              <w:rPr>
                <w:rFonts w:hint="eastAsia"/>
                <w:b/>
                <w:sz w:val="18"/>
                <w:szCs w:val="18"/>
              </w:rPr>
              <w:t>【对象】建设单位、主办单位或者施工单位</w:t>
            </w:r>
          </w:p>
        </w:tc>
      </w:tr>
      <w:tr w14:paraId="6B4D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76CA6A33">
            <w:pPr>
              <w:spacing w:before="156" w:beforeLines="50" w:after="156" w:afterLines="50"/>
              <w:jc w:val="center"/>
              <w:rPr>
                <w:sz w:val="18"/>
                <w:szCs w:val="18"/>
              </w:rPr>
            </w:pPr>
            <w:r>
              <w:rPr>
                <w:rFonts w:hint="eastAsia"/>
                <w:sz w:val="18"/>
                <w:szCs w:val="18"/>
              </w:rPr>
              <w:t>16</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14:paraId="0B863336">
            <w:pPr>
              <w:spacing w:before="156" w:beforeLines="50" w:after="156" w:afterLines="50"/>
              <w:jc w:val="left"/>
              <w:rPr>
                <w:sz w:val="18"/>
                <w:szCs w:val="18"/>
              </w:rPr>
            </w:pPr>
            <w:r>
              <w:rPr>
                <w:rFonts w:hint="eastAsia"/>
                <w:sz w:val="18"/>
                <w:szCs w:val="18"/>
              </w:rPr>
              <w:t>在水下水下作业或者活动期间，未妥善处理有碍航行和作业安全隐患并按照海事管理机构的要求采取清除、设置标志、显示信号等措施的</w:t>
            </w:r>
          </w:p>
        </w:tc>
        <w:tc>
          <w:tcPr>
            <w:tcW w:w="1603" w:type="dxa"/>
            <w:vMerge w:val="restart"/>
            <w:tcBorders>
              <w:top w:val="single" w:color="000000" w:sz="4" w:space="0"/>
              <w:left w:val="single" w:color="000000" w:sz="4" w:space="0"/>
              <w:bottom w:val="single" w:color="000000" w:sz="4" w:space="0"/>
              <w:right w:val="single" w:color="000000" w:sz="4" w:space="0"/>
            </w:tcBorders>
            <w:vAlign w:val="center"/>
          </w:tcPr>
          <w:p w14:paraId="163FDBF9">
            <w:pPr>
              <w:widowControl/>
              <w:spacing w:before="156" w:beforeLines="50" w:after="156" w:afterLines="50"/>
              <w:jc w:val="left"/>
              <w:rPr>
                <w:sz w:val="18"/>
                <w:szCs w:val="18"/>
              </w:rPr>
            </w:pPr>
            <w:r>
              <w:rPr>
                <w:rFonts w:hint="eastAsia"/>
                <w:sz w:val="18"/>
                <w:szCs w:val="18"/>
              </w:rPr>
              <w:t>1. 《中华人民共和国内河交通安全管理条例》第二十九条；</w:t>
            </w:r>
          </w:p>
          <w:p w14:paraId="27BEF928">
            <w:pPr>
              <w:widowControl/>
              <w:spacing w:before="156" w:beforeLines="50" w:after="156" w:afterLines="50"/>
              <w:jc w:val="left"/>
              <w:rPr>
                <w:sz w:val="18"/>
                <w:szCs w:val="18"/>
              </w:rPr>
            </w:pPr>
            <w:r>
              <w:rPr>
                <w:rFonts w:hint="eastAsia"/>
                <w:sz w:val="18"/>
                <w:szCs w:val="18"/>
              </w:rPr>
              <w:t xml:space="preserve">2. </w:t>
            </w:r>
            <w:r>
              <w:rPr>
                <w:rFonts w:hint="eastAsia" w:ascii="宋体"/>
                <w:kern w:val="0"/>
                <w:sz w:val="18"/>
                <w:szCs w:val="18"/>
              </w:rPr>
              <w:t>《中华人民共和国水上水下作业和活动通航安全管理规定》第二十五条。</w:t>
            </w:r>
          </w:p>
        </w:tc>
        <w:tc>
          <w:tcPr>
            <w:tcW w:w="3368" w:type="dxa"/>
            <w:vMerge w:val="restart"/>
            <w:tcBorders>
              <w:top w:val="single" w:color="000000" w:sz="4" w:space="0"/>
              <w:left w:val="single" w:color="000000" w:sz="4" w:space="0"/>
              <w:bottom w:val="single" w:color="000000" w:sz="4" w:space="0"/>
              <w:right w:val="single" w:color="000000" w:sz="4" w:space="0"/>
            </w:tcBorders>
            <w:vAlign w:val="center"/>
          </w:tcPr>
          <w:p w14:paraId="5A2D62FD">
            <w:pPr>
              <w:spacing w:before="156" w:beforeLines="50" w:after="156" w:afterLines="50"/>
              <w:jc w:val="left"/>
              <w:rPr>
                <w:strike/>
                <w:sz w:val="18"/>
                <w:szCs w:val="18"/>
              </w:rPr>
            </w:pPr>
            <w:r>
              <w:rPr>
                <w:rFonts w:hint="eastAsia"/>
                <w:sz w:val="18"/>
                <w:szCs w:val="18"/>
              </w:rPr>
              <w:t>1.</w:t>
            </w:r>
            <w:r>
              <w:rPr>
                <w:rFonts w:hint="eastAsia" w:ascii="宋体"/>
                <w:kern w:val="0"/>
                <w:sz w:val="18"/>
                <w:szCs w:val="18"/>
              </w:rPr>
              <w:t>《中华人民共和国水上水下作业和活动通航安全管理规定》第三十五条第二款；</w:t>
            </w:r>
          </w:p>
          <w:p w14:paraId="6F7B5E0D">
            <w:pPr>
              <w:spacing w:before="156" w:beforeLines="50" w:after="156" w:afterLines="50"/>
              <w:jc w:val="left"/>
              <w:rPr>
                <w:sz w:val="18"/>
                <w:szCs w:val="18"/>
              </w:rPr>
            </w:pPr>
            <w:r>
              <w:rPr>
                <w:rFonts w:hint="eastAsia" w:ascii="宋体"/>
                <w:sz w:val="18"/>
                <w:szCs w:val="18"/>
              </w:rPr>
              <w:t>2.</w:t>
            </w:r>
            <w:r>
              <w:rPr>
                <w:rFonts w:hint="eastAsia" w:ascii="宋体"/>
                <w:kern w:val="0"/>
                <w:sz w:val="18"/>
                <w:szCs w:val="18"/>
              </w:rPr>
              <w:t>《中华人民共和国行政处罚法》第三十二条（从轻）。</w:t>
            </w:r>
          </w:p>
        </w:tc>
        <w:tc>
          <w:tcPr>
            <w:tcW w:w="1004" w:type="dxa"/>
            <w:tcBorders>
              <w:top w:val="single" w:color="000000" w:sz="4" w:space="0"/>
              <w:left w:val="single" w:color="000000" w:sz="4" w:space="0"/>
              <w:bottom w:val="single" w:color="000000" w:sz="4" w:space="0"/>
              <w:right w:val="single" w:color="000000" w:sz="4" w:space="0"/>
            </w:tcBorders>
            <w:vAlign w:val="center"/>
          </w:tcPr>
          <w:p w14:paraId="46664135">
            <w:pPr>
              <w:spacing w:before="156" w:beforeLines="50" w:after="156" w:afterLines="50"/>
              <w:jc w:val="center"/>
              <w:rPr>
                <w:sz w:val="18"/>
                <w:szCs w:val="18"/>
              </w:rPr>
            </w:pPr>
            <w:r>
              <w:rPr>
                <w:rFonts w:hint="eastAsia"/>
                <w:sz w:val="18"/>
                <w:szCs w:val="18"/>
              </w:rPr>
              <w:t>从轻</w:t>
            </w:r>
          </w:p>
        </w:tc>
        <w:tc>
          <w:tcPr>
            <w:tcW w:w="3861" w:type="dxa"/>
            <w:tcBorders>
              <w:top w:val="single" w:color="000000" w:sz="4" w:space="0"/>
              <w:left w:val="single" w:color="000000" w:sz="4" w:space="0"/>
              <w:bottom w:val="single" w:color="000000" w:sz="4" w:space="0"/>
              <w:right w:val="single" w:color="000000" w:sz="4" w:space="0"/>
            </w:tcBorders>
            <w:vAlign w:val="center"/>
          </w:tcPr>
          <w:p w14:paraId="632D7518">
            <w:pPr>
              <w:widowControl/>
              <w:spacing w:before="156" w:beforeLines="50" w:after="156" w:afterLines="50"/>
              <w:jc w:val="left"/>
              <w:rPr>
                <w:sz w:val="18"/>
                <w:szCs w:val="18"/>
              </w:rPr>
            </w:pPr>
            <w:r>
              <w:rPr>
                <w:rFonts w:hint="eastAsia"/>
                <w:sz w:val="18"/>
                <w:szCs w:val="18"/>
              </w:rPr>
              <w:t>具有法定从轻情节的。</w:t>
            </w:r>
          </w:p>
        </w:tc>
        <w:tc>
          <w:tcPr>
            <w:tcW w:w="7388" w:type="dxa"/>
            <w:tcBorders>
              <w:top w:val="single" w:color="000000" w:sz="4" w:space="0"/>
              <w:left w:val="single" w:color="000000" w:sz="4" w:space="0"/>
              <w:bottom w:val="single" w:color="000000" w:sz="4" w:space="0"/>
              <w:right w:val="single" w:color="auto" w:sz="4" w:space="0"/>
            </w:tcBorders>
            <w:vAlign w:val="center"/>
          </w:tcPr>
          <w:p w14:paraId="3C8A9764">
            <w:pPr>
              <w:spacing w:before="156" w:beforeLines="50" w:after="156" w:afterLines="50"/>
              <w:jc w:val="center"/>
              <w:rPr>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万元以下</w:t>
            </w:r>
          </w:p>
        </w:tc>
      </w:tr>
      <w:tr w14:paraId="653BE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FFFA3EE">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7494BE37">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14:paraId="259E1A74">
            <w:pPr>
              <w:widowControl/>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14:paraId="53DDCD48">
            <w:pPr>
              <w:spacing w:before="156" w:beforeLines="50" w:after="156" w:afterLines="50"/>
              <w:jc w:val="left"/>
              <w:rPr>
                <w:sz w:val="18"/>
                <w:szCs w:val="18"/>
              </w:rPr>
            </w:pPr>
          </w:p>
        </w:tc>
        <w:tc>
          <w:tcPr>
            <w:tcW w:w="1004" w:type="dxa"/>
            <w:vMerge w:val="restart"/>
            <w:tcBorders>
              <w:top w:val="single" w:color="000000" w:sz="4" w:space="0"/>
              <w:left w:val="single" w:color="000000" w:sz="4" w:space="0"/>
              <w:right w:val="single" w:color="000000" w:sz="4" w:space="0"/>
            </w:tcBorders>
            <w:vAlign w:val="center"/>
          </w:tcPr>
          <w:p w14:paraId="64749A1C">
            <w:pPr>
              <w:spacing w:before="156" w:beforeLines="50" w:after="156" w:afterLines="50"/>
              <w:jc w:val="center"/>
              <w:rPr>
                <w:sz w:val="18"/>
                <w:szCs w:val="18"/>
              </w:rPr>
            </w:pPr>
            <w:r>
              <w:rPr>
                <w:rFonts w:hint="eastAsia"/>
                <w:sz w:val="18"/>
                <w:szCs w:val="18"/>
              </w:rPr>
              <w:t>一般</w:t>
            </w:r>
          </w:p>
        </w:tc>
        <w:tc>
          <w:tcPr>
            <w:tcW w:w="3861" w:type="dxa"/>
            <w:tcBorders>
              <w:top w:val="single" w:color="000000" w:sz="4" w:space="0"/>
              <w:left w:val="single" w:color="000000" w:sz="4" w:space="0"/>
              <w:bottom w:val="single" w:color="000000" w:sz="4" w:space="0"/>
              <w:right w:val="single" w:color="000000" w:sz="4" w:space="0"/>
            </w:tcBorders>
            <w:vAlign w:val="center"/>
          </w:tcPr>
          <w:p w14:paraId="3086B946">
            <w:pPr>
              <w:spacing w:before="156" w:beforeLines="50" w:after="156" w:afterLines="50"/>
              <w:jc w:val="left"/>
              <w:rPr>
                <w:sz w:val="18"/>
                <w:szCs w:val="18"/>
              </w:rPr>
            </w:pPr>
            <w:r>
              <w:rPr>
                <w:rFonts w:hint="eastAsia"/>
                <w:sz w:val="18"/>
                <w:szCs w:val="18"/>
              </w:rPr>
              <w:t>未妥善处理有碍航行和作业安全隐患并按照海事管理机构的要求采取清除、设置标志、显示信号等措施的。</w:t>
            </w:r>
          </w:p>
        </w:tc>
        <w:tc>
          <w:tcPr>
            <w:tcW w:w="7388" w:type="dxa"/>
            <w:tcBorders>
              <w:top w:val="single" w:color="000000" w:sz="4" w:space="0"/>
              <w:left w:val="single" w:color="000000" w:sz="4" w:space="0"/>
              <w:bottom w:val="single" w:color="000000" w:sz="4" w:space="0"/>
              <w:right w:val="single" w:color="auto" w:sz="4" w:space="0"/>
            </w:tcBorders>
            <w:vAlign w:val="center"/>
          </w:tcPr>
          <w:p w14:paraId="23CC7224">
            <w:pPr>
              <w:spacing w:before="156" w:beforeLines="50" w:after="156" w:afterLines="50"/>
              <w:jc w:val="center"/>
              <w:rPr>
                <w:sz w:val="18"/>
                <w:szCs w:val="18"/>
              </w:rPr>
            </w:pPr>
            <w:r>
              <w:rPr>
                <w:rFonts w:ascii="宋体"/>
                <w:kern w:val="0"/>
                <w:sz w:val="18"/>
                <w:szCs w:val="18"/>
              </w:rPr>
              <w:t>1</w:t>
            </w:r>
            <w:r>
              <w:rPr>
                <w:rFonts w:hint="eastAsia" w:ascii="宋体"/>
                <w:kern w:val="0"/>
                <w:sz w:val="18"/>
                <w:szCs w:val="18"/>
              </w:rPr>
              <w:t>万元及以上</w:t>
            </w:r>
            <w:r>
              <w:rPr>
                <w:rFonts w:ascii="宋体"/>
                <w:kern w:val="0"/>
                <w:sz w:val="18"/>
                <w:szCs w:val="18"/>
              </w:rPr>
              <w:t>2</w:t>
            </w:r>
            <w:r>
              <w:rPr>
                <w:rFonts w:hint="eastAsia" w:ascii="宋体"/>
                <w:kern w:val="0"/>
                <w:sz w:val="18"/>
                <w:szCs w:val="18"/>
              </w:rPr>
              <w:t>万元以下</w:t>
            </w:r>
          </w:p>
        </w:tc>
      </w:tr>
      <w:tr w14:paraId="541E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39EC9A4">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41E602C6">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14:paraId="2F41275B">
            <w:pPr>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14:paraId="759AB6F4">
            <w:pPr>
              <w:spacing w:before="156" w:beforeLines="50" w:after="156" w:afterLines="50"/>
              <w:jc w:val="left"/>
              <w:rPr>
                <w:sz w:val="18"/>
                <w:szCs w:val="18"/>
              </w:rPr>
            </w:pPr>
          </w:p>
        </w:tc>
        <w:tc>
          <w:tcPr>
            <w:tcW w:w="1004" w:type="dxa"/>
            <w:vMerge w:val="continue"/>
            <w:tcBorders>
              <w:left w:val="single" w:color="000000" w:sz="4" w:space="0"/>
              <w:right w:val="single" w:color="000000" w:sz="4" w:space="0"/>
            </w:tcBorders>
            <w:vAlign w:val="center"/>
          </w:tcPr>
          <w:p w14:paraId="27581C3F">
            <w:pPr>
              <w:spacing w:before="156" w:beforeLines="50" w:after="156" w:afterLines="50"/>
              <w:jc w:val="center"/>
              <w:rPr>
                <w:sz w:val="18"/>
                <w:szCs w:val="18"/>
              </w:rPr>
            </w:pPr>
          </w:p>
        </w:tc>
        <w:tc>
          <w:tcPr>
            <w:tcW w:w="3861" w:type="dxa"/>
            <w:tcBorders>
              <w:top w:val="single" w:color="auto" w:sz="4" w:space="0"/>
              <w:left w:val="single" w:color="000000" w:sz="4" w:space="0"/>
              <w:bottom w:val="single" w:color="000000" w:sz="4" w:space="0"/>
              <w:right w:val="single" w:color="000000" w:sz="4" w:space="0"/>
            </w:tcBorders>
            <w:vAlign w:val="center"/>
          </w:tcPr>
          <w:p w14:paraId="14BFFA9C">
            <w:pPr>
              <w:pStyle w:val="10"/>
              <w:spacing w:before="156" w:beforeLines="50" w:after="156" w:afterLines="50"/>
              <w:ind w:firstLine="0" w:firstLineChars="0"/>
              <w:jc w:val="left"/>
              <w:rPr>
                <w:sz w:val="18"/>
                <w:szCs w:val="18"/>
              </w:rPr>
            </w:pPr>
            <w:r>
              <w:rPr>
                <w:rFonts w:hint="eastAsia"/>
                <w:sz w:val="18"/>
                <w:szCs w:val="18"/>
              </w:rPr>
              <w:t xml:space="preserve"> 造成小事故的。</w:t>
            </w:r>
          </w:p>
        </w:tc>
        <w:tc>
          <w:tcPr>
            <w:tcW w:w="7388" w:type="dxa"/>
            <w:tcBorders>
              <w:top w:val="single" w:color="auto" w:sz="4" w:space="0"/>
              <w:left w:val="single" w:color="000000" w:sz="4" w:space="0"/>
              <w:bottom w:val="single" w:color="000000" w:sz="4" w:space="0"/>
              <w:right w:val="single" w:color="auto" w:sz="4" w:space="0"/>
            </w:tcBorders>
            <w:vAlign w:val="center"/>
          </w:tcPr>
          <w:p w14:paraId="1F1ABEFA">
            <w:pPr>
              <w:spacing w:before="156" w:beforeLines="50" w:after="156" w:afterLines="50"/>
              <w:jc w:val="center"/>
              <w:rPr>
                <w:sz w:val="18"/>
                <w:szCs w:val="18"/>
              </w:rPr>
            </w:pPr>
            <w:r>
              <w:rPr>
                <w:rFonts w:ascii="宋体"/>
                <w:kern w:val="0"/>
                <w:sz w:val="18"/>
                <w:szCs w:val="18"/>
              </w:rPr>
              <w:t>2</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万元以下</w:t>
            </w:r>
          </w:p>
        </w:tc>
      </w:tr>
      <w:tr w14:paraId="2386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6" w:hRule="atLeast"/>
        </w:trPr>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FF783A5">
            <w:pPr>
              <w:spacing w:before="156" w:beforeLines="50" w:after="156" w:afterLines="50"/>
              <w:jc w:val="left"/>
              <w:rPr>
                <w:sz w:val="18"/>
                <w:szCs w:val="18"/>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1F0770A7">
            <w:pPr>
              <w:spacing w:before="156" w:beforeLines="50" w:after="156" w:afterLines="50"/>
              <w:jc w:val="left"/>
              <w:rPr>
                <w:sz w:val="18"/>
                <w:szCs w:val="18"/>
              </w:rPr>
            </w:pPr>
          </w:p>
        </w:tc>
        <w:tc>
          <w:tcPr>
            <w:tcW w:w="1603" w:type="dxa"/>
            <w:vMerge w:val="continue"/>
            <w:tcBorders>
              <w:top w:val="single" w:color="000000" w:sz="4" w:space="0"/>
              <w:left w:val="single" w:color="000000" w:sz="4" w:space="0"/>
              <w:bottom w:val="single" w:color="000000" w:sz="4" w:space="0"/>
              <w:right w:val="single" w:color="000000" w:sz="4" w:space="0"/>
            </w:tcBorders>
            <w:vAlign w:val="center"/>
          </w:tcPr>
          <w:p w14:paraId="68D4A8D1">
            <w:pPr>
              <w:spacing w:before="156" w:beforeLines="50" w:after="156" w:afterLines="50"/>
              <w:jc w:val="left"/>
              <w:rPr>
                <w:sz w:val="18"/>
                <w:szCs w:val="18"/>
              </w:rPr>
            </w:pPr>
          </w:p>
        </w:tc>
        <w:tc>
          <w:tcPr>
            <w:tcW w:w="3368" w:type="dxa"/>
            <w:vMerge w:val="continue"/>
            <w:tcBorders>
              <w:top w:val="single" w:color="000000" w:sz="4" w:space="0"/>
              <w:left w:val="single" w:color="000000" w:sz="4" w:space="0"/>
              <w:bottom w:val="single" w:color="000000" w:sz="4" w:space="0"/>
              <w:right w:val="single" w:color="000000" w:sz="4" w:space="0"/>
            </w:tcBorders>
            <w:vAlign w:val="center"/>
          </w:tcPr>
          <w:p w14:paraId="2C41EF52">
            <w:pPr>
              <w:spacing w:before="156" w:beforeLines="50" w:after="156" w:afterLines="50"/>
              <w:jc w:val="left"/>
              <w:rPr>
                <w:sz w:val="18"/>
                <w:szCs w:val="18"/>
              </w:rPr>
            </w:pPr>
          </w:p>
        </w:tc>
        <w:tc>
          <w:tcPr>
            <w:tcW w:w="1004" w:type="dxa"/>
            <w:vMerge w:val="continue"/>
            <w:tcBorders>
              <w:left w:val="single" w:color="000000" w:sz="4" w:space="0"/>
              <w:bottom w:val="single" w:color="000000" w:sz="4" w:space="0"/>
              <w:right w:val="single" w:color="000000" w:sz="4" w:space="0"/>
            </w:tcBorders>
            <w:vAlign w:val="center"/>
          </w:tcPr>
          <w:p w14:paraId="527CF170">
            <w:pPr>
              <w:spacing w:before="156" w:beforeLines="50" w:after="156" w:afterLines="50"/>
              <w:jc w:val="center"/>
              <w:rPr>
                <w:sz w:val="18"/>
                <w:szCs w:val="18"/>
              </w:rPr>
            </w:pPr>
          </w:p>
        </w:tc>
        <w:tc>
          <w:tcPr>
            <w:tcW w:w="3861" w:type="dxa"/>
            <w:tcBorders>
              <w:top w:val="single" w:color="auto" w:sz="4" w:space="0"/>
              <w:left w:val="single" w:color="auto" w:sz="4" w:space="0"/>
              <w:bottom w:val="single" w:color="000000" w:sz="4" w:space="0"/>
              <w:right w:val="single" w:color="000000" w:sz="4" w:space="0"/>
            </w:tcBorders>
            <w:vAlign w:val="center"/>
          </w:tcPr>
          <w:p w14:paraId="1A647BA6">
            <w:pPr>
              <w:spacing w:before="156" w:beforeLines="50" w:after="156" w:afterLines="50"/>
              <w:jc w:val="left"/>
              <w:rPr>
                <w:sz w:val="18"/>
                <w:szCs w:val="18"/>
              </w:rPr>
            </w:pPr>
            <w:r>
              <w:rPr>
                <w:rFonts w:hint="eastAsia"/>
                <w:sz w:val="18"/>
                <w:szCs w:val="18"/>
              </w:rPr>
              <w:t>造成一般等级及以上水上交通事故的。</w:t>
            </w:r>
          </w:p>
        </w:tc>
        <w:tc>
          <w:tcPr>
            <w:tcW w:w="7388" w:type="dxa"/>
            <w:tcBorders>
              <w:top w:val="single" w:color="auto" w:sz="4" w:space="0"/>
              <w:left w:val="single" w:color="000000" w:sz="4" w:space="0"/>
              <w:bottom w:val="single" w:color="000000" w:sz="4" w:space="0"/>
              <w:right w:val="single" w:color="auto" w:sz="4" w:space="0"/>
            </w:tcBorders>
            <w:vAlign w:val="center"/>
          </w:tcPr>
          <w:p w14:paraId="3457BC9D">
            <w:pPr>
              <w:spacing w:before="156" w:beforeLines="50" w:after="156" w:afterLines="50"/>
              <w:jc w:val="center"/>
              <w:rPr>
                <w:sz w:val="18"/>
                <w:szCs w:val="18"/>
              </w:rPr>
            </w:pPr>
            <w:r>
              <w:rPr>
                <w:rFonts w:ascii="宋体"/>
                <w:kern w:val="0"/>
                <w:sz w:val="18"/>
                <w:szCs w:val="18"/>
              </w:rPr>
              <w:t>3</w:t>
            </w:r>
            <w:r>
              <w:rPr>
                <w:rFonts w:hint="eastAsia" w:ascii="宋体"/>
                <w:kern w:val="0"/>
                <w:sz w:val="18"/>
                <w:szCs w:val="18"/>
              </w:rPr>
              <w:t>元及以上</w:t>
            </w:r>
            <w:r>
              <w:rPr>
                <w:rFonts w:ascii="宋体"/>
                <w:kern w:val="0"/>
                <w:sz w:val="18"/>
                <w:szCs w:val="18"/>
              </w:rPr>
              <w:t>5</w:t>
            </w:r>
            <w:r>
              <w:rPr>
                <w:rFonts w:hint="eastAsia" w:ascii="宋体"/>
                <w:kern w:val="0"/>
                <w:sz w:val="18"/>
                <w:szCs w:val="18"/>
              </w:rPr>
              <w:t>万元及以下</w:t>
            </w:r>
          </w:p>
        </w:tc>
      </w:tr>
    </w:tbl>
    <w:p w14:paraId="6B114F7C">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14:paraId="66549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0FF28AB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0FF29D92">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71FFA7A4">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3247382A">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14:paraId="17F2DB80">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6A7B1CD">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14:paraId="6C7F5836">
            <w:pPr>
              <w:spacing w:before="156" w:beforeLines="50" w:after="156" w:afterLines="50"/>
              <w:rPr>
                <w:rFonts w:ascii="宋体"/>
                <w:b/>
                <w:kern w:val="0"/>
                <w:sz w:val="18"/>
                <w:szCs w:val="18"/>
              </w:rPr>
            </w:pPr>
            <w:r>
              <w:rPr>
                <w:rFonts w:hint="eastAsia" w:ascii="宋体"/>
                <w:b/>
                <w:kern w:val="0"/>
                <w:sz w:val="18"/>
                <w:szCs w:val="18"/>
              </w:rPr>
              <w:t>【法定幅度和种类】责令改正，并可以处以2000元以下的罚款；拒不改正的，海事管理机构应当责令施工作业单位、施工作业的船舶和设施停止作业。</w:t>
            </w:r>
          </w:p>
        </w:tc>
      </w:tr>
      <w:tr w14:paraId="3AC56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0F5828B3">
            <w:pPr>
              <w:spacing w:before="156" w:beforeLines="50" w:after="156" w:afterLines="50"/>
              <w:jc w:val="center"/>
              <w:rPr>
                <w:rFonts w:ascii="宋体"/>
                <w:b/>
                <w:kern w:val="0"/>
                <w:sz w:val="18"/>
                <w:szCs w:val="18"/>
              </w:rPr>
            </w:pPr>
          </w:p>
        </w:tc>
        <w:tc>
          <w:tcPr>
            <w:tcW w:w="1998" w:type="dxa"/>
            <w:vMerge w:val="continue"/>
            <w:vAlign w:val="center"/>
          </w:tcPr>
          <w:p w14:paraId="56FBD6CF">
            <w:pPr>
              <w:spacing w:before="156" w:beforeLines="50" w:after="156" w:afterLines="50"/>
              <w:jc w:val="center"/>
              <w:rPr>
                <w:rFonts w:ascii="宋体"/>
                <w:b/>
                <w:kern w:val="0"/>
                <w:sz w:val="18"/>
                <w:szCs w:val="18"/>
              </w:rPr>
            </w:pPr>
          </w:p>
        </w:tc>
        <w:tc>
          <w:tcPr>
            <w:tcW w:w="5988" w:type="dxa"/>
            <w:gridSpan w:val="2"/>
            <w:vMerge w:val="continue"/>
            <w:vAlign w:val="center"/>
          </w:tcPr>
          <w:p w14:paraId="1A1E34B1">
            <w:pPr>
              <w:spacing w:before="156" w:beforeLines="50" w:after="156" w:afterLines="50"/>
              <w:jc w:val="center"/>
              <w:rPr>
                <w:rFonts w:ascii="宋体"/>
                <w:b/>
                <w:kern w:val="0"/>
                <w:sz w:val="18"/>
                <w:szCs w:val="18"/>
              </w:rPr>
            </w:pPr>
          </w:p>
        </w:tc>
        <w:tc>
          <w:tcPr>
            <w:tcW w:w="998" w:type="dxa"/>
            <w:vMerge w:val="continue"/>
            <w:vAlign w:val="center"/>
          </w:tcPr>
          <w:p w14:paraId="5CEC6C08">
            <w:pPr>
              <w:spacing w:before="156" w:beforeLines="50" w:after="156" w:afterLines="50"/>
              <w:jc w:val="left"/>
              <w:rPr>
                <w:rFonts w:ascii="宋体"/>
                <w:b/>
                <w:kern w:val="0"/>
                <w:sz w:val="18"/>
                <w:szCs w:val="18"/>
              </w:rPr>
            </w:pPr>
          </w:p>
        </w:tc>
        <w:tc>
          <w:tcPr>
            <w:tcW w:w="4805" w:type="dxa"/>
            <w:vMerge w:val="continue"/>
            <w:vAlign w:val="center"/>
          </w:tcPr>
          <w:p w14:paraId="4284146F">
            <w:pPr>
              <w:spacing w:before="156" w:beforeLines="50" w:after="156" w:afterLines="50"/>
              <w:jc w:val="left"/>
              <w:rPr>
                <w:rFonts w:ascii="宋体"/>
                <w:b/>
                <w:kern w:val="0"/>
                <w:sz w:val="18"/>
                <w:szCs w:val="18"/>
              </w:rPr>
            </w:pPr>
          </w:p>
        </w:tc>
        <w:tc>
          <w:tcPr>
            <w:tcW w:w="5015" w:type="dxa"/>
            <w:vAlign w:val="center"/>
          </w:tcPr>
          <w:p w14:paraId="7254903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57A1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2BF8E651">
            <w:pPr>
              <w:spacing w:before="156" w:beforeLines="50" w:after="156" w:afterLines="50"/>
              <w:jc w:val="center"/>
              <w:rPr>
                <w:rFonts w:ascii="宋体"/>
                <w:b/>
                <w:kern w:val="0"/>
                <w:sz w:val="18"/>
                <w:szCs w:val="18"/>
              </w:rPr>
            </w:pPr>
          </w:p>
        </w:tc>
        <w:tc>
          <w:tcPr>
            <w:tcW w:w="1998" w:type="dxa"/>
            <w:vMerge w:val="continue"/>
            <w:vAlign w:val="center"/>
          </w:tcPr>
          <w:p w14:paraId="6CDC074C">
            <w:pPr>
              <w:spacing w:before="156" w:beforeLines="50" w:after="156" w:afterLines="50"/>
              <w:jc w:val="center"/>
              <w:rPr>
                <w:rFonts w:ascii="宋体"/>
                <w:b/>
                <w:kern w:val="0"/>
                <w:sz w:val="18"/>
                <w:szCs w:val="18"/>
              </w:rPr>
            </w:pPr>
          </w:p>
        </w:tc>
        <w:tc>
          <w:tcPr>
            <w:tcW w:w="2818" w:type="dxa"/>
            <w:vAlign w:val="center"/>
          </w:tcPr>
          <w:p w14:paraId="03A2BEF0">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4E2BD73D">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33ABA868">
            <w:pPr>
              <w:spacing w:before="156" w:beforeLines="50" w:after="156" w:afterLines="50"/>
              <w:jc w:val="left"/>
              <w:rPr>
                <w:rFonts w:ascii="宋体"/>
                <w:b/>
                <w:kern w:val="0"/>
                <w:sz w:val="18"/>
                <w:szCs w:val="18"/>
              </w:rPr>
            </w:pPr>
          </w:p>
        </w:tc>
        <w:tc>
          <w:tcPr>
            <w:tcW w:w="4805" w:type="dxa"/>
            <w:vMerge w:val="continue"/>
            <w:vAlign w:val="center"/>
          </w:tcPr>
          <w:p w14:paraId="5C71D9AD">
            <w:pPr>
              <w:spacing w:before="156" w:beforeLines="50" w:after="156" w:afterLines="50"/>
              <w:jc w:val="left"/>
              <w:rPr>
                <w:rFonts w:ascii="宋体"/>
                <w:b/>
                <w:kern w:val="0"/>
                <w:sz w:val="18"/>
                <w:szCs w:val="18"/>
              </w:rPr>
            </w:pPr>
          </w:p>
        </w:tc>
        <w:tc>
          <w:tcPr>
            <w:tcW w:w="5015" w:type="dxa"/>
            <w:vAlign w:val="center"/>
          </w:tcPr>
          <w:p w14:paraId="6DE42998">
            <w:pPr>
              <w:spacing w:before="156" w:beforeLines="50" w:after="156" w:afterLines="50"/>
              <w:jc w:val="left"/>
              <w:rPr>
                <w:rFonts w:ascii="宋体"/>
                <w:b/>
                <w:kern w:val="0"/>
                <w:sz w:val="18"/>
                <w:szCs w:val="18"/>
              </w:rPr>
            </w:pPr>
            <w:r>
              <w:rPr>
                <w:rFonts w:hint="eastAsia" w:ascii="宋体"/>
                <w:b/>
                <w:kern w:val="0"/>
                <w:sz w:val="18"/>
                <w:szCs w:val="18"/>
              </w:rPr>
              <w:t>【对象】施工作业单位、施工作业的船舶和设施所有人或经营人</w:t>
            </w:r>
          </w:p>
        </w:tc>
      </w:tr>
      <w:tr w14:paraId="77F1B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0C7BE992">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7</w:t>
            </w:r>
          </w:p>
        </w:tc>
        <w:tc>
          <w:tcPr>
            <w:tcW w:w="1998" w:type="dxa"/>
            <w:vMerge w:val="restart"/>
            <w:vAlign w:val="center"/>
          </w:tcPr>
          <w:p w14:paraId="7A852365">
            <w:pPr>
              <w:spacing w:before="156" w:beforeLines="50" w:after="156" w:afterLines="50"/>
            </w:pPr>
            <w:r>
              <w:rPr>
                <w:rFonts w:hint="eastAsia" w:ascii="宋体"/>
                <w:kern w:val="0"/>
                <w:sz w:val="18"/>
                <w:szCs w:val="18"/>
              </w:rPr>
              <w:t>未按规定申请发布航行警告、航行通告即行实施水上水下作业或者活动</w:t>
            </w:r>
          </w:p>
        </w:tc>
        <w:tc>
          <w:tcPr>
            <w:tcW w:w="2818" w:type="dxa"/>
            <w:vMerge w:val="restart"/>
            <w:vAlign w:val="center"/>
          </w:tcPr>
          <w:p w14:paraId="59E5AC27">
            <w:pPr>
              <w:spacing w:before="156" w:beforeLines="50" w:after="156" w:afterLines="50"/>
              <w:rPr>
                <w:rFonts w:ascii="宋体"/>
                <w:kern w:val="0"/>
                <w:sz w:val="18"/>
                <w:szCs w:val="18"/>
              </w:rPr>
            </w:pPr>
            <w:r>
              <w:rPr>
                <w:rFonts w:hint="eastAsia" w:ascii="宋体"/>
                <w:kern w:val="0"/>
                <w:sz w:val="18"/>
                <w:szCs w:val="18"/>
              </w:rPr>
              <w:t>1.《中华人民共和国内河交通安全管理条例》第四十五条；</w:t>
            </w:r>
          </w:p>
          <w:p w14:paraId="44A2C3F2">
            <w:pPr>
              <w:spacing w:before="156" w:beforeLines="50" w:after="156" w:afterLines="50"/>
              <w:rPr>
                <w:rFonts w:ascii="宋体"/>
                <w:kern w:val="0"/>
                <w:sz w:val="18"/>
                <w:szCs w:val="18"/>
              </w:rPr>
            </w:pPr>
            <w:r>
              <w:rPr>
                <w:rFonts w:hint="eastAsia" w:ascii="宋体"/>
                <w:kern w:val="0"/>
                <w:sz w:val="18"/>
                <w:szCs w:val="18"/>
              </w:rPr>
              <w:t>2.《中华人民共和国水上水下作业和活动通航安全管理规定》第十九条。</w:t>
            </w:r>
          </w:p>
        </w:tc>
        <w:tc>
          <w:tcPr>
            <w:tcW w:w="3170" w:type="dxa"/>
            <w:vMerge w:val="restart"/>
            <w:vAlign w:val="center"/>
          </w:tcPr>
          <w:p w14:paraId="3EA00916">
            <w:pPr>
              <w:spacing w:before="156" w:beforeLines="50" w:after="156" w:afterLines="50"/>
              <w:rPr>
                <w:rFonts w:ascii="宋体"/>
                <w:kern w:val="0"/>
                <w:sz w:val="18"/>
                <w:szCs w:val="18"/>
              </w:rPr>
            </w:pPr>
            <w:r>
              <w:rPr>
                <w:rFonts w:hint="eastAsia" w:ascii="宋体"/>
                <w:kern w:val="0"/>
                <w:sz w:val="18"/>
                <w:szCs w:val="18"/>
              </w:rPr>
              <w:t>1.《中华人民共和国内河海事行政处罚规定》第二十七条第（一）项；</w:t>
            </w:r>
          </w:p>
          <w:p w14:paraId="3F6E2FD6">
            <w:pPr>
              <w:spacing w:before="156" w:beforeLines="50" w:after="156" w:afterLines="50"/>
              <w:rPr>
                <w:rFonts w:ascii="宋体"/>
                <w:kern w:val="0"/>
                <w:sz w:val="18"/>
                <w:szCs w:val="18"/>
              </w:rPr>
            </w:pPr>
            <w:r>
              <w:rPr>
                <w:rFonts w:hint="eastAsia" w:ascii="宋体"/>
                <w:kern w:val="0"/>
                <w:sz w:val="18"/>
                <w:szCs w:val="18"/>
              </w:rPr>
              <w:t>2.《中华人民共和国水上水下作业和活动通航安全管理规定》第三十三条第（一）项；</w:t>
            </w:r>
          </w:p>
          <w:p w14:paraId="14C6002C">
            <w:pPr>
              <w:spacing w:before="156" w:beforeLines="50" w:after="156" w:afterLines="50"/>
              <w:jc w:val="left"/>
              <w:rPr>
                <w:rFonts w:ascii="宋体"/>
                <w:kern w:val="0"/>
                <w:sz w:val="18"/>
                <w:szCs w:val="18"/>
              </w:rPr>
            </w:pPr>
            <w:r>
              <w:rPr>
                <w:rFonts w:ascii="宋体"/>
                <w:sz w:val="18"/>
                <w:szCs w:val="18"/>
              </w:rPr>
              <w:t>3</w:t>
            </w:r>
            <w:r>
              <w:rPr>
                <w:rFonts w:hint="eastAsia" w:ascii="宋体"/>
                <w:sz w:val="18"/>
                <w:szCs w:val="18"/>
              </w:rPr>
              <w:t>.</w:t>
            </w:r>
            <w:r>
              <w:rPr>
                <w:rFonts w:hint="eastAsia" w:ascii="宋体"/>
                <w:kern w:val="0"/>
                <w:sz w:val="18"/>
                <w:szCs w:val="18"/>
              </w:rPr>
              <w:t>《中华人民共和国行政处罚法》第三十二条（从轻）。</w:t>
            </w:r>
          </w:p>
        </w:tc>
        <w:tc>
          <w:tcPr>
            <w:tcW w:w="998" w:type="dxa"/>
            <w:vAlign w:val="center"/>
          </w:tcPr>
          <w:p w14:paraId="22AFEB2B">
            <w:pPr>
              <w:spacing w:before="156" w:beforeLines="50" w:after="156" w:afterLines="50"/>
              <w:jc w:val="center"/>
              <w:rPr>
                <w:rFonts w:ascii="宋体"/>
                <w:kern w:val="0"/>
                <w:sz w:val="18"/>
                <w:szCs w:val="18"/>
              </w:rPr>
            </w:pPr>
            <w:r>
              <w:rPr>
                <w:rFonts w:hint="eastAsia" w:ascii="宋体"/>
                <w:kern w:val="0"/>
                <w:sz w:val="18"/>
                <w:szCs w:val="18"/>
              </w:rPr>
              <w:t>从轻</w:t>
            </w:r>
          </w:p>
        </w:tc>
        <w:tc>
          <w:tcPr>
            <w:tcW w:w="4805" w:type="dxa"/>
            <w:vAlign w:val="center"/>
          </w:tcPr>
          <w:p w14:paraId="25D9FFE5">
            <w:pPr>
              <w:spacing w:before="156" w:beforeLines="50" w:after="156" w:afterLines="50"/>
              <w:jc w:val="left"/>
              <w:rPr>
                <w:rFonts w:ascii="宋体"/>
                <w:kern w:val="0"/>
                <w:sz w:val="18"/>
                <w:szCs w:val="18"/>
              </w:rPr>
            </w:pPr>
            <w:r>
              <w:rPr>
                <w:rFonts w:hint="eastAsia"/>
                <w:sz w:val="18"/>
                <w:szCs w:val="18"/>
              </w:rPr>
              <w:t>具有法定从轻情节的。</w:t>
            </w:r>
          </w:p>
        </w:tc>
        <w:tc>
          <w:tcPr>
            <w:tcW w:w="5015" w:type="dxa"/>
            <w:vAlign w:val="center"/>
          </w:tcPr>
          <w:p w14:paraId="456469C0">
            <w:pPr>
              <w:spacing w:before="156" w:beforeLines="50" w:after="156" w:afterLines="50"/>
              <w:jc w:val="left"/>
              <w:rPr>
                <w:rFonts w:ascii="宋体"/>
                <w:kern w:val="0"/>
                <w:sz w:val="18"/>
                <w:szCs w:val="18"/>
              </w:rPr>
            </w:pPr>
            <w:r>
              <w:rPr>
                <w:rFonts w:hint="eastAsia" w:ascii="宋体"/>
                <w:sz w:val="18"/>
                <w:szCs w:val="18"/>
              </w:rPr>
              <w:t>200元及以上500元以下</w:t>
            </w:r>
          </w:p>
        </w:tc>
      </w:tr>
      <w:tr w14:paraId="23EAD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00A7676A">
            <w:pPr>
              <w:spacing w:before="156" w:beforeLines="50" w:after="156" w:afterLines="50"/>
              <w:jc w:val="left"/>
              <w:rPr>
                <w:rFonts w:ascii="宋体"/>
                <w:kern w:val="0"/>
                <w:sz w:val="18"/>
                <w:szCs w:val="18"/>
              </w:rPr>
            </w:pPr>
          </w:p>
        </w:tc>
        <w:tc>
          <w:tcPr>
            <w:tcW w:w="1998" w:type="dxa"/>
            <w:vMerge w:val="continue"/>
            <w:vAlign w:val="center"/>
          </w:tcPr>
          <w:p w14:paraId="69E90319">
            <w:pPr>
              <w:spacing w:before="156" w:beforeLines="50" w:after="156" w:afterLines="50"/>
              <w:jc w:val="left"/>
              <w:rPr>
                <w:rFonts w:ascii="宋体"/>
                <w:kern w:val="0"/>
                <w:sz w:val="18"/>
                <w:szCs w:val="18"/>
              </w:rPr>
            </w:pPr>
          </w:p>
        </w:tc>
        <w:tc>
          <w:tcPr>
            <w:tcW w:w="2818" w:type="dxa"/>
            <w:vMerge w:val="continue"/>
            <w:vAlign w:val="center"/>
          </w:tcPr>
          <w:p w14:paraId="2213747C">
            <w:pPr>
              <w:widowControl/>
              <w:spacing w:before="156" w:beforeLines="50" w:after="156" w:afterLines="50"/>
              <w:jc w:val="left"/>
              <w:rPr>
                <w:rFonts w:ascii="宋体"/>
                <w:kern w:val="0"/>
                <w:sz w:val="18"/>
                <w:szCs w:val="18"/>
              </w:rPr>
            </w:pPr>
          </w:p>
        </w:tc>
        <w:tc>
          <w:tcPr>
            <w:tcW w:w="3170" w:type="dxa"/>
            <w:vMerge w:val="continue"/>
            <w:vAlign w:val="center"/>
          </w:tcPr>
          <w:p w14:paraId="640C20DB">
            <w:pPr>
              <w:spacing w:before="156" w:beforeLines="50" w:after="156" w:afterLines="50"/>
              <w:jc w:val="left"/>
              <w:rPr>
                <w:rFonts w:ascii="宋体"/>
                <w:kern w:val="0"/>
                <w:sz w:val="18"/>
                <w:szCs w:val="18"/>
              </w:rPr>
            </w:pPr>
          </w:p>
        </w:tc>
        <w:tc>
          <w:tcPr>
            <w:tcW w:w="998" w:type="dxa"/>
            <w:vMerge w:val="restart"/>
            <w:vAlign w:val="center"/>
          </w:tcPr>
          <w:p w14:paraId="3E011438">
            <w:pPr>
              <w:spacing w:before="156" w:beforeLines="50" w:after="156" w:afterLines="50"/>
              <w:jc w:val="center"/>
              <w:rPr>
                <w:rFonts w:ascii="宋体"/>
                <w:kern w:val="0"/>
                <w:sz w:val="18"/>
                <w:szCs w:val="18"/>
              </w:rPr>
            </w:pPr>
            <w:r>
              <w:rPr>
                <w:rFonts w:hint="eastAsia" w:ascii="宋体"/>
                <w:kern w:val="0"/>
                <w:sz w:val="18"/>
                <w:szCs w:val="18"/>
              </w:rPr>
              <w:t>一般</w:t>
            </w:r>
          </w:p>
        </w:tc>
        <w:tc>
          <w:tcPr>
            <w:tcW w:w="4805" w:type="dxa"/>
            <w:vAlign w:val="center"/>
          </w:tcPr>
          <w:p w14:paraId="31AEF19B">
            <w:pPr>
              <w:widowControl/>
              <w:spacing w:before="156" w:beforeLines="50" w:after="156" w:afterLines="50"/>
              <w:jc w:val="left"/>
              <w:rPr>
                <w:rFonts w:ascii="宋体"/>
                <w:kern w:val="0"/>
                <w:sz w:val="18"/>
                <w:szCs w:val="18"/>
              </w:rPr>
            </w:pPr>
            <w:r>
              <w:rPr>
                <w:rFonts w:hint="eastAsia"/>
                <w:sz w:val="18"/>
                <w:szCs w:val="18"/>
              </w:rPr>
              <w:t>在实施水上水下作业或者活动过程中，申请发布航行警告、航行通告的。</w:t>
            </w:r>
          </w:p>
        </w:tc>
        <w:tc>
          <w:tcPr>
            <w:tcW w:w="5015" w:type="dxa"/>
            <w:vAlign w:val="center"/>
          </w:tcPr>
          <w:p w14:paraId="106A0CBD">
            <w:pPr>
              <w:spacing w:before="156" w:beforeLines="50" w:after="156" w:afterLines="50"/>
              <w:jc w:val="left"/>
              <w:rPr>
                <w:rFonts w:ascii="宋体"/>
                <w:kern w:val="0"/>
                <w:sz w:val="18"/>
                <w:szCs w:val="18"/>
              </w:rPr>
            </w:pPr>
            <w:r>
              <w:rPr>
                <w:rFonts w:hint="eastAsia" w:ascii="宋体"/>
                <w:sz w:val="18"/>
                <w:szCs w:val="18"/>
              </w:rPr>
              <w:t>500元及以上800元以下</w:t>
            </w:r>
          </w:p>
        </w:tc>
      </w:tr>
      <w:tr w14:paraId="25BF9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0A8E0012">
            <w:pPr>
              <w:spacing w:before="156" w:beforeLines="50" w:after="156" w:afterLines="50"/>
              <w:jc w:val="left"/>
              <w:rPr>
                <w:rFonts w:ascii="宋体"/>
                <w:kern w:val="0"/>
                <w:sz w:val="18"/>
                <w:szCs w:val="18"/>
              </w:rPr>
            </w:pPr>
          </w:p>
        </w:tc>
        <w:tc>
          <w:tcPr>
            <w:tcW w:w="1998" w:type="dxa"/>
            <w:vMerge w:val="continue"/>
            <w:vAlign w:val="center"/>
          </w:tcPr>
          <w:p w14:paraId="5E2E5E08">
            <w:pPr>
              <w:spacing w:before="156" w:beforeLines="50" w:after="156" w:afterLines="50"/>
              <w:jc w:val="left"/>
              <w:rPr>
                <w:rFonts w:ascii="宋体"/>
                <w:kern w:val="0"/>
                <w:sz w:val="18"/>
                <w:szCs w:val="18"/>
              </w:rPr>
            </w:pPr>
          </w:p>
        </w:tc>
        <w:tc>
          <w:tcPr>
            <w:tcW w:w="2818" w:type="dxa"/>
            <w:vMerge w:val="continue"/>
            <w:vAlign w:val="center"/>
          </w:tcPr>
          <w:p w14:paraId="798CD6F8">
            <w:pPr>
              <w:spacing w:before="156" w:beforeLines="50" w:after="156" w:afterLines="50"/>
              <w:jc w:val="left"/>
              <w:rPr>
                <w:rFonts w:ascii="宋体"/>
                <w:kern w:val="0"/>
                <w:sz w:val="18"/>
                <w:szCs w:val="18"/>
              </w:rPr>
            </w:pPr>
          </w:p>
        </w:tc>
        <w:tc>
          <w:tcPr>
            <w:tcW w:w="3170" w:type="dxa"/>
            <w:vMerge w:val="continue"/>
            <w:vAlign w:val="center"/>
          </w:tcPr>
          <w:p w14:paraId="2C196666">
            <w:pPr>
              <w:spacing w:before="156" w:beforeLines="50" w:after="156" w:afterLines="50"/>
              <w:jc w:val="left"/>
              <w:rPr>
                <w:rFonts w:ascii="宋体"/>
                <w:kern w:val="0"/>
                <w:sz w:val="18"/>
                <w:szCs w:val="18"/>
              </w:rPr>
            </w:pPr>
          </w:p>
        </w:tc>
        <w:tc>
          <w:tcPr>
            <w:tcW w:w="998" w:type="dxa"/>
            <w:vMerge w:val="continue"/>
            <w:vAlign w:val="center"/>
          </w:tcPr>
          <w:p w14:paraId="33E17D3B">
            <w:pPr>
              <w:spacing w:before="156" w:beforeLines="50" w:after="156" w:afterLines="50"/>
              <w:jc w:val="center"/>
              <w:rPr>
                <w:rFonts w:ascii="宋体"/>
                <w:kern w:val="0"/>
                <w:sz w:val="18"/>
                <w:szCs w:val="18"/>
              </w:rPr>
            </w:pPr>
          </w:p>
        </w:tc>
        <w:tc>
          <w:tcPr>
            <w:tcW w:w="4805" w:type="dxa"/>
            <w:vAlign w:val="center"/>
          </w:tcPr>
          <w:p w14:paraId="3B0B0E0E">
            <w:pPr>
              <w:widowControl/>
              <w:spacing w:before="156" w:beforeLines="50" w:after="156" w:afterLines="50"/>
              <w:jc w:val="left"/>
              <w:rPr>
                <w:sz w:val="18"/>
                <w:szCs w:val="18"/>
              </w:rPr>
            </w:pPr>
            <w:r>
              <w:rPr>
                <w:rFonts w:hint="eastAsia"/>
                <w:sz w:val="18"/>
                <w:szCs w:val="18"/>
              </w:rPr>
              <w:t>1.不申请发布航行警告、航行通告即行实施水上水下作业或者活动的；</w:t>
            </w:r>
          </w:p>
          <w:p w14:paraId="10E8E4A3">
            <w:pPr>
              <w:spacing w:before="156" w:beforeLines="50" w:after="156" w:afterLines="50"/>
              <w:jc w:val="left"/>
              <w:rPr>
                <w:sz w:val="18"/>
                <w:szCs w:val="18"/>
              </w:rPr>
            </w:pPr>
            <w:r>
              <w:rPr>
                <w:rFonts w:hint="eastAsia"/>
                <w:sz w:val="18"/>
                <w:szCs w:val="18"/>
              </w:rPr>
              <w:t>2.未按规定申请发布航行警告、航行通告即行实施水上水下作业或者活动，造成一般及以下水上交通事故的。</w:t>
            </w:r>
          </w:p>
        </w:tc>
        <w:tc>
          <w:tcPr>
            <w:tcW w:w="5015" w:type="dxa"/>
            <w:vAlign w:val="center"/>
          </w:tcPr>
          <w:p w14:paraId="369751BC">
            <w:pPr>
              <w:spacing w:before="156" w:beforeLines="50" w:after="156" w:afterLines="50"/>
              <w:rPr>
                <w:rFonts w:ascii="宋体"/>
                <w:sz w:val="18"/>
                <w:szCs w:val="18"/>
              </w:rPr>
            </w:pPr>
            <w:r>
              <w:rPr>
                <w:rFonts w:hint="eastAsia" w:ascii="宋体"/>
                <w:sz w:val="18"/>
                <w:szCs w:val="18"/>
              </w:rPr>
              <w:t>800元及以上1200元以下</w:t>
            </w:r>
          </w:p>
        </w:tc>
      </w:tr>
      <w:tr w14:paraId="477D5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559BF074">
            <w:pPr>
              <w:spacing w:before="156" w:beforeLines="50" w:after="156" w:afterLines="50"/>
              <w:jc w:val="left"/>
              <w:rPr>
                <w:rFonts w:ascii="宋体"/>
                <w:kern w:val="0"/>
                <w:sz w:val="18"/>
                <w:szCs w:val="18"/>
              </w:rPr>
            </w:pPr>
          </w:p>
        </w:tc>
        <w:tc>
          <w:tcPr>
            <w:tcW w:w="1998" w:type="dxa"/>
            <w:vMerge w:val="continue"/>
            <w:vAlign w:val="center"/>
          </w:tcPr>
          <w:p w14:paraId="2A497305">
            <w:pPr>
              <w:spacing w:before="156" w:beforeLines="50" w:after="156" w:afterLines="50"/>
              <w:jc w:val="left"/>
              <w:rPr>
                <w:rFonts w:ascii="宋体"/>
                <w:kern w:val="0"/>
                <w:sz w:val="18"/>
                <w:szCs w:val="18"/>
              </w:rPr>
            </w:pPr>
          </w:p>
        </w:tc>
        <w:tc>
          <w:tcPr>
            <w:tcW w:w="2818" w:type="dxa"/>
            <w:vMerge w:val="continue"/>
            <w:vAlign w:val="center"/>
          </w:tcPr>
          <w:p w14:paraId="4E29F8CC">
            <w:pPr>
              <w:spacing w:before="156" w:beforeLines="50" w:after="156" w:afterLines="50"/>
              <w:jc w:val="left"/>
              <w:rPr>
                <w:rFonts w:ascii="宋体"/>
                <w:kern w:val="0"/>
                <w:sz w:val="18"/>
                <w:szCs w:val="18"/>
              </w:rPr>
            </w:pPr>
          </w:p>
        </w:tc>
        <w:tc>
          <w:tcPr>
            <w:tcW w:w="3170" w:type="dxa"/>
            <w:vMerge w:val="continue"/>
            <w:vAlign w:val="center"/>
          </w:tcPr>
          <w:p w14:paraId="5EBA9FC4">
            <w:pPr>
              <w:spacing w:before="156" w:beforeLines="50" w:after="156" w:afterLines="50"/>
              <w:jc w:val="left"/>
              <w:rPr>
                <w:rFonts w:ascii="宋体"/>
                <w:kern w:val="0"/>
                <w:sz w:val="18"/>
                <w:szCs w:val="18"/>
              </w:rPr>
            </w:pPr>
          </w:p>
        </w:tc>
        <w:tc>
          <w:tcPr>
            <w:tcW w:w="998" w:type="dxa"/>
            <w:vMerge w:val="continue"/>
            <w:vAlign w:val="center"/>
          </w:tcPr>
          <w:p w14:paraId="6D765648">
            <w:pPr>
              <w:spacing w:before="156" w:beforeLines="50" w:after="156" w:afterLines="50"/>
              <w:jc w:val="center"/>
              <w:rPr>
                <w:rFonts w:ascii="宋体"/>
                <w:kern w:val="0"/>
                <w:sz w:val="18"/>
                <w:szCs w:val="18"/>
              </w:rPr>
            </w:pPr>
          </w:p>
        </w:tc>
        <w:tc>
          <w:tcPr>
            <w:tcW w:w="4805" w:type="dxa"/>
            <w:vAlign w:val="center"/>
          </w:tcPr>
          <w:p w14:paraId="062872D7">
            <w:pPr>
              <w:widowControl/>
              <w:spacing w:before="156" w:beforeLines="50" w:after="156" w:afterLines="50"/>
              <w:jc w:val="left"/>
              <w:rPr>
                <w:sz w:val="18"/>
                <w:szCs w:val="18"/>
              </w:rPr>
            </w:pPr>
            <w:r>
              <w:rPr>
                <w:rFonts w:hint="eastAsia"/>
                <w:sz w:val="18"/>
                <w:szCs w:val="18"/>
              </w:rPr>
              <w:t>未按规定申请发布航行警告、航行通告即行实施水上水下作业或者活动，造成一般以上水上交通事故的。</w:t>
            </w:r>
          </w:p>
          <w:p w14:paraId="0623B01C">
            <w:pPr>
              <w:widowControl/>
              <w:spacing w:before="156" w:beforeLines="50" w:after="156" w:afterLines="50"/>
              <w:jc w:val="left"/>
              <w:rPr>
                <w:sz w:val="18"/>
                <w:szCs w:val="18"/>
              </w:rPr>
            </w:pPr>
          </w:p>
        </w:tc>
        <w:tc>
          <w:tcPr>
            <w:tcW w:w="5015" w:type="dxa"/>
            <w:vAlign w:val="center"/>
          </w:tcPr>
          <w:p w14:paraId="3615B826">
            <w:pPr>
              <w:spacing w:before="156" w:beforeLines="50" w:after="156" w:afterLines="50"/>
              <w:rPr>
                <w:rFonts w:ascii="宋体"/>
                <w:sz w:val="18"/>
                <w:szCs w:val="18"/>
              </w:rPr>
            </w:pPr>
            <w:r>
              <w:rPr>
                <w:rFonts w:hint="eastAsia" w:ascii="宋体"/>
                <w:sz w:val="18"/>
                <w:szCs w:val="18"/>
              </w:rPr>
              <w:t>1200元及以上2000元以下</w:t>
            </w:r>
          </w:p>
        </w:tc>
      </w:tr>
    </w:tbl>
    <w:p w14:paraId="4D8677B6">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4805"/>
        <w:gridCol w:w="5015"/>
      </w:tblGrid>
      <w:tr w14:paraId="27701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07B2559D">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7B105F2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1ACCA01E">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6C17E611">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805" w:type="dxa"/>
            <w:vMerge w:val="restart"/>
            <w:vAlign w:val="center"/>
          </w:tcPr>
          <w:p w14:paraId="429AA93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9CFD35B">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015" w:type="dxa"/>
            <w:vAlign w:val="center"/>
          </w:tcPr>
          <w:p w14:paraId="780D6D76">
            <w:pPr>
              <w:spacing w:before="156" w:beforeLines="50" w:after="156" w:afterLines="50"/>
              <w:rPr>
                <w:rFonts w:ascii="宋体"/>
                <w:b/>
                <w:kern w:val="0"/>
                <w:sz w:val="18"/>
                <w:szCs w:val="18"/>
              </w:rPr>
            </w:pPr>
            <w:r>
              <w:rPr>
                <w:rFonts w:hint="eastAsia" w:ascii="宋体"/>
                <w:b/>
                <w:kern w:val="0"/>
                <w:sz w:val="18"/>
                <w:szCs w:val="18"/>
              </w:rPr>
              <w:t>【法定幅度和种类】责令改正，并可以处以2000元以下的罚款；拒不改正的，海事管理机构应当责令施工作业单位、施工作业的船舶和设施停止作业。</w:t>
            </w:r>
          </w:p>
        </w:tc>
      </w:tr>
      <w:tr w14:paraId="11DE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1BE0D25C">
            <w:pPr>
              <w:spacing w:before="156" w:beforeLines="50" w:after="156" w:afterLines="50"/>
              <w:jc w:val="center"/>
              <w:rPr>
                <w:rFonts w:ascii="宋体"/>
                <w:b/>
                <w:kern w:val="0"/>
                <w:sz w:val="18"/>
                <w:szCs w:val="18"/>
              </w:rPr>
            </w:pPr>
          </w:p>
        </w:tc>
        <w:tc>
          <w:tcPr>
            <w:tcW w:w="1998" w:type="dxa"/>
            <w:vMerge w:val="continue"/>
            <w:vAlign w:val="center"/>
          </w:tcPr>
          <w:p w14:paraId="0213E5CD">
            <w:pPr>
              <w:spacing w:before="156" w:beforeLines="50" w:after="156" w:afterLines="50"/>
              <w:jc w:val="center"/>
              <w:rPr>
                <w:rFonts w:ascii="宋体"/>
                <w:b/>
                <w:kern w:val="0"/>
                <w:sz w:val="18"/>
                <w:szCs w:val="18"/>
              </w:rPr>
            </w:pPr>
          </w:p>
        </w:tc>
        <w:tc>
          <w:tcPr>
            <w:tcW w:w="5988" w:type="dxa"/>
            <w:gridSpan w:val="2"/>
            <w:vMerge w:val="continue"/>
            <w:vAlign w:val="center"/>
          </w:tcPr>
          <w:p w14:paraId="0084B560">
            <w:pPr>
              <w:spacing w:before="156" w:beforeLines="50" w:after="156" w:afterLines="50"/>
              <w:jc w:val="center"/>
              <w:rPr>
                <w:rFonts w:ascii="宋体"/>
                <w:b/>
                <w:kern w:val="0"/>
                <w:sz w:val="18"/>
                <w:szCs w:val="18"/>
              </w:rPr>
            </w:pPr>
          </w:p>
        </w:tc>
        <w:tc>
          <w:tcPr>
            <w:tcW w:w="998" w:type="dxa"/>
            <w:vMerge w:val="continue"/>
            <w:vAlign w:val="center"/>
          </w:tcPr>
          <w:p w14:paraId="6B88413B">
            <w:pPr>
              <w:spacing w:before="156" w:beforeLines="50" w:after="156" w:afterLines="50"/>
              <w:jc w:val="left"/>
              <w:rPr>
                <w:rFonts w:ascii="宋体"/>
                <w:b/>
                <w:kern w:val="0"/>
                <w:sz w:val="18"/>
                <w:szCs w:val="18"/>
              </w:rPr>
            </w:pPr>
          </w:p>
        </w:tc>
        <w:tc>
          <w:tcPr>
            <w:tcW w:w="4805" w:type="dxa"/>
            <w:vMerge w:val="continue"/>
            <w:vAlign w:val="center"/>
          </w:tcPr>
          <w:p w14:paraId="3C25986C">
            <w:pPr>
              <w:spacing w:before="156" w:beforeLines="50" w:after="156" w:afterLines="50"/>
              <w:jc w:val="left"/>
              <w:rPr>
                <w:rFonts w:ascii="宋体"/>
                <w:b/>
                <w:kern w:val="0"/>
                <w:sz w:val="18"/>
                <w:szCs w:val="18"/>
              </w:rPr>
            </w:pPr>
          </w:p>
        </w:tc>
        <w:tc>
          <w:tcPr>
            <w:tcW w:w="5015" w:type="dxa"/>
            <w:vAlign w:val="center"/>
          </w:tcPr>
          <w:p w14:paraId="01E14E61">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30A0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272B30EA">
            <w:pPr>
              <w:spacing w:before="156" w:beforeLines="50" w:after="156" w:afterLines="50"/>
              <w:jc w:val="center"/>
              <w:rPr>
                <w:rFonts w:ascii="宋体"/>
                <w:b/>
                <w:kern w:val="0"/>
                <w:sz w:val="18"/>
                <w:szCs w:val="18"/>
              </w:rPr>
            </w:pPr>
          </w:p>
        </w:tc>
        <w:tc>
          <w:tcPr>
            <w:tcW w:w="1998" w:type="dxa"/>
            <w:vMerge w:val="continue"/>
            <w:vAlign w:val="center"/>
          </w:tcPr>
          <w:p w14:paraId="78598689">
            <w:pPr>
              <w:spacing w:before="156" w:beforeLines="50" w:after="156" w:afterLines="50"/>
              <w:jc w:val="center"/>
              <w:rPr>
                <w:rFonts w:ascii="宋体"/>
                <w:b/>
                <w:kern w:val="0"/>
                <w:sz w:val="18"/>
                <w:szCs w:val="18"/>
              </w:rPr>
            </w:pPr>
          </w:p>
        </w:tc>
        <w:tc>
          <w:tcPr>
            <w:tcW w:w="2818" w:type="dxa"/>
            <w:vAlign w:val="center"/>
          </w:tcPr>
          <w:p w14:paraId="017012A5">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171D2359">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710E6FE9">
            <w:pPr>
              <w:spacing w:before="156" w:beforeLines="50" w:after="156" w:afterLines="50"/>
              <w:jc w:val="left"/>
              <w:rPr>
                <w:rFonts w:ascii="宋体"/>
                <w:b/>
                <w:kern w:val="0"/>
                <w:sz w:val="18"/>
                <w:szCs w:val="18"/>
              </w:rPr>
            </w:pPr>
          </w:p>
        </w:tc>
        <w:tc>
          <w:tcPr>
            <w:tcW w:w="4805" w:type="dxa"/>
            <w:vMerge w:val="continue"/>
            <w:vAlign w:val="center"/>
          </w:tcPr>
          <w:p w14:paraId="3C98A517">
            <w:pPr>
              <w:spacing w:before="156" w:beforeLines="50" w:after="156" w:afterLines="50"/>
              <w:jc w:val="left"/>
              <w:rPr>
                <w:rFonts w:ascii="宋体"/>
                <w:b/>
                <w:kern w:val="0"/>
                <w:sz w:val="18"/>
                <w:szCs w:val="18"/>
              </w:rPr>
            </w:pPr>
          </w:p>
        </w:tc>
        <w:tc>
          <w:tcPr>
            <w:tcW w:w="5015" w:type="dxa"/>
            <w:vAlign w:val="center"/>
          </w:tcPr>
          <w:p w14:paraId="11BAF73D">
            <w:pPr>
              <w:spacing w:before="156" w:beforeLines="50" w:after="156" w:afterLines="50"/>
              <w:jc w:val="left"/>
              <w:rPr>
                <w:rFonts w:ascii="宋体"/>
                <w:b/>
                <w:kern w:val="0"/>
                <w:sz w:val="18"/>
                <w:szCs w:val="18"/>
              </w:rPr>
            </w:pPr>
            <w:r>
              <w:rPr>
                <w:rFonts w:hint="eastAsia" w:ascii="宋体"/>
                <w:b/>
                <w:kern w:val="0"/>
                <w:sz w:val="18"/>
                <w:szCs w:val="18"/>
              </w:rPr>
              <w:t>【对象】施工作业单位、施工作业的船舶和设施所有人或经营人</w:t>
            </w:r>
          </w:p>
        </w:tc>
      </w:tr>
      <w:tr w14:paraId="65BA8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66ED7195">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8</w:t>
            </w:r>
          </w:p>
        </w:tc>
        <w:tc>
          <w:tcPr>
            <w:tcW w:w="1998" w:type="dxa"/>
            <w:vMerge w:val="restart"/>
            <w:vAlign w:val="center"/>
          </w:tcPr>
          <w:p w14:paraId="3C8572FA">
            <w:pPr>
              <w:spacing w:before="156" w:beforeLines="50" w:after="156" w:afterLines="50"/>
              <w:rPr>
                <w:rFonts w:ascii="宋体"/>
                <w:sz w:val="18"/>
                <w:szCs w:val="18"/>
              </w:rPr>
            </w:pPr>
            <w:r>
              <w:rPr>
                <w:rFonts w:hint="eastAsia" w:ascii="宋体"/>
                <w:sz w:val="18"/>
                <w:szCs w:val="18"/>
              </w:rPr>
              <w:t>水上水下作业或者活动与航行警告、航行通告中公告的内容不符的</w:t>
            </w:r>
          </w:p>
        </w:tc>
        <w:tc>
          <w:tcPr>
            <w:tcW w:w="2818" w:type="dxa"/>
            <w:vMerge w:val="restart"/>
            <w:vAlign w:val="center"/>
          </w:tcPr>
          <w:p w14:paraId="287663F2">
            <w:pPr>
              <w:spacing w:before="156" w:beforeLines="50" w:after="156" w:afterLines="50"/>
              <w:rPr>
                <w:rFonts w:ascii="宋体"/>
                <w:sz w:val="18"/>
                <w:szCs w:val="18"/>
              </w:rPr>
            </w:pPr>
            <w:r>
              <w:rPr>
                <w:rFonts w:hint="eastAsia" w:ascii="宋体"/>
                <w:sz w:val="18"/>
                <w:szCs w:val="18"/>
              </w:rPr>
              <w:t>1.《中华人民共和国内河交通安全管理条例》第四十五条；</w:t>
            </w:r>
          </w:p>
          <w:p w14:paraId="2105046C">
            <w:pPr>
              <w:spacing w:before="156" w:beforeLines="50" w:after="156" w:afterLines="50"/>
              <w:rPr>
                <w:rFonts w:ascii="宋体"/>
                <w:sz w:val="18"/>
                <w:szCs w:val="18"/>
              </w:rPr>
            </w:pPr>
            <w:r>
              <w:rPr>
                <w:rFonts w:hint="eastAsia" w:ascii="宋体"/>
                <w:sz w:val="18"/>
                <w:szCs w:val="18"/>
              </w:rPr>
              <w:t>2.《中华人民共和国水上水下作业和活动通航安全管理规定》第二十四条第（一）项。</w:t>
            </w:r>
          </w:p>
        </w:tc>
        <w:tc>
          <w:tcPr>
            <w:tcW w:w="3170" w:type="dxa"/>
            <w:vMerge w:val="restart"/>
            <w:vAlign w:val="center"/>
          </w:tcPr>
          <w:p w14:paraId="40D76B86">
            <w:pPr>
              <w:spacing w:before="156" w:beforeLines="50" w:after="156" w:afterLines="50"/>
              <w:rPr>
                <w:rFonts w:ascii="宋体"/>
                <w:sz w:val="18"/>
                <w:szCs w:val="18"/>
              </w:rPr>
            </w:pPr>
            <w:r>
              <w:rPr>
                <w:rFonts w:hint="eastAsia" w:ascii="宋体"/>
                <w:sz w:val="18"/>
                <w:szCs w:val="18"/>
              </w:rPr>
              <w:t>1.《中华人民共和国内河海事行政处罚规定》第二十七条第（二）项；</w:t>
            </w:r>
          </w:p>
          <w:p w14:paraId="10BE9491">
            <w:pPr>
              <w:spacing w:before="156" w:beforeLines="50" w:after="156" w:afterLines="50"/>
              <w:rPr>
                <w:rFonts w:ascii="宋体"/>
                <w:sz w:val="18"/>
                <w:szCs w:val="18"/>
              </w:rPr>
            </w:pPr>
            <w:r>
              <w:rPr>
                <w:rFonts w:hint="eastAsia" w:ascii="宋体"/>
                <w:sz w:val="18"/>
                <w:szCs w:val="18"/>
              </w:rPr>
              <w:t>2.《中华人民共和国水上水下作业和活动通航安全管理规定》第三十三条第（二）项；</w:t>
            </w:r>
          </w:p>
          <w:p w14:paraId="287D1DC8">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14:paraId="3B192E0B">
            <w:pPr>
              <w:spacing w:before="156" w:beforeLines="50" w:after="156" w:afterLines="50"/>
              <w:jc w:val="center"/>
              <w:rPr>
                <w:rFonts w:ascii="宋体"/>
                <w:sz w:val="18"/>
                <w:szCs w:val="18"/>
              </w:rPr>
            </w:pPr>
            <w:r>
              <w:rPr>
                <w:rFonts w:hint="eastAsia" w:ascii="宋体"/>
                <w:sz w:val="18"/>
                <w:szCs w:val="18"/>
              </w:rPr>
              <w:t>从轻</w:t>
            </w:r>
          </w:p>
        </w:tc>
        <w:tc>
          <w:tcPr>
            <w:tcW w:w="4805" w:type="dxa"/>
            <w:vAlign w:val="center"/>
          </w:tcPr>
          <w:p w14:paraId="7D7467A4">
            <w:pPr>
              <w:spacing w:before="156" w:beforeLines="50" w:after="156" w:afterLines="50"/>
              <w:jc w:val="left"/>
              <w:rPr>
                <w:rFonts w:ascii="宋体"/>
                <w:sz w:val="18"/>
                <w:szCs w:val="18"/>
              </w:rPr>
            </w:pPr>
            <w:r>
              <w:rPr>
                <w:rFonts w:hint="eastAsia" w:ascii="宋体"/>
                <w:sz w:val="18"/>
                <w:szCs w:val="18"/>
              </w:rPr>
              <w:t>具有法定从轻情节的。</w:t>
            </w:r>
          </w:p>
        </w:tc>
        <w:tc>
          <w:tcPr>
            <w:tcW w:w="5015" w:type="dxa"/>
            <w:vAlign w:val="center"/>
          </w:tcPr>
          <w:p w14:paraId="44AFC1C8">
            <w:pPr>
              <w:spacing w:before="156" w:beforeLines="50" w:after="156" w:afterLines="50"/>
              <w:jc w:val="left"/>
              <w:rPr>
                <w:rFonts w:ascii="宋体"/>
                <w:kern w:val="0"/>
                <w:sz w:val="18"/>
                <w:szCs w:val="18"/>
              </w:rPr>
            </w:pPr>
            <w:r>
              <w:rPr>
                <w:rFonts w:hint="eastAsia" w:ascii="宋体"/>
                <w:sz w:val="18"/>
                <w:szCs w:val="18"/>
              </w:rPr>
              <w:t>200元及以上500元以下</w:t>
            </w:r>
          </w:p>
        </w:tc>
      </w:tr>
      <w:tr w14:paraId="3C2E9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0256907D">
            <w:pPr>
              <w:spacing w:before="156" w:beforeLines="50" w:after="156" w:afterLines="50"/>
              <w:jc w:val="left"/>
              <w:rPr>
                <w:rFonts w:ascii="宋体"/>
                <w:kern w:val="0"/>
                <w:sz w:val="18"/>
                <w:szCs w:val="18"/>
              </w:rPr>
            </w:pPr>
          </w:p>
        </w:tc>
        <w:tc>
          <w:tcPr>
            <w:tcW w:w="1998" w:type="dxa"/>
            <w:vMerge w:val="continue"/>
            <w:vAlign w:val="center"/>
          </w:tcPr>
          <w:p w14:paraId="7578B4A7">
            <w:pPr>
              <w:spacing w:before="156" w:beforeLines="50" w:after="156" w:afterLines="50"/>
              <w:rPr>
                <w:rFonts w:ascii="宋体"/>
                <w:sz w:val="18"/>
                <w:szCs w:val="18"/>
              </w:rPr>
            </w:pPr>
          </w:p>
        </w:tc>
        <w:tc>
          <w:tcPr>
            <w:tcW w:w="2818" w:type="dxa"/>
            <w:vMerge w:val="continue"/>
            <w:vAlign w:val="center"/>
          </w:tcPr>
          <w:p w14:paraId="765AE2CC">
            <w:pPr>
              <w:widowControl/>
              <w:spacing w:before="156" w:beforeLines="50" w:after="156" w:afterLines="50"/>
              <w:rPr>
                <w:rFonts w:ascii="宋体"/>
                <w:sz w:val="18"/>
                <w:szCs w:val="18"/>
              </w:rPr>
            </w:pPr>
          </w:p>
        </w:tc>
        <w:tc>
          <w:tcPr>
            <w:tcW w:w="3170" w:type="dxa"/>
            <w:vMerge w:val="continue"/>
            <w:vAlign w:val="center"/>
          </w:tcPr>
          <w:p w14:paraId="301514AC">
            <w:pPr>
              <w:spacing w:before="156" w:beforeLines="50" w:after="156" w:afterLines="50"/>
              <w:rPr>
                <w:rFonts w:ascii="宋体"/>
                <w:sz w:val="18"/>
                <w:szCs w:val="18"/>
              </w:rPr>
            </w:pPr>
          </w:p>
        </w:tc>
        <w:tc>
          <w:tcPr>
            <w:tcW w:w="998" w:type="dxa"/>
            <w:vMerge w:val="restart"/>
            <w:vAlign w:val="center"/>
          </w:tcPr>
          <w:p w14:paraId="045FC212">
            <w:pPr>
              <w:spacing w:before="156" w:beforeLines="50" w:after="156" w:afterLines="50"/>
              <w:jc w:val="center"/>
              <w:rPr>
                <w:rFonts w:ascii="宋体"/>
                <w:sz w:val="18"/>
                <w:szCs w:val="18"/>
              </w:rPr>
            </w:pPr>
            <w:r>
              <w:rPr>
                <w:rFonts w:hint="eastAsia" w:ascii="宋体"/>
                <w:sz w:val="18"/>
                <w:szCs w:val="18"/>
              </w:rPr>
              <w:t>一般</w:t>
            </w:r>
          </w:p>
        </w:tc>
        <w:tc>
          <w:tcPr>
            <w:tcW w:w="4805" w:type="dxa"/>
            <w:vAlign w:val="center"/>
          </w:tcPr>
          <w:p w14:paraId="1C2348C7">
            <w:pPr>
              <w:widowControl/>
              <w:spacing w:before="156" w:beforeLines="50" w:after="156" w:afterLines="50"/>
              <w:rPr>
                <w:rFonts w:ascii="宋体"/>
                <w:sz w:val="18"/>
                <w:szCs w:val="18"/>
              </w:rPr>
            </w:pPr>
            <w:r>
              <w:rPr>
                <w:rFonts w:hint="eastAsia"/>
                <w:sz w:val="18"/>
                <w:szCs w:val="18"/>
              </w:rPr>
              <w:t>水上水下作业或者活动</w:t>
            </w:r>
            <w:r>
              <w:rPr>
                <w:rFonts w:hint="eastAsia" w:ascii="宋体"/>
                <w:sz w:val="18"/>
                <w:szCs w:val="18"/>
              </w:rPr>
              <w:t>与航行警告、航行通告中公告的内容有1至2项不符的。</w:t>
            </w:r>
          </w:p>
        </w:tc>
        <w:tc>
          <w:tcPr>
            <w:tcW w:w="5015" w:type="dxa"/>
            <w:vAlign w:val="center"/>
          </w:tcPr>
          <w:p w14:paraId="76F09CBE">
            <w:pPr>
              <w:spacing w:before="156" w:beforeLines="50" w:after="156" w:afterLines="50"/>
              <w:jc w:val="left"/>
              <w:rPr>
                <w:rFonts w:ascii="宋体"/>
                <w:kern w:val="0"/>
                <w:sz w:val="18"/>
                <w:szCs w:val="18"/>
              </w:rPr>
            </w:pPr>
            <w:r>
              <w:rPr>
                <w:rFonts w:hint="eastAsia" w:ascii="宋体"/>
                <w:sz w:val="18"/>
                <w:szCs w:val="18"/>
              </w:rPr>
              <w:t>500元及以上800元以下</w:t>
            </w:r>
          </w:p>
        </w:tc>
      </w:tr>
      <w:tr w14:paraId="6B779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50DA2B3A">
            <w:pPr>
              <w:spacing w:before="156" w:beforeLines="50" w:after="156" w:afterLines="50"/>
              <w:jc w:val="left"/>
              <w:rPr>
                <w:rFonts w:ascii="宋体"/>
                <w:kern w:val="0"/>
                <w:sz w:val="18"/>
                <w:szCs w:val="18"/>
              </w:rPr>
            </w:pPr>
          </w:p>
        </w:tc>
        <w:tc>
          <w:tcPr>
            <w:tcW w:w="1998" w:type="dxa"/>
            <w:vMerge w:val="continue"/>
            <w:vAlign w:val="center"/>
          </w:tcPr>
          <w:p w14:paraId="5E2182AC">
            <w:pPr>
              <w:spacing w:before="156" w:beforeLines="50" w:after="156" w:afterLines="50"/>
              <w:rPr>
                <w:rFonts w:ascii="宋体"/>
                <w:sz w:val="18"/>
                <w:szCs w:val="18"/>
              </w:rPr>
            </w:pPr>
          </w:p>
        </w:tc>
        <w:tc>
          <w:tcPr>
            <w:tcW w:w="2818" w:type="dxa"/>
            <w:vMerge w:val="continue"/>
            <w:vAlign w:val="center"/>
          </w:tcPr>
          <w:p w14:paraId="4C11B883">
            <w:pPr>
              <w:spacing w:before="156" w:beforeLines="50" w:after="156" w:afterLines="50"/>
              <w:rPr>
                <w:rFonts w:ascii="宋体"/>
                <w:sz w:val="18"/>
                <w:szCs w:val="18"/>
              </w:rPr>
            </w:pPr>
          </w:p>
        </w:tc>
        <w:tc>
          <w:tcPr>
            <w:tcW w:w="3170" w:type="dxa"/>
            <w:vMerge w:val="continue"/>
            <w:vAlign w:val="center"/>
          </w:tcPr>
          <w:p w14:paraId="5D44B1A6">
            <w:pPr>
              <w:spacing w:before="156" w:beforeLines="50" w:after="156" w:afterLines="50"/>
              <w:rPr>
                <w:rFonts w:ascii="宋体"/>
                <w:sz w:val="18"/>
                <w:szCs w:val="18"/>
              </w:rPr>
            </w:pPr>
          </w:p>
        </w:tc>
        <w:tc>
          <w:tcPr>
            <w:tcW w:w="998" w:type="dxa"/>
            <w:vMerge w:val="continue"/>
            <w:vAlign w:val="center"/>
          </w:tcPr>
          <w:p w14:paraId="55679A0D">
            <w:pPr>
              <w:spacing w:before="156" w:beforeLines="50" w:after="156" w:afterLines="50"/>
              <w:jc w:val="center"/>
              <w:rPr>
                <w:rFonts w:ascii="宋体"/>
                <w:sz w:val="18"/>
                <w:szCs w:val="18"/>
              </w:rPr>
            </w:pPr>
          </w:p>
        </w:tc>
        <w:tc>
          <w:tcPr>
            <w:tcW w:w="4805" w:type="dxa"/>
            <w:vAlign w:val="center"/>
          </w:tcPr>
          <w:p w14:paraId="651DA140">
            <w:pPr>
              <w:spacing w:before="156" w:beforeLines="50" w:after="156" w:afterLines="50"/>
              <w:rPr>
                <w:rFonts w:ascii="宋体"/>
                <w:sz w:val="18"/>
                <w:szCs w:val="18"/>
              </w:rPr>
            </w:pPr>
            <w:r>
              <w:rPr>
                <w:rFonts w:hint="eastAsia" w:ascii="宋体"/>
                <w:sz w:val="18"/>
                <w:szCs w:val="18"/>
              </w:rPr>
              <w:t>1.</w:t>
            </w:r>
            <w:r>
              <w:rPr>
                <w:rFonts w:hint="eastAsia"/>
                <w:sz w:val="18"/>
                <w:szCs w:val="18"/>
              </w:rPr>
              <w:t>水上水下作业或者活动</w:t>
            </w:r>
            <w:r>
              <w:rPr>
                <w:rFonts w:hint="eastAsia" w:ascii="宋体"/>
                <w:sz w:val="18"/>
                <w:szCs w:val="18"/>
              </w:rPr>
              <w:t>与航行警告、航行通告中公告的内容有3项及以上不符的；</w:t>
            </w:r>
          </w:p>
          <w:p w14:paraId="4A7EC9B9">
            <w:pPr>
              <w:spacing w:before="156" w:beforeLines="50" w:after="156" w:afterLines="50"/>
              <w:rPr>
                <w:rFonts w:ascii="宋体"/>
                <w:sz w:val="18"/>
                <w:szCs w:val="18"/>
              </w:rPr>
            </w:pPr>
            <w:r>
              <w:rPr>
                <w:rFonts w:hint="eastAsia" w:ascii="宋体"/>
                <w:sz w:val="18"/>
                <w:szCs w:val="18"/>
              </w:rPr>
              <w:t>2.</w:t>
            </w:r>
            <w:r>
              <w:rPr>
                <w:rFonts w:hint="eastAsia"/>
                <w:sz w:val="18"/>
                <w:szCs w:val="18"/>
              </w:rPr>
              <w:t>水上水下作业或者活动</w:t>
            </w:r>
            <w:r>
              <w:rPr>
                <w:rFonts w:hint="eastAsia" w:ascii="宋体"/>
                <w:sz w:val="18"/>
                <w:szCs w:val="18"/>
              </w:rPr>
              <w:t>与航行警告、航行通告中公告的内容不符，造成一般及以下水上交通事故的。</w:t>
            </w:r>
          </w:p>
        </w:tc>
        <w:tc>
          <w:tcPr>
            <w:tcW w:w="5015" w:type="dxa"/>
            <w:vAlign w:val="center"/>
          </w:tcPr>
          <w:p w14:paraId="396EF424">
            <w:pPr>
              <w:spacing w:before="156" w:beforeLines="50" w:after="156" w:afterLines="50"/>
              <w:rPr>
                <w:rFonts w:ascii="宋体"/>
                <w:sz w:val="18"/>
                <w:szCs w:val="18"/>
              </w:rPr>
            </w:pPr>
            <w:r>
              <w:rPr>
                <w:rFonts w:hint="eastAsia" w:ascii="宋体"/>
                <w:sz w:val="18"/>
                <w:szCs w:val="18"/>
              </w:rPr>
              <w:t>800元及以上1200元以下</w:t>
            </w:r>
          </w:p>
        </w:tc>
      </w:tr>
      <w:tr w14:paraId="7F8A5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1903D5A1">
            <w:pPr>
              <w:spacing w:before="156" w:beforeLines="50" w:after="156" w:afterLines="50"/>
              <w:jc w:val="left"/>
              <w:rPr>
                <w:rFonts w:ascii="宋体"/>
                <w:kern w:val="0"/>
                <w:sz w:val="18"/>
                <w:szCs w:val="18"/>
              </w:rPr>
            </w:pPr>
          </w:p>
        </w:tc>
        <w:tc>
          <w:tcPr>
            <w:tcW w:w="1998" w:type="dxa"/>
            <w:vMerge w:val="continue"/>
            <w:vAlign w:val="center"/>
          </w:tcPr>
          <w:p w14:paraId="248EA987">
            <w:pPr>
              <w:spacing w:before="156" w:beforeLines="50" w:after="156" w:afterLines="50"/>
              <w:rPr>
                <w:rFonts w:ascii="宋体"/>
                <w:sz w:val="18"/>
                <w:szCs w:val="18"/>
              </w:rPr>
            </w:pPr>
          </w:p>
        </w:tc>
        <w:tc>
          <w:tcPr>
            <w:tcW w:w="2818" w:type="dxa"/>
            <w:vMerge w:val="continue"/>
            <w:vAlign w:val="center"/>
          </w:tcPr>
          <w:p w14:paraId="4073ED08">
            <w:pPr>
              <w:spacing w:before="156" w:beforeLines="50" w:after="156" w:afterLines="50"/>
              <w:rPr>
                <w:rFonts w:ascii="宋体"/>
                <w:sz w:val="18"/>
                <w:szCs w:val="18"/>
              </w:rPr>
            </w:pPr>
          </w:p>
        </w:tc>
        <w:tc>
          <w:tcPr>
            <w:tcW w:w="3170" w:type="dxa"/>
            <w:vMerge w:val="continue"/>
            <w:vAlign w:val="center"/>
          </w:tcPr>
          <w:p w14:paraId="1071827C">
            <w:pPr>
              <w:spacing w:before="156" w:beforeLines="50" w:after="156" w:afterLines="50"/>
              <w:rPr>
                <w:rFonts w:ascii="宋体"/>
                <w:sz w:val="18"/>
                <w:szCs w:val="18"/>
              </w:rPr>
            </w:pPr>
          </w:p>
        </w:tc>
        <w:tc>
          <w:tcPr>
            <w:tcW w:w="998" w:type="dxa"/>
            <w:vMerge w:val="continue"/>
            <w:vAlign w:val="center"/>
          </w:tcPr>
          <w:p w14:paraId="47DF319B">
            <w:pPr>
              <w:spacing w:before="156" w:beforeLines="50" w:after="156" w:afterLines="50"/>
              <w:jc w:val="center"/>
              <w:rPr>
                <w:rFonts w:ascii="宋体"/>
                <w:sz w:val="18"/>
                <w:szCs w:val="18"/>
              </w:rPr>
            </w:pPr>
          </w:p>
        </w:tc>
        <w:tc>
          <w:tcPr>
            <w:tcW w:w="4805" w:type="dxa"/>
            <w:vAlign w:val="center"/>
          </w:tcPr>
          <w:p w14:paraId="6364E62D">
            <w:pPr>
              <w:widowControl/>
              <w:spacing w:before="156" w:beforeLines="50" w:after="156" w:afterLines="50"/>
              <w:rPr>
                <w:rFonts w:ascii="宋体"/>
                <w:sz w:val="18"/>
                <w:szCs w:val="18"/>
              </w:rPr>
            </w:pPr>
            <w:r>
              <w:rPr>
                <w:rFonts w:hint="eastAsia"/>
                <w:sz w:val="18"/>
                <w:szCs w:val="18"/>
              </w:rPr>
              <w:t>水上水下作业或者活动</w:t>
            </w:r>
            <w:r>
              <w:rPr>
                <w:rFonts w:hint="eastAsia" w:ascii="宋体"/>
                <w:sz w:val="18"/>
                <w:szCs w:val="18"/>
              </w:rPr>
              <w:t>与航行警告、航行通告中公告的内容不符，造成一般以上水上交通事故的。</w:t>
            </w:r>
          </w:p>
        </w:tc>
        <w:tc>
          <w:tcPr>
            <w:tcW w:w="5015" w:type="dxa"/>
            <w:vAlign w:val="center"/>
          </w:tcPr>
          <w:p w14:paraId="7B5F95A5">
            <w:pPr>
              <w:spacing w:before="156" w:beforeLines="50" w:after="156" w:afterLines="50"/>
              <w:rPr>
                <w:rFonts w:ascii="宋体"/>
                <w:sz w:val="18"/>
                <w:szCs w:val="18"/>
              </w:rPr>
            </w:pPr>
            <w:r>
              <w:rPr>
                <w:rFonts w:hint="eastAsia" w:ascii="宋体"/>
                <w:sz w:val="18"/>
                <w:szCs w:val="18"/>
              </w:rPr>
              <w:t>1200元及以上2000元以下</w:t>
            </w:r>
          </w:p>
        </w:tc>
      </w:tr>
    </w:tbl>
    <w:p w14:paraId="503A5879">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14:paraId="4617E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56A6B89B">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0B4311B6">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6F767EE5">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714571D4">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14:paraId="45D312BA">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4FAAA0D0">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14:paraId="4ABA52C2">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14:paraId="4003C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6E5D1841">
            <w:pPr>
              <w:spacing w:before="156" w:beforeLines="50" w:after="156" w:afterLines="50"/>
              <w:jc w:val="center"/>
              <w:rPr>
                <w:rFonts w:ascii="宋体"/>
                <w:b/>
                <w:kern w:val="0"/>
                <w:sz w:val="18"/>
                <w:szCs w:val="18"/>
              </w:rPr>
            </w:pPr>
          </w:p>
        </w:tc>
        <w:tc>
          <w:tcPr>
            <w:tcW w:w="1998" w:type="dxa"/>
            <w:vMerge w:val="continue"/>
            <w:vAlign w:val="center"/>
          </w:tcPr>
          <w:p w14:paraId="369795F6">
            <w:pPr>
              <w:spacing w:before="156" w:beforeLines="50" w:after="156" w:afterLines="50"/>
              <w:jc w:val="center"/>
              <w:rPr>
                <w:rFonts w:ascii="宋体"/>
                <w:b/>
                <w:kern w:val="0"/>
                <w:sz w:val="18"/>
                <w:szCs w:val="18"/>
              </w:rPr>
            </w:pPr>
          </w:p>
        </w:tc>
        <w:tc>
          <w:tcPr>
            <w:tcW w:w="5988" w:type="dxa"/>
            <w:gridSpan w:val="2"/>
            <w:vMerge w:val="continue"/>
            <w:vAlign w:val="center"/>
          </w:tcPr>
          <w:p w14:paraId="66573EB5">
            <w:pPr>
              <w:spacing w:before="156" w:beforeLines="50" w:after="156" w:afterLines="50"/>
              <w:jc w:val="center"/>
              <w:rPr>
                <w:rFonts w:ascii="宋体"/>
                <w:b/>
                <w:kern w:val="0"/>
                <w:sz w:val="18"/>
                <w:szCs w:val="18"/>
              </w:rPr>
            </w:pPr>
          </w:p>
        </w:tc>
        <w:tc>
          <w:tcPr>
            <w:tcW w:w="998" w:type="dxa"/>
            <w:vMerge w:val="continue"/>
            <w:vAlign w:val="center"/>
          </w:tcPr>
          <w:p w14:paraId="1AD009C3">
            <w:pPr>
              <w:spacing w:before="156" w:beforeLines="50" w:after="156" w:afterLines="50"/>
              <w:jc w:val="left"/>
              <w:rPr>
                <w:rFonts w:ascii="宋体"/>
                <w:b/>
                <w:kern w:val="0"/>
                <w:sz w:val="18"/>
                <w:szCs w:val="18"/>
              </w:rPr>
            </w:pPr>
          </w:p>
        </w:tc>
        <w:tc>
          <w:tcPr>
            <w:tcW w:w="3413" w:type="dxa"/>
            <w:vMerge w:val="continue"/>
            <w:vAlign w:val="center"/>
          </w:tcPr>
          <w:p w14:paraId="5FF79502">
            <w:pPr>
              <w:spacing w:before="156" w:beforeLines="50" w:after="156" w:afterLines="50"/>
              <w:jc w:val="left"/>
              <w:rPr>
                <w:rFonts w:ascii="宋体"/>
                <w:b/>
                <w:kern w:val="0"/>
                <w:sz w:val="18"/>
                <w:szCs w:val="18"/>
              </w:rPr>
            </w:pPr>
          </w:p>
        </w:tc>
        <w:tc>
          <w:tcPr>
            <w:tcW w:w="6407" w:type="dxa"/>
            <w:gridSpan w:val="2"/>
            <w:vAlign w:val="center"/>
          </w:tcPr>
          <w:p w14:paraId="03F93820">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A6C6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5E8DAE7B">
            <w:pPr>
              <w:spacing w:before="156" w:beforeLines="50" w:after="156" w:afterLines="50"/>
              <w:jc w:val="center"/>
              <w:rPr>
                <w:rFonts w:ascii="宋体"/>
                <w:b/>
                <w:kern w:val="0"/>
                <w:sz w:val="18"/>
                <w:szCs w:val="18"/>
              </w:rPr>
            </w:pPr>
          </w:p>
        </w:tc>
        <w:tc>
          <w:tcPr>
            <w:tcW w:w="1998" w:type="dxa"/>
            <w:vMerge w:val="continue"/>
            <w:vAlign w:val="center"/>
          </w:tcPr>
          <w:p w14:paraId="740D1011">
            <w:pPr>
              <w:spacing w:before="156" w:beforeLines="50" w:after="156" w:afterLines="50"/>
              <w:jc w:val="center"/>
              <w:rPr>
                <w:rFonts w:ascii="宋体"/>
                <w:b/>
                <w:kern w:val="0"/>
                <w:sz w:val="18"/>
                <w:szCs w:val="18"/>
              </w:rPr>
            </w:pPr>
          </w:p>
        </w:tc>
        <w:tc>
          <w:tcPr>
            <w:tcW w:w="2818" w:type="dxa"/>
            <w:vAlign w:val="center"/>
          </w:tcPr>
          <w:p w14:paraId="11268530">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3DF67AA5">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0DE8C0F5">
            <w:pPr>
              <w:spacing w:before="156" w:beforeLines="50" w:after="156" w:afterLines="50"/>
              <w:jc w:val="left"/>
              <w:rPr>
                <w:rFonts w:ascii="宋体"/>
                <w:b/>
                <w:kern w:val="0"/>
                <w:sz w:val="18"/>
                <w:szCs w:val="18"/>
              </w:rPr>
            </w:pPr>
          </w:p>
        </w:tc>
        <w:tc>
          <w:tcPr>
            <w:tcW w:w="3413" w:type="dxa"/>
            <w:vMerge w:val="continue"/>
            <w:vAlign w:val="center"/>
          </w:tcPr>
          <w:p w14:paraId="10FEFAE6">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14:paraId="77070991">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14:paraId="1DD3CA8E">
            <w:pPr>
              <w:spacing w:before="156" w:beforeLines="50" w:after="156" w:afterLines="50"/>
              <w:jc w:val="center"/>
              <w:rPr>
                <w:rFonts w:ascii="宋体"/>
                <w:b/>
                <w:kern w:val="0"/>
                <w:sz w:val="18"/>
                <w:szCs w:val="18"/>
              </w:rPr>
            </w:pPr>
            <w:r>
              <w:rPr>
                <w:rFonts w:hint="eastAsia" w:ascii="宋体"/>
                <w:b/>
                <w:kern w:val="0"/>
                <w:sz w:val="18"/>
                <w:szCs w:val="18"/>
              </w:rPr>
              <w:t>船员</w:t>
            </w:r>
          </w:p>
        </w:tc>
      </w:tr>
      <w:tr w14:paraId="499C4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2AEA94FD">
            <w:pPr>
              <w:spacing w:before="156" w:beforeLines="50" w:after="156" w:afterLines="50"/>
              <w:jc w:val="center"/>
              <w:rPr>
                <w:rFonts w:ascii="宋体"/>
                <w:kern w:val="0"/>
                <w:sz w:val="18"/>
                <w:szCs w:val="18"/>
              </w:rPr>
            </w:pPr>
            <w:r>
              <w:rPr>
                <w:rFonts w:ascii="宋体"/>
                <w:kern w:val="0"/>
                <w:sz w:val="18"/>
                <w:szCs w:val="18"/>
              </w:rPr>
              <w:t>1</w:t>
            </w:r>
            <w:r>
              <w:rPr>
                <w:rFonts w:hint="eastAsia" w:ascii="宋体"/>
                <w:kern w:val="0"/>
                <w:sz w:val="18"/>
                <w:szCs w:val="18"/>
              </w:rPr>
              <w:t>9</w:t>
            </w:r>
          </w:p>
        </w:tc>
        <w:tc>
          <w:tcPr>
            <w:tcW w:w="1998" w:type="dxa"/>
            <w:vMerge w:val="restart"/>
            <w:vAlign w:val="center"/>
          </w:tcPr>
          <w:p w14:paraId="726C6544">
            <w:pPr>
              <w:spacing w:before="156" w:beforeLines="50" w:after="156" w:afterLines="50"/>
            </w:pPr>
            <w:r>
              <w:rPr>
                <w:rFonts w:hint="eastAsia" w:ascii="宋体"/>
                <w:kern w:val="0"/>
                <w:sz w:val="18"/>
                <w:szCs w:val="18"/>
              </w:rPr>
              <w:t>船舶、浮动设施发生水上交通事故，未按照规定立即报告事故的</w:t>
            </w:r>
          </w:p>
        </w:tc>
        <w:tc>
          <w:tcPr>
            <w:tcW w:w="2818" w:type="dxa"/>
            <w:vMerge w:val="restart"/>
            <w:vAlign w:val="center"/>
          </w:tcPr>
          <w:p w14:paraId="51ACEA2D">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第五十条</w:t>
            </w:r>
          </w:p>
        </w:tc>
        <w:tc>
          <w:tcPr>
            <w:tcW w:w="3170" w:type="dxa"/>
            <w:vMerge w:val="restart"/>
            <w:vAlign w:val="center"/>
          </w:tcPr>
          <w:p w14:paraId="7FE7BFFA">
            <w:pPr>
              <w:spacing w:before="156" w:beforeLines="50" w:after="156" w:afterLines="50"/>
              <w:rPr>
                <w:rFonts w:ascii="宋体"/>
                <w:kern w:val="0"/>
                <w:sz w:val="18"/>
                <w:szCs w:val="18"/>
              </w:rPr>
            </w:pPr>
            <w:r>
              <w:rPr>
                <w:rFonts w:hint="eastAsia" w:ascii="宋体"/>
                <w:kern w:val="0"/>
                <w:sz w:val="18"/>
                <w:szCs w:val="18"/>
              </w:rPr>
              <w:t>1.《中华人民共和国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14:paraId="647016C4">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2.《中华人民共和国内河海事行政处罚规定》第三十一条第一款、第二款第（一）项；</w:t>
            </w:r>
          </w:p>
          <w:p w14:paraId="102C7BCC">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14:paraId="270C001B">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14:paraId="56F4D2A5">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14:paraId="5E64F77E">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14:paraId="070B80E4">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14:paraId="05B4C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588F12C5">
            <w:pPr>
              <w:spacing w:before="156" w:beforeLines="50" w:after="156" w:afterLines="50"/>
              <w:jc w:val="left"/>
              <w:rPr>
                <w:rFonts w:ascii="宋体"/>
                <w:kern w:val="0"/>
                <w:sz w:val="18"/>
                <w:szCs w:val="18"/>
              </w:rPr>
            </w:pPr>
          </w:p>
        </w:tc>
        <w:tc>
          <w:tcPr>
            <w:tcW w:w="1998" w:type="dxa"/>
            <w:vMerge w:val="continue"/>
            <w:vAlign w:val="center"/>
          </w:tcPr>
          <w:p w14:paraId="279F94F7">
            <w:pPr>
              <w:spacing w:before="156" w:beforeLines="50" w:after="156" w:afterLines="50"/>
              <w:jc w:val="left"/>
              <w:rPr>
                <w:rFonts w:ascii="宋体"/>
                <w:kern w:val="0"/>
                <w:sz w:val="18"/>
                <w:szCs w:val="18"/>
              </w:rPr>
            </w:pPr>
          </w:p>
        </w:tc>
        <w:tc>
          <w:tcPr>
            <w:tcW w:w="2818" w:type="dxa"/>
            <w:vMerge w:val="continue"/>
            <w:vAlign w:val="center"/>
          </w:tcPr>
          <w:p w14:paraId="7505FE91">
            <w:pPr>
              <w:widowControl/>
              <w:spacing w:before="156" w:beforeLines="50" w:after="156" w:afterLines="50"/>
              <w:jc w:val="left"/>
              <w:rPr>
                <w:rFonts w:ascii="宋体"/>
                <w:kern w:val="0"/>
                <w:sz w:val="18"/>
                <w:szCs w:val="18"/>
              </w:rPr>
            </w:pPr>
          </w:p>
        </w:tc>
        <w:tc>
          <w:tcPr>
            <w:tcW w:w="3170" w:type="dxa"/>
            <w:vMerge w:val="continue"/>
            <w:vAlign w:val="center"/>
          </w:tcPr>
          <w:p w14:paraId="01941784">
            <w:pPr>
              <w:spacing w:before="156" w:beforeLines="50" w:after="156" w:afterLines="50"/>
              <w:jc w:val="left"/>
              <w:rPr>
                <w:rFonts w:ascii="宋体"/>
                <w:kern w:val="0"/>
                <w:sz w:val="18"/>
                <w:szCs w:val="18"/>
              </w:rPr>
            </w:pPr>
          </w:p>
        </w:tc>
        <w:tc>
          <w:tcPr>
            <w:tcW w:w="998" w:type="dxa"/>
            <w:vMerge w:val="restart"/>
            <w:vAlign w:val="center"/>
          </w:tcPr>
          <w:p w14:paraId="6A9AA0D9">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14:paraId="79D7CD68">
            <w:pPr>
              <w:widowControl/>
              <w:spacing w:before="156" w:beforeLines="50" w:after="156" w:afterLines="50"/>
              <w:jc w:val="left"/>
              <w:rPr>
                <w:rFonts w:ascii="宋体"/>
                <w:kern w:val="0"/>
                <w:sz w:val="18"/>
                <w:szCs w:val="18"/>
              </w:rPr>
            </w:pPr>
            <w:r>
              <w:rPr>
                <w:rFonts w:hint="eastAsia"/>
                <w:sz w:val="18"/>
                <w:szCs w:val="18"/>
              </w:rPr>
              <w:t>船舶、浮动设施发生水上交通事故，未按照规定立即报告事故的。</w:t>
            </w:r>
          </w:p>
        </w:tc>
        <w:tc>
          <w:tcPr>
            <w:tcW w:w="3544" w:type="dxa"/>
            <w:tcBorders>
              <w:right w:val="single" w:color="auto" w:sz="4" w:space="0"/>
            </w:tcBorders>
            <w:vAlign w:val="center"/>
          </w:tcPr>
          <w:p w14:paraId="51F4CF32">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14:paraId="16AB3C6F">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14:paraId="234B5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07E5AF23">
            <w:pPr>
              <w:spacing w:before="156" w:beforeLines="50" w:after="156" w:afterLines="50"/>
              <w:jc w:val="left"/>
              <w:rPr>
                <w:rFonts w:ascii="宋体"/>
                <w:kern w:val="0"/>
                <w:sz w:val="18"/>
                <w:szCs w:val="18"/>
              </w:rPr>
            </w:pPr>
          </w:p>
        </w:tc>
        <w:tc>
          <w:tcPr>
            <w:tcW w:w="1998" w:type="dxa"/>
            <w:vMerge w:val="continue"/>
            <w:vAlign w:val="center"/>
          </w:tcPr>
          <w:p w14:paraId="5C103C14">
            <w:pPr>
              <w:spacing w:before="156" w:beforeLines="50" w:after="156" w:afterLines="50"/>
              <w:jc w:val="left"/>
              <w:rPr>
                <w:rFonts w:ascii="宋体"/>
                <w:kern w:val="0"/>
                <w:sz w:val="18"/>
                <w:szCs w:val="18"/>
              </w:rPr>
            </w:pPr>
          </w:p>
        </w:tc>
        <w:tc>
          <w:tcPr>
            <w:tcW w:w="2818" w:type="dxa"/>
            <w:vMerge w:val="continue"/>
            <w:vAlign w:val="center"/>
          </w:tcPr>
          <w:p w14:paraId="5A89F430">
            <w:pPr>
              <w:spacing w:before="156" w:beforeLines="50" w:after="156" w:afterLines="50"/>
              <w:jc w:val="left"/>
              <w:rPr>
                <w:rFonts w:ascii="宋体"/>
                <w:kern w:val="0"/>
                <w:sz w:val="18"/>
                <w:szCs w:val="18"/>
              </w:rPr>
            </w:pPr>
          </w:p>
        </w:tc>
        <w:tc>
          <w:tcPr>
            <w:tcW w:w="3170" w:type="dxa"/>
            <w:vMerge w:val="continue"/>
            <w:vAlign w:val="center"/>
          </w:tcPr>
          <w:p w14:paraId="3D27A751">
            <w:pPr>
              <w:spacing w:before="156" w:beforeLines="50" w:after="156" w:afterLines="50"/>
              <w:jc w:val="left"/>
              <w:rPr>
                <w:rFonts w:ascii="宋体"/>
                <w:kern w:val="0"/>
                <w:sz w:val="18"/>
                <w:szCs w:val="18"/>
              </w:rPr>
            </w:pPr>
          </w:p>
        </w:tc>
        <w:tc>
          <w:tcPr>
            <w:tcW w:w="998" w:type="dxa"/>
            <w:vMerge w:val="continue"/>
            <w:vAlign w:val="center"/>
          </w:tcPr>
          <w:p w14:paraId="47BA58CA">
            <w:pPr>
              <w:spacing w:before="156" w:beforeLines="50" w:after="156" w:afterLines="50"/>
              <w:jc w:val="center"/>
              <w:rPr>
                <w:rFonts w:ascii="宋体"/>
                <w:kern w:val="0"/>
                <w:sz w:val="18"/>
                <w:szCs w:val="18"/>
              </w:rPr>
            </w:pPr>
          </w:p>
        </w:tc>
        <w:tc>
          <w:tcPr>
            <w:tcW w:w="3413" w:type="dxa"/>
            <w:vAlign w:val="center"/>
          </w:tcPr>
          <w:p w14:paraId="0B2CEE9A">
            <w:pPr>
              <w:spacing w:before="156" w:beforeLines="50" w:after="156" w:afterLines="50"/>
              <w:jc w:val="left"/>
              <w:rPr>
                <w:rFonts w:ascii="宋体"/>
                <w:sz w:val="18"/>
                <w:szCs w:val="18"/>
              </w:rPr>
            </w:pPr>
            <w:r>
              <w:rPr>
                <w:rFonts w:hint="eastAsia"/>
                <w:sz w:val="18"/>
                <w:szCs w:val="18"/>
              </w:rPr>
              <w:t xml:space="preserve"> 船舶、浮动设施发生水上交通事故，未按照规定立即报告事故，对事故调查工作造成影响的。</w:t>
            </w:r>
          </w:p>
        </w:tc>
        <w:tc>
          <w:tcPr>
            <w:tcW w:w="3544" w:type="dxa"/>
            <w:tcBorders>
              <w:right w:val="single" w:color="auto" w:sz="4" w:space="0"/>
            </w:tcBorders>
            <w:vAlign w:val="center"/>
          </w:tcPr>
          <w:p w14:paraId="491F176F">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14:paraId="4917DB61">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14:paraId="41088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35C59F96">
            <w:pPr>
              <w:spacing w:before="156" w:beforeLines="50" w:after="156" w:afterLines="50"/>
              <w:jc w:val="left"/>
              <w:rPr>
                <w:rFonts w:ascii="宋体"/>
                <w:kern w:val="0"/>
                <w:sz w:val="18"/>
                <w:szCs w:val="18"/>
              </w:rPr>
            </w:pPr>
          </w:p>
        </w:tc>
        <w:tc>
          <w:tcPr>
            <w:tcW w:w="1998" w:type="dxa"/>
            <w:vMerge w:val="continue"/>
            <w:vAlign w:val="center"/>
          </w:tcPr>
          <w:p w14:paraId="18DF0FB5">
            <w:pPr>
              <w:spacing w:before="156" w:beforeLines="50" w:after="156" w:afterLines="50"/>
              <w:jc w:val="left"/>
              <w:rPr>
                <w:rFonts w:ascii="宋体"/>
                <w:kern w:val="0"/>
                <w:sz w:val="18"/>
                <w:szCs w:val="18"/>
              </w:rPr>
            </w:pPr>
          </w:p>
        </w:tc>
        <w:tc>
          <w:tcPr>
            <w:tcW w:w="2818" w:type="dxa"/>
            <w:vMerge w:val="continue"/>
            <w:vAlign w:val="center"/>
          </w:tcPr>
          <w:p w14:paraId="214B30FD">
            <w:pPr>
              <w:spacing w:before="156" w:beforeLines="50" w:after="156" w:afterLines="50"/>
              <w:jc w:val="left"/>
              <w:rPr>
                <w:rFonts w:ascii="宋体"/>
                <w:kern w:val="0"/>
                <w:sz w:val="18"/>
                <w:szCs w:val="18"/>
              </w:rPr>
            </w:pPr>
          </w:p>
        </w:tc>
        <w:tc>
          <w:tcPr>
            <w:tcW w:w="3170" w:type="dxa"/>
            <w:vMerge w:val="continue"/>
            <w:vAlign w:val="center"/>
          </w:tcPr>
          <w:p w14:paraId="34E34F95">
            <w:pPr>
              <w:spacing w:before="156" w:beforeLines="50" w:after="156" w:afterLines="50"/>
              <w:jc w:val="left"/>
              <w:rPr>
                <w:rFonts w:ascii="宋体"/>
                <w:kern w:val="0"/>
                <w:sz w:val="18"/>
                <w:szCs w:val="18"/>
              </w:rPr>
            </w:pPr>
          </w:p>
        </w:tc>
        <w:tc>
          <w:tcPr>
            <w:tcW w:w="998" w:type="dxa"/>
            <w:vMerge w:val="continue"/>
            <w:vAlign w:val="center"/>
          </w:tcPr>
          <w:p w14:paraId="09E32500">
            <w:pPr>
              <w:spacing w:before="156" w:beforeLines="50" w:after="156" w:afterLines="50"/>
              <w:jc w:val="center"/>
              <w:rPr>
                <w:rFonts w:ascii="宋体"/>
                <w:kern w:val="0"/>
                <w:sz w:val="18"/>
                <w:szCs w:val="18"/>
              </w:rPr>
            </w:pPr>
          </w:p>
        </w:tc>
        <w:tc>
          <w:tcPr>
            <w:tcW w:w="3413" w:type="dxa"/>
            <w:vAlign w:val="center"/>
          </w:tcPr>
          <w:p w14:paraId="48A55758">
            <w:pPr>
              <w:widowControl/>
              <w:spacing w:before="156" w:beforeLines="50" w:after="156" w:afterLines="50"/>
              <w:rPr>
                <w:sz w:val="20"/>
              </w:rPr>
            </w:pPr>
            <w:r>
              <w:rPr>
                <w:rFonts w:hint="eastAsia" w:ascii="宋体"/>
                <w:sz w:val="18"/>
                <w:szCs w:val="18"/>
              </w:rPr>
              <w:t>1.</w:t>
            </w:r>
            <w:r>
              <w:rPr>
                <w:rFonts w:hint="eastAsia"/>
                <w:sz w:val="18"/>
                <w:szCs w:val="18"/>
              </w:rPr>
              <w:t>船舶、浮动设施发生水上交通事故，未按照规定立即报告事故，对事故调查工作造成严重影响的</w:t>
            </w:r>
            <w:r>
              <w:rPr>
                <w:rFonts w:hint="eastAsia"/>
                <w:sz w:val="20"/>
              </w:rPr>
              <w:t>；</w:t>
            </w:r>
          </w:p>
          <w:p w14:paraId="3DB4DAE8">
            <w:pPr>
              <w:widowControl/>
              <w:spacing w:before="156" w:beforeLines="50" w:after="156" w:afterLines="50"/>
              <w:rPr>
                <w:rFonts w:ascii="宋体"/>
                <w:kern w:val="0"/>
                <w:sz w:val="18"/>
                <w:szCs w:val="18"/>
              </w:rPr>
            </w:pPr>
            <w:r>
              <w:rPr>
                <w:rFonts w:hint="eastAsia"/>
                <w:sz w:val="18"/>
                <w:szCs w:val="18"/>
              </w:rPr>
              <w:t>2.</w:t>
            </w:r>
            <w:r>
              <w:rPr>
                <w:rFonts w:hint="eastAsia" w:ascii="宋体"/>
                <w:sz w:val="18"/>
                <w:szCs w:val="18"/>
              </w:rPr>
              <w:t xml:space="preserve"> </w:t>
            </w:r>
            <w:r>
              <w:rPr>
                <w:rFonts w:hint="eastAsia"/>
                <w:sz w:val="18"/>
                <w:szCs w:val="18"/>
              </w:rPr>
              <w:t>船舶、浮动设施发生水上交通事故，未按照规定立即报告事故，导致碍航的。</w:t>
            </w:r>
          </w:p>
        </w:tc>
        <w:tc>
          <w:tcPr>
            <w:tcW w:w="3544" w:type="dxa"/>
            <w:tcBorders>
              <w:right w:val="single" w:color="auto" w:sz="4" w:space="0"/>
            </w:tcBorders>
            <w:vAlign w:val="center"/>
          </w:tcPr>
          <w:p w14:paraId="6B0A6729">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14:paraId="1C3879E7">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14:paraId="56C2088B">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14:paraId="2F74E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4B6117B9">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6FA04CC4">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512D6F60">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7DA80A3C">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14:paraId="2F63E463">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49E6CEB2">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14:paraId="002D4F03">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14:paraId="5B0BF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29366063">
            <w:pPr>
              <w:spacing w:before="156" w:beforeLines="50" w:after="156" w:afterLines="50"/>
              <w:jc w:val="center"/>
              <w:rPr>
                <w:rFonts w:ascii="宋体"/>
                <w:b/>
                <w:kern w:val="0"/>
                <w:sz w:val="18"/>
                <w:szCs w:val="18"/>
              </w:rPr>
            </w:pPr>
          </w:p>
        </w:tc>
        <w:tc>
          <w:tcPr>
            <w:tcW w:w="1998" w:type="dxa"/>
            <w:vMerge w:val="continue"/>
            <w:vAlign w:val="center"/>
          </w:tcPr>
          <w:p w14:paraId="3EEC857C">
            <w:pPr>
              <w:spacing w:before="156" w:beforeLines="50" w:after="156" w:afterLines="50"/>
              <w:jc w:val="center"/>
              <w:rPr>
                <w:rFonts w:ascii="宋体"/>
                <w:b/>
                <w:kern w:val="0"/>
                <w:sz w:val="18"/>
                <w:szCs w:val="18"/>
              </w:rPr>
            </w:pPr>
          </w:p>
        </w:tc>
        <w:tc>
          <w:tcPr>
            <w:tcW w:w="5988" w:type="dxa"/>
            <w:gridSpan w:val="2"/>
            <w:vMerge w:val="continue"/>
            <w:vAlign w:val="center"/>
          </w:tcPr>
          <w:p w14:paraId="16CE1F8A">
            <w:pPr>
              <w:spacing w:before="156" w:beforeLines="50" w:after="156" w:afterLines="50"/>
              <w:jc w:val="center"/>
              <w:rPr>
                <w:rFonts w:ascii="宋体"/>
                <w:b/>
                <w:kern w:val="0"/>
                <w:sz w:val="18"/>
                <w:szCs w:val="18"/>
              </w:rPr>
            </w:pPr>
          </w:p>
        </w:tc>
        <w:tc>
          <w:tcPr>
            <w:tcW w:w="998" w:type="dxa"/>
            <w:vMerge w:val="continue"/>
            <w:vAlign w:val="center"/>
          </w:tcPr>
          <w:p w14:paraId="221A0261">
            <w:pPr>
              <w:spacing w:before="156" w:beforeLines="50" w:after="156" w:afterLines="50"/>
              <w:jc w:val="left"/>
              <w:rPr>
                <w:rFonts w:ascii="宋体"/>
                <w:b/>
                <w:kern w:val="0"/>
                <w:sz w:val="18"/>
                <w:szCs w:val="18"/>
              </w:rPr>
            </w:pPr>
          </w:p>
        </w:tc>
        <w:tc>
          <w:tcPr>
            <w:tcW w:w="3413" w:type="dxa"/>
            <w:vMerge w:val="continue"/>
            <w:vAlign w:val="center"/>
          </w:tcPr>
          <w:p w14:paraId="3792F3DC">
            <w:pPr>
              <w:spacing w:before="156" w:beforeLines="50" w:after="156" w:afterLines="50"/>
              <w:jc w:val="left"/>
              <w:rPr>
                <w:rFonts w:ascii="宋体"/>
                <w:b/>
                <w:kern w:val="0"/>
                <w:sz w:val="18"/>
                <w:szCs w:val="18"/>
              </w:rPr>
            </w:pPr>
          </w:p>
        </w:tc>
        <w:tc>
          <w:tcPr>
            <w:tcW w:w="6407" w:type="dxa"/>
            <w:gridSpan w:val="2"/>
            <w:vAlign w:val="center"/>
          </w:tcPr>
          <w:p w14:paraId="615C33DC">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3DD27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7318FFFF">
            <w:pPr>
              <w:spacing w:before="156" w:beforeLines="50" w:after="156" w:afterLines="50"/>
              <w:jc w:val="center"/>
              <w:rPr>
                <w:rFonts w:ascii="宋体"/>
                <w:b/>
                <w:kern w:val="0"/>
                <w:sz w:val="18"/>
                <w:szCs w:val="18"/>
              </w:rPr>
            </w:pPr>
          </w:p>
        </w:tc>
        <w:tc>
          <w:tcPr>
            <w:tcW w:w="1998" w:type="dxa"/>
            <w:vMerge w:val="continue"/>
            <w:vAlign w:val="center"/>
          </w:tcPr>
          <w:p w14:paraId="4C32E238">
            <w:pPr>
              <w:spacing w:before="156" w:beforeLines="50" w:after="156" w:afterLines="50"/>
              <w:jc w:val="center"/>
              <w:rPr>
                <w:rFonts w:ascii="宋体"/>
                <w:b/>
                <w:kern w:val="0"/>
                <w:sz w:val="18"/>
                <w:szCs w:val="18"/>
              </w:rPr>
            </w:pPr>
          </w:p>
        </w:tc>
        <w:tc>
          <w:tcPr>
            <w:tcW w:w="2818" w:type="dxa"/>
            <w:vAlign w:val="center"/>
          </w:tcPr>
          <w:p w14:paraId="6A662432">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4F299042">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208A77E3">
            <w:pPr>
              <w:spacing w:before="156" w:beforeLines="50" w:after="156" w:afterLines="50"/>
              <w:jc w:val="left"/>
              <w:rPr>
                <w:rFonts w:ascii="宋体"/>
                <w:b/>
                <w:kern w:val="0"/>
                <w:sz w:val="18"/>
                <w:szCs w:val="18"/>
              </w:rPr>
            </w:pPr>
          </w:p>
        </w:tc>
        <w:tc>
          <w:tcPr>
            <w:tcW w:w="3413" w:type="dxa"/>
            <w:vMerge w:val="continue"/>
            <w:vAlign w:val="center"/>
          </w:tcPr>
          <w:p w14:paraId="302ADA36">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14:paraId="3F83A4D6">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14:paraId="696367E3">
            <w:pPr>
              <w:spacing w:before="156" w:beforeLines="50" w:after="156" w:afterLines="50"/>
              <w:jc w:val="center"/>
              <w:rPr>
                <w:rFonts w:ascii="宋体"/>
                <w:b/>
                <w:kern w:val="0"/>
                <w:sz w:val="18"/>
                <w:szCs w:val="18"/>
              </w:rPr>
            </w:pPr>
            <w:r>
              <w:rPr>
                <w:rFonts w:hint="eastAsia" w:ascii="宋体"/>
                <w:b/>
                <w:kern w:val="0"/>
                <w:sz w:val="18"/>
                <w:szCs w:val="18"/>
              </w:rPr>
              <w:t>船员</w:t>
            </w:r>
          </w:p>
        </w:tc>
      </w:tr>
      <w:tr w14:paraId="6D85A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6AB6F969">
            <w:pPr>
              <w:spacing w:before="156" w:beforeLines="50" w:after="156" w:afterLines="50"/>
              <w:jc w:val="center"/>
              <w:rPr>
                <w:rFonts w:ascii="宋体"/>
                <w:kern w:val="0"/>
                <w:sz w:val="18"/>
                <w:szCs w:val="18"/>
              </w:rPr>
            </w:pPr>
            <w:r>
              <w:rPr>
                <w:rFonts w:hint="eastAsia" w:ascii="宋体"/>
                <w:kern w:val="0"/>
                <w:sz w:val="18"/>
                <w:szCs w:val="18"/>
              </w:rPr>
              <w:t>20</w:t>
            </w:r>
          </w:p>
        </w:tc>
        <w:tc>
          <w:tcPr>
            <w:tcW w:w="1998" w:type="dxa"/>
            <w:vMerge w:val="restart"/>
            <w:vAlign w:val="center"/>
          </w:tcPr>
          <w:p w14:paraId="3CFDC1EE">
            <w:pPr>
              <w:spacing w:before="156" w:beforeLines="50" w:after="156" w:afterLines="50"/>
            </w:pPr>
            <w:r>
              <w:rPr>
                <w:rFonts w:hint="eastAsia" w:ascii="宋体"/>
                <w:kern w:val="0"/>
                <w:sz w:val="18"/>
                <w:szCs w:val="18"/>
              </w:rPr>
              <w:t>船舶、浮动设施发生水上交通事故，事故报告内容不真实，不符合规定要求</w:t>
            </w:r>
          </w:p>
        </w:tc>
        <w:tc>
          <w:tcPr>
            <w:tcW w:w="2818" w:type="dxa"/>
            <w:vMerge w:val="restart"/>
            <w:vAlign w:val="center"/>
          </w:tcPr>
          <w:p w14:paraId="3231F58C">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第五十条</w:t>
            </w:r>
          </w:p>
        </w:tc>
        <w:tc>
          <w:tcPr>
            <w:tcW w:w="3170" w:type="dxa"/>
            <w:vMerge w:val="restart"/>
            <w:vAlign w:val="center"/>
          </w:tcPr>
          <w:p w14:paraId="1AB65D8D">
            <w:pPr>
              <w:spacing w:before="156" w:beforeLines="50" w:after="156" w:afterLines="50"/>
              <w:rPr>
                <w:rFonts w:ascii="宋体"/>
                <w:kern w:val="0"/>
                <w:sz w:val="18"/>
                <w:szCs w:val="18"/>
              </w:rPr>
            </w:pPr>
            <w:r>
              <w:rPr>
                <w:rFonts w:hint="eastAsia" w:ascii="宋体"/>
                <w:kern w:val="0"/>
                <w:sz w:val="18"/>
                <w:szCs w:val="18"/>
              </w:rPr>
              <w:t>1. 《中华人民共和国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14:paraId="4F64E913">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2.《中华人民共和国内河海事行政处罚规定》第三十一条第一款、第二款第（二）项；</w:t>
            </w:r>
          </w:p>
          <w:p w14:paraId="056BFC5D">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14:paraId="4B05C438">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14:paraId="08574E48">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14:paraId="6AB0FBF6">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14:paraId="4BE42880">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14:paraId="37BF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5A57A17A">
            <w:pPr>
              <w:spacing w:before="156" w:beforeLines="50" w:after="156" w:afterLines="50"/>
              <w:jc w:val="left"/>
              <w:rPr>
                <w:rFonts w:ascii="宋体"/>
                <w:kern w:val="0"/>
                <w:sz w:val="18"/>
                <w:szCs w:val="18"/>
              </w:rPr>
            </w:pPr>
          </w:p>
        </w:tc>
        <w:tc>
          <w:tcPr>
            <w:tcW w:w="1998" w:type="dxa"/>
            <w:vMerge w:val="continue"/>
            <w:vAlign w:val="center"/>
          </w:tcPr>
          <w:p w14:paraId="45351D5A">
            <w:pPr>
              <w:spacing w:before="156" w:beforeLines="50" w:after="156" w:afterLines="50"/>
              <w:jc w:val="left"/>
              <w:rPr>
                <w:rFonts w:ascii="宋体"/>
                <w:kern w:val="0"/>
                <w:sz w:val="18"/>
                <w:szCs w:val="18"/>
              </w:rPr>
            </w:pPr>
          </w:p>
        </w:tc>
        <w:tc>
          <w:tcPr>
            <w:tcW w:w="2818" w:type="dxa"/>
            <w:vMerge w:val="continue"/>
            <w:vAlign w:val="center"/>
          </w:tcPr>
          <w:p w14:paraId="2C2978BE">
            <w:pPr>
              <w:widowControl/>
              <w:spacing w:before="156" w:beforeLines="50" w:after="156" w:afterLines="50"/>
              <w:jc w:val="left"/>
              <w:rPr>
                <w:rFonts w:ascii="宋体"/>
                <w:kern w:val="0"/>
                <w:sz w:val="18"/>
                <w:szCs w:val="18"/>
              </w:rPr>
            </w:pPr>
          </w:p>
        </w:tc>
        <w:tc>
          <w:tcPr>
            <w:tcW w:w="3170" w:type="dxa"/>
            <w:vMerge w:val="continue"/>
            <w:vAlign w:val="center"/>
          </w:tcPr>
          <w:p w14:paraId="4A9428CC">
            <w:pPr>
              <w:spacing w:before="156" w:beforeLines="50" w:after="156" w:afterLines="50"/>
              <w:jc w:val="left"/>
              <w:rPr>
                <w:rFonts w:ascii="宋体"/>
                <w:kern w:val="0"/>
                <w:sz w:val="18"/>
                <w:szCs w:val="18"/>
              </w:rPr>
            </w:pPr>
          </w:p>
        </w:tc>
        <w:tc>
          <w:tcPr>
            <w:tcW w:w="998" w:type="dxa"/>
            <w:vMerge w:val="restart"/>
            <w:vAlign w:val="center"/>
          </w:tcPr>
          <w:p w14:paraId="4DD36FF2">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14:paraId="0E2C5AAD">
            <w:pPr>
              <w:widowControl/>
              <w:spacing w:before="156" w:beforeLines="50" w:after="156" w:afterLines="50"/>
              <w:jc w:val="left"/>
              <w:rPr>
                <w:rFonts w:ascii="宋体"/>
                <w:kern w:val="0"/>
                <w:sz w:val="18"/>
                <w:szCs w:val="18"/>
              </w:rPr>
            </w:pPr>
            <w:r>
              <w:rPr>
                <w:rFonts w:hint="eastAsia"/>
                <w:sz w:val="18"/>
                <w:szCs w:val="18"/>
              </w:rPr>
              <w:t>船舶、浮动设施发生水上交通事故，事故报告部分内容不真实，不符合规定要求。</w:t>
            </w:r>
          </w:p>
        </w:tc>
        <w:tc>
          <w:tcPr>
            <w:tcW w:w="3544" w:type="dxa"/>
            <w:tcBorders>
              <w:right w:val="single" w:color="auto" w:sz="4" w:space="0"/>
            </w:tcBorders>
            <w:vAlign w:val="center"/>
          </w:tcPr>
          <w:p w14:paraId="33B5BF9F">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14:paraId="3FA9542D">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14:paraId="68D9A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686FFB78">
            <w:pPr>
              <w:spacing w:before="156" w:beforeLines="50" w:after="156" w:afterLines="50"/>
              <w:jc w:val="left"/>
              <w:rPr>
                <w:rFonts w:ascii="宋体"/>
                <w:kern w:val="0"/>
                <w:sz w:val="18"/>
                <w:szCs w:val="18"/>
              </w:rPr>
            </w:pPr>
          </w:p>
        </w:tc>
        <w:tc>
          <w:tcPr>
            <w:tcW w:w="1998" w:type="dxa"/>
            <w:vMerge w:val="continue"/>
            <w:vAlign w:val="center"/>
          </w:tcPr>
          <w:p w14:paraId="59C59A9D">
            <w:pPr>
              <w:spacing w:before="156" w:beforeLines="50" w:after="156" w:afterLines="50"/>
              <w:jc w:val="left"/>
              <w:rPr>
                <w:rFonts w:ascii="宋体"/>
                <w:kern w:val="0"/>
                <w:sz w:val="18"/>
                <w:szCs w:val="18"/>
              </w:rPr>
            </w:pPr>
          </w:p>
        </w:tc>
        <w:tc>
          <w:tcPr>
            <w:tcW w:w="2818" w:type="dxa"/>
            <w:vMerge w:val="continue"/>
            <w:vAlign w:val="center"/>
          </w:tcPr>
          <w:p w14:paraId="4731D606">
            <w:pPr>
              <w:spacing w:before="156" w:beforeLines="50" w:after="156" w:afterLines="50"/>
              <w:jc w:val="left"/>
              <w:rPr>
                <w:rFonts w:ascii="宋体"/>
                <w:kern w:val="0"/>
                <w:sz w:val="18"/>
                <w:szCs w:val="18"/>
              </w:rPr>
            </w:pPr>
          </w:p>
        </w:tc>
        <w:tc>
          <w:tcPr>
            <w:tcW w:w="3170" w:type="dxa"/>
            <w:vMerge w:val="continue"/>
            <w:vAlign w:val="center"/>
          </w:tcPr>
          <w:p w14:paraId="34B3B176">
            <w:pPr>
              <w:spacing w:before="156" w:beforeLines="50" w:after="156" w:afterLines="50"/>
              <w:jc w:val="left"/>
              <w:rPr>
                <w:rFonts w:ascii="宋体"/>
                <w:kern w:val="0"/>
                <w:sz w:val="18"/>
                <w:szCs w:val="18"/>
              </w:rPr>
            </w:pPr>
          </w:p>
        </w:tc>
        <w:tc>
          <w:tcPr>
            <w:tcW w:w="998" w:type="dxa"/>
            <w:vMerge w:val="continue"/>
            <w:vAlign w:val="center"/>
          </w:tcPr>
          <w:p w14:paraId="6B35CD83">
            <w:pPr>
              <w:spacing w:before="156" w:beforeLines="50" w:after="156" w:afterLines="50"/>
              <w:jc w:val="center"/>
              <w:rPr>
                <w:rFonts w:ascii="宋体"/>
                <w:kern w:val="0"/>
                <w:sz w:val="18"/>
                <w:szCs w:val="18"/>
              </w:rPr>
            </w:pPr>
          </w:p>
        </w:tc>
        <w:tc>
          <w:tcPr>
            <w:tcW w:w="3413" w:type="dxa"/>
            <w:vAlign w:val="center"/>
          </w:tcPr>
          <w:p w14:paraId="3BE1915C">
            <w:pPr>
              <w:spacing w:before="156" w:beforeLines="50" w:after="156" w:afterLines="50"/>
              <w:jc w:val="left"/>
              <w:rPr>
                <w:rFonts w:ascii="宋体"/>
                <w:sz w:val="18"/>
                <w:szCs w:val="18"/>
              </w:rPr>
            </w:pPr>
            <w:r>
              <w:rPr>
                <w:rFonts w:hint="eastAsia"/>
                <w:sz w:val="18"/>
                <w:szCs w:val="18"/>
              </w:rPr>
              <w:t>船舶、浮动设施发生水上交通事故，事故报告内容不真实，不符合规定要求，对事故调查工作造成影响的。</w:t>
            </w:r>
          </w:p>
        </w:tc>
        <w:tc>
          <w:tcPr>
            <w:tcW w:w="3544" w:type="dxa"/>
            <w:tcBorders>
              <w:right w:val="single" w:color="auto" w:sz="4" w:space="0"/>
            </w:tcBorders>
            <w:vAlign w:val="center"/>
          </w:tcPr>
          <w:p w14:paraId="6205572C">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14:paraId="54B9881F">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14:paraId="34DB2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24DF173D">
            <w:pPr>
              <w:spacing w:before="156" w:beforeLines="50" w:after="156" w:afterLines="50"/>
              <w:jc w:val="left"/>
              <w:rPr>
                <w:rFonts w:ascii="宋体"/>
                <w:kern w:val="0"/>
                <w:sz w:val="18"/>
                <w:szCs w:val="18"/>
              </w:rPr>
            </w:pPr>
          </w:p>
        </w:tc>
        <w:tc>
          <w:tcPr>
            <w:tcW w:w="1998" w:type="dxa"/>
            <w:vMerge w:val="continue"/>
            <w:vAlign w:val="center"/>
          </w:tcPr>
          <w:p w14:paraId="3797D4BB">
            <w:pPr>
              <w:spacing w:before="156" w:beforeLines="50" w:after="156" w:afterLines="50"/>
              <w:jc w:val="left"/>
              <w:rPr>
                <w:rFonts w:ascii="宋体"/>
                <w:kern w:val="0"/>
                <w:sz w:val="18"/>
                <w:szCs w:val="18"/>
              </w:rPr>
            </w:pPr>
          </w:p>
        </w:tc>
        <w:tc>
          <w:tcPr>
            <w:tcW w:w="2818" w:type="dxa"/>
            <w:vMerge w:val="continue"/>
            <w:vAlign w:val="center"/>
          </w:tcPr>
          <w:p w14:paraId="00E21158">
            <w:pPr>
              <w:spacing w:before="156" w:beforeLines="50" w:after="156" w:afterLines="50"/>
              <w:jc w:val="left"/>
              <w:rPr>
                <w:rFonts w:ascii="宋体"/>
                <w:kern w:val="0"/>
                <w:sz w:val="18"/>
                <w:szCs w:val="18"/>
              </w:rPr>
            </w:pPr>
          </w:p>
        </w:tc>
        <w:tc>
          <w:tcPr>
            <w:tcW w:w="3170" w:type="dxa"/>
            <w:vMerge w:val="continue"/>
            <w:vAlign w:val="center"/>
          </w:tcPr>
          <w:p w14:paraId="1D8E9903">
            <w:pPr>
              <w:spacing w:before="156" w:beforeLines="50" w:after="156" w:afterLines="50"/>
              <w:jc w:val="left"/>
              <w:rPr>
                <w:rFonts w:ascii="宋体"/>
                <w:kern w:val="0"/>
                <w:sz w:val="18"/>
                <w:szCs w:val="18"/>
              </w:rPr>
            </w:pPr>
          </w:p>
        </w:tc>
        <w:tc>
          <w:tcPr>
            <w:tcW w:w="998" w:type="dxa"/>
            <w:vMerge w:val="continue"/>
            <w:vAlign w:val="center"/>
          </w:tcPr>
          <w:p w14:paraId="2441355C">
            <w:pPr>
              <w:spacing w:before="156" w:beforeLines="50" w:after="156" w:afterLines="50"/>
              <w:jc w:val="center"/>
              <w:rPr>
                <w:rFonts w:ascii="宋体"/>
                <w:kern w:val="0"/>
                <w:sz w:val="18"/>
                <w:szCs w:val="18"/>
              </w:rPr>
            </w:pPr>
          </w:p>
        </w:tc>
        <w:tc>
          <w:tcPr>
            <w:tcW w:w="3413" w:type="dxa"/>
            <w:vAlign w:val="center"/>
          </w:tcPr>
          <w:p w14:paraId="51893476">
            <w:pPr>
              <w:widowControl/>
              <w:spacing w:before="156" w:beforeLines="50" w:after="156" w:afterLines="50"/>
              <w:rPr>
                <w:rFonts w:ascii="宋体"/>
                <w:kern w:val="0"/>
                <w:sz w:val="18"/>
                <w:szCs w:val="18"/>
              </w:rPr>
            </w:pPr>
            <w:r>
              <w:rPr>
                <w:rFonts w:hint="eastAsia"/>
                <w:sz w:val="18"/>
                <w:szCs w:val="18"/>
              </w:rPr>
              <w:t>船舶、浮动设施发生水上交通事故，事故报告内容不真实，不符合规定要求，对事故调查工作造成严重影响的</w:t>
            </w:r>
            <w:r>
              <w:rPr>
                <w:rFonts w:hint="eastAsia"/>
                <w:sz w:val="20"/>
              </w:rPr>
              <w:t>。</w:t>
            </w:r>
          </w:p>
        </w:tc>
        <w:tc>
          <w:tcPr>
            <w:tcW w:w="3544" w:type="dxa"/>
            <w:tcBorders>
              <w:right w:val="single" w:color="auto" w:sz="4" w:space="0"/>
            </w:tcBorders>
            <w:vAlign w:val="center"/>
          </w:tcPr>
          <w:p w14:paraId="619E1421">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14:paraId="47535F5C">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14:paraId="76AD09B6">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14:paraId="13D1A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38527171">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2B089AE6">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18A83F84">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48DDA544">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14:paraId="0D979AD0">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3E10BBC0">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14:paraId="5C491F23">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14:paraId="46D82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759F4B31">
            <w:pPr>
              <w:spacing w:before="156" w:beforeLines="50" w:after="156" w:afterLines="50"/>
              <w:jc w:val="center"/>
              <w:rPr>
                <w:rFonts w:ascii="宋体"/>
                <w:b/>
                <w:kern w:val="0"/>
                <w:sz w:val="18"/>
                <w:szCs w:val="18"/>
              </w:rPr>
            </w:pPr>
          </w:p>
        </w:tc>
        <w:tc>
          <w:tcPr>
            <w:tcW w:w="1998" w:type="dxa"/>
            <w:vMerge w:val="continue"/>
            <w:vAlign w:val="center"/>
          </w:tcPr>
          <w:p w14:paraId="37D7D780">
            <w:pPr>
              <w:spacing w:before="156" w:beforeLines="50" w:after="156" w:afterLines="50"/>
              <w:jc w:val="center"/>
              <w:rPr>
                <w:rFonts w:ascii="宋体"/>
                <w:b/>
                <w:kern w:val="0"/>
                <w:sz w:val="18"/>
                <w:szCs w:val="18"/>
              </w:rPr>
            </w:pPr>
          </w:p>
        </w:tc>
        <w:tc>
          <w:tcPr>
            <w:tcW w:w="5988" w:type="dxa"/>
            <w:gridSpan w:val="2"/>
            <w:vMerge w:val="continue"/>
            <w:vAlign w:val="center"/>
          </w:tcPr>
          <w:p w14:paraId="26839D58">
            <w:pPr>
              <w:spacing w:before="156" w:beforeLines="50" w:after="156" w:afterLines="50"/>
              <w:jc w:val="center"/>
              <w:rPr>
                <w:rFonts w:ascii="宋体"/>
                <w:b/>
                <w:kern w:val="0"/>
                <w:sz w:val="18"/>
                <w:szCs w:val="18"/>
              </w:rPr>
            </w:pPr>
          </w:p>
        </w:tc>
        <w:tc>
          <w:tcPr>
            <w:tcW w:w="998" w:type="dxa"/>
            <w:vMerge w:val="continue"/>
            <w:vAlign w:val="center"/>
          </w:tcPr>
          <w:p w14:paraId="0E3C2F6A">
            <w:pPr>
              <w:spacing w:before="156" w:beforeLines="50" w:after="156" w:afterLines="50"/>
              <w:jc w:val="left"/>
              <w:rPr>
                <w:rFonts w:ascii="宋体"/>
                <w:b/>
                <w:kern w:val="0"/>
                <w:sz w:val="18"/>
                <w:szCs w:val="18"/>
              </w:rPr>
            </w:pPr>
          </w:p>
        </w:tc>
        <w:tc>
          <w:tcPr>
            <w:tcW w:w="3413" w:type="dxa"/>
            <w:vMerge w:val="continue"/>
            <w:vAlign w:val="center"/>
          </w:tcPr>
          <w:p w14:paraId="5A30BBB7">
            <w:pPr>
              <w:spacing w:before="156" w:beforeLines="50" w:after="156" w:afterLines="50"/>
              <w:jc w:val="left"/>
              <w:rPr>
                <w:rFonts w:ascii="宋体"/>
                <w:b/>
                <w:kern w:val="0"/>
                <w:sz w:val="18"/>
                <w:szCs w:val="18"/>
              </w:rPr>
            </w:pPr>
          </w:p>
        </w:tc>
        <w:tc>
          <w:tcPr>
            <w:tcW w:w="6407" w:type="dxa"/>
            <w:gridSpan w:val="2"/>
            <w:vAlign w:val="center"/>
          </w:tcPr>
          <w:p w14:paraId="17AE6C89">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63273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1B8EB93A">
            <w:pPr>
              <w:spacing w:before="156" w:beforeLines="50" w:after="156" w:afterLines="50"/>
              <w:jc w:val="center"/>
              <w:rPr>
                <w:rFonts w:ascii="宋体"/>
                <w:b/>
                <w:kern w:val="0"/>
                <w:sz w:val="18"/>
                <w:szCs w:val="18"/>
              </w:rPr>
            </w:pPr>
          </w:p>
        </w:tc>
        <w:tc>
          <w:tcPr>
            <w:tcW w:w="1998" w:type="dxa"/>
            <w:vMerge w:val="continue"/>
            <w:vAlign w:val="center"/>
          </w:tcPr>
          <w:p w14:paraId="32784269">
            <w:pPr>
              <w:spacing w:before="156" w:beforeLines="50" w:after="156" w:afterLines="50"/>
              <w:jc w:val="center"/>
              <w:rPr>
                <w:rFonts w:ascii="宋体"/>
                <w:b/>
                <w:kern w:val="0"/>
                <w:sz w:val="18"/>
                <w:szCs w:val="18"/>
              </w:rPr>
            </w:pPr>
          </w:p>
        </w:tc>
        <w:tc>
          <w:tcPr>
            <w:tcW w:w="2818" w:type="dxa"/>
            <w:vAlign w:val="center"/>
          </w:tcPr>
          <w:p w14:paraId="0D5A31F2">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5FFD30F1">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67F2ABF7">
            <w:pPr>
              <w:spacing w:before="156" w:beforeLines="50" w:after="156" w:afterLines="50"/>
              <w:jc w:val="left"/>
              <w:rPr>
                <w:rFonts w:ascii="宋体"/>
                <w:b/>
                <w:kern w:val="0"/>
                <w:sz w:val="18"/>
                <w:szCs w:val="18"/>
              </w:rPr>
            </w:pPr>
          </w:p>
        </w:tc>
        <w:tc>
          <w:tcPr>
            <w:tcW w:w="3413" w:type="dxa"/>
            <w:vMerge w:val="continue"/>
            <w:vAlign w:val="center"/>
          </w:tcPr>
          <w:p w14:paraId="7D5B7CD6">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14:paraId="43B8BCA1">
            <w:pPr>
              <w:spacing w:before="156" w:beforeLines="50" w:after="156" w:afterLines="50"/>
              <w:jc w:val="left"/>
              <w:rPr>
                <w:rFonts w:ascii="宋体"/>
                <w:b/>
                <w:kern w:val="0"/>
                <w:sz w:val="18"/>
                <w:szCs w:val="18"/>
              </w:rPr>
            </w:pPr>
            <w:r>
              <w:rPr>
                <w:rFonts w:hint="eastAsia" w:ascii="宋体"/>
                <w:b/>
                <w:kern w:val="0"/>
                <w:sz w:val="18"/>
                <w:szCs w:val="18"/>
              </w:rPr>
              <w:t>【对象】船舶、浮动设施所有人或经营人及直接责任人员</w:t>
            </w:r>
          </w:p>
        </w:tc>
        <w:tc>
          <w:tcPr>
            <w:tcW w:w="2863" w:type="dxa"/>
            <w:tcBorders>
              <w:left w:val="single" w:color="auto" w:sz="4" w:space="0"/>
            </w:tcBorders>
            <w:vAlign w:val="center"/>
          </w:tcPr>
          <w:p w14:paraId="5244C092">
            <w:pPr>
              <w:spacing w:before="156" w:beforeLines="50" w:after="156" w:afterLines="50"/>
              <w:jc w:val="center"/>
              <w:rPr>
                <w:rFonts w:ascii="宋体"/>
                <w:b/>
                <w:kern w:val="0"/>
                <w:sz w:val="18"/>
                <w:szCs w:val="18"/>
              </w:rPr>
            </w:pPr>
            <w:r>
              <w:rPr>
                <w:rFonts w:hint="eastAsia" w:ascii="宋体"/>
                <w:b/>
                <w:kern w:val="0"/>
                <w:sz w:val="18"/>
                <w:szCs w:val="18"/>
              </w:rPr>
              <w:t>船员</w:t>
            </w:r>
          </w:p>
        </w:tc>
      </w:tr>
      <w:tr w14:paraId="6D27A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5F449332">
            <w:pPr>
              <w:spacing w:before="156" w:beforeLines="50" w:after="156" w:afterLines="50"/>
              <w:jc w:val="center"/>
              <w:rPr>
                <w:rFonts w:ascii="宋体"/>
                <w:kern w:val="0"/>
                <w:sz w:val="18"/>
                <w:szCs w:val="18"/>
              </w:rPr>
            </w:pPr>
            <w:r>
              <w:rPr>
                <w:rFonts w:hint="eastAsia" w:ascii="宋体"/>
                <w:kern w:val="0"/>
                <w:sz w:val="18"/>
                <w:szCs w:val="18"/>
              </w:rPr>
              <w:t>21</w:t>
            </w:r>
          </w:p>
        </w:tc>
        <w:tc>
          <w:tcPr>
            <w:tcW w:w="1998" w:type="dxa"/>
            <w:vMerge w:val="restart"/>
            <w:vAlign w:val="center"/>
          </w:tcPr>
          <w:p w14:paraId="0967D032">
            <w:pPr>
              <w:spacing w:before="156" w:beforeLines="50" w:after="156" w:afterLines="50"/>
            </w:pPr>
            <w:r>
              <w:rPr>
                <w:rFonts w:hint="eastAsia" w:ascii="宋体"/>
                <w:kern w:val="0"/>
                <w:sz w:val="18"/>
                <w:szCs w:val="18"/>
              </w:rPr>
              <w:t>船舶、浮动设施发生水上交通事故，隐瞒事实或者提供虚假证明、证词</w:t>
            </w:r>
          </w:p>
        </w:tc>
        <w:tc>
          <w:tcPr>
            <w:tcW w:w="2818" w:type="dxa"/>
            <w:vMerge w:val="restart"/>
            <w:vAlign w:val="center"/>
          </w:tcPr>
          <w:p w14:paraId="34193A07">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第五十二条</w:t>
            </w:r>
          </w:p>
        </w:tc>
        <w:tc>
          <w:tcPr>
            <w:tcW w:w="3170" w:type="dxa"/>
            <w:vMerge w:val="restart"/>
            <w:vAlign w:val="center"/>
          </w:tcPr>
          <w:p w14:paraId="06E0DA15">
            <w:pPr>
              <w:spacing w:before="156" w:beforeLines="50" w:after="156" w:afterLines="50"/>
              <w:rPr>
                <w:rFonts w:ascii="宋体"/>
                <w:kern w:val="0"/>
                <w:sz w:val="18"/>
                <w:szCs w:val="18"/>
              </w:rPr>
            </w:pPr>
            <w:r>
              <w:rPr>
                <w:rFonts w:hint="eastAsia" w:ascii="宋体"/>
                <w:kern w:val="0"/>
                <w:sz w:val="18"/>
                <w:szCs w:val="18"/>
              </w:rPr>
              <w:t>1. 《中华人民共和国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14:paraId="63561655">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2.《中华人民共和国内河海事行政处罚规定》第三十一条第一款、第三款第（一）项；</w:t>
            </w:r>
          </w:p>
          <w:p w14:paraId="52812710">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14:paraId="4D04AE67">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14:paraId="5D0C44AA">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14:paraId="20D2619E">
            <w:pPr>
              <w:spacing w:before="156" w:beforeLines="50" w:after="156" w:afterLines="50"/>
              <w:jc w:val="left"/>
              <w:rPr>
                <w:rFonts w:ascii="宋体"/>
                <w:kern w:val="0"/>
                <w:sz w:val="18"/>
                <w:szCs w:val="18"/>
              </w:rPr>
            </w:pPr>
            <w:r>
              <w:rPr>
                <w:rFonts w:hint="eastAsia" w:ascii="宋体"/>
                <w:sz w:val="18"/>
                <w:szCs w:val="18"/>
              </w:rPr>
              <w:t>对船舶、浮动设施所有人或经营人给予警告，并对直接责任人员处以1000元及以上2000元以下的罚款</w:t>
            </w:r>
          </w:p>
        </w:tc>
        <w:tc>
          <w:tcPr>
            <w:tcW w:w="2863" w:type="dxa"/>
            <w:tcBorders>
              <w:left w:val="single" w:color="auto" w:sz="4" w:space="0"/>
            </w:tcBorders>
            <w:vAlign w:val="center"/>
          </w:tcPr>
          <w:p w14:paraId="258FB552">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14:paraId="7850F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567428AC">
            <w:pPr>
              <w:spacing w:before="156" w:beforeLines="50" w:after="156" w:afterLines="50"/>
              <w:jc w:val="left"/>
              <w:rPr>
                <w:rFonts w:ascii="宋体"/>
                <w:kern w:val="0"/>
                <w:sz w:val="18"/>
                <w:szCs w:val="18"/>
              </w:rPr>
            </w:pPr>
          </w:p>
        </w:tc>
        <w:tc>
          <w:tcPr>
            <w:tcW w:w="1998" w:type="dxa"/>
            <w:vMerge w:val="continue"/>
            <w:vAlign w:val="center"/>
          </w:tcPr>
          <w:p w14:paraId="6307EA95">
            <w:pPr>
              <w:spacing w:before="156" w:beforeLines="50" w:after="156" w:afterLines="50"/>
              <w:jc w:val="left"/>
              <w:rPr>
                <w:rFonts w:ascii="宋体"/>
                <w:kern w:val="0"/>
                <w:sz w:val="18"/>
                <w:szCs w:val="18"/>
              </w:rPr>
            </w:pPr>
          </w:p>
        </w:tc>
        <w:tc>
          <w:tcPr>
            <w:tcW w:w="2818" w:type="dxa"/>
            <w:vMerge w:val="continue"/>
            <w:vAlign w:val="center"/>
          </w:tcPr>
          <w:p w14:paraId="14CB872F">
            <w:pPr>
              <w:widowControl/>
              <w:spacing w:before="156" w:beforeLines="50" w:after="156" w:afterLines="50"/>
              <w:jc w:val="left"/>
              <w:rPr>
                <w:rFonts w:ascii="宋体"/>
                <w:kern w:val="0"/>
                <w:sz w:val="18"/>
                <w:szCs w:val="18"/>
              </w:rPr>
            </w:pPr>
          </w:p>
        </w:tc>
        <w:tc>
          <w:tcPr>
            <w:tcW w:w="3170" w:type="dxa"/>
            <w:vMerge w:val="continue"/>
            <w:vAlign w:val="center"/>
          </w:tcPr>
          <w:p w14:paraId="017113FA">
            <w:pPr>
              <w:spacing w:before="156" w:beforeLines="50" w:after="156" w:afterLines="50"/>
              <w:jc w:val="left"/>
              <w:rPr>
                <w:rFonts w:ascii="宋体"/>
                <w:kern w:val="0"/>
                <w:sz w:val="18"/>
                <w:szCs w:val="18"/>
              </w:rPr>
            </w:pPr>
          </w:p>
        </w:tc>
        <w:tc>
          <w:tcPr>
            <w:tcW w:w="998" w:type="dxa"/>
            <w:vMerge w:val="restart"/>
            <w:vAlign w:val="center"/>
          </w:tcPr>
          <w:p w14:paraId="6B6ED70A">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14:paraId="5BC0B2E1">
            <w:pPr>
              <w:widowControl/>
              <w:spacing w:before="156" w:beforeLines="50" w:after="156" w:afterLines="50"/>
              <w:jc w:val="left"/>
              <w:rPr>
                <w:rFonts w:ascii="宋体"/>
                <w:kern w:val="0"/>
                <w:sz w:val="18"/>
                <w:szCs w:val="18"/>
              </w:rPr>
            </w:pPr>
            <w:r>
              <w:rPr>
                <w:rFonts w:hint="eastAsia"/>
                <w:sz w:val="18"/>
                <w:szCs w:val="18"/>
              </w:rPr>
              <w:t>船舶、浮动设施发生水上交通事故，隐瞒事实或者提供虚假证明、证词。</w:t>
            </w:r>
          </w:p>
        </w:tc>
        <w:tc>
          <w:tcPr>
            <w:tcW w:w="3544" w:type="dxa"/>
            <w:tcBorders>
              <w:right w:val="single" w:color="auto" w:sz="4" w:space="0"/>
            </w:tcBorders>
            <w:vAlign w:val="center"/>
          </w:tcPr>
          <w:p w14:paraId="06D4666F">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对船舶、浮动设施所有人或经营人给予警告，并对直接责任人员处以2000元及以上4000元以下的罚款</w:t>
            </w:r>
          </w:p>
        </w:tc>
        <w:tc>
          <w:tcPr>
            <w:tcW w:w="2863" w:type="dxa"/>
            <w:tcBorders>
              <w:left w:val="single" w:color="auto" w:sz="4" w:space="0"/>
            </w:tcBorders>
            <w:vAlign w:val="center"/>
          </w:tcPr>
          <w:p w14:paraId="4962D0AD">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14:paraId="4568D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23F8BB39">
            <w:pPr>
              <w:spacing w:before="156" w:beforeLines="50" w:after="156" w:afterLines="50"/>
              <w:jc w:val="left"/>
              <w:rPr>
                <w:rFonts w:ascii="宋体"/>
                <w:kern w:val="0"/>
                <w:sz w:val="18"/>
                <w:szCs w:val="18"/>
              </w:rPr>
            </w:pPr>
          </w:p>
        </w:tc>
        <w:tc>
          <w:tcPr>
            <w:tcW w:w="1998" w:type="dxa"/>
            <w:vMerge w:val="continue"/>
            <w:vAlign w:val="center"/>
          </w:tcPr>
          <w:p w14:paraId="61F8ADD0">
            <w:pPr>
              <w:spacing w:before="156" w:beforeLines="50" w:after="156" w:afterLines="50"/>
              <w:jc w:val="left"/>
              <w:rPr>
                <w:rFonts w:ascii="宋体"/>
                <w:kern w:val="0"/>
                <w:sz w:val="18"/>
                <w:szCs w:val="18"/>
              </w:rPr>
            </w:pPr>
          </w:p>
        </w:tc>
        <w:tc>
          <w:tcPr>
            <w:tcW w:w="2818" w:type="dxa"/>
            <w:vMerge w:val="continue"/>
            <w:vAlign w:val="center"/>
          </w:tcPr>
          <w:p w14:paraId="2A1865C4">
            <w:pPr>
              <w:spacing w:before="156" w:beforeLines="50" w:after="156" w:afterLines="50"/>
              <w:jc w:val="left"/>
              <w:rPr>
                <w:rFonts w:ascii="宋体"/>
                <w:kern w:val="0"/>
                <w:sz w:val="18"/>
                <w:szCs w:val="18"/>
              </w:rPr>
            </w:pPr>
          </w:p>
        </w:tc>
        <w:tc>
          <w:tcPr>
            <w:tcW w:w="3170" w:type="dxa"/>
            <w:vMerge w:val="continue"/>
            <w:vAlign w:val="center"/>
          </w:tcPr>
          <w:p w14:paraId="03A1C80E">
            <w:pPr>
              <w:spacing w:before="156" w:beforeLines="50" w:after="156" w:afterLines="50"/>
              <w:jc w:val="left"/>
              <w:rPr>
                <w:rFonts w:ascii="宋体"/>
                <w:kern w:val="0"/>
                <w:sz w:val="18"/>
                <w:szCs w:val="18"/>
              </w:rPr>
            </w:pPr>
          </w:p>
        </w:tc>
        <w:tc>
          <w:tcPr>
            <w:tcW w:w="998" w:type="dxa"/>
            <w:vMerge w:val="continue"/>
            <w:vAlign w:val="center"/>
          </w:tcPr>
          <w:p w14:paraId="1D57517E">
            <w:pPr>
              <w:spacing w:before="156" w:beforeLines="50" w:after="156" w:afterLines="50"/>
              <w:jc w:val="center"/>
              <w:rPr>
                <w:rFonts w:ascii="宋体"/>
                <w:kern w:val="0"/>
                <w:sz w:val="18"/>
                <w:szCs w:val="18"/>
              </w:rPr>
            </w:pPr>
          </w:p>
        </w:tc>
        <w:tc>
          <w:tcPr>
            <w:tcW w:w="3413" w:type="dxa"/>
            <w:vAlign w:val="center"/>
          </w:tcPr>
          <w:p w14:paraId="0233C046">
            <w:pPr>
              <w:spacing w:before="156" w:beforeLines="50" w:after="156" w:afterLines="50"/>
              <w:jc w:val="left"/>
              <w:rPr>
                <w:rFonts w:ascii="宋体"/>
                <w:sz w:val="18"/>
                <w:szCs w:val="18"/>
              </w:rPr>
            </w:pPr>
            <w:r>
              <w:rPr>
                <w:rFonts w:hint="eastAsia"/>
                <w:sz w:val="18"/>
                <w:szCs w:val="18"/>
              </w:rPr>
              <w:t xml:space="preserve"> 船舶、浮动设施发生水上交通事故，隐瞒事实或者提供虚假证明、证词，对事故调查工作造成影响的</w:t>
            </w:r>
            <w:r>
              <w:rPr>
                <w:rFonts w:hint="eastAsia"/>
                <w:sz w:val="20"/>
              </w:rPr>
              <w:t>。</w:t>
            </w:r>
          </w:p>
        </w:tc>
        <w:tc>
          <w:tcPr>
            <w:tcW w:w="3544" w:type="dxa"/>
            <w:tcBorders>
              <w:right w:val="single" w:color="auto" w:sz="4" w:space="0"/>
            </w:tcBorders>
            <w:vAlign w:val="center"/>
          </w:tcPr>
          <w:p w14:paraId="11464949">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对船舶、浮动设施所有人或经营人给予警告，并对直接责任人员处以4000元及以上6000元以下的罚款</w:t>
            </w:r>
          </w:p>
        </w:tc>
        <w:tc>
          <w:tcPr>
            <w:tcW w:w="2863" w:type="dxa"/>
            <w:tcBorders>
              <w:left w:val="single" w:color="auto" w:sz="4" w:space="0"/>
            </w:tcBorders>
            <w:vAlign w:val="center"/>
          </w:tcPr>
          <w:p w14:paraId="02407557">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14:paraId="6916E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5EDD6CF1">
            <w:pPr>
              <w:spacing w:before="156" w:beforeLines="50" w:after="156" w:afterLines="50"/>
              <w:jc w:val="left"/>
              <w:rPr>
                <w:rFonts w:ascii="宋体"/>
                <w:kern w:val="0"/>
                <w:sz w:val="18"/>
                <w:szCs w:val="18"/>
              </w:rPr>
            </w:pPr>
          </w:p>
        </w:tc>
        <w:tc>
          <w:tcPr>
            <w:tcW w:w="1998" w:type="dxa"/>
            <w:vMerge w:val="continue"/>
            <w:vAlign w:val="center"/>
          </w:tcPr>
          <w:p w14:paraId="1F055089">
            <w:pPr>
              <w:spacing w:before="156" w:beforeLines="50" w:after="156" w:afterLines="50"/>
              <w:jc w:val="left"/>
              <w:rPr>
                <w:rFonts w:ascii="宋体"/>
                <w:kern w:val="0"/>
                <w:sz w:val="18"/>
                <w:szCs w:val="18"/>
              </w:rPr>
            </w:pPr>
          </w:p>
        </w:tc>
        <w:tc>
          <w:tcPr>
            <w:tcW w:w="2818" w:type="dxa"/>
            <w:vMerge w:val="continue"/>
            <w:vAlign w:val="center"/>
          </w:tcPr>
          <w:p w14:paraId="30B934FE">
            <w:pPr>
              <w:spacing w:before="156" w:beforeLines="50" w:after="156" w:afterLines="50"/>
              <w:jc w:val="left"/>
              <w:rPr>
                <w:rFonts w:ascii="宋体"/>
                <w:kern w:val="0"/>
                <w:sz w:val="18"/>
                <w:szCs w:val="18"/>
              </w:rPr>
            </w:pPr>
          </w:p>
        </w:tc>
        <w:tc>
          <w:tcPr>
            <w:tcW w:w="3170" w:type="dxa"/>
            <w:vMerge w:val="continue"/>
            <w:vAlign w:val="center"/>
          </w:tcPr>
          <w:p w14:paraId="6493FD35">
            <w:pPr>
              <w:spacing w:before="156" w:beforeLines="50" w:after="156" w:afterLines="50"/>
              <w:jc w:val="left"/>
              <w:rPr>
                <w:rFonts w:ascii="宋体"/>
                <w:kern w:val="0"/>
                <w:sz w:val="18"/>
                <w:szCs w:val="18"/>
              </w:rPr>
            </w:pPr>
          </w:p>
        </w:tc>
        <w:tc>
          <w:tcPr>
            <w:tcW w:w="998" w:type="dxa"/>
            <w:vMerge w:val="continue"/>
            <w:vAlign w:val="center"/>
          </w:tcPr>
          <w:p w14:paraId="1E7D202F">
            <w:pPr>
              <w:spacing w:before="156" w:beforeLines="50" w:after="156" w:afterLines="50"/>
              <w:jc w:val="center"/>
              <w:rPr>
                <w:rFonts w:ascii="宋体"/>
                <w:kern w:val="0"/>
                <w:sz w:val="18"/>
                <w:szCs w:val="18"/>
              </w:rPr>
            </w:pPr>
          </w:p>
        </w:tc>
        <w:tc>
          <w:tcPr>
            <w:tcW w:w="3413" w:type="dxa"/>
            <w:vAlign w:val="center"/>
          </w:tcPr>
          <w:p w14:paraId="6B2E77EB">
            <w:pPr>
              <w:widowControl/>
              <w:spacing w:before="156" w:beforeLines="50" w:after="156" w:afterLines="50"/>
              <w:rPr>
                <w:sz w:val="20"/>
              </w:rPr>
            </w:pPr>
            <w:r>
              <w:rPr>
                <w:rFonts w:hint="eastAsia"/>
                <w:sz w:val="18"/>
                <w:szCs w:val="18"/>
              </w:rPr>
              <w:t>船舶、浮动设施发生水上交通事故，隐瞒事实或者提供虚假证明、证词，对事故调查工作造成严重影响的</w:t>
            </w:r>
            <w:r>
              <w:rPr>
                <w:rFonts w:hint="eastAsia"/>
                <w:sz w:val="20"/>
              </w:rPr>
              <w:t>。</w:t>
            </w:r>
          </w:p>
          <w:p w14:paraId="4707CFA3">
            <w:pPr>
              <w:widowControl/>
              <w:spacing w:before="156" w:beforeLines="50" w:after="156" w:afterLines="50"/>
              <w:rPr>
                <w:rFonts w:ascii="宋体"/>
                <w:kern w:val="0"/>
                <w:sz w:val="18"/>
                <w:szCs w:val="18"/>
              </w:rPr>
            </w:pPr>
          </w:p>
        </w:tc>
        <w:tc>
          <w:tcPr>
            <w:tcW w:w="3544" w:type="dxa"/>
            <w:tcBorders>
              <w:right w:val="single" w:color="auto" w:sz="4" w:space="0"/>
            </w:tcBorders>
            <w:vAlign w:val="center"/>
          </w:tcPr>
          <w:p w14:paraId="7925AE29">
            <w:pPr>
              <w:spacing w:before="156" w:beforeLines="50" w:after="156" w:afterLines="50"/>
              <w:rPr>
                <w:rFonts w:ascii="宋体"/>
                <w:sz w:val="18"/>
                <w:szCs w:val="18"/>
              </w:rPr>
            </w:pPr>
            <w:r>
              <w:rPr>
                <w:rFonts w:hint="eastAsia" w:ascii="宋体"/>
                <w:sz w:val="18"/>
                <w:szCs w:val="18"/>
              </w:rPr>
              <w:t>对船舶、浮动设施所有人或经营人给予警告，并对直接责任人员处以6000元及以上1万元以下的罚款</w:t>
            </w:r>
          </w:p>
        </w:tc>
        <w:tc>
          <w:tcPr>
            <w:tcW w:w="2863" w:type="dxa"/>
            <w:tcBorders>
              <w:left w:val="single" w:color="auto" w:sz="4" w:space="0"/>
            </w:tcBorders>
            <w:vAlign w:val="center"/>
          </w:tcPr>
          <w:p w14:paraId="1B74AE72">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14:paraId="74D2F8A1">
      <w:pPr>
        <w:widowControl/>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1998"/>
        <w:gridCol w:w="2818"/>
        <w:gridCol w:w="3170"/>
        <w:gridCol w:w="998"/>
        <w:gridCol w:w="3413"/>
        <w:gridCol w:w="3544"/>
        <w:gridCol w:w="2863"/>
      </w:tblGrid>
      <w:tr w14:paraId="22C6B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716" w:type="dxa"/>
            <w:vMerge w:val="restart"/>
            <w:vAlign w:val="center"/>
          </w:tcPr>
          <w:p w14:paraId="0A14B128">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998" w:type="dxa"/>
            <w:vMerge w:val="restart"/>
            <w:vAlign w:val="center"/>
          </w:tcPr>
          <w:p w14:paraId="1F815E86">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988" w:type="dxa"/>
            <w:gridSpan w:val="2"/>
            <w:vMerge w:val="restart"/>
            <w:vAlign w:val="center"/>
          </w:tcPr>
          <w:p w14:paraId="6416DD58">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8" w:type="dxa"/>
            <w:vMerge w:val="restart"/>
            <w:vAlign w:val="center"/>
          </w:tcPr>
          <w:p w14:paraId="5608BFBE">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413" w:type="dxa"/>
            <w:vMerge w:val="restart"/>
            <w:vAlign w:val="center"/>
          </w:tcPr>
          <w:p w14:paraId="6E5618C3">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F6D3A93">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407" w:type="dxa"/>
            <w:gridSpan w:val="2"/>
            <w:vAlign w:val="center"/>
          </w:tcPr>
          <w:p w14:paraId="246A009C">
            <w:pPr>
              <w:spacing w:before="156" w:beforeLines="50" w:after="156" w:afterLines="50"/>
              <w:rPr>
                <w:rFonts w:ascii="宋体"/>
                <w:b/>
                <w:kern w:val="0"/>
                <w:sz w:val="18"/>
                <w:szCs w:val="18"/>
              </w:rPr>
            </w:pPr>
            <w:r>
              <w:rPr>
                <w:rFonts w:hint="eastAsia" w:ascii="宋体"/>
                <w:b/>
                <w:kern w:val="0"/>
                <w:sz w:val="18"/>
                <w:szCs w:val="18"/>
              </w:rPr>
              <w:t>【法定幅度和种类】给予警告，并对直接责任人员处以1000元以上1万元以下的罚款；属于船员的，并给予扣留船员适任证书或者其他适任证件12个月以上直至吊销船员适任证书或者其他适任证件的处罚。</w:t>
            </w:r>
          </w:p>
        </w:tc>
      </w:tr>
      <w:tr w14:paraId="52BC0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16" w:type="dxa"/>
            <w:vMerge w:val="continue"/>
            <w:vAlign w:val="center"/>
          </w:tcPr>
          <w:p w14:paraId="3F0057A9">
            <w:pPr>
              <w:spacing w:before="156" w:beforeLines="50" w:after="156" w:afterLines="50"/>
              <w:jc w:val="center"/>
              <w:rPr>
                <w:rFonts w:ascii="宋体"/>
                <w:b/>
                <w:kern w:val="0"/>
                <w:sz w:val="18"/>
                <w:szCs w:val="18"/>
              </w:rPr>
            </w:pPr>
          </w:p>
        </w:tc>
        <w:tc>
          <w:tcPr>
            <w:tcW w:w="1998" w:type="dxa"/>
            <w:vMerge w:val="continue"/>
            <w:vAlign w:val="center"/>
          </w:tcPr>
          <w:p w14:paraId="56CD8101">
            <w:pPr>
              <w:spacing w:before="156" w:beforeLines="50" w:after="156" w:afterLines="50"/>
              <w:jc w:val="center"/>
              <w:rPr>
                <w:rFonts w:ascii="宋体"/>
                <w:b/>
                <w:kern w:val="0"/>
                <w:sz w:val="18"/>
                <w:szCs w:val="18"/>
              </w:rPr>
            </w:pPr>
          </w:p>
        </w:tc>
        <w:tc>
          <w:tcPr>
            <w:tcW w:w="5988" w:type="dxa"/>
            <w:gridSpan w:val="2"/>
            <w:vMerge w:val="continue"/>
            <w:vAlign w:val="center"/>
          </w:tcPr>
          <w:p w14:paraId="50753923">
            <w:pPr>
              <w:spacing w:before="156" w:beforeLines="50" w:after="156" w:afterLines="50"/>
              <w:jc w:val="center"/>
              <w:rPr>
                <w:rFonts w:ascii="宋体"/>
                <w:b/>
                <w:kern w:val="0"/>
                <w:sz w:val="18"/>
                <w:szCs w:val="18"/>
              </w:rPr>
            </w:pPr>
          </w:p>
        </w:tc>
        <w:tc>
          <w:tcPr>
            <w:tcW w:w="998" w:type="dxa"/>
            <w:vMerge w:val="continue"/>
            <w:vAlign w:val="center"/>
          </w:tcPr>
          <w:p w14:paraId="11DFA2C1">
            <w:pPr>
              <w:spacing w:before="156" w:beforeLines="50" w:after="156" w:afterLines="50"/>
              <w:jc w:val="left"/>
              <w:rPr>
                <w:rFonts w:ascii="宋体"/>
                <w:b/>
                <w:kern w:val="0"/>
                <w:sz w:val="18"/>
                <w:szCs w:val="18"/>
              </w:rPr>
            </w:pPr>
          </w:p>
        </w:tc>
        <w:tc>
          <w:tcPr>
            <w:tcW w:w="3413" w:type="dxa"/>
            <w:vMerge w:val="continue"/>
            <w:vAlign w:val="center"/>
          </w:tcPr>
          <w:p w14:paraId="1D30B8F4">
            <w:pPr>
              <w:spacing w:before="156" w:beforeLines="50" w:after="156" w:afterLines="50"/>
              <w:jc w:val="left"/>
              <w:rPr>
                <w:rFonts w:ascii="宋体"/>
                <w:b/>
                <w:kern w:val="0"/>
                <w:sz w:val="18"/>
                <w:szCs w:val="18"/>
              </w:rPr>
            </w:pPr>
          </w:p>
        </w:tc>
        <w:tc>
          <w:tcPr>
            <w:tcW w:w="6407" w:type="dxa"/>
            <w:gridSpan w:val="2"/>
            <w:vAlign w:val="center"/>
          </w:tcPr>
          <w:p w14:paraId="2BF7B90D">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FF80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16" w:type="dxa"/>
            <w:vMerge w:val="continue"/>
            <w:vAlign w:val="center"/>
          </w:tcPr>
          <w:p w14:paraId="5C588D8F">
            <w:pPr>
              <w:spacing w:before="156" w:beforeLines="50" w:after="156" w:afterLines="50"/>
              <w:jc w:val="center"/>
              <w:rPr>
                <w:rFonts w:ascii="宋体"/>
                <w:b/>
                <w:kern w:val="0"/>
                <w:sz w:val="18"/>
                <w:szCs w:val="18"/>
              </w:rPr>
            </w:pPr>
          </w:p>
        </w:tc>
        <w:tc>
          <w:tcPr>
            <w:tcW w:w="1998" w:type="dxa"/>
            <w:vMerge w:val="continue"/>
            <w:vAlign w:val="center"/>
          </w:tcPr>
          <w:p w14:paraId="1C6671F8">
            <w:pPr>
              <w:spacing w:before="156" w:beforeLines="50" w:after="156" w:afterLines="50"/>
              <w:jc w:val="center"/>
              <w:rPr>
                <w:rFonts w:ascii="宋体"/>
                <w:b/>
                <w:kern w:val="0"/>
                <w:sz w:val="18"/>
                <w:szCs w:val="18"/>
              </w:rPr>
            </w:pPr>
          </w:p>
        </w:tc>
        <w:tc>
          <w:tcPr>
            <w:tcW w:w="2818" w:type="dxa"/>
            <w:vAlign w:val="center"/>
          </w:tcPr>
          <w:p w14:paraId="7549098F">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70" w:type="dxa"/>
            <w:vAlign w:val="center"/>
          </w:tcPr>
          <w:p w14:paraId="6566959F">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8" w:type="dxa"/>
            <w:vMerge w:val="continue"/>
            <w:vAlign w:val="center"/>
          </w:tcPr>
          <w:p w14:paraId="6480D81A">
            <w:pPr>
              <w:spacing w:before="156" w:beforeLines="50" w:after="156" w:afterLines="50"/>
              <w:jc w:val="left"/>
              <w:rPr>
                <w:rFonts w:ascii="宋体"/>
                <w:b/>
                <w:kern w:val="0"/>
                <w:sz w:val="18"/>
                <w:szCs w:val="18"/>
              </w:rPr>
            </w:pPr>
          </w:p>
        </w:tc>
        <w:tc>
          <w:tcPr>
            <w:tcW w:w="3413" w:type="dxa"/>
            <w:vMerge w:val="continue"/>
            <w:vAlign w:val="center"/>
          </w:tcPr>
          <w:p w14:paraId="23BC9072">
            <w:pPr>
              <w:spacing w:before="156" w:beforeLines="50" w:after="156" w:afterLines="50"/>
              <w:jc w:val="left"/>
              <w:rPr>
                <w:rFonts w:ascii="宋体"/>
                <w:b/>
                <w:kern w:val="0"/>
                <w:sz w:val="18"/>
                <w:szCs w:val="18"/>
              </w:rPr>
            </w:pPr>
          </w:p>
        </w:tc>
        <w:tc>
          <w:tcPr>
            <w:tcW w:w="3544" w:type="dxa"/>
            <w:tcBorders>
              <w:right w:val="single" w:color="auto" w:sz="4" w:space="0"/>
            </w:tcBorders>
            <w:vAlign w:val="center"/>
          </w:tcPr>
          <w:p w14:paraId="79CB540C">
            <w:pPr>
              <w:spacing w:before="156" w:beforeLines="50" w:after="156" w:afterLines="50"/>
              <w:jc w:val="left"/>
              <w:rPr>
                <w:rFonts w:ascii="宋体"/>
                <w:b/>
                <w:kern w:val="0"/>
                <w:sz w:val="18"/>
                <w:szCs w:val="18"/>
              </w:rPr>
            </w:pPr>
            <w:r>
              <w:rPr>
                <w:rFonts w:hint="eastAsia" w:ascii="宋体"/>
                <w:b/>
                <w:kern w:val="0"/>
                <w:sz w:val="18"/>
                <w:szCs w:val="18"/>
              </w:rPr>
              <w:t>【对象】船舶、浮动设施所有人或者经营人及直接责任人员</w:t>
            </w:r>
          </w:p>
        </w:tc>
        <w:tc>
          <w:tcPr>
            <w:tcW w:w="2863" w:type="dxa"/>
            <w:tcBorders>
              <w:left w:val="single" w:color="auto" w:sz="4" w:space="0"/>
            </w:tcBorders>
            <w:vAlign w:val="center"/>
          </w:tcPr>
          <w:p w14:paraId="2B740F64">
            <w:pPr>
              <w:spacing w:before="156" w:beforeLines="50" w:after="156" w:afterLines="50"/>
              <w:jc w:val="center"/>
              <w:rPr>
                <w:rFonts w:ascii="宋体"/>
                <w:b/>
                <w:kern w:val="0"/>
                <w:sz w:val="18"/>
                <w:szCs w:val="18"/>
              </w:rPr>
            </w:pPr>
            <w:r>
              <w:rPr>
                <w:rFonts w:hint="eastAsia" w:ascii="宋体"/>
                <w:b/>
                <w:kern w:val="0"/>
                <w:sz w:val="18"/>
                <w:szCs w:val="18"/>
              </w:rPr>
              <w:t>船员</w:t>
            </w:r>
          </w:p>
        </w:tc>
      </w:tr>
      <w:tr w14:paraId="05EBD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jc w:val="center"/>
        </w:trPr>
        <w:tc>
          <w:tcPr>
            <w:tcW w:w="716" w:type="dxa"/>
            <w:vMerge w:val="restart"/>
            <w:vAlign w:val="center"/>
          </w:tcPr>
          <w:p w14:paraId="6A03ECA3">
            <w:pPr>
              <w:spacing w:before="156" w:beforeLines="50" w:after="156" w:afterLines="50"/>
              <w:jc w:val="center"/>
              <w:rPr>
                <w:rFonts w:ascii="宋体"/>
                <w:kern w:val="0"/>
                <w:sz w:val="18"/>
                <w:szCs w:val="18"/>
              </w:rPr>
            </w:pPr>
            <w:r>
              <w:rPr>
                <w:rFonts w:hint="eastAsia" w:ascii="宋体"/>
                <w:kern w:val="0"/>
                <w:sz w:val="18"/>
                <w:szCs w:val="18"/>
              </w:rPr>
              <w:t>22</w:t>
            </w:r>
          </w:p>
        </w:tc>
        <w:tc>
          <w:tcPr>
            <w:tcW w:w="1998" w:type="dxa"/>
            <w:vMerge w:val="restart"/>
            <w:vAlign w:val="center"/>
          </w:tcPr>
          <w:p w14:paraId="4CD5C617">
            <w:pPr>
              <w:spacing w:before="156" w:beforeLines="50" w:after="156" w:afterLines="50"/>
            </w:pPr>
            <w:r>
              <w:rPr>
                <w:rFonts w:hint="eastAsia" w:ascii="宋体"/>
                <w:kern w:val="0"/>
                <w:sz w:val="18"/>
                <w:szCs w:val="18"/>
              </w:rPr>
              <w:t>船舶、浮动设施发生水上交通事故，故意涂改航海日志等法定文书、文件</w:t>
            </w:r>
          </w:p>
        </w:tc>
        <w:tc>
          <w:tcPr>
            <w:tcW w:w="2818" w:type="dxa"/>
            <w:vMerge w:val="restart"/>
            <w:vAlign w:val="center"/>
          </w:tcPr>
          <w:p w14:paraId="5313D976">
            <w:pPr>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第五十二条</w:t>
            </w:r>
          </w:p>
        </w:tc>
        <w:tc>
          <w:tcPr>
            <w:tcW w:w="3170" w:type="dxa"/>
            <w:vMerge w:val="restart"/>
            <w:vAlign w:val="center"/>
          </w:tcPr>
          <w:p w14:paraId="6EB986FA">
            <w:pPr>
              <w:spacing w:before="156" w:beforeLines="50" w:after="156" w:afterLines="50"/>
              <w:rPr>
                <w:rFonts w:ascii="宋体"/>
                <w:kern w:val="0"/>
                <w:sz w:val="18"/>
                <w:szCs w:val="18"/>
              </w:rPr>
            </w:pPr>
            <w:r>
              <w:rPr>
                <w:rFonts w:hint="eastAsia" w:ascii="宋体"/>
                <w:kern w:val="0"/>
                <w:sz w:val="18"/>
                <w:szCs w:val="18"/>
              </w:rPr>
              <w:t>1.《中华人民共和国</w:t>
            </w:r>
            <w:r>
              <w:rPr>
                <w:rFonts w:hint="eastAsia" w:ascii="宋体"/>
                <w:sz w:val="18"/>
                <w:szCs w:val="18"/>
              </w:rPr>
              <w:t>内河交通安全管理条例</w:t>
            </w:r>
            <w:r>
              <w:rPr>
                <w:rFonts w:hint="eastAsia" w:ascii="宋体"/>
                <w:kern w:val="0"/>
                <w:sz w:val="18"/>
                <w:szCs w:val="18"/>
              </w:rPr>
              <w:t>》</w:t>
            </w:r>
            <w:r>
              <w:rPr>
                <w:rFonts w:hint="eastAsia" w:ascii="宋体"/>
                <w:sz w:val="18"/>
                <w:szCs w:val="18"/>
              </w:rPr>
              <w:t>第八十四条；</w:t>
            </w:r>
          </w:p>
          <w:p w14:paraId="24FD16B1">
            <w:pPr>
              <w:spacing w:before="156" w:beforeLines="50" w:after="156" w:afterLines="50"/>
              <w:rPr>
                <w:rFonts w:ascii="宋体"/>
                <w:kern w:val="0"/>
                <w:sz w:val="18"/>
                <w:szCs w:val="18"/>
              </w:rPr>
            </w:pPr>
            <w:r>
              <w:rPr>
                <w:rFonts w:hint="eastAsia" w:ascii="宋体"/>
                <w:kern w:val="0"/>
                <w:sz w:val="18"/>
                <w:szCs w:val="18"/>
              </w:rPr>
              <w:t>2.《中华人民共和国内河海事行政处罚规定》第三十一条第一款、第三款第（二）项；</w:t>
            </w:r>
          </w:p>
          <w:p w14:paraId="6E88FA84">
            <w:pPr>
              <w:spacing w:before="156" w:beforeLines="50" w:after="156" w:afterLines="50"/>
              <w:jc w:val="left"/>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998" w:type="dxa"/>
            <w:vAlign w:val="center"/>
          </w:tcPr>
          <w:p w14:paraId="56525EB0">
            <w:pPr>
              <w:spacing w:before="156" w:beforeLines="50" w:after="156" w:afterLines="50"/>
              <w:jc w:val="center"/>
              <w:rPr>
                <w:rFonts w:ascii="宋体"/>
                <w:kern w:val="0"/>
                <w:sz w:val="18"/>
                <w:szCs w:val="18"/>
              </w:rPr>
            </w:pPr>
            <w:r>
              <w:rPr>
                <w:rFonts w:hint="eastAsia" w:ascii="宋体"/>
                <w:kern w:val="0"/>
                <w:sz w:val="18"/>
                <w:szCs w:val="18"/>
              </w:rPr>
              <w:t>从轻</w:t>
            </w:r>
          </w:p>
        </w:tc>
        <w:tc>
          <w:tcPr>
            <w:tcW w:w="3413" w:type="dxa"/>
            <w:vAlign w:val="center"/>
          </w:tcPr>
          <w:p w14:paraId="60E50F20">
            <w:pPr>
              <w:spacing w:before="156" w:beforeLines="50" w:after="156" w:afterLines="50"/>
              <w:jc w:val="left"/>
              <w:rPr>
                <w:rFonts w:ascii="宋体"/>
                <w:kern w:val="0"/>
                <w:sz w:val="18"/>
                <w:szCs w:val="18"/>
              </w:rPr>
            </w:pPr>
            <w:r>
              <w:rPr>
                <w:rFonts w:hint="eastAsia"/>
                <w:sz w:val="18"/>
                <w:szCs w:val="18"/>
              </w:rPr>
              <w:t>具有法定从轻情节的。</w:t>
            </w:r>
          </w:p>
        </w:tc>
        <w:tc>
          <w:tcPr>
            <w:tcW w:w="3544" w:type="dxa"/>
            <w:tcBorders>
              <w:right w:val="single" w:color="auto" w:sz="4" w:space="0"/>
            </w:tcBorders>
            <w:vAlign w:val="center"/>
          </w:tcPr>
          <w:p w14:paraId="1B957828">
            <w:pPr>
              <w:spacing w:before="156" w:beforeLines="50" w:after="156" w:afterLines="50"/>
              <w:jc w:val="left"/>
              <w:rPr>
                <w:rFonts w:ascii="宋体"/>
                <w:kern w:val="0"/>
                <w:sz w:val="18"/>
                <w:szCs w:val="18"/>
              </w:rPr>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给予警告，并对直接责任人员处以1000元及以上2000元以下的罚款</w:t>
            </w:r>
          </w:p>
        </w:tc>
        <w:tc>
          <w:tcPr>
            <w:tcW w:w="2863" w:type="dxa"/>
            <w:tcBorders>
              <w:left w:val="single" w:color="auto" w:sz="4" w:space="0"/>
            </w:tcBorders>
            <w:vAlign w:val="center"/>
          </w:tcPr>
          <w:p w14:paraId="16B2153C">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扣留船员适任证书或者其他适任证件12个月及以上15个月以下</w:t>
            </w:r>
          </w:p>
        </w:tc>
      </w:tr>
      <w:tr w14:paraId="4BD0F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6" w:type="dxa"/>
            <w:vMerge w:val="continue"/>
            <w:vAlign w:val="center"/>
          </w:tcPr>
          <w:p w14:paraId="65C4859A">
            <w:pPr>
              <w:spacing w:before="156" w:beforeLines="50" w:after="156" w:afterLines="50"/>
              <w:jc w:val="left"/>
              <w:rPr>
                <w:rFonts w:ascii="宋体"/>
                <w:kern w:val="0"/>
                <w:sz w:val="18"/>
                <w:szCs w:val="18"/>
              </w:rPr>
            </w:pPr>
          </w:p>
        </w:tc>
        <w:tc>
          <w:tcPr>
            <w:tcW w:w="1998" w:type="dxa"/>
            <w:vMerge w:val="continue"/>
            <w:vAlign w:val="center"/>
          </w:tcPr>
          <w:p w14:paraId="087737D1">
            <w:pPr>
              <w:spacing w:before="156" w:beforeLines="50" w:after="156" w:afterLines="50"/>
              <w:jc w:val="left"/>
              <w:rPr>
                <w:rFonts w:ascii="宋体"/>
                <w:kern w:val="0"/>
                <w:sz w:val="18"/>
                <w:szCs w:val="18"/>
              </w:rPr>
            </w:pPr>
          </w:p>
        </w:tc>
        <w:tc>
          <w:tcPr>
            <w:tcW w:w="2818" w:type="dxa"/>
            <w:vMerge w:val="continue"/>
            <w:vAlign w:val="center"/>
          </w:tcPr>
          <w:p w14:paraId="267C2AB4">
            <w:pPr>
              <w:widowControl/>
              <w:spacing w:before="156" w:beforeLines="50" w:after="156" w:afterLines="50"/>
              <w:jc w:val="left"/>
              <w:rPr>
                <w:rFonts w:ascii="宋体"/>
                <w:kern w:val="0"/>
                <w:sz w:val="18"/>
                <w:szCs w:val="18"/>
              </w:rPr>
            </w:pPr>
          </w:p>
        </w:tc>
        <w:tc>
          <w:tcPr>
            <w:tcW w:w="3170" w:type="dxa"/>
            <w:vMerge w:val="continue"/>
            <w:vAlign w:val="center"/>
          </w:tcPr>
          <w:p w14:paraId="1E646590">
            <w:pPr>
              <w:spacing w:before="156" w:beforeLines="50" w:after="156" w:afterLines="50"/>
              <w:jc w:val="left"/>
              <w:rPr>
                <w:rFonts w:ascii="宋体"/>
                <w:kern w:val="0"/>
                <w:sz w:val="18"/>
                <w:szCs w:val="18"/>
              </w:rPr>
            </w:pPr>
          </w:p>
        </w:tc>
        <w:tc>
          <w:tcPr>
            <w:tcW w:w="998" w:type="dxa"/>
            <w:vMerge w:val="restart"/>
            <w:vAlign w:val="center"/>
          </w:tcPr>
          <w:p w14:paraId="0A3C37F0">
            <w:pPr>
              <w:spacing w:before="156" w:beforeLines="50" w:after="156" w:afterLines="50"/>
              <w:jc w:val="center"/>
              <w:rPr>
                <w:rFonts w:ascii="宋体"/>
                <w:kern w:val="0"/>
                <w:sz w:val="18"/>
                <w:szCs w:val="18"/>
              </w:rPr>
            </w:pPr>
            <w:r>
              <w:rPr>
                <w:rFonts w:hint="eastAsia" w:ascii="宋体"/>
                <w:kern w:val="0"/>
                <w:sz w:val="18"/>
                <w:szCs w:val="18"/>
              </w:rPr>
              <w:t>一般</w:t>
            </w:r>
          </w:p>
        </w:tc>
        <w:tc>
          <w:tcPr>
            <w:tcW w:w="3413" w:type="dxa"/>
            <w:vAlign w:val="center"/>
          </w:tcPr>
          <w:p w14:paraId="1C99784D">
            <w:pPr>
              <w:widowControl/>
              <w:spacing w:before="156" w:beforeLines="50" w:after="156" w:afterLines="50"/>
              <w:jc w:val="left"/>
              <w:rPr>
                <w:rFonts w:ascii="宋体"/>
                <w:kern w:val="0"/>
                <w:sz w:val="18"/>
                <w:szCs w:val="18"/>
              </w:rPr>
            </w:pPr>
            <w:r>
              <w:rPr>
                <w:rFonts w:hint="eastAsia"/>
                <w:sz w:val="18"/>
                <w:szCs w:val="18"/>
              </w:rPr>
              <w:t>船舶、浮动设施发生水上交通事故，故意涂改航海日志等法定文书、文件。</w:t>
            </w:r>
          </w:p>
        </w:tc>
        <w:tc>
          <w:tcPr>
            <w:tcW w:w="3544" w:type="dxa"/>
            <w:tcBorders>
              <w:right w:val="single" w:color="auto" w:sz="4" w:space="0"/>
            </w:tcBorders>
            <w:vAlign w:val="center"/>
          </w:tcPr>
          <w:p w14:paraId="201363A5">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给予警告，并对直接责任人员处以2000元及以上4000元以下的罚款</w:t>
            </w:r>
          </w:p>
        </w:tc>
        <w:tc>
          <w:tcPr>
            <w:tcW w:w="2863" w:type="dxa"/>
            <w:tcBorders>
              <w:left w:val="single" w:color="auto" w:sz="4" w:space="0"/>
            </w:tcBorders>
            <w:vAlign w:val="center"/>
          </w:tcPr>
          <w:p w14:paraId="619EA266">
            <w:pPr>
              <w:spacing w:before="156" w:beforeLines="50" w:after="156" w:afterLines="50"/>
              <w:jc w:val="left"/>
              <w:rPr>
                <w:rFonts w:ascii="宋体"/>
                <w:kern w:val="0"/>
                <w:sz w:val="18"/>
                <w:szCs w:val="18"/>
              </w:rPr>
            </w:pPr>
            <w:r>
              <w:rPr>
                <w:rFonts w:hint="eastAsia" w:ascii="宋体"/>
                <w:kern w:val="0"/>
                <w:sz w:val="18"/>
                <w:szCs w:val="18"/>
              </w:rPr>
              <w:t>扣留船员适任证书或者其他适任证件15个月及以上18个月以下</w:t>
            </w:r>
          </w:p>
        </w:tc>
      </w:tr>
      <w:tr w14:paraId="6851E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1" w:hRule="atLeast"/>
          <w:jc w:val="center"/>
        </w:trPr>
        <w:tc>
          <w:tcPr>
            <w:tcW w:w="716" w:type="dxa"/>
            <w:vMerge w:val="continue"/>
            <w:vAlign w:val="center"/>
          </w:tcPr>
          <w:p w14:paraId="04194944">
            <w:pPr>
              <w:spacing w:before="156" w:beforeLines="50" w:after="156" w:afterLines="50"/>
              <w:jc w:val="left"/>
              <w:rPr>
                <w:rFonts w:ascii="宋体"/>
                <w:kern w:val="0"/>
                <w:sz w:val="18"/>
                <w:szCs w:val="18"/>
              </w:rPr>
            </w:pPr>
          </w:p>
        </w:tc>
        <w:tc>
          <w:tcPr>
            <w:tcW w:w="1998" w:type="dxa"/>
            <w:vMerge w:val="continue"/>
            <w:vAlign w:val="center"/>
          </w:tcPr>
          <w:p w14:paraId="0E59A904">
            <w:pPr>
              <w:spacing w:before="156" w:beforeLines="50" w:after="156" w:afterLines="50"/>
              <w:jc w:val="left"/>
              <w:rPr>
                <w:rFonts w:ascii="宋体"/>
                <w:kern w:val="0"/>
                <w:sz w:val="18"/>
                <w:szCs w:val="18"/>
              </w:rPr>
            </w:pPr>
          </w:p>
        </w:tc>
        <w:tc>
          <w:tcPr>
            <w:tcW w:w="2818" w:type="dxa"/>
            <w:vMerge w:val="continue"/>
            <w:vAlign w:val="center"/>
          </w:tcPr>
          <w:p w14:paraId="68CDEA7D">
            <w:pPr>
              <w:spacing w:before="156" w:beforeLines="50" w:after="156" w:afterLines="50"/>
              <w:jc w:val="left"/>
              <w:rPr>
                <w:rFonts w:ascii="宋体"/>
                <w:kern w:val="0"/>
                <w:sz w:val="18"/>
                <w:szCs w:val="18"/>
              </w:rPr>
            </w:pPr>
          </w:p>
        </w:tc>
        <w:tc>
          <w:tcPr>
            <w:tcW w:w="3170" w:type="dxa"/>
            <w:vMerge w:val="continue"/>
            <w:vAlign w:val="center"/>
          </w:tcPr>
          <w:p w14:paraId="021006B6">
            <w:pPr>
              <w:spacing w:before="156" w:beforeLines="50" w:after="156" w:afterLines="50"/>
              <w:jc w:val="left"/>
              <w:rPr>
                <w:rFonts w:ascii="宋体"/>
                <w:kern w:val="0"/>
                <w:sz w:val="18"/>
                <w:szCs w:val="18"/>
              </w:rPr>
            </w:pPr>
          </w:p>
        </w:tc>
        <w:tc>
          <w:tcPr>
            <w:tcW w:w="998" w:type="dxa"/>
            <w:vMerge w:val="continue"/>
            <w:vAlign w:val="center"/>
          </w:tcPr>
          <w:p w14:paraId="7A0069A1">
            <w:pPr>
              <w:spacing w:before="156" w:beforeLines="50" w:after="156" w:afterLines="50"/>
              <w:jc w:val="center"/>
              <w:rPr>
                <w:rFonts w:ascii="宋体"/>
                <w:kern w:val="0"/>
                <w:sz w:val="18"/>
                <w:szCs w:val="18"/>
              </w:rPr>
            </w:pPr>
          </w:p>
        </w:tc>
        <w:tc>
          <w:tcPr>
            <w:tcW w:w="3413" w:type="dxa"/>
            <w:vAlign w:val="center"/>
          </w:tcPr>
          <w:p w14:paraId="50E1039E">
            <w:pPr>
              <w:spacing w:before="156" w:beforeLines="50" w:after="156" w:afterLines="50"/>
              <w:jc w:val="left"/>
              <w:rPr>
                <w:rFonts w:ascii="宋体"/>
                <w:sz w:val="18"/>
                <w:szCs w:val="18"/>
              </w:rPr>
            </w:pPr>
            <w:r>
              <w:rPr>
                <w:rFonts w:hint="eastAsia"/>
                <w:sz w:val="18"/>
                <w:szCs w:val="18"/>
              </w:rPr>
              <w:t xml:space="preserve"> 船舶、浮动设施发生水上交通事故，故意涂改航海日志等法定文书、文件，对事故调查工作造成影响</w:t>
            </w:r>
            <w:r>
              <w:rPr>
                <w:rFonts w:hint="eastAsia"/>
                <w:sz w:val="20"/>
              </w:rPr>
              <w:t>的。</w:t>
            </w:r>
          </w:p>
        </w:tc>
        <w:tc>
          <w:tcPr>
            <w:tcW w:w="3544" w:type="dxa"/>
            <w:tcBorders>
              <w:right w:val="single" w:color="auto" w:sz="4" w:space="0"/>
            </w:tcBorders>
            <w:vAlign w:val="center"/>
          </w:tcPr>
          <w:p w14:paraId="5A1C0BAB">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给予警告，并对直接责任人员处以4000元及以上6000元以下的罚款</w:t>
            </w:r>
          </w:p>
        </w:tc>
        <w:tc>
          <w:tcPr>
            <w:tcW w:w="2863" w:type="dxa"/>
            <w:tcBorders>
              <w:left w:val="single" w:color="auto" w:sz="4" w:space="0"/>
            </w:tcBorders>
            <w:vAlign w:val="center"/>
          </w:tcPr>
          <w:p w14:paraId="181DBC7D">
            <w:pPr>
              <w:spacing w:before="156" w:beforeLines="50" w:after="156" w:afterLines="50"/>
              <w:rPr>
                <w:rFonts w:ascii="宋体"/>
                <w:sz w:val="18"/>
                <w:szCs w:val="18"/>
              </w:rPr>
            </w:pPr>
            <w:r>
              <w:rPr>
                <w:rFonts w:hint="eastAsia" w:ascii="宋体"/>
                <w:kern w:val="0"/>
                <w:sz w:val="18"/>
                <w:szCs w:val="18"/>
              </w:rPr>
              <w:t>扣留船员适任证书或者其他适任证件18个月及以上21个月以下</w:t>
            </w:r>
          </w:p>
        </w:tc>
      </w:tr>
      <w:tr w14:paraId="4E329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9" w:hRule="atLeast"/>
          <w:jc w:val="center"/>
        </w:trPr>
        <w:tc>
          <w:tcPr>
            <w:tcW w:w="716" w:type="dxa"/>
            <w:vMerge w:val="continue"/>
            <w:vAlign w:val="center"/>
          </w:tcPr>
          <w:p w14:paraId="6D22CE3E">
            <w:pPr>
              <w:spacing w:before="156" w:beforeLines="50" w:after="156" w:afterLines="50"/>
              <w:jc w:val="left"/>
              <w:rPr>
                <w:rFonts w:ascii="宋体"/>
                <w:kern w:val="0"/>
                <w:sz w:val="18"/>
                <w:szCs w:val="18"/>
              </w:rPr>
            </w:pPr>
          </w:p>
        </w:tc>
        <w:tc>
          <w:tcPr>
            <w:tcW w:w="1998" w:type="dxa"/>
            <w:vMerge w:val="continue"/>
            <w:vAlign w:val="center"/>
          </w:tcPr>
          <w:p w14:paraId="28B6C29B">
            <w:pPr>
              <w:spacing w:before="156" w:beforeLines="50" w:after="156" w:afterLines="50"/>
              <w:jc w:val="left"/>
              <w:rPr>
                <w:rFonts w:ascii="宋体"/>
                <w:kern w:val="0"/>
                <w:sz w:val="18"/>
                <w:szCs w:val="18"/>
              </w:rPr>
            </w:pPr>
          </w:p>
        </w:tc>
        <w:tc>
          <w:tcPr>
            <w:tcW w:w="2818" w:type="dxa"/>
            <w:vMerge w:val="continue"/>
            <w:vAlign w:val="center"/>
          </w:tcPr>
          <w:p w14:paraId="081A5076">
            <w:pPr>
              <w:spacing w:before="156" w:beforeLines="50" w:after="156" w:afterLines="50"/>
              <w:jc w:val="left"/>
              <w:rPr>
                <w:rFonts w:ascii="宋体"/>
                <w:kern w:val="0"/>
                <w:sz w:val="18"/>
                <w:szCs w:val="18"/>
              </w:rPr>
            </w:pPr>
          </w:p>
        </w:tc>
        <w:tc>
          <w:tcPr>
            <w:tcW w:w="3170" w:type="dxa"/>
            <w:vMerge w:val="continue"/>
            <w:vAlign w:val="center"/>
          </w:tcPr>
          <w:p w14:paraId="2373F10D">
            <w:pPr>
              <w:spacing w:before="156" w:beforeLines="50" w:after="156" w:afterLines="50"/>
              <w:jc w:val="left"/>
              <w:rPr>
                <w:rFonts w:ascii="宋体"/>
                <w:kern w:val="0"/>
                <w:sz w:val="18"/>
                <w:szCs w:val="18"/>
              </w:rPr>
            </w:pPr>
          </w:p>
        </w:tc>
        <w:tc>
          <w:tcPr>
            <w:tcW w:w="998" w:type="dxa"/>
            <w:vMerge w:val="continue"/>
            <w:vAlign w:val="center"/>
          </w:tcPr>
          <w:p w14:paraId="339CA141">
            <w:pPr>
              <w:spacing w:before="156" w:beforeLines="50" w:after="156" w:afterLines="50"/>
              <w:jc w:val="center"/>
              <w:rPr>
                <w:rFonts w:ascii="宋体"/>
                <w:kern w:val="0"/>
                <w:sz w:val="18"/>
                <w:szCs w:val="18"/>
              </w:rPr>
            </w:pPr>
          </w:p>
        </w:tc>
        <w:tc>
          <w:tcPr>
            <w:tcW w:w="3413" w:type="dxa"/>
            <w:vAlign w:val="center"/>
          </w:tcPr>
          <w:p w14:paraId="02DF0ACD">
            <w:pPr>
              <w:widowControl/>
              <w:spacing w:before="156" w:beforeLines="50" w:after="156" w:afterLines="50"/>
              <w:rPr>
                <w:rFonts w:ascii="宋体"/>
                <w:kern w:val="0"/>
                <w:sz w:val="18"/>
                <w:szCs w:val="18"/>
              </w:rPr>
            </w:pPr>
            <w:r>
              <w:rPr>
                <w:rFonts w:hint="eastAsia"/>
                <w:sz w:val="18"/>
                <w:szCs w:val="18"/>
              </w:rPr>
              <w:t>船舶、浮动设施发生水上交通事故，故意涂改航海日志等法定文书、文件，对事故调查工作造成严重影响的。</w:t>
            </w:r>
          </w:p>
        </w:tc>
        <w:tc>
          <w:tcPr>
            <w:tcW w:w="3544" w:type="dxa"/>
            <w:tcBorders>
              <w:right w:val="single" w:color="auto" w:sz="4" w:space="0"/>
            </w:tcBorders>
            <w:vAlign w:val="center"/>
          </w:tcPr>
          <w:p w14:paraId="583A7D78">
            <w:pPr>
              <w:spacing w:before="156" w:beforeLines="50" w:after="156" w:afterLines="50"/>
            </w:pPr>
            <w:r>
              <w:rPr>
                <w:rFonts w:hint="eastAsia" w:ascii="宋体"/>
                <w:sz w:val="18"/>
                <w:szCs w:val="18"/>
              </w:rPr>
              <w:t>对船舶、浮动设施</w:t>
            </w:r>
            <w:r>
              <w:rPr>
                <w:rFonts w:hint="eastAsia" w:ascii="宋体"/>
                <w:kern w:val="0"/>
                <w:sz w:val="18"/>
                <w:szCs w:val="18"/>
              </w:rPr>
              <w:t>所有人或者经营人</w:t>
            </w:r>
            <w:r>
              <w:rPr>
                <w:rFonts w:hint="eastAsia" w:ascii="宋体"/>
                <w:sz w:val="18"/>
                <w:szCs w:val="18"/>
              </w:rPr>
              <w:t>给予警告，并对直接责任人员处以6000元及以上1万元以下的罚款</w:t>
            </w:r>
          </w:p>
        </w:tc>
        <w:tc>
          <w:tcPr>
            <w:tcW w:w="2863" w:type="dxa"/>
            <w:tcBorders>
              <w:left w:val="single" w:color="auto" w:sz="4" w:space="0"/>
            </w:tcBorders>
            <w:vAlign w:val="center"/>
          </w:tcPr>
          <w:p w14:paraId="1BEA4A8F">
            <w:pPr>
              <w:spacing w:before="156" w:beforeLines="50" w:after="156" w:afterLines="50"/>
              <w:rPr>
                <w:rFonts w:ascii="宋体"/>
                <w:sz w:val="18"/>
                <w:szCs w:val="18"/>
              </w:rPr>
            </w:pPr>
            <w:r>
              <w:rPr>
                <w:rFonts w:hint="eastAsia" w:ascii="宋体"/>
                <w:kern w:val="0"/>
                <w:sz w:val="18"/>
                <w:szCs w:val="18"/>
              </w:rPr>
              <w:t>扣留船员适任证书或者其他适任证件21个月及以上24个</w:t>
            </w:r>
            <w:r>
              <w:rPr>
                <w:rFonts w:ascii="宋体"/>
                <w:kern w:val="0"/>
                <w:sz w:val="18"/>
                <w:szCs w:val="18"/>
              </w:rPr>
              <w:t>月以下</w:t>
            </w:r>
            <w:r>
              <w:rPr>
                <w:rFonts w:hint="eastAsia" w:ascii="宋体"/>
                <w:kern w:val="0"/>
                <w:sz w:val="18"/>
                <w:szCs w:val="18"/>
              </w:rPr>
              <w:t>直至吊销</w:t>
            </w:r>
          </w:p>
        </w:tc>
      </w:tr>
    </w:tbl>
    <w:p w14:paraId="77E215F5">
      <w:pPr>
        <w:spacing w:before="156" w:beforeLines="50" w:after="156" w:afterLines="50"/>
        <w:jc w:val="left"/>
        <w:rPr>
          <w:rFonts w:ascii="宋体"/>
          <w:b/>
          <w:sz w:val="18"/>
          <w:szCs w:val="18"/>
        </w:rPr>
      </w:pPr>
    </w:p>
    <w:tbl>
      <w:tblPr>
        <w:tblStyle w:val="6"/>
        <w:tblpPr w:leftFromText="180" w:rightFromText="180" w:vertAnchor="text" w:horzAnchor="page" w:tblpX="2007" w:tblpY="-6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18"/>
        <w:gridCol w:w="1255"/>
        <w:gridCol w:w="1467"/>
        <w:gridCol w:w="1462"/>
        <w:gridCol w:w="889"/>
        <w:gridCol w:w="1485"/>
        <w:gridCol w:w="1060"/>
        <w:gridCol w:w="849"/>
        <w:gridCol w:w="851"/>
        <w:gridCol w:w="1060"/>
        <w:gridCol w:w="849"/>
        <w:gridCol w:w="851"/>
        <w:gridCol w:w="1272"/>
        <w:gridCol w:w="849"/>
        <w:gridCol w:w="1062"/>
        <w:gridCol w:w="1060"/>
        <w:gridCol w:w="851"/>
        <w:gridCol w:w="780"/>
      </w:tblGrid>
      <w:tr w14:paraId="3A986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2" w:hRule="atLeast"/>
        </w:trPr>
        <w:tc>
          <w:tcPr>
            <w:tcW w:w="718" w:type="dxa"/>
            <w:vMerge w:val="restart"/>
            <w:vAlign w:val="center"/>
          </w:tcPr>
          <w:p w14:paraId="30036D57">
            <w:pPr>
              <w:spacing w:before="156" w:beforeLines="50" w:after="156" w:afterLines="50" w:line="220" w:lineRule="exact"/>
              <w:jc w:val="center"/>
              <w:rPr>
                <w:b/>
                <w:sz w:val="18"/>
                <w:szCs w:val="18"/>
              </w:rPr>
            </w:pPr>
            <w:r>
              <w:rPr>
                <w:rFonts w:hint="eastAsia"/>
                <w:b/>
                <w:sz w:val="18"/>
                <w:szCs w:val="18"/>
              </w:rPr>
              <w:t>序号</w:t>
            </w:r>
          </w:p>
        </w:tc>
        <w:tc>
          <w:tcPr>
            <w:tcW w:w="1255" w:type="dxa"/>
            <w:vMerge w:val="restart"/>
            <w:vAlign w:val="center"/>
          </w:tcPr>
          <w:p w14:paraId="3FC1C962">
            <w:pPr>
              <w:spacing w:before="156" w:beforeLines="50" w:after="156" w:afterLines="50" w:line="220" w:lineRule="exact"/>
              <w:jc w:val="center"/>
              <w:rPr>
                <w:b/>
                <w:sz w:val="18"/>
                <w:szCs w:val="18"/>
              </w:rPr>
            </w:pPr>
            <w:r>
              <w:rPr>
                <w:rFonts w:hint="eastAsia"/>
                <w:b/>
                <w:sz w:val="18"/>
                <w:szCs w:val="18"/>
              </w:rPr>
              <w:t>案由</w:t>
            </w:r>
          </w:p>
        </w:tc>
        <w:tc>
          <w:tcPr>
            <w:tcW w:w="2929" w:type="dxa"/>
            <w:gridSpan w:val="2"/>
            <w:vMerge w:val="restart"/>
            <w:vAlign w:val="center"/>
          </w:tcPr>
          <w:p w14:paraId="69CD1852">
            <w:pPr>
              <w:spacing w:before="156" w:beforeLines="50" w:after="156" w:afterLines="50" w:line="220" w:lineRule="exact"/>
              <w:jc w:val="center"/>
              <w:rPr>
                <w:b/>
                <w:sz w:val="18"/>
                <w:szCs w:val="18"/>
              </w:rPr>
            </w:pPr>
            <w:r>
              <w:rPr>
                <w:rFonts w:hint="eastAsia"/>
                <w:b/>
                <w:sz w:val="18"/>
                <w:szCs w:val="18"/>
              </w:rPr>
              <w:t>法律依据</w:t>
            </w:r>
          </w:p>
        </w:tc>
        <w:tc>
          <w:tcPr>
            <w:tcW w:w="889" w:type="dxa"/>
            <w:vMerge w:val="restart"/>
            <w:vAlign w:val="center"/>
          </w:tcPr>
          <w:p w14:paraId="74C44779">
            <w:pPr>
              <w:spacing w:before="156" w:beforeLines="50" w:after="156" w:afterLines="50" w:line="220" w:lineRule="exact"/>
              <w:jc w:val="left"/>
              <w:rPr>
                <w:b/>
                <w:sz w:val="18"/>
                <w:szCs w:val="18"/>
              </w:rPr>
            </w:pPr>
            <w:r>
              <w:rPr>
                <w:rFonts w:hint="eastAsia"/>
                <w:b/>
                <w:sz w:val="18"/>
                <w:szCs w:val="18"/>
              </w:rPr>
              <w:t>违法情节</w:t>
            </w:r>
          </w:p>
        </w:tc>
        <w:tc>
          <w:tcPr>
            <w:tcW w:w="1485" w:type="dxa"/>
            <w:vMerge w:val="restart"/>
            <w:vAlign w:val="center"/>
          </w:tcPr>
          <w:p w14:paraId="34E43CE4">
            <w:pPr>
              <w:spacing w:before="156" w:beforeLines="50" w:after="156" w:afterLines="50" w:line="220" w:lineRule="exact"/>
              <w:jc w:val="center"/>
              <w:rPr>
                <w:b/>
                <w:sz w:val="18"/>
                <w:szCs w:val="18"/>
              </w:rPr>
            </w:pPr>
            <w:r>
              <w:rPr>
                <w:rFonts w:hint="eastAsia"/>
                <w:b/>
                <w:sz w:val="18"/>
                <w:szCs w:val="18"/>
              </w:rPr>
              <w:t>主要考虑因素（事实、性质、情节、危害程度和实际后果等）</w:t>
            </w:r>
          </w:p>
        </w:tc>
        <w:tc>
          <w:tcPr>
            <w:tcW w:w="11394" w:type="dxa"/>
            <w:gridSpan w:val="12"/>
            <w:tcBorders>
              <w:bottom w:val="single" w:color="auto" w:sz="4" w:space="0"/>
              <w:right w:val="single" w:color="auto" w:sz="4" w:space="0"/>
            </w:tcBorders>
            <w:vAlign w:val="center"/>
          </w:tcPr>
          <w:p w14:paraId="5A60A8FF">
            <w:pPr>
              <w:spacing w:before="156" w:beforeLines="50" w:after="156" w:afterLines="50" w:line="220" w:lineRule="exact"/>
              <w:jc w:val="center"/>
              <w:rPr>
                <w:b/>
                <w:sz w:val="18"/>
                <w:szCs w:val="18"/>
              </w:rPr>
            </w:pPr>
            <w:r>
              <w:rPr>
                <w:rFonts w:hint="eastAsia"/>
                <w:b/>
                <w:sz w:val="18"/>
                <w:szCs w:val="18"/>
              </w:rPr>
              <w:t>处罚基准</w:t>
            </w:r>
          </w:p>
        </w:tc>
      </w:tr>
      <w:tr w14:paraId="28A09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35" w:hRule="atLeast"/>
        </w:trPr>
        <w:tc>
          <w:tcPr>
            <w:tcW w:w="718" w:type="dxa"/>
            <w:vMerge w:val="continue"/>
            <w:vAlign w:val="center"/>
          </w:tcPr>
          <w:p w14:paraId="71898AFD">
            <w:pPr>
              <w:spacing w:before="156" w:beforeLines="50" w:after="156" w:afterLines="50" w:line="220" w:lineRule="exact"/>
              <w:jc w:val="center"/>
              <w:rPr>
                <w:b/>
                <w:sz w:val="18"/>
                <w:szCs w:val="18"/>
              </w:rPr>
            </w:pPr>
          </w:p>
        </w:tc>
        <w:tc>
          <w:tcPr>
            <w:tcW w:w="1255" w:type="dxa"/>
            <w:vMerge w:val="continue"/>
            <w:vAlign w:val="center"/>
          </w:tcPr>
          <w:p w14:paraId="3B5AC1DD">
            <w:pPr>
              <w:spacing w:before="156" w:beforeLines="50" w:after="156" w:afterLines="50" w:line="220" w:lineRule="exact"/>
              <w:jc w:val="center"/>
              <w:rPr>
                <w:b/>
                <w:sz w:val="18"/>
                <w:szCs w:val="18"/>
              </w:rPr>
            </w:pPr>
          </w:p>
        </w:tc>
        <w:tc>
          <w:tcPr>
            <w:tcW w:w="2929" w:type="dxa"/>
            <w:gridSpan w:val="2"/>
            <w:vMerge w:val="continue"/>
            <w:vAlign w:val="center"/>
          </w:tcPr>
          <w:p w14:paraId="5F637327">
            <w:pPr>
              <w:spacing w:before="156" w:beforeLines="50" w:after="156" w:afterLines="50" w:line="220" w:lineRule="exact"/>
              <w:jc w:val="center"/>
              <w:rPr>
                <w:b/>
                <w:sz w:val="18"/>
                <w:szCs w:val="18"/>
              </w:rPr>
            </w:pPr>
          </w:p>
        </w:tc>
        <w:tc>
          <w:tcPr>
            <w:tcW w:w="889" w:type="dxa"/>
            <w:vMerge w:val="continue"/>
            <w:vAlign w:val="center"/>
          </w:tcPr>
          <w:p w14:paraId="67071AFF">
            <w:pPr>
              <w:spacing w:before="156" w:beforeLines="50" w:after="156" w:afterLines="50" w:line="220" w:lineRule="exact"/>
              <w:jc w:val="left"/>
              <w:rPr>
                <w:b/>
                <w:sz w:val="18"/>
                <w:szCs w:val="18"/>
              </w:rPr>
            </w:pPr>
          </w:p>
        </w:tc>
        <w:tc>
          <w:tcPr>
            <w:tcW w:w="1485" w:type="dxa"/>
            <w:vMerge w:val="continue"/>
            <w:vAlign w:val="center"/>
          </w:tcPr>
          <w:p w14:paraId="756212E6">
            <w:pPr>
              <w:spacing w:before="156" w:beforeLines="50" w:after="156" w:afterLines="50" w:line="220" w:lineRule="exact"/>
              <w:jc w:val="left"/>
              <w:rPr>
                <w:b/>
                <w:sz w:val="18"/>
                <w:szCs w:val="18"/>
              </w:rPr>
            </w:pPr>
          </w:p>
        </w:tc>
        <w:tc>
          <w:tcPr>
            <w:tcW w:w="11394" w:type="dxa"/>
            <w:gridSpan w:val="12"/>
            <w:tcBorders>
              <w:top w:val="single" w:color="auto" w:sz="4" w:space="0"/>
              <w:bottom w:val="single" w:color="auto" w:sz="4" w:space="0"/>
              <w:right w:val="single" w:color="auto" w:sz="4" w:space="0"/>
            </w:tcBorders>
            <w:vAlign w:val="center"/>
          </w:tcPr>
          <w:p w14:paraId="4001BA56">
            <w:pPr>
              <w:spacing w:before="156" w:beforeLines="50" w:after="156" w:afterLines="50"/>
              <w:rPr>
                <w:rFonts w:ascii="宋体"/>
                <w:b/>
                <w:kern w:val="0"/>
                <w:sz w:val="18"/>
                <w:szCs w:val="18"/>
              </w:rPr>
            </w:pPr>
            <w:r>
              <w:rPr>
                <w:rFonts w:hint="eastAsia" w:ascii="宋体"/>
                <w:b/>
                <w:kern w:val="0"/>
                <w:sz w:val="18"/>
                <w:szCs w:val="18"/>
              </w:rPr>
              <w:t>【法定幅度和种类】（一）造成特别重大事故的，对负有全部责任、主要责任的船员吊销适任证书或者其他适任证件，对负有次要责任的船员扣留适任证书或者其他适任证件</w:t>
            </w:r>
            <w:r>
              <w:rPr>
                <w:rFonts w:ascii="宋体"/>
                <w:b/>
                <w:kern w:val="0"/>
                <w:sz w:val="18"/>
                <w:szCs w:val="18"/>
              </w:rPr>
              <w:t>12个月直至吊销适任证书或者其他适任证件；责任相当的，对责任船员扣留适任证书或者其他适任证件24个月或者吊销适任证书或者其他适任证件。</w:t>
            </w:r>
            <w:r>
              <w:rPr>
                <w:rFonts w:hint="eastAsia" w:ascii="宋体"/>
                <w:b/>
                <w:kern w:val="0"/>
                <w:sz w:val="18"/>
                <w:szCs w:val="18"/>
              </w:rPr>
              <w:t xml:space="preserve"> （二）造成重大事故的，对负有全部责任、主要责任的船员吊销适任证书或者其他适任证件；对负有次要责任的船员扣留适任证书或者其他适任证件</w:t>
            </w:r>
            <w:r>
              <w:rPr>
                <w:rFonts w:ascii="宋体"/>
                <w:b/>
                <w:kern w:val="0"/>
                <w:sz w:val="18"/>
                <w:szCs w:val="18"/>
              </w:rPr>
              <w:t>12个月至24个月；责任相当的，对责任船员扣留适任证书或者其他适任证件18个月或者吊销适任证书或者其他适任证件。</w:t>
            </w:r>
            <w:r>
              <w:rPr>
                <w:rFonts w:hint="eastAsia" w:ascii="宋体"/>
                <w:b/>
                <w:kern w:val="0"/>
                <w:sz w:val="18"/>
                <w:szCs w:val="18"/>
              </w:rPr>
              <w:t>（三）造成较大事故的，对负有全部责任、主要责任的船员扣留船员适任证书</w:t>
            </w:r>
            <w:r>
              <w:rPr>
                <w:rFonts w:ascii="宋体"/>
                <w:b/>
                <w:kern w:val="0"/>
                <w:sz w:val="18"/>
                <w:szCs w:val="18"/>
              </w:rPr>
              <w:t>12个月至24个月或者吊销船员适任证书，对负有次要责任的船员扣留船员适任证书6个月；责任相当的，对责任船员扣留船员适任证书12个月。</w:t>
            </w:r>
            <w:r>
              <w:rPr>
                <w:rFonts w:hint="eastAsia" w:ascii="宋体"/>
                <w:b/>
                <w:kern w:val="0"/>
                <w:sz w:val="18"/>
                <w:szCs w:val="18"/>
              </w:rPr>
              <w:t>（四）造成一般事故的，对负有全部责任、主要责任的船员扣留船员适任证书</w:t>
            </w:r>
            <w:r>
              <w:rPr>
                <w:rFonts w:ascii="宋体"/>
                <w:b/>
                <w:kern w:val="0"/>
                <w:sz w:val="18"/>
                <w:szCs w:val="18"/>
              </w:rPr>
              <w:t>9个月至12个月，对负有次要责任的船员扣留船员适任证书6个月至9个月；责任相当的，对责任船员扣留船员适任证书9个月。</w:t>
            </w:r>
          </w:p>
        </w:tc>
      </w:tr>
      <w:tr w14:paraId="7872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7" w:hRule="atLeast"/>
        </w:trPr>
        <w:tc>
          <w:tcPr>
            <w:tcW w:w="718" w:type="dxa"/>
            <w:vMerge w:val="continue"/>
            <w:vAlign w:val="center"/>
          </w:tcPr>
          <w:p w14:paraId="0DC45DF1">
            <w:pPr>
              <w:spacing w:before="156" w:beforeLines="50" w:after="156" w:afterLines="50" w:line="220" w:lineRule="exact"/>
              <w:jc w:val="center"/>
              <w:rPr>
                <w:b/>
                <w:sz w:val="18"/>
                <w:szCs w:val="18"/>
              </w:rPr>
            </w:pPr>
          </w:p>
        </w:tc>
        <w:tc>
          <w:tcPr>
            <w:tcW w:w="1255" w:type="dxa"/>
            <w:vMerge w:val="continue"/>
            <w:vAlign w:val="center"/>
          </w:tcPr>
          <w:p w14:paraId="15E05D4B">
            <w:pPr>
              <w:spacing w:before="156" w:beforeLines="50" w:after="156" w:afterLines="50" w:line="220" w:lineRule="exact"/>
              <w:jc w:val="center"/>
              <w:rPr>
                <w:b/>
                <w:sz w:val="18"/>
                <w:szCs w:val="18"/>
              </w:rPr>
            </w:pPr>
          </w:p>
        </w:tc>
        <w:tc>
          <w:tcPr>
            <w:tcW w:w="1467" w:type="dxa"/>
            <w:vMerge w:val="restart"/>
            <w:vAlign w:val="center"/>
          </w:tcPr>
          <w:p w14:paraId="2DD566EF">
            <w:pPr>
              <w:spacing w:before="156" w:beforeLines="50" w:after="156" w:afterLines="50" w:line="220" w:lineRule="exact"/>
              <w:jc w:val="center"/>
              <w:rPr>
                <w:b/>
                <w:sz w:val="18"/>
                <w:szCs w:val="18"/>
              </w:rPr>
            </w:pPr>
            <w:r>
              <w:rPr>
                <w:rFonts w:hint="eastAsia"/>
                <w:b/>
                <w:sz w:val="18"/>
                <w:szCs w:val="18"/>
              </w:rPr>
              <w:t>违反条款</w:t>
            </w:r>
          </w:p>
        </w:tc>
        <w:tc>
          <w:tcPr>
            <w:tcW w:w="1462" w:type="dxa"/>
            <w:vMerge w:val="restart"/>
            <w:vAlign w:val="center"/>
          </w:tcPr>
          <w:p w14:paraId="26EDD728">
            <w:pPr>
              <w:spacing w:before="156" w:beforeLines="50" w:after="156" w:afterLines="50" w:line="220" w:lineRule="exact"/>
              <w:jc w:val="center"/>
              <w:rPr>
                <w:b/>
                <w:sz w:val="18"/>
                <w:szCs w:val="18"/>
              </w:rPr>
            </w:pPr>
            <w:r>
              <w:rPr>
                <w:rFonts w:hint="eastAsia"/>
                <w:b/>
                <w:sz w:val="18"/>
                <w:szCs w:val="18"/>
              </w:rPr>
              <w:t>处罚依据</w:t>
            </w:r>
          </w:p>
        </w:tc>
        <w:tc>
          <w:tcPr>
            <w:tcW w:w="889" w:type="dxa"/>
            <w:vMerge w:val="continue"/>
            <w:vAlign w:val="center"/>
          </w:tcPr>
          <w:p w14:paraId="5533FD7A">
            <w:pPr>
              <w:spacing w:before="156" w:beforeLines="50" w:after="156" w:afterLines="50" w:line="220" w:lineRule="exact"/>
              <w:jc w:val="left"/>
              <w:rPr>
                <w:b/>
                <w:sz w:val="18"/>
                <w:szCs w:val="18"/>
              </w:rPr>
            </w:pPr>
          </w:p>
        </w:tc>
        <w:tc>
          <w:tcPr>
            <w:tcW w:w="1485" w:type="dxa"/>
            <w:vMerge w:val="continue"/>
            <w:vAlign w:val="center"/>
          </w:tcPr>
          <w:p w14:paraId="1F7B6A2B">
            <w:pPr>
              <w:spacing w:before="156" w:beforeLines="50" w:after="156" w:afterLines="50" w:line="220" w:lineRule="exact"/>
              <w:jc w:val="left"/>
              <w:rPr>
                <w:b/>
                <w:sz w:val="18"/>
                <w:szCs w:val="18"/>
              </w:rPr>
            </w:pPr>
          </w:p>
        </w:tc>
        <w:tc>
          <w:tcPr>
            <w:tcW w:w="11394" w:type="dxa"/>
            <w:gridSpan w:val="12"/>
            <w:tcBorders>
              <w:top w:val="single" w:color="auto" w:sz="4" w:space="0"/>
              <w:bottom w:val="single" w:color="auto" w:sz="4" w:space="0"/>
              <w:right w:val="single" w:color="auto" w:sz="4" w:space="0"/>
            </w:tcBorders>
            <w:vAlign w:val="center"/>
          </w:tcPr>
          <w:p w14:paraId="27B43CF6">
            <w:pPr>
              <w:spacing w:before="156" w:beforeLines="50" w:after="156" w:afterLines="50" w:line="220" w:lineRule="exact"/>
              <w:jc w:val="center"/>
              <w:rPr>
                <w:rFonts w:ascii="宋体"/>
                <w:b/>
                <w:kern w:val="0"/>
                <w:sz w:val="18"/>
                <w:szCs w:val="18"/>
              </w:rPr>
            </w:pPr>
            <w:r>
              <w:rPr>
                <w:rFonts w:hint="eastAsia" w:ascii="宋体"/>
                <w:b/>
                <w:kern w:val="0"/>
                <w:sz w:val="18"/>
                <w:szCs w:val="18"/>
              </w:rPr>
              <w:t>【对象】责任船员</w:t>
            </w:r>
          </w:p>
        </w:tc>
      </w:tr>
      <w:tr w14:paraId="034DA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13" w:hRule="atLeast"/>
        </w:trPr>
        <w:tc>
          <w:tcPr>
            <w:tcW w:w="718" w:type="dxa"/>
            <w:vMerge w:val="continue"/>
            <w:vAlign w:val="center"/>
          </w:tcPr>
          <w:p w14:paraId="1FB366FF">
            <w:pPr>
              <w:spacing w:before="156" w:beforeLines="50" w:after="156" w:afterLines="50" w:line="220" w:lineRule="exact"/>
              <w:jc w:val="left"/>
              <w:rPr>
                <w:b/>
                <w:sz w:val="18"/>
                <w:szCs w:val="18"/>
              </w:rPr>
            </w:pPr>
          </w:p>
        </w:tc>
        <w:tc>
          <w:tcPr>
            <w:tcW w:w="1255" w:type="dxa"/>
            <w:vMerge w:val="continue"/>
            <w:vAlign w:val="center"/>
          </w:tcPr>
          <w:p w14:paraId="3CE27F35">
            <w:pPr>
              <w:spacing w:before="156" w:beforeLines="50" w:after="156" w:afterLines="50" w:line="220" w:lineRule="exact"/>
              <w:jc w:val="left"/>
              <w:rPr>
                <w:b/>
                <w:sz w:val="18"/>
                <w:szCs w:val="18"/>
              </w:rPr>
            </w:pPr>
          </w:p>
        </w:tc>
        <w:tc>
          <w:tcPr>
            <w:tcW w:w="1467" w:type="dxa"/>
            <w:vMerge w:val="continue"/>
            <w:vAlign w:val="center"/>
          </w:tcPr>
          <w:p w14:paraId="022E878B">
            <w:pPr>
              <w:spacing w:before="156" w:beforeLines="50" w:after="156" w:afterLines="50" w:line="220" w:lineRule="exact"/>
              <w:jc w:val="left"/>
              <w:rPr>
                <w:b/>
                <w:sz w:val="18"/>
                <w:szCs w:val="18"/>
              </w:rPr>
            </w:pPr>
          </w:p>
        </w:tc>
        <w:tc>
          <w:tcPr>
            <w:tcW w:w="1462" w:type="dxa"/>
            <w:vMerge w:val="continue"/>
            <w:vAlign w:val="center"/>
          </w:tcPr>
          <w:p w14:paraId="3061820C">
            <w:pPr>
              <w:spacing w:before="156" w:beforeLines="50" w:after="156" w:afterLines="50" w:line="220" w:lineRule="exact"/>
              <w:jc w:val="left"/>
              <w:rPr>
                <w:b/>
                <w:sz w:val="18"/>
                <w:szCs w:val="18"/>
              </w:rPr>
            </w:pPr>
          </w:p>
        </w:tc>
        <w:tc>
          <w:tcPr>
            <w:tcW w:w="889" w:type="dxa"/>
            <w:vMerge w:val="continue"/>
            <w:vAlign w:val="center"/>
          </w:tcPr>
          <w:p w14:paraId="7E655ADD">
            <w:pPr>
              <w:spacing w:before="156" w:beforeLines="50" w:after="156" w:afterLines="50" w:line="220" w:lineRule="exact"/>
              <w:jc w:val="left"/>
              <w:rPr>
                <w:b/>
                <w:sz w:val="18"/>
                <w:szCs w:val="18"/>
              </w:rPr>
            </w:pPr>
          </w:p>
        </w:tc>
        <w:tc>
          <w:tcPr>
            <w:tcW w:w="1485" w:type="dxa"/>
            <w:vMerge w:val="continue"/>
            <w:vAlign w:val="center"/>
          </w:tcPr>
          <w:p w14:paraId="789B13E9">
            <w:pPr>
              <w:spacing w:before="156" w:beforeLines="50" w:after="156" w:afterLines="50" w:line="220" w:lineRule="exact"/>
              <w:jc w:val="left"/>
              <w:rPr>
                <w:b/>
                <w:sz w:val="18"/>
                <w:szCs w:val="18"/>
              </w:rPr>
            </w:pPr>
          </w:p>
        </w:tc>
        <w:tc>
          <w:tcPr>
            <w:tcW w:w="2760" w:type="dxa"/>
            <w:gridSpan w:val="3"/>
            <w:tcBorders>
              <w:top w:val="single" w:color="auto" w:sz="4" w:space="0"/>
              <w:bottom w:val="single" w:color="auto" w:sz="4" w:space="0"/>
            </w:tcBorders>
            <w:vAlign w:val="center"/>
          </w:tcPr>
          <w:p w14:paraId="0EA924BB">
            <w:pPr>
              <w:spacing w:before="156" w:beforeLines="50" w:after="156" w:afterLines="50" w:line="220" w:lineRule="exact"/>
              <w:jc w:val="center"/>
              <w:rPr>
                <w:rFonts w:ascii="宋体"/>
                <w:b/>
                <w:kern w:val="0"/>
                <w:sz w:val="18"/>
                <w:szCs w:val="18"/>
              </w:rPr>
            </w:pPr>
            <w:r>
              <w:rPr>
                <w:rFonts w:hint="eastAsia" w:ascii="宋体"/>
                <w:b/>
                <w:kern w:val="0"/>
                <w:sz w:val="18"/>
                <w:szCs w:val="18"/>
              </w:rPr>
              <w:t>一般事故</w:t>
            </w:r>
          </w:p>
        </w:tc>
        <w:tc>
          <w:tcPr>
            <w:tcW w:w="2760" w:type="dxa"/>
            <w:gridSpan w:val="3"/>
            <w:tcBorders>
              <w:top w:val="single" w:color="auto" w:sz="4" w:space="0"/>
              <w:bottom w:val="single" w:color="auto" w:sz="4" w:space="0"/>
            </w:tcBorders>
            <w:vAlign w:val="center"/>
          </w:tcPr>
          <w:p w14:paraId="62D81F61">
            <w:pPr>
              <w:spacing w:before="156" w:beforeLines="50" w:after="156" w:afterLines="50" w:line="220" w:lineRule="exact"/>
              <w:jc w:val="center"/>
              <w:rPr>
                <w:rFonts w:ascii="宋体"/>
                <w:b/>
                <w:kern w:val="0"/>
                <w:sz w:val="18"/>
                <w:szCs w:val="18"/>
              </w:rPr>
            </w:pPr>
            <w:r>
              <w:rPr>
                <w:rFonts w:hint="eastAsia" w:ascii="宋体"/>
                <w:b/>
                <w:kern w:val="0"/>
                <w:sz w:val="18"/>
                <w:szCs w:val="18"/>
              </w:rPr>
              <w:t>较大事故</w:t>
            </w:r>
          </w:p>
        </w:tc>
        <w:tc>
          <w:tcPr>
            <w:tcW w:w="3183" w:type="dxa"/>
            <w:gridSpan w:val="3"/>
            <w:tcBorders>
              <w:top w:val="single" w:color="auto" w:sz="4" w:space="0"/>
              <w:bottom w:val="single" w:color="auto" w:sz="4" w:space="0"/>
            </w:tcBorders>
            <w:vAlign w:val="center"/>
          </w:tcPr>
          <w:p w14:paraId="6CDF5321">
            <w:pPr>
              <w:spacing w:before="156" w:beforeLines="50" w:after="156" w:afterLines="50" w:line="220" w:lineRule="exact"/>
              <w:jc w:val="center"/>
              <w:rPr>
                <w:rFonts w:ascii="宋体"/>
                <w:b/>
                <w:kern w:val="0"/>
                <w:sz w:val="18"/>
                <w:szCs w:val="18"/>
              </w:rPr>
            </w:pPr>
            <w:r>
              <w:rPr>
                <w:rFonts w:hint="eastAsia" w:ascii="宋体"/>
                <w:b/>
                <w:kern w:val="0"/>
                <w:sz w:val="18"/>
                <w:szCs w:val="18"/>
              </w:rPr>
              <w:t>重大事故</w:t>
            </w:r>
          </w:p>
        </w:tc>
        <w:tc>
          <w:tcPr>
            <w:tcW w:w="2691" w:type="dxa"/>
            <w:gridSpan w:val="3"/>
            <w:tcBorders>
              <w:top w:val="single" w:color="auto" w:sz="4" w:space="0"/>
              <w:bottom w:val="single" w:color="auto" w:sz="4" w:space="0"/>
            </w:tcBorders>
            <w:vAlign w:val="center"/>
          </w:tcPr>
          <w:p w14:paraId="276A3EEC">
            <w:pPr>
              <w:spacing w:before="156" w:beforeLines="50" w:after="156" w:afterLines="50" w:line="220" w:lineRule="exact"/>
              <w:jc w:val="center"/>
              <w:rPr>
                <w:rFonts w:ascii="宋体"/>
                <w:b/>
                <w:kern w:val="0"/>
                <w:sz w:val="18"/>
                <w:szCs w:val="18"/>
              </w:rPr>
            </w:pPr>
            <w:r>
              <w:rPr>
                <w:rFonts w:hint="eastAsia" w:ascii="宋体"/>
                <w:b/>
                <w:kern w:val="0"/>
                <w:sz w:val="18"/>
                <w:szCs w:val="18"/>
              </w:rPr>
              <w:t>特别重大事故</w:t>
            </w:r>
          </w:p>
        </w:tc>
      </w:tr>
      <w:tr w14:paraId="24C2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3" w:hRule="atLeast"/>
        </w:trPr>
        <w:tc>
          <w:tcPr>
            <w:tcW w:w="718" w:type="dxa"/>
            <w:vMerge w:val="continue"/>
            <w:vAlign w:val="center"/>
          </w:tcPr>
          <w:p w14:paraId="10C7852B">
            <w:pPr>
              <w:spacing w:before="156" w:beforeLines="50" w:after="156" w:afterLines="50" w:line="220" w:lineRule="exact"/>
              <w:jc w:val="left"/>
              <w:rPr>
                <w:b/>
                <w:sz w:val="18"/>
                <w:szCs w:val="18"/>
              </w:rPr>
            </w:pPr>
          </w:p>
        </w:tc>
        <w:tc>
          <w:tcPr>
            <w:tcW w:w="1255" w:type="dxa"/>
            <w:vMerge w:val="continue"/>
            <w:vAlign w:val="center"/>
          </w:tcPr>
          <w:p w14:paraId="10B87A2A">
            <w:pPr>
              <w:spacing w:before="156" w:beforeLines="50" w:after="156" w:afterLines="50" w:line="220" w:lineRule="exact"/>
              <w:jc w:val="left"/>
              <w:rPr>
                <w:b/>
                <w:sz w:val="18"/>
                <w:szCs w:val="18"/>
              </w:rPr>
            </w:pPr>
          </w:p>
        </w:tc>
        <w:tc>
          <w:tcPr>
            <w:tcW w:w="1467" w:type="dxa"/>
            <w:vMerge w:val="continue"/>
            <w:vAlign w:val="center"/>
          </w:tcPr>
          <w:p w14:paraId="702182EA">
            <w:pPr>
              <w:spacing w:before="156" w:beforeLines="50" w:after="156" w:afterLines="50" w:line="220" w:lineRule="exact"/>
              <w:jc w:val="left"/>
              <w:rPr>
                <w:b/>
                <w:sz w:val="18"/>
                <w:szCs w:val="18"/>
              </w:rPr>
            </w:pPr>
          </w:p>
        </w:tc>
        <w:tc>
          <w:tcPr>
            <w:tcW w:w="1462" w:type="dxa"/>
            <w:vMerge w:val="continue"/>
            <w:vAlign w:val="center"/>
          </w:tcPr>
          <w:p w14:paraId="00E74637">
            <w:pPr>
              <w:spacing w:before="156" w:beforeLines="50" w:after="156" w:afterLines="50" w:line="220" w:lineRule="exact"/>
              <w:jc w:val="left"/>
              <w:rPr>
                <w:b/>
                <w:sz w:val="18"/>
                <w:szCs w:val="18"/>
              </w:rPr>
            </w:pPr>
          </w:p>
        </w:tc>
        <w:tc>
          <w:tcPr>
            <w:tcW w:w="889" w:type="dxa"/>
            <w:vMerge w:val="continue"/>
            <w:vAlign w:val="center"/>
          </w:tcPr>
          <w:p w14:paraId="02D0196A">
            <w:pPr>
              <w:spacing w:before="156" w:beforeLines="50" w:after="156" w:afterLines="50" w:line="220" w:lineRule="exact"/>
              <w:jc w:val="left"/>
              <w:rPr>
                <w:b/>
                <w:sz w:val="18"/>
                <w:szCs w:val="18"/>
              </w:rPr>
            </w:pPr>
          </w:p>
        </w:tc>
        <w:tc>
          <w:tcPr>
            <w:tcW w:w="1485" w:type="dxa"/>
            <w:vMerge w:val="continue"/>
            <w:vAlign w:val="center"/>
          </w:tcPr>
          <w:p w14:paraId="7414D0E0">
            <w:pPr>
              <w:spacing w:before="156" w:beforeLines="50" w:after="156" w:afterLines="50" w:line="220" w:lineRule="exact"/>
              <w:jc w:val="left"/>
              <w:rPr>
                <w:b/>
                <w:sz w:val="18"/>
                <w:szCs w:val="18"/>
              </w:rPr>
            </w:pPr>
          </w:p>
        </w:tc>
        <w:tc>
          <w:tcPr>
            <w:tcW w:w="1060" w:type="dxa"/>
            <w:tcBorders>
              <w:top w:val="single" w:color="auto" w:sz="4" w:space="0"/>
              <w:bottom w:val="single" w:color="auto" w:sz="4" w:space="0"/>
            </w:tcBorders>
            <w:vAlign w:val="center"/>
          </w:tcPr>
          <w:p w14:paraId="700AC6C8">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14:paraId="56AC16EE">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851" w:type="dxa"/>
            <w:tcBorders>
              <w:top w:val="single" w:color="auto" w:sz="4" w:space="0"/>
              <w:bottom w:val="single" w:color="auto" w:sz="4" w:space="0"/>
            </w:tcBorders>
            <w:vAlign w:val="center"/>
          </w:tcPr>
          <w:p w14:paraId="41104011">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060" w:type="dxa"/>
            <w:tcBorders>
              <w:top w:val="single" w:color="auto" w:sz="4" w:space="0"/>
              <w:bottom w:val="single" w:color="auto" w:sz="4" w:space="0"/>
            </w:tcBorders>
            <w:vAlign w:val="center"/>
          </w:tcPr>
          <w:p w14:paraId="2A2876D2">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14:paraId="72618C7F">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851" w:type="dxa"/>
            <w:tcBorders>
              <w:top w:val="single" w:color="auto" w:sz="4" w:space="0"/>
              <w:bottom w:val="single" w:color="auto" w:sz="4" w:space="0"/>
            </w:tcBorders>
            <w:vAlign w:val="center"/>
          </w:tcPr>
          <w:p w14:paraId="40B12E27">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272" w:type="dxa"/>
            <w:tcBorders>
              <w:top w:val="single" w:color="auto" w:sz="4" w:space="0"/>
              <w:bottom w:val="single" w:color="auto" w:sz="4" w:space="0"/>
            </w:tcBorders>
            <w:vAlign w:val="center"/>
          </w:tcPr>
          <w:p w14:paraId="499BD9E3">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49" w:type="dxa"/>
            <w:tcBorders>
              <w:top w:val="single" w:color="auto" w:sz="4" w:space="0"/>
              <w:bottom w:val="single" w:color="auto" w:sz="4" w:space="0"/>
            </w:tcBorders>
            <w:vAlign w:val="center"/>
          </w:tcPr>
          <w:p w14:paraId="3907AA29">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1062" w:type="dxa"/>
            <w:tcBorders>
              <w:top w:val="single" w:color="auto" w:sz="4" w:space="0"/>
              <w:bottom w:val="single" w:color="auto" w:sz="4" w:space="0"/>
            </w:tcBorders>
            <w:vAlign w:val="center"/>
          </w:tcPr>
          <w:p w14:paraId="51A01CC0">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c>
          <w:tcPr>
            <w:tcW w:w="1060" w:type="dxa"/>
            <w:tcBorders>
              <w:top w:val="single" w:color="auto" w:sz="4" w:space="0"/>
              <w:bottom w:val="single" w:color="auto" w:sz="4" w:space="0"/>
            </w:tcBorders>
            <w:vAlign w:val="center"/>
          </w:tcPr>
          <w:p w14:paraId="48276DD0">
            <w:pPr>
              <w:spacing w:before="156" w:beforeLines="50" w:after="156" w:afterLines="50" w:line="220" w:lineRule="exact"/>
              <w:jc w:val="left"/>
              <w:rPr>
                <w:rFonts w:ascii="宋体"/>
                <w:b/>
                <w:kern w:val="0"/>
                <w:sz w:val="18"/>
                <w:szCs w:val="18"/>
              </w:rPr>
            </w:pPr>
            <w:r>
              <w:rPr>
                <w:rFonts w:hint="eastAsia" w:ascii="宋体"/>
                <w:b/>
                <w:kern w:val="0"/>
                <w:sz w:val="18"/>
                <w:szCs w:val="18"/>
              </w:rPr>
              <w:t>全部责任，主要责任者</w:t>
            </w:r>
          </w:p>
        </w:tc>
        <w:tc>
          <w:tcPr>
            <w:tcW w:w="851" w:type="dxa"/>
            <w:tcBorders>
              <w:top w:val="single" w:color="auto" w:sz="4" w:space="0"/>
              <w:bottom w:val="single" w:color="auto" w:sz="4" w:space="0"/>
            </w:tcBorders>
            <w:vAlign w:val="center"/>
          </w:tcPr>
          <w:p w14:paraId="75220910">
            <w:pPr>
              <w:spacing w:before="156" w:beforeLines="50" w:after="156" w:afterLines="50" w:line="220" w:lineRule="exact"/>
              <w:jc w:val="left"/>
              <w:rPr>
                <w:rFonts w:ascii="宋体"/>
                <w:b/>
                <w:kern w:val="0"/>
                <w:sz w:val="18"/>
                <w:szCs w:val="18"/>
              </w:rPr>
            </w:pPr>
            <w:r>
              <w:rPr>
                <w:rFonts w:hint="eastAsia" w:ascii="宋体"/>
                <w:b/>
                <w:kern w:val="0"/>
                <w:sz w:val="18"/>
                <w:szCs w:val="18"/>
              </w:rPr>
              <w:t>次要责任者</w:t>
            </w:r>
          </w:p>
        </w:tc>
        <w:tc>
          <w:tcPr>
            <w:tcW w:w="780" w:type="dxa"/>
            <w:tcBorders>
              <w:top w:val="single" w:color="auto" w:sz="4" w:space="0"/>
              <w:bottom w:val="single" w:color="auto" w:sz="4" w:space="0"/>
            </w:tcBorders>
            <w:vAlign w:val="center"/>
          </w:tcPr>
          <w:p w14:paraId="5E89DFF5">
            <w:pPr>
              <w:spacing w:before="156" w:beforeLines="50" w:after="156" w:afterLines="50" w:line="220" w:lineRule="exact"/>
              <w:jc w:val="left"/>
              <w:rPr>
                <w:rFonts w:ascii="宋体"/>
                <w:b/>
                <w:kern w:val="0"/>
                <w:sz w:val="18"/>
                <w:szCs w:val="18"/>
              </w:rPr>
            </w:pPr>
            <w:r>
              <w:rPr>
                <w:rFonts w:hint="eastAsia" w:ascii="宋体"/>
                <w:b/>
                <w:kern w:val="0"/>
                <w:sz w:val="18"/>
                <w:szCs w:val="18"/>
              </w:rPr>
              <w:t>相当责任者</w:t>
            </w:r>
          </w:p>
        </w:tc>
      </w:tr>
      <w:tr w14:paraId="7E58F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9" w:hRule="atLeast"/>
        </w:trPr>
        <w:tc>
          <w:tcPr>
            <w:tcW w:w="718" w:type="dxa"/>
            <w:vMerge w:val="restart"/>
            <w:vAlign w:val="center"/>
          </w:tcPr>
          <w:p w14:paraId="4B1E07F1">
            <w:pPr>
              <w:spacing w:before="156" w:beforeLines="50" w:after="156" w:afterLines="50" w:line="220" w:lineRule="exact"/>
              <w:jc w:val="center"/>
              <w:rPr>
                <w:sz w:val="18"/>
                <w:szCs w:val="18"/>
              </w:rPr>
            </w:pPr>
            <w:r>
              <w:rPr>
                <w:rFonts w:hint="eastAsia"/>
                <w:sz w:val="18"/>
                <w:szCs w:val="18"/>
              </w:rPr>
              <w:t>23</w:t>
            </w:r>
          </w:p>
        </w:tc>
        <w:tc>
          <w:tcPr>
            <w:tcW w:w="1255" w:type="dxa"/>
            <w:vMerge w:val="restart"/>
            <w:vAlign w:val="center"/>
          </w:tcPr>
          <w:p w14:paraId="65257F9A">
            <w:pPr>
              <w:spacing w:before="156" w:beforeLines="50" w:after="156" w:afterLines="50"/>
              <w:rPr>
                <w:rFonts w:ascii="宋体"/>
                <w:kern w:val="0"/>
                <w:sz w:val="18"/>
                <w:szCs w:val="18"/>
              </w:rPr>
            </w:pPr>
            <w:r>
              <w:rPr>
                <w:rFonts w:hint="eastAsia" w:ascii="宋体"/>
                <w:kern w:val="0"/>
                <w:sz w:val="18"/>
                <w:szCs w:val="18"/>
              </w:rPr>
              <w:t>船舶、浮动设施发生内河交通事故的</w:t>
            </w:r>
          </w:p>
        </w:tc>
        <w:tc>
          <w:tcPr>
            <w:tcW w:w="1467" w:type="dxa"/>
            <w:vMerge w:val="restart"/>
            <w:vAlign w:val="center"/>
          </w:tcPr>
          <w:p w14:paraId="1BCDA5B2">
            <w:pPr>
              <w:widowControl/>
              <w:spacing w:before="156" w:beforeLines="50" w:after="156" w:afterLines="50"/>
              <w:rPr>
                <w:rFonts w:ascii="宋体"/>
                <w:kern w:val="0"/>
                <w:sz w:val="18"/>
                <w:szCs w:val="18"/>
              </w:rPr>
            </w:pPr>
            <w:r>
              <w:rPr>
                <w:rFonts w:hint="eastAsia" w:ascii="宋体"/>
                <w:kern w:val="0"/>
                <w:sz w:val="18"/>
                <w:szCs w:val="18"/>
              </w:rPr>
              <w:t>《中华人民共和国内河交通安全管理条例》有关规定</w:t>
            </w:r>
          </w:p>
        </w:tc>
        <w:tc>
          <w:tcPr>
            <w:tcW w:w="1462" w:type="dxa"/>
            <w:vMerge w:val="restart"/>
            <w:vAlign w:val="center"/>
          </w:tcPr>
          <w:p w14:paraId="4E866CAA">
            <w:pPr>
              <w:spacing w:before="156" w:beforeLines="50" w:after="156" w:afterLines="50"/>
              <w:rPr>
                <w:rFonts w:ascii="宋体"/>
                <w:kern w:val="0"/>
                <w:sz w:val="18"/>
                <w:szCs w:val="18"/>
              </w:rPr>
            </w:pPr>
            <w:r>
              <w:rPr>
                <w:rFonts w:hint="eastAsia" w:ascii="宋体"/>
                <w:kern w:val="0"/>
                <w:sz w:val="18"/>
                <w:szCs w:val="18"/>
              </w:rPr>
              <w:t>1.《中华人民共和国内河交通安全管理条例》第七十七条；</w:t>
            </w:r>
          </w:p>
          <w:p w14:paraId="4670118A">
            <w:pPr>
              <w:spacing w:before="156" w:beforeLines="50" w:after="156" w:afterLines="50"/>
              <w:rPr>
                <w:rFonts w:ascii="宋体"/>
                <w:strike/>
                <w:kern w:val="0"/>
                <w:sz w:val="18"/>
                <w:szCs w:val="18"/>
              </w:rPr>
            </w:pPr>
            <w:r>
              <w:rPr>
                <w:rFonts w:hint="eastAsia" w:ascii="宋体"/>
                <w:kern w:val="0"/>
                <w:sz w:val="18"/>
                <w:szCs w:val="18"/>
              </w:rPr>
              <w:t>2.《中华人民共和国内河海事行政处罚规定》第三十二条；</w:t>
            </w:r>
          </w:p>
          <w:p w14:paraId="4BA887D2">
            <w:pPr>
              <w:spacing w:before="156" w:beforeLines="50" w:after="156" w:afterLines="50"/>
              <w:rPr>
                <w:rFonts w:ascii="宋体"/>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89" w:type="dxa"/>
            <w:vAlign w:val="center"/>
          </w:tcPr>
          <w:p w14:paraId="3F5005EB">
            <w:pPr>
              <w:spacing w:before="156" w:beforeLines="50" w:after="156" w:afterLines="50"/>
              <w:jc w:val="center"/>
              <w:rPr>
                <w:rFonts w:ascii="宋体"/>
                <w:kern w:val="0"/>
                <w:sz w:val="18"/>
                <w:szCs w:val="18"/>
              </w:rPr>
            </w:pPr>
            <w:r>
              <w:rPr>
                <w:rFonts w:hint="eastAsia" w:ascii="宋体"/>
                <w:kern w:val="0"/>
                <w:sz w:val="18"/>
                <w:szCs w:val="18"/>
              </w:rPr>
              <w:t>从轻</w:t>
            </w:r>
          </w:p>
        </w:tc>
        <w:tc>
          <w:tcPr>
            <w:tcW w:w="1485" w:type="dxa"/>
            <w:vAlign w:val="center"/>
          </w:tcPr>
          <w:p w14:paraId="1F1CA07E">
            <w:pPr>
              <w:widowControl/>
              <w:spacing w:before="156" w:beforeLines="50" w:after="156" w:afterLines="50"/>
              <w:rPr>
                <w:rFonts w:ascii="宋体"/>
                <w:kern w:val="0"/>
                <w:sz w:val="18"/>
                <w:szCs w:val="18"/>
              </w:rPr>
            </w:pPr>
            <w:r>
              <w:rPr>
                <w:rFonts w:hint="eastAsia" w:ascii="宋体"/>
                <w:kern w:val="0"/>
                <w:sz w:val="18"/>
                <w:szCs w:val="18"/>
              </w:rPr>
              <w:t>具有法定从轻处罚情节的。</w:t>
            </w:r>
          </w:p>
        </w:tc>
        <w:tc>
          <w:tcPr>
            <w:tcW w:w="1060" w:type="dxa"/>
            <w:tcBorders>
              <w:bottom w:val="single" w:color="auto" w:sz="4" w:space="0"/>
            </w:tcBorders>
            <w:vAlign w:val="center"/>
          </w:tcPr>
          <w:p w14:paraId="6EC1BE25">
            <w:pPr>
              <w:spacing w:before="156" w:beforeLines="50" w:after="156" w:afterLines="50"/>
              <w:jc w:val="center"/>
              <w:rPr>
                <w:rFonts w:ascii="宋体"/>
                <w:kern w:val="0"/>
                <w:sz w:val="18"/>
                <w:szCs w:val="18"/>
              </w:rPr>
            </w:pPr>
            <w:r>
              <w:rPr>
                <w:rFonts w:hint="eastAsia" w:ascii="宋体"/>
                <w:kern w:val="0"/>
                <w:sz w:val="18"/>
                <w:szCs w:val="18"/>
              </w:rPr>
              <w:t>9个月</w:t>
            </w:r>
          </w:p>
        </w:tc>
        <w:tc>
          <w:tcPr>
            <w:tcW w:w="849" w:type="dxa"/>
            <w:tcBorders>
              <w:bottom w:val="single" w:color="auto" w:sz="4" w:space="0"/>
            </w:tcBorders>
            <w:vAlign w:val="center"/>
          </w:tcPr>
          <w:p w14:paraId="2D8760BA">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14:paraId="33F7F0D5">
            <w:pPr>
              <w:spacing w:before="156" w:beforeLines="50" w:after="156" w:afterLines="50"/>
              <w:jc w:val="center"/>
              <w:rPr>
                <w:rFonts w:ascii="宋体"/>
                <w:kern w:val="0"/>
                <w:sz w:val="18"/>
                <w:szCs w:val="18"/>
              </w:rPr>
            </w:pPr>
            <w:r>
              <w:rPr>
                <w:rFonts w:hint="eastAsia" w:ascii="宋体"/>
                <w:kern w:val="0"/>
                <w:sz w:val="18"/>
                <w:szCs w:val="18"/>
              </w:rPr>
              <w:t>9个月</w:t>
            </w:r>
          </w:p>
        </w:tc>
        <w:tc>
          <w:tcPr>
            <w:tcW w:w="1060" w:type="dxa"/>
            <w:vAlign w:val="center"/>
          </w:tcPr>
          <w:p w14:paraId="04199D14">
            <w:pPr>
              <w:spacing w:before="156" w:beforeLines="50" w:after="156" w:afterLines="50"/>
              <w:jc w:val="center"/>
              <w:rPr>
                <w:rFonts w:ascii="宋体"/>
                <w:kern w:val="0"/>
                <w:sz w:val="18"/>
                <w:szCs w:val="18"/>
              </w:rPr>
            </w:pPr>
            <w:r>
              <w:rPr>
                <w:rFonts w:hint="eastAsia" w:ascii="宋体"/>
                <w:kern w:val="0"/>
                <w:sz w:val="18"/>
                <w:szCs w:val="18"/>
              </w:rPr>
              <w:t>12个月</w:t>
            </w:r>
          </w:p>
        </w:tc>
        <w:tc>
          <w:tcPr>
            <w:tcW w:w="849" w:type="dxa"/>
            <w:vAlign w:val="center"/>
          </w:tcPr>
          <w:p w14:paraId="373C8E2F">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14:paraId="55FC3106">
            <w:pPr>
              <w:spacing w:before="156" w:beforeLines="50" w:after="156" w:afterLines="50"/>
              <w:jc w:val="center"/>
              <w:rPr>
                <w:rFonts w:ascii="宋体"/>
                <w:kern w:val="0"/>
                <w:sz w:val="18"/>
                <w:szCs w:val="18"/>
              </w:rPr>
            </w:pPr>
            <w:r>
              <w:rPr>
                <w:rFonts w:hint="eastAsia" w:ascii="宋体"/>
                <w:kern w:val="0"/>
                <w:sz w:val="18"/>
                <w:szCs w:val="18"/>
              </w:rPr>
              <w:t>12个月</w:t>
            </w:r>
          </w:p>
        </w:tc>
        <w:tc>
          <w:tcPr>
            <w:tcW w:w="1272" w:type="dxa"/>
            <w:vAlign w:val="center"/>
          </w:tcPr>
          <w:p w14:paraId="3F8B8E7D">
            <w:pPr>
              <w:spacing w:before="156" w:beforeLines="50" w:after="156" w:afterLines="50"/>
              <w:rPr>
                <w:rFonts w:ascii="宋体"/>
                <w:kern w:val="0"/>
                <w:sz w:val="18"/>
                <w:szCs w:val="18"/>
              </w:rPr>
            </w:pPr>
            <w:r>
              <w:rPr>
                <w:rFonts w:hint="eastAsia" w:ascii="宋体"/>
                <w:kern w:val="0"/>
                <w:sz w:val="18"/>
                <w:szCs w:val="18"/>
              </w:rPr>
              <w:t>吊销适任证书或者其他适任证件</w:t>
            </w:r>
          </w:p>
        </w:tc>
        <w:tc>
          <w:tcPr>
            <w:tcW w:w="849" w:type="dxa"/>
            <w:vAlign w:val="center"/>
          </w:tcPr>
          <w:p w14:paraId="3C7CB454">
            <w:pPr>
              <w:spacing w:before="156" w:beforeLines="50" w:after="156" w:afterLines="50"/>
              <w:jc w:val="center"/>
              <w:rPr>
                <w:rFonts w:ascii="宋体"/>
                <w:kern w:val="0"/>
                <w:sz w:val="18"/>
                <w:szCs w:val="18"/>
              </w:rPr>
            </w:pPr>
            <w:r>
              <w:rPr>
                <w:rFonts w:hint="eastAsia" w:ascii="宋体"/>
                <w:kern w:val="0"/>
                <w:sz w:val="18"/>
                <w:szCs w:val="18"/>
              </w:rPr>
              <w:t>12个月</w:t>
            </w:r>
          </w:p>
        </w:tc>
        <w:tc>
          <w:tcPr>
            <w:tcW w:w="1062" w:type="dxa"/>
            <w:vAlign w:val="center"/>
          </w:tcPr>
          <w:p w14:paraId="37C545BD">
            <w:pPr>
              <w:spacing w:before="156" w:beforeLines="50" w:after="156" w:afterLines="50"/>
              <w:jc w:val="center"/>
              <w:rPr>
                <w:rFonts w:ascii="宋体"/>
                <w:kern w:val="0"/>
                <w:sz w:val="18"/>
                <w:szCs w:val="18"/>
              </w:rPr>
            </w:pPr>
            <w:r>
              <w:rPr>
                <w:rFonts w:hint="eastAsia" w:ascii="宋体"/>
                <w:kern w:val="0"/>
                <w:sz w:val="18"/>
                <w:szCs w:val="18"/>
              </w:rPr>
              <w:t>18个月</w:t>
            </w:r>
          </w:p>
        </w:tc>
        <w:tc>
          <w:tcPr>
            <w:tcW w:w="1060" w:type="dxa"/>
            <w:vAlign w:val="center"/>
          </w:tcPr>
          <w:p w14:paraId="10A61BB7">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51" w:type="dxa"/>
            <w:vAlign w:val="center"/>
          </w:tcPr>
          <w:p w14:paraId="1E4B89E5">
            <w:pPr>
              <w:spacing w:before="156" w:beforeLines="50" w:after="156" w:afterLines="50"/>
              <w:jc w:val="center"/>
              <w:rPr>
                <w:rFonts w:ascii="宋体"/>
                <w:kern w:val="0"/>
                <w:sz w:val="18"/>
                <w:szCs w:val="18"/>
              </w:rPr>
            </w:pPr>
            <w:r>
              <w:rPr>
                <w:rFonts w:hint="eastAsia" w:ascii="宋体"/>
                <w:kern w:val="0"/>
                <w:sz w:val="18"/>
                <w:szCs w:val="18"/>
              </w:rPr>
              <w:t>12个月</w:t>
            </w:r>
          </w:p>
        </w:tc>
        <w:tc>
          <w:tcPr>
            <w:tcW w:w="780" w:type="dxa"/>
            <w:vAlign w:val="center"/>
          </w:tcPr>
          <w:p w14:paraId="3B43E3A3">
            <w:pPr>
              <w:spacing w:before="156" w:beforeLines="50" w:after="156" w:afterLines="50"/>
              <w:jc w:val="center"/>
              <w:rPr>
                <w:rFonts w:ascii="宋体"/>
                <w:kern w:val="0"/>
                <w:sz w:val="18"/>
                <w:szCs w:val="18"/>
              </w:rPr>
            </w:pPr>
            <w:r>
              <w:rPr>
                <w:rFonts w:hint="eastAsia" w:ascii="宋体"/>
                <w:kern w:val="0"/>
                <w:sz w:val="18"/>
                <w:szCs w:val="18"/>
              </w:rPr>
              <w:t>24个月</w:t>
            </w:r>
          </w:p>
        </w:tc>
      </w:tr>
      <w:tr w14:paraId="24E1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609" w:hRule="atLeast"/>
        </w:trPr>
        <w:tc>
          <w:tcPr>
            <w:tcW w:w="718" w:type="dxa"/>
            <w:vMerge w:val="continue"/>
            <w:vAlign w:val="center"/>
          </w:tcPr>
          <w:p w14:paraId="7A623453">
            <w:pPr>
              <w:spacing w:before="156" w:beforeLines="50" w:after="156" w:afterLines="50" w:line="220" w:lineRule="exact"/>
              <w:jc w:val="left"/>
              <w:rPr>
                <w:sz w:val="18"/>
                <w:szCs w:val="18"/>
              </w:rPr>
            </w:pPr>
          </w:p>
        </w:tc>
        <w:tc>
          <w:tcPr>
            <w:tcW w:w="1255" w:type="dxa"/>
            <w:vMerge w:val="continue"/>
            <w:vAlign w:val="center"/>
          </w:tcPr>
          <w:p w14:paraId="2864863D">
            <w:pPr>
              <w:spacing w:before="156" w:beforeLines="50" w:after="156" w:afterLines="50"/>
              <w:rPr>
                <w:rFonts w:ascii="宋体"/>
                <w:kern w:val="0"/>
                <w:sz w:val="18"/>
                <w:szCs w:val="18"/>
              </w:rPr>
            </w:pPr>
          </w:p>
        </w:tc>
        <w:tc>
          <w:tcPr>
            <w:tcW w:w="1467" w:type="dxa"/>
            <w:vMerge w:val="continue"/>
            <w:vAlign w:val="center"/>
          </w:tcPr>
          <w:p w14:paraId="224C78C2">
            <w:pPr>
              <w:spacing w:before="156" w:beforeLines="50" w:after="156" w:afterLines="50"/>
              <w:rPr>
                <w:rFonts w:ascii="宋体"/>
                <w:kern w:val="0"/>
                <w:sz w:val="18"/>
                <w:szCs w:val="18"/>
              </w:rPr>
            </w:pPr>
          </w:p>
        </w:tc>
        <w:tc>
          <w:tcPr>
            <w:tcW w:w="1462" w:type="dxa"/>
            <w:vMerge w:val="continue"/>
            <w:vAlign w:val="center"/>
          </w:tcPr>
          <w:p w14:paraId="5EECE46E">
            <w:pPr>
              <w:spacing w:before="156" w:beforeLines="50" w:after="156" w:afterLines="50"/>
              <w:rPr>
                <w:rFonts w:ascii="宋体"/>
                <w:kern w:val="0"/>
                <w:sz w:val="18"/>
                <w:szCs w:val="18"/>
              </w:rPr>
            </w:pPr>
          </w:p>
        </w:tc>
        <w:tc>
          <w:tcPr>
            <w:tcW w:w="889" w:type="dxa"/>
            <w:vAlign w:val="center"/>
          </w:tcPr>
          <w:p w14:paraId="02F9E9EF">
            <w:pPr>
              <w:spacing w:before="156" w:beforeLines="50" w:after="156" w:afterLines="50"/>
              <w:jc w:val="center"/>
              <w:rPr>
                <w:rFonts w:ascii="宋体"/>
                <w:kern w:val="0"/>
                <w:sz w:val="18"/>
                <w:szCs w:val="18"/>
              </w:rPr>
            </w:pPr>
            <w:r>
              <w:rPr>
                <w:rFonts w:hint="eastAsia" w:ascii="宋体"/>
                <w:kern w:val="0"/>
                <w:sz w:val="18"/>
                <w:szCs w:val="18"/>
              </w:rPr>
              <w:t>一般</w:t>
            </w:r>
          </w:p>
        </w:tc>
        <w:tc>
          <w:tcPr>
            <w:tcW w:w="1485" w:type="dxa"/>
            <w:vAlign w:val="center"/>
          </w:tcPr>
          <w:p w14:paraId="029141B2">
            <w:pPr>
              <w:spacing w:before="156" w:beforeLines="50" w:after="156" w:afterLines="50"/>
              <w:rPr>
                <w:rFonts w:ascii="宋体"/>
                <w:kern w:val="0"/>
                <w:sz w:val="18"/>
                <w:szCs w:val="18"/>
              </w:rPr>
            </w:pPr>
            <w:r>
              <w:rPr>
                <w:rFonts w:hint="eastAsia" w:ascii="宋体"/>
                <w:kern w:val="0"/>
                <w:sz w:val="18"/>
                <w:szCs w:val="18"/>
              </w:rPr>
              <w:t>无从轻处罚情节的。</w:t>
            </w:r>
          </w:p>
        </w:tc>
        <w:tc>
          <w:tcPr>
            <w:tcW w:w="1060" w:type="dxa"/>
            <w:tcBorders>
              <w:top w:val="single" w:color="auto" w:sz="4" w:space="0"/>
            </w:tcBorders>
            <w:vAlign w:val="center"/>
          </w:tcPr>
          <w:p w14:paraId="2CF618F6">
            <w:pPr>
              <w:spacing w:before="156" w:beforeLines="50" w:after="156" w:afterLines="50"/>
              <w:jc w:val="center"/>
              <w:rPr>
                <w:rFonts w:ascii="宋体"/>
                <w:kern w:val="0"/>
                <w:sz w:val="18"/>
                <w:szCs w:val="18"/>
              </w:rPr>
            </w:pPr>
            <w:r>
              <w:rPr>
                <w:rFonts w:hint="eastAsia" w:ascii="宋体"/>
                <w:kern w:val="0"/>
                <w:sz w:val="18"/>
                <w:szCs w:val="18"/>
              </w:rPr>
              <w:t>10-12个月</w:t>
            </w:r>
          </w:p>
        </w:tc>
        <w:tc>
          <w:tcPr>
            <w:tcW w:w="849" w:type="dxa"/>
            <w:tcBorders>
              <w:top w:val="single" w:color="auto" w:sz="4" w:space="0"/>
            </w:tcBorders>
            <w:vAlign w:val="center"/>
          </w:tcPr>
          <w:p w14:paraId="376A06BC">
            <w:pPr>
              <w:spacing w:before="156" w:beforeLines="50" w:after="156" w:afterLines="50"/>
              <w:jc w:val="center"/>
              <w:rPr>
                <w:rFonts w:ascii="宋体"/>
                <w:kern w:val="0"/>
                <w:sz w:val="18"/>
                <w:szCs w:val="18"/>
              </w:rPr>
            </w:pPr>
            <w:r>
              <w:rPr>
                <w:rFonts w:hint="eastAsia" w:ascii="宋体"/>
                <w:kern w:val="0"/>
                <w:sz w:val="18"/>
                <w:szCs w:val="18"/>
              </w:rPr>
              <w:t>7-9个月</w:t>
            </w:r>
          </w:p>
        </w:tc>
        <w:tc>
          <w:tcPr>
            <w:tcW w:w="851" w:type="dxa"/>
            <w:vAlign w:val="center"/>
          </w:tcPr>
          <w:p w14:paraId="05DC062D">
            <w:pPr>
              <w:pStyle w:val="13"/>
              <w:spacing w:before="156" w:beforeLines="50" w:after="156" w:afterLines="50"/>
              <w:jc w:val="center"/>
              <w:rPr>
                <w:rFonts w:ascii="宋体"/>
                <w:sz w:val="18"/>
                <w:szCs w:val="18"/>
              </w:rPr>
            </w:pPr>
            <w:r>
              <w:rPr>
                <w:rFonts w:hint="eastAsia" w:ascii="宋体"/>
                <w:sz w:val="18"/>
                <w:szCs w:val="18"/>
              </w:rPr>
              <w:t>9个月</w:t>
            </w:r>
          </w:p>
        </w:tc>
        <w:tc>
          <w:tcPr>
            <w:tcW w:w="1060" w:type="dxa"/>
            <w:vAlign w:val="center"/>
          </w:tcPr>
          <w:p w14:paraId="39086AF9">
            <w:pPr>
              <w:spacing w:before="156" w:beforeLines="50" w:after="156" w:afterLines="50"/>
              <w:jc w:val="center"/>
              <w:rPr>
                <w:rFonts w:ascii="宋体"/>
                <w:kern w:val="0"/>
                <w:sz w:val="18"/>
                <w:szCs w:val="18"/>
              </w:rPr>
            </w:pPr>
            <w:r>
              <w:rPr>
                <w:rFonts w:hint="eastAsia" w:ascii="宋体"/>
                <w:kern w:val="0"/>
                <w:sz w:val="18"/>
                <w:szCs w:val="18"/>
              </w:rPr>
              <w:t>24个月直至吊销船员适任证书或者其他适任证件</w:t>
            </w:r>
          </w:p>
        </w:tc>
        <w:tc>
          <w:tcPr>
            <w:tcW w:w="849" w:type="dxa"/>
            <w:vAlign w:val="center"/>
          </w:tcPr>
          <w:p w14:paraId="2552B74C">
            <w:pPr>
              <w:spacing w:before="156" w:beforeLines="50" w:after="156" w:afterLines="50"/>
              <w:jc w:val="center"/>
              <w:rPr>
                <w:rFonts w:ascii="宋体"/>
                <w:kern w:val="0"/>
                <w:sz w:val="18"/>
                <w:szCs w:val="18"/>
              </w:rPr>
            </w:pPr>
            <w:r>
              <w:rPr>
                <w:rFonts w:hint="eastAsia" w:ascii="宋体"/>
                <w:kern w:val="0"/>
                <w:sz w:val="18"/>
                <w:szCs w:val="18"/>
              </w:rPr>
              <w:t>6个月</w:t>
            </w:r>
          </w:p>
        </w:tc>
        <w:tc>
          <w:tcPr>
            <w:tcW w:w="851" w:type="dxa"/>
            <w:vAlign w:val="center"/>
          </w:tcPr>
          <w:p w14:paraId="40130060">
            <w:pPr>
              <w:spacing w:before="156" w:beforeLines="50" w:after="156" w:afterLines="50"/>
              <w:jc w:val="center"/>
              <w:rPr>
                <w:rFonts w:ascii="宋体"/>
                <w:kern w:val="0"/>
                <w:sz w:val="18"/>
                <w:szCs w:val="18"/>
              </w:rPr>
            </w:pPr>
            <w:r>
              <w:rPr>
                <w:rFonts w:hint="eastAsia" w:ascii="宋体"/>
                <w:kern w:val="0"/>
                <w:sz w:val="18"/>
                <w:szCs w:val="18"/>
              </w:rPr>
              <w:t>12个月</w:t>
            </w:r>
          </w:p>
        </w:tc>
        <w:tc>
          <w:tcPr>
            <w:tcW w:w="1272" w:type="dxa"/>
            <w:vAlign w:val="center"/>
          </w:tcPr>
          <w:p w14:paraId="34A5CFA3">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49" w:type="dxa"/>
            <w:vAlign w:val="center"/>
          </w:tcPr>
          <w:p w14:paraId="23B547D3">
            <w:pPr>
              <w:spacing w:before="156" w:beforeLines="50" w:after="156" w:afterLines="50"/>
              <w:jc w:val="center"/>
              <w:rPr>
                <w:rFonts w:ascii="宋体"/>
                <w:kern w:val="0"/>
                <w:sz w:val="18"/>
                <w:szCs w:val="18"/>
              </w:rPr>
            </w:pPr>
            <w:r>
              <w:rPr>
                <w:rFonts w:hint="eastAsia" w:ascii="宋体"/>
                <w:kern w:val="0"/>
                <w:sz w:val="18"/>
                <w:szCs w:val="18"/>
              </w:rPr>
              <w:t>18-24个月</w:t>
            </w:r>
          </w:p>
        </w:tc>
        <w:tc>
          <w:tcPr>
            <w:tcW w:w="1062" w:type="dxa"/>
            <w:vAlign w:val="center"/>
          </w:tcPr>
          <w:p w14:paraId="17D7DDA9">
            <w:pPr>
              <w:spacing w:before="156" w:beforeLines="50" w:after="156" w:afterLines="50"/>
              <w:jc w:val="center"/>
              <w:rPr>
                <w:rFonts w:ascii="宋体"/>
                <w:kern w:val="0"/>
                <w:sz w:val="18"/>
                <w:szCs w:val="18"/>
              </w:rPr>
            </w:pPr>
            <w:r>
              <w:rPr>
                <w:rFonts w:hint="eastAsia" w:ascii="宋体"/>
                <w:kern w:val="0"/>
                <w:sz w:val="18"/>
                <w:szCs w:val="18"/>
              </w:rPr>
              <w:t>18个月直至吊销船员适任证书或者其他适任证件</w:t>
            </w:r>
          </w:p>
        </w:tc>
        <w:tc>
          <w:tcPr>
            <w:tcW w:w="1060" w:type="dxa"/>
            <w:vAlign w:val="center"/>
          </w:tcPr>
          <w:p w14:paraId="274EB0BA">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c>
          <w:tcPr>
            <w:tcW w:w="851" w:type="dxa"/>
            <w:vAlign w:val="center"/>
          </w:tcPr>
          <w:p w14:paraId="7382D56C">
            <w:pPr>
              <w:spacing w:before="156" w:beforeLines="50" w:after="156" w:afterLines="50"/>
              <w:jc w:val="center"/>
              <w:rPr>
                <w:rFonts w:ascii="宋体"/>
                <w:kern w:val="0"/>
                <w:sz w:val="18"/>
                <w:szCs w:val="18"/>
              </w:rPr>
            </w:pPr>
            <w:r>
              <w:rPr>
                <w:rFonts w:hint="eastAsia" w:ascii="宋体"/>
                <w:kern w:val="0"/>
                <w:sz w:val="18"/>
                <w:szCs w:val="18"/>
              </w:rPr>
              <w:t>24个月直至吊销船员适任证书或者其他适任证件</w:t>
            </w:r>
          </w:p>
        </w:tc>
        <w:tc>
          <w:tcPr>
            <w:tcW w:w="780" w:type="dxa"/>
            <w:vAlign w:val="center"/>
          </w:tcPr>
          <w:p w14:paraId="48830214">
            <w:pPr>
              <w:spacing w:before="156" w:beforeLines="50" w:after="156" w:afterLines="50"/>
              <w:jc w:val="center"/>
              <w:rPr>
                <w:rFonts w:ascii="宋体"/>
                <w:kern w:val="0"/>
                <w:sz w:val="18"/>
                <w:szCs w:val="18"/>
              </w:rPr>
            </w:pPr>
            <w:r>
              <w:rPr>
                <w:rFonts w:hint="eastAsia" w:ascii="宋体"/>
                <w:kern w:val="0"/>
                <w:sz w:val="18"/>
                <w:szCs w:val="18"/>
              </w:rPr>
              <w:t>吊销适任证书或者其他适任证件</w:t>
            </w:r>
          </w:p>
        </w:tc>
      </w:tr>
    </w:tbl>
    <w:p w14:paraId="5F77FCD8">
      <w:pPr>
        <w:spacing w:before="156" w:beforeLines="50" w:after="156" w:afterLines="50"/>
        <w:jc w:val="left"/>
        <w:rPr>
          <w:rFonts w:ascii="宋体"/>
          <w:b/>
          <w:sz w:val="18"/>
          <w:szCs w:val="18"/>
        </w:rPr>
      </w:pPr>
    </w:p>
    <w:p w14:paraId="23BA2ECF">
      <w:pPr>
        <w:spacing w:before="156" w:beforeLines="50" w:after="156" w:afterLines="50"/>
        <w:jc w:val="left"/>
        <w:rPr>
          <w:rFonts w:ascii="宋体"/>
          <w:b/>
          <w:sz w:val="18"/>
          <w:szCs w:val="18"/>
        </w:rPr>
      </w:pPr>
    </w:p>
    <w:p w14:paraId="5052DF91">
      <w:pPr>
        <w:spacing w:before="156" w:beforeLines="50" w:after="156" w:afterLines="50"/>
        <w:jc w:val="left"/>
        <w:rPr>
          <w:rFonts w:ascii="宋体"/>
          <w:b/>
          <w:sz w:val="18"/>
          <w:szCs w:val="18"/>
        </w:rPr>
      </w:pPr>
    </w:p>
    <w:p w14:paraId="5565717D">
      <w:pPr>
        <w:spacing w:before="156" w:beforeLines="50" w:after="156" w:afterLines="50"/>
        <w:jc w:val="left"/>
        <w:rPr>
          <w:rFonts w:ascii="宋体"/>
          <w:b/>
          <w:sz w:val="18"/>
          <w:szCs w:val="18"/>
        </w:rPr>
      </w:pPr>
    </w:p>
    <w:p w14:paraId="3BE9C075">
      <w:pPr>
        <w:spacing w:before="156" w:beforeLines="50" w:after="156" w:afterLines="50"/>
        <w:jc w:val="left"/>
        <w:rPr>
          <w:rFonts w:ascii="宋体"/>
          <w:b/>
          <w:sz w:val="18"/>
          <w:szCs w:val="18"/>
        </w:rPr>
      </w:pPr>
    </w:p>
    <w:p w14:paraId="58AF2677">
      <w:pPr>
        <w:spacing w:before="156" w:beforeLines="50" w:after="156" w:afterLines="50"/>
        <w:jc w:val="left"/>
        <w:rPr>
          <w:rFonts w:ascii="宋体"/>
          <w:b/>
          <w:sz w:val="18"/>
          <w:szCs w:val="18"/>
        </w:rPr>
      </w:pPr>
    </w:p>
    <w:p w14:paraId="7661EEC3">
      <w:pPr>
        <w:spacing w:before="156" w:beforeLines="50" w:after="156" w:afterLines="50"/>
        <w:jc w:val="left"/>
        <w:rPr>
          <w:rFonts w:ascii="宋体"/>
          <w:b/>
          <w:sz w:val="18"/>
          <w:szCs w:val="18"/>
        </w:rPr>
      </w:pPr>
    </w:p>
    <w:p w14:paraId="291ADD91">
      <w:pPr>
        <w:spacing w:before="156" w:beforeLines="50" w:after="156" w:afterLines="50"/>
        <w:jc w:val="left"/>
        <w:rPr>
          <w:rFonts w:ascii="宋体"/>
          <w:b/>
          <w:sz w:val="18"/>
          <w:szCs w:val="18"/>
        </w:rPr>
      </w:pPr>
    </w:p>
    <w:p w14:paraId="3145C006">
      <w:pPr>
        <w:spacing w:before="156" w:beforeLines="50" w:after="156" w:afterLines="50"/>
        <w:jc w:val="left"/>
        <w:rPr>
          <w:rFonts w:ascii="宋体"/>
          <w:b/>
          <w:sz w:val="18"/>
          <w:szCs w:val="18"/>
        </w:rPr>
      </w:pPr>
    </w:p>
    <w:p w14:paraId="27872A53">
      <w:pPr>
        <w:spacing w:before="156" w:beforeLines="50" w:after="156" w:afterLines="50"/>
      </w:pPr>
    </w:p>
    <w:p w14:paraId="538A0A1B">
      <w:pPr>
        <w:spacing w:before="156" w:beforeLines="50" w:after="156" w:afterLines="50"/>
      </w:pPr>
    </w:p>
    <w:p w14:paraId="78E87326">
      <w:pPr>
        <w:spacing w:before="156" w:beforeLines="50" w:after="156" w:afterLines="50"/>
      </w:pPr>
    </w:p>
    <w:p w14:paraId="402B48B4">
      <w:pPr>
        <w:spacing w:before="156" w:beforeLines="50" w:after="156" w:afterLines="50"/>
      </w:pPr>
    </w:p>
    <w:p w14:paraId="6075BE24">
      <w:pPr>
        <w:spacing w:before="156" w:beforeLines="50" w:after="156" w:afterLines="50"/>
      </w:pPr>
    </w:p>
    <w:p w14:paraId="64C45D71">
      <w:pPr>
        <w:spacing w:before="156" w:beforeLines="50" w:after="156" w:afterLines="50"/>
      </w:pPr>
    </w:p>
    <w:p w14:paraId="4253A43C">
      <w:pPr>
        <w:spacing w:before="156" w:beforeLines="50" w:after="156" w:afterLines="50"/>
      </w:pPr>
    </w:p>
    <w:p w14:paraId="6C6A29FD">
      <w:pPr>
        <w:spacing w:before="156" w:beforeLines="50" w:after="156" w:afterLines="50"/>
      </w:pPr>
    </w:p>
    <w:p w14:paraId="3346B5B3">
      <w:pPr>
        <w:widowControl/>
        <w:jc w:val="left"/>
      </w:pPr>
      <w:r>
        <w:br w:type="page"/>
      </w:r>
    </w:p>
    <w:tbl>
      <w:tblPr>
        <w:tblStyle w:val="6"/>
        <w:tblW w:w="22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1"/>
        <w:gridCol w:w="880"/>
        <w:gridCol w:w="1129"/>
        <w:gridCol w:w="1296"/>
        <w:gridCol w:w="1001"/>
        <w:gridCol w:w="2767"/>
        <w:gridCol w:w="2187"/>
        <w:gridCol w:w="1707"/>
        <w:gridCol w:w="1725"/>
        <w:gridCol w:w="2142"/>
        <w:gridCol w:w="3398"/>
        <w:gridCol w:w="3223"/>
      </w:tblGrid>
      <w:tr w14:paraId="6C7869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661" w:type="dxa"/>
            <w:vMerge w:val="restart"/>
            <w:vAlign w:val="center"/>
          </w:tcPr>
          <w:p w14:paraId="05718F67">
            <w:pPr>
              <w:spacing w:before="156" w:beforeLines="50" w:after="156" w:afterLines="50"/>
              <w:jc w:val="center"/>
              <w:rPr>
                <w:rFonts w:ascii="宋体"/>
                <w:b/>
                <w:sz w:val="18"/>
                <w:szCs w:val="18"/>
              </w:rPr>
            </w:pPr>
            <w:r>
              <w:rPr>
                <w:rFonts w:hint="eastAsia" w:ascii="宋体"/>
                <w:b/>
                <w:sz w:val="18"/>
                <w:szCs w:val="18"/>
              </w:rPr>
              <w:t>序号</w:t>
            </w:r>
          </w:p>
        </w:tc>
        <w:tc>
          <w:tcPr>
            <w:tcW w:w="880" w:type="dxa"/>
            <w:vMerge w:val="restart"/>
            <w:vAlign w:val="center"/>
          </w:tcPr>
          <w:p w14:paraId="73070AD6">
            <w:pPr>
              <w:spacing w:before="156" w:beforeLines="50" w:after="156" w:afterLines="50"/>
              <w:rPr>
                <w:rFonts w:ascii="宋体"/>
                <w:b/>
                <w:sz w:val="18"/>
                <w:szCs w:val="18"/>
              </w:rPr>
            </w:pPr>
            <w:r>
              <w:rPr>
                <w:rFonts w:hint="eastAsia" w:ascii="宋体"/>
                <w:b/>
                <w:sz w:val="18"/>
                <w:szCs w:val="18"/>
              </w:rPr>
              <w:t>案由</w:t>
            </w:r>
          </w:p>
        </w:tc>
        <w:tc>
          <w:tcPr>
            <w:tcW w:w="2425" w:type="dxa"/>
            <w:gridSpan w:val="2"/>
            <w:vMerge w:val="restart"/>
            <w:vAlign w:val="center"/>
          </w:tcPr>
          <w:p w14:paraId="1CDD8507">
            <w:pPr>
              <w:spacing w:before="156" w:beforeLines="50" w:after="156" w:afterLines="50"/>
              <w:jc w:val="center"/>
              <w:rPr>
                <w:rFonts w:ascii="宋体"/>
                <w:b/>
                <w:sz w:val="18"/>
                <w:szCs w:val="18"/>
              </w:rPr>
            </w:pPr>
            <w:r>
              <w:rPr>
                <w:rFonts w:hint="eastAsia" w:ascii="宋体"/>
                <w:b/>
                <w:sz w:val="18"/>
                <w:szCs w:val="18"/>
              </w:rPr>
              <w:t>法律依据</w:t>
            </w:r>
          </w:p>
        </w:tc>
        <w:tc>
          <w:tcPr>
            <w:tcW w:w="1001" w:type="dxa"/>
            <w:vMerge w:val="restart"/>
            <w:vAlign w:val="center"/>
          </w:tcPr>
          <w:p w14:paraId="430199C1">
            <w:pPr>
              <w:spacing w:before="156" w:beforeLines="50" w:after="156" w:afterLines="50"/>
              <w:jc w:val="center"/>
              <w:rPr>
                <w:rFonts w:ascii="宋体"/>
                <w:b/>
                <w:sz w:val="18"/>
                <w:szCs w:val="18"/>
              </w:rPr>
            </w:pPr>
            <w:r>
              <w:rPr>
                <w:rFonts w:hint="eastAsia" w:ascii="宋体"/>
                <w:b/>
                <w:sz w:val="18"/>
                <w:szCs w:val="18"/>
              </w:rPr>
              <w:t>违法行为情节</w:t>
            </w:r>
          </w:p>
        </w:tc>
        <w:tc>
          <w:tcPr>
            <w:tcW w:w="2767" w:type="dxa"/>
            <w:vMerge w:val="restart"/>
            <w:vAlign w:val="center"/>
          </w:tcPr>
          <w:p w14:paraId="70D8726F">
            <w:pPr>
              <w:spacing w:before="156" w:beforeLines="50" w:after="156" w:afterLines="50"/>
              <w:jc w:val="center"/>
              <w:rPr>
                <w:rFonts w:ascii="宋体"/>
                <w:b/>
                <w:sz w:val="18"/>
                <w:szCs w:val="18"/>
              </w:rPr>
            </w:pPr>
            <w:r>
              <w:rPr>
                <w:rFonts w:hint="eastAsia" w:ascii="宋体"/>
                <w:b/>
                <w:sz w:val="18"/>
                <w:szCs w:val="18"/>
              </w:rPr>
              <w:t>主要考虑因素</w:t>
            </w:r>
          </w:p>
          <w:p w14:paraId="104C09C1">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382" w:type="dxa"/>
            <w:gridSpan w:val="6"/>
            <w:vAlign w:val="center"/>
          </w:tcPr>
          <w:p w14:paraId="67CFE553">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002A3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661" w:type="dxa"/>
            <w:vMerge w:val="continue"/>
            <w:vAlign w:val="center"/>
          </w:tcPr>
          <w:p w14:paraId="4DBA2627">
            <w:pPr>
              <w:spacing w:before="156" w:beforeLines="50" w:after="156" w:afterLines="50"/>
              <w:jc w:val="center"/>
              <w:rPr>
                <w:rFonts w:ascii="宋体"/>
                <w:b/>
                <w:sz w:val="18"/>
                <w:szCs w:val="18"/>
              </w:rPr>
            </w:pPr>
          </w:p>
        </w:tc>
        <w:tc>
          <w:tcPr>
            <w:tcW w:w="880" w:type="dxa"/>
            <w:vMerge w:val="continue"/>
            <w:vAlign w:val="center"/>
          </w:tcPr>
          <w:p w14:paraId="2221A17E">
            <w:pPr>
              <w:spacing w:before="156" w:beforeLines="50" w:after="156" w:afterLines="50"/>
              <w:jc w:val="center"/>
              <w:rPr>
                <w:rFonts w:ascii="宋体"/>
                <w:b/>
                <w:sz w:val="18"/>
                <w:szCs w:val="18"/>
              </w:rPr>
            </w:pPr>
          </w:p>
        </w:tc>
        <w:tc>
          <w:tcPr>
            <w:tcW w:w="2425" w:type="dxa"/>
            <w:gridSpan w:val="2"/>
            <w:vMerge w:val="continue"/>
            <w:vAlign w:val="center"/>
          </w:tcPr>
          <w:p w14:paraId="66CE95B8">
            <w:pPr>
              <w:spacing w:before="156" w:beforeLines="50" w:after="156" w:afterLines="50"/>
              <w:jc w:val="center"/>
              <w:rPr>
                <w:rFonts w:ascii="宋体"/>
                <w:b/>
                <w:sz w:val="18"/>
                <w:szCs w:val="18"/>
              </w:rPr>
            </w:pPr>
          </w:p>
        </w:tc>
        <w:tc>
          <w:tcPr>
            <w:tcW w:w="1001" w:type="dxa"/>
            <w:vMerge w:val="continue"/>
            <w:vAlign w:val="center"/>
          </w:tcPr>
          <w:p w14:paraId="5BD89948">
            <w:pPr>
              <w:spacing w:before="156" w:beforeLines="50" w:after="156" w:afterLines="50"/>
              <w:jc w:val="center"/>
              <w:rPr>
                <w:rFonts w:ascii="宋体"/>
                <w:b/>
                <w:sz w:val="18"/>
                <w:szCs w:val="18"/>
              </w:rPr>
            </w:pPr>
          </w:p>
        </w:tc>
        <w:tc>
          <w:tcPr>
            <w:tcW w:w="2767" w:type="dxa"/>
            <w:vMerge w:val="continue"/>
            <w:vAlign w:val="center"/>
          </w:tcPr>
          <w:p w14:paraId="74E828E6">
            <w:pPr>
              <w:spacing w:before="156" w:beforeLines="50" w:after="156" w:afterLines="50"/>
              <w:jc w:val="center"/>
              <w:rPr>
                <w:rFonts w:ascii="宋体"/>
                <w:b/>
                <w:sz w:val="18"/>
                <w:szCs w:val="18"/>
              </w:rPr>
            </w:pPr>
          </w:p>
        </w:tc>
        <w:tc>
          <w:tcPr>
            <w:tcW w:w="7761" w:type="dxa"/>
            <w:gridSpan w:val="4"/>
            <w:vAlign w:val="center"/>
          </w:tcPr>
          <w:p w14:paraId="41217613">
            <w:pPr>
              <w:spacing w:before="156" w:beforeLines="50" w:after="156" w:afterLines="50"/>
              <w:jc w:val="center"/>
              <w:rPr>
                <w:rFonts w:ascii="宋体"/>
                <w:b/>
                <w:sz w:val="18"/>
                <w:szCs w:val="18"/>
              </w:rPr>
            </w:pPr>
            <w:r>
              <w:rPr>
                <w:rFonts w:hint="eastAsia" w:ascii="宋体"/>
                <w:b/>
                <w:sz w:val="18"/>
                <w:szCs w:val="18"/>
              </w:rPr>
              <w:t>处罚基准</w:t>
            </w:r>
          </w:p>
        </w:tc>
        <w:tc>
          <w:tcPr>
            <w:tcW w:w="6621" w:type="dxa"/>
            <w:gridSpan w:val="2"/>
            <w:vAlign w:val="center"/>
          </w:tcPr>
          <w:p w14:paraId="5175599B">
            <w:pPr>
              <w:spacing w:before="156" w:beforeLines="50" w:after="156" w:afterLines="50"/>
              <w:jc w:val="center"/>
              <w:rPr>
                <w:rFonts w:ascii="宋体"/>
                <w:b/>
                <w:sz w:val="18"/>
                <w:szCs w:val="18"/>
              </w:rPr>
            </w:pPr>
            <w:r>
              <w:rPr>
                <w:rFonts w:hint="eastAsia" w:ascii="宋体"/>
                <w:b/>
                <w:sz w:val="18"/>
                <w:szCs w:val="18"/>
              </w:rPr>
              <w:t>减轻处罚基准</w:t>
            </w:r>
          </w:p>
        </w:tc>
      </w:tr>
      <w:tr w14:paraId="0B9C9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661" w:type="dxa"/>
            <w:vMerge w:val="continue"/>
            <w:vAlign w:val="center"/>
          </w:tcPr>
          <w:p w14:paraId="6E2958CC">
            <w:pPr>
              <w:spacing w:before="156" w:beforeLines="50" w:after="156" w:afterLines="50"/>
              <w:jc w:val="left"/>
              <w:rPr>
                <w:rFonts w:ascii="宋体"/>
                <w:b/>
                <w:sz w:val="18"/>
                <w:szCs w:val="18"/>
              </w:rPr>
            </w:pPr>
          </w:p>
        </w:tc>
        <w:tc>
          <w:tcPr>
            <w:tcW w:w="880" w:type="dxa"/>
            <w:vMerge w:val="continue"/>
            <w:vAlign w:val="center"/>
          </w:tcPr>
          <w:p w14:paraId="6CA6CFFD">
            <w:pPr>
              <w:spacing w:before="156" w:beforeLines="50" w:after="156" w:afterLines="50"/>
              <w:jc w:val="left"/>
              <w:rPr>
                <w:rFonts w:ascii="宋体"/>
                <w:b/>
                <w:sz w:val="18"/>
                <w:szCs w:val="18"/>
              </w:rPr>
            </w:pPr>
          </w:p>
        </w:tc>
        <w:tc>
          <w:tcPr>
            <w:tcW w:w="2425" w:type="dxa"/>
            <w:gridSpan w:val="2"/>
            <w:vMerge w:val="continue"/>
            <w:vAlign w:val="center"/>
          </w:tcPr>
          <w:p w14:paraId="6C91E411">
            <w:pPr>
              <w:spacing w:before="156" w:beforeLines="50" w:after="156" w:afterLines="50"/>
              <w:jc w:val="left"/>
              <w:rPr>
                <w:rFonts w:ascii="宋体"/>
                <w:b/>
                <w:sz w:val="18"/>
                <w:szCs w:val="18"/>
              </w:rPr>
            </w:pPr>
          </w:p>
        </w:tc>
        <w:tc>
          <w:tcPr>
            <w:tcW w:w="1001" w:type="dxa"/>
            <w:vMerge w:val="continue"/>
            <w:vAlign w:val="center"/>
          </w:tcPr>
          <w:p w14:paraId="65B06B48">
            <w:pPr>
              <w:spacing w:before="156" w:beforeLines="50" w:after="156" w:afterLines="50"/>
              <w:jc w:val="left"/>
              <w:rPr>
                <w:rFonts w:ascii="宋体"/>
                <w:b/>
                <w:sz w:val="18"/>
                <w:szCs w:val="18"/>
              </w:rPr>
            </w:pPr>
          </w:p>
        </w:tc>
        <w:tc>
          <w:tcPr>
            <w:tcW w:w="2767" w:type="dxa"/>
            <w:vMerge w:val="continue"/>
            <w:vAlign w:val="center"/>
          </w:tcPr>
          <w:p w14:paraId="05FCF5A4">
            <w:pPr>
              <w:spacing w:before="156" w:beforeLines="50" w:after="156" w:afterLines="50"/>
              <w:jc w:val="left"/>
              <w:rPr>
                <w:rFonts w:ascii="宋体"/>
                <w:b/>
                <w:sz w:val="18"/>
                <w:szCs w:val="18"/>
              </w:rPr>
            </w:pPr>
          </w:p>
        </w:tc>
        <w:tc>
          <w:tcPr>
            <w:tcW w:w="7761" w:type="dxa"/>
            <w:gridSpan w:val="4"/>
            <w:vAlign w:val="center"/>
          </w:tcPr>
          <w:p w14:paraId="5A8FD970">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6621" w:type="dxa"/>
            <w:gridSpan w:val="2"/>
            <w:vAlign w:val="center"/>
          </w:tcPr>
          <w:p w14:paraId="01EC0D3E">
            <w:pPr>
              <w:spacing w:before="156" w:beforeLines="50" w:after="156" w:afterLines="50"/>
              <w:jc w:val="center"/>
              <w:rPr>
                <w:rFonts w:ascii="宋体"/>
                <w:b/>
                <w:sz w:val="18"/>
                <w:szCs w:val="18"/>
              </w:rPr>
            </w:pPr>
            <w:r>
              <w:rPr>
                <w:rFonts w:hint="eastAsia" w:ascii="宋体"/>
                <w:b/>
                <w:sz w:val="18"/>
                <w:szCs w:val="18"/>
              </w:rPr>
              <w:t>【对象】船舶经营人或所有人</w:t>
            </w:r>
          </w:p>
        </w:tc>
      </w:tr>
      <w:tr w14:paraId="0F1CB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6" w:hRule="atLeast"/>
          <w:jc w:val="center"/>
        </w:trPr>
        <w:tc>
          <w:tcPr>
            <w:tcW w:w="661" w:type="dxa"/>
            <w:vMerge w:val="continue"/>
            <w:vAlign w:val="center"/>
          </w:tcPr>
          <w:p w14:paraId="78B3D2E8">
            <w:pPr>
              <w:spacing w:before="156" w:beforeLines="50" w:after="156" w:afterLines="50"/>
              <w:jc w:val="left"/>
              <w:rPr>
                <w:rFonts w:ascii="宋体"/>
                <w:b/>
                <w:sz w:val="18"/>
                <w:szCs w:val="18"/>
              </w:rPr>
            </w:pPr>
          </w:p>
        </w:tc>
        <w:tc>
          <w:tcPr>
            <w:tcW w:w="880" w:type="dxa"/>
            <w:vMerge w:val="continue"/>
            <w:vAlign w:val="center"/>
          </w:tcPr>
          <w:p w14:paraId="4B0979CA">
            <w:pPr>
              <w:spacing w:before="156" w:beforeLines="50" w:after="156" w:afterLines="50"/>
              <w:jc w:val="left"/>
              <w:rPr>
                <w:rFonts w:ascii="宋体"/>
                <w:b/>
                <w:sz w:val="18"/>
                <w:szCs w:val="18"/>
              </w:rPr>
            </w:pPr>
          </w:p>
        </w:tc>
        <w:tc>
          <w:tcPr>
            <w:tcW w:w="1129" w:type="dxa"/>
            <w:vAlign w:val="center"/>
          </w:tcPr>
          <w:p w14:paraId="1C48469E">
            <w:pPr>
              <w:spacing w:before="156" w:beforeLines="50" w:after="156" w:afterLines="50"/>
              <w:jc w:val="center"/>
              <w:rPr>
                <w:rFonts w:ascii="宋体"/>
                <w:b/>
                <w:sz w:val="18"/>
                <w:szCs w:val="18"/>
              </w:rPr>
            </w:pPr>
            <w:r>
              <w:rPr>
                <w:rFonts w:hint="eastAsia" w:ascii="宋体"/>
                <w:b/>
                <w:sz w:val="18"/>
                <w:szCs w:val="18"/>
              </w:rPr>
              <w:t>违反条款</w:t>
            </w:r>
          </w:p>
        </w:tc>
        <w:tc>
          <w:tcPr>
            <w:tcW w:w="1296" w:type="dxa"/>
            <w:vAlign w:val="center"/>
          </w:tcPr>
          <w:p w14:paraId="594994F6">
            <w:pPr>
              <w:spacing w:before="156" w:beforeLines="50" w:after="156" w:afterLines="50"/>
              <w:jc w:val="center"/>
              <w:rPr>
                <w:rFonts w:ascii="宋体"/>
                <w:b/>
                <w:sz w:val="18"/>
                <w:szCs w:val="18"/>
              </w:rPr>
            </w:pPr>
            <w:r>
              <w:rPr>
                <w:rFonts w:hint="eastAsia" w:ascii="宋体"/>
                <w:b/>
                <w:sz w:val="18"/>
                <w:szCs w:val="18"/>
              </w:rPr>
              <w:t>处罚依据</w:t>
            </w:r>
          </w:p>
        </w:tc>
        <w:tc>
          <w:tcPr>
            <w:tcW w:w="1001" w:type="dxa"/>
            <w:vMerge w:val="continue"/>
            <w:vAlign w:val="center"/>
          </w:tcPr>
          <w:p w14:paraId="3B1B0B66">
            <w:pPr>
              <w:spacing w:before="156" w:beforeLines="50" w:after="156" w:afterLines="50"/>
              <w:jc w:val="left"/>
              <w:rPr>
                <w:rFonts w:ascii="宋体"/>
                <w:b/>
                <w:sz w:val="18"/>
                <w:szCs w:val="18"/>
              </w:rPr>
            </w:pPr>
          </w:p>
        </w:tc>
        <w:tc>
          <w:tcPr>
            <w:tcW w:w="2767" w:type="dxa"/>
            <w:vMerge w:val="continue"/>
            <w:vAlign w:val="center"/>
          </w:tcPr>
          <w:p w14:paraId="07981C38">
            <w:pPr>
              <w:spacing w:before="156" w:beforeLines="50" w:after="156" w:afterLines="50"/>
              <w:jc w:val="left"/>
              <w:rPr>
                <w:rFonts w:ascii="宋体"/>
                <w:b/>
                <w:sz w:val="18"/>
                <w:szCs w:val="18"/>
              </w:rPr>
            </w:pPr>
          </w:p>
        </w:tc>
        <w:tc>
          <w:tcPr>
            <w:tcW w:w="2187" w:type="dxa"/>
            <w:vAlign w:val="center"/>
          </w:tcPr>
          <w:p w14:paraId="74C6CAE2">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1707" w:type="dxa"/>
            <w:vAlign w:val="center"/>
          </w:tcPr>
          <w:p w14:paraId="14D2FAD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725" w:type="dxa"/>
            <w:tcBorders>
              <w:right w:val="single" w:color="auto" w:sz="4" w:space="0"/>
            </w:tcBorders>
            <w:vAlign w:val="center"/>
          </w:tcPr>
          <w:p w14:paraId="25889DE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42" w:type="dxa"/>
            <w:tcBorders>
              <w:left w:val="single" w:color="auto" w:sz="4" w:space="0"/>
            </w:tcBorders>
            <w:vAlign w:val="center"/>
          </w:tcPr>
          <w:p w14:paraId="0F513240">
            <w:pPr>
              <w:spacing w:before="156" w:beforeLines="50" w:after="156" w:afterLines="50"/>
              <w:rPr>
                <w:rFonts w:ascii="宋体"/>
                <w:b/>
                <w:sz w:val="18"/>
                <w:szCs w:val="18"/>
              </w:rPr>
            </w:pPr>
            <w:r>
              <w:rPr>
                <w:rFonts w:hint="eastAsia" w:ascii="宋体"/>
                <w:b/>
                <w:sz w:val="18"/>
                <w:szCs w:val="18"/>
              </w:rPr>
              <w:t>【对象】责任船员</w:t>
            </w:r>
          </w:p>
        </w:tc>
        <w:tc>
          <w:tcPr>
            <w:tcW w:w="3398" w:type="dxa"/>
            <w:tcBorders>
              <w:left w:val="single" w:color="auto" w:sz="4" w:space="0"/>
            </w:tcBorders>
            <w:vAlign w:val="center"/>
          </w:tcPr>
          <w:p w14:paraId="695C2D3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223" w:type="dxa"/>
            <w:tcBorders>
              <w:left w:val="single" w:color="auto" w:sz="4" w:space="0"/>
            </w:tcBorders>
            <w:vAlign w:val="center"/>
          </w:tcPr>
          <w:p w14:paraId="131CF43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785AF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9" w:hRule="atLeast"/>
          <w:jc w:val="center"/>
        </w:trPr>
        <w:tc>
          <w:tcPr>
            <w:tcW w:w="661" w:type="dxa"/>
            <w:vMerge w:val="restart"/>
            <w:vAlign w:val="center"/>
          </w:tcPr>
          <w:p w14:paraId="6355098E">
            <w:pPr>
              <w:spacing w:before="156" w:beforeLines="50" w:after="156" w:afterLines="50"/>
              <w:jc w:val="center"/>
              <w:rPr>
                <w:rFonts w:ascii="宋体"/>
                <w:sz w:val="18"/>
                <w:szCs w:val="18"/>
              </w:rPr>
            </w:pPr>
            <w:r>
              <w:rPr>
                <w:rFonts w:hint="eastAsia" w:ascii="宋体"/>
                <w:sz w:val="18"/>
                <w:szCs w:val="18"/>
              </w:rPr>
              <w:t>24</w:t>
            </w:r>
          </w:p>
        </w:tc>
        <w:tc>
          <w:tcPr>
            <w:tcW w:w="880" w:type="dxa"/>
            <w:vMerge w:val="restart"/>
            <w:vAlign w:val="center"/>
          </w:tcPr>
          <w:p w14:paraId="50A2C7C6">
            <w:pPr>
              <w:spacing w:before="156" w:beforeLines="50" w:after="156" w:afterLines="50"/>
              <w:jc w:val="left"/>
              <w:rPr>
                <w:rFonts w:ascii="宋体"/>
                <w:sz w:val="18"/>
                <w:szCs w:val="18"/>
              </w:rPr>
            </w:pPr>
            <w:r>
              <w:rPr>
                <w:rFonts w:hint="eastAsia" w:ascii="宋体"/>
                <w:sz w:val="18"/>
                <w:szCs w:val="18"/>
              </w:rPr>
              <w:t>超过核定航区航行</w:t>
            </w:r>
          </w:p>
        </w:tc>
        <w:tc>
          <w:tcPr>
            <w:tcW w:w="1129" w:type="dxa"/>
            <w:vMerge w:val="restart"/>
            <w:vAlign w:val="center"/>
          </w:tcPr>
          <w:p w14:paraId="24265BEC">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《中华人民共和国内河交通安全管理条例》第二十一条第一款</w:t>
            </w:r>
          </w:p>
        </w:tc>
        <w:tc>
          <w:tcPr>
            <w:tcW w:w="1296" w:type="dxa"/>
            <w:vMerge w:val="restart"/>
            <w:vAlign w:val="center"/>
          </w:tcPr>
          <w:p w14:paraId="3B68032F">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14:paraId="6FFB630C">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2.《中华人民共和国内河海事行政处罚规定》第十八条第一款和第二款第（四）项；</w:t>
            </w:r>
          </w:p>
          <w:p w14:paraId="76789F0D">
            <w:pPr>
              <w:spacing w:before="156" w:beforeLines="50" w:after="156" w:afterLines="50"/>
              <w:jc w:val="left"/>
              <w:rPr>
                <w:rFonts w:ascii="宋体"/>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1001" w:type="dxa"/>
            <w:vAlign w:val="center"/>
          </w:tcPr>
          <w:p w14:paraId="5F69F4D6">
            <w:pPr>
              <w:spacing w:before="156" w:beforeLines="50" w:after="156" w:afterLines="50"/>
              <w:jc w:val="center"/>
              <w:rPr>
                <w:rFonts w:ascii="宋体"/>
                <w:sz w:val="18"/>
                <w:szCs w:val="18"/>
              </w:rPr>
            </w:pPr>
            <w:r>
              <w:rPr>
                <w:rFonts w:hint="eastAsia" w:ascii="宋体"/>
                <w:sz w:val="18"/>
                <w:szCs w:val="18"/>
              </w:rPr>
              <w:t>从轻</w:t>
            </w:r>
          </w:p>
        </w:tc>
        <w:tc>
          <w:tcPr>
            <w:tcW w:w="2767" w:type="dxa"/>
            <w:vAlign w:val="center"/>
          </w:tcPr>
          <w:p w14:paraId="5E335D78">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187" w:type="dxa"/>
            <w:vAlign w:val="center"/>
          </w:tcPr>
          <w:p w14:paraId="527ADC6C">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707" w:type="dxa"/>
            <w:vAlign w:val="center"/>
          </w:tcPr>
          <w:p w14:paraId="11CB6C49">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725" w:type="dxa"/>
            <w:tcBorders>
              <w:right w:val="single" w:color="auto" w:sz="4" w:space="0"/>
            </w:tcBorders>
            <w:vAlign w:val="center"/>
          </w:tcPr>
          <w:p w14:paraId="5F0B2E1A">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142" w:type="dxa"/>
            <w:tcBorders>
              <w:left w:val="single" w:color="auto" w:sz="4" w:space="0"/>
            </w:tcBorders>
            <w:vAlign w:val="center"/>
          </w:tcPr>
          <w:p w14:paraId="59FE820A">
            <w:pPr>
              <w:widowControl/>
              <w:spacing w:before="156" w:beforeLines="50" w:after="156" w:afterLines="50"/>
              <w:jc w:val="center"/>
              <w:rPr>
                <w:rFonts w:ascii="宋体"/>
                <w:kern w:val="0"/>
                <w:sz w:val="18"/>
                <w:szCs w:val="18"/>
              </w:rPr>
            </w:pPr>
            <w:r>
              <w:rPr>
                <w:rFonts w:ascii="宋体"/>
                <w:kern w:val="0"/>
                <w:sz w:val="18"/>
                <w:szCs w:val="18"/>
              </w:rPr>
              <w:t>/</w:t>
            </w:r>
          </w:p>
        </w:tc>
        <w:tc>
          <w:tcPr>
            <w:tcW w:w="3398" w:type="dxa"/>
            <w:vMerge w:val="restart"/>
            <w:tcBorders>
              <w:left w:val="single" w:color="auto" w:sz="4" w:space="0"/>
            </w:tcBorders>
            <w:vAlign w:val="center"/>
          </w:tcPr>
          <w:p w14:paraId="0D272247">
            <w:pPr>
              <w:spacing w:before="156" w:beforeLines="50" w:after="156" w:afterLines="50"/>
              <w:rPr>
                <w:rFonts w:ascii="宋体"/>
                <w:sz w:val="18"/>
                <w:szCs w:val="18"/>
              </w:rPr>
            </w:pPr>
            <w:r>
              <w:rPr>
                <w:rFonts w:hint="eastAsia" w:ascii="宋体"/>
                <w:sz w:val="18"/>
                <w:szCs w:val="18"/>
              </w:rPr>
              <w:t>1.船舶未按规定拖带，未造成事故及险情的的：3</w:t>
            </w:r>
            <w:r>
              <w:rPr>
                <w:rFonts w:ascii="宋体"/>
                <w:sz w:val="18"/>
                <w:szCs w:val="18"/>
              </w:rPr>
              <w:t>000</w:t>
            </w:r>
            <w:r>
              <w:rPr>
                <w:rFonts w:hint="eastAsia" w:ascii="宋体"/>
                <w:sz w:val="18"/>
                <w:szCs w:val="18"/>
              </w:rPr>
              <w:t>元及以上</w:t>
            </w:r>
            <w:r>
              <w:rPr>
                <w:rFonts w:ascii="宋体"/>
                <w:sz w:val="18"/>
                <w:szCs w:val="18"/>
              </w:rPr>
              <w:t>6000</w:t>
            </w:r>
            <w:r>
              <w:rPr>
                <w:rFonts w:hint="eastAsia" w:ascii="宋体"/>
                <w:sz w:val="18"/>
                <w:szCs w:val="18"/>
              </w:rPr>
              <w:t>元以下；</w:t>
            </w:r>
          </w:p>
          <w:p w14:paraId="37DEB01A">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：4</w:t>
            </w:r>
            <w:r>
              <w:rPr>
                <w:rFonts w:ascii="宋体"/>
                <w:sz w:val="18"/>
                <w:szCs w:val="18"/>
              </w:rPr>
              <w:t>000</w:t>
            </w:r>
            <w:r>
              <w:rPr>
                <w:rFonts w:hint="eastAsia" w:ascii="宋体"/>
                <w:sz w:val="18"/>
                <w:szCs w:val="18"/>
              </w:rPr>
              <w:t>元及以上1万元以下。</w:t>
            </w:r>
          </w:p>
        </w:tc>
        <w:tc>
          <w:tcPr>
            <w:tcW w:w="3223" w:type="dxa"/>
            <w:vMerge w:val="restart"/>
            <w:tcBorders>
              <w:left w:val="single" w:color="auto" w:sz="4" w:space="0"/>
            </w:tcBorders>
            <w:vAlign w:val="center"/>
          </w:tcPr>
          <w:p w14:paraId="0E9356C4">
            <w:pPr>
              <w:spacing w:before="156" w:beforeLines="50" w:after="156" w:afterLines="50"/>
              <w:rPr>
                <w:rFonts w:ascii="宋体"/>
                <w:sz w:val="18"/>
                <w:szCs w:val="18"/>
              </w:rPr>
            </w:pPr>
            <w:r>
              <w:rPr>
                <w:rFonts w:hint="eastAsia" w:ascii="宋体"/>
                <w:sz w:val="18"/>
                <w:szCs w:val="18"/>
              </w:rPr>
              <w:t>1.船舶未按规定拖带的：4</w:t>
            </w:r>
            <w:r>
              <w:rPr>
                <w:rFonts w:ascii="宋体"/>
                <w:sz w:val="18"/>
                <w:szCs w:val="18"/>
              </w:rPr>
              <w:t>000</w:t>
            </w:r>
            <w:r>
              <w:rPr>
                <w:rFonts w:hint="eastAsia" w:ascii="宋体"/>
                <w:sz w:val="18"/>
                <w:szCs w:val="18"/>
              </w:rPr>
              <w:t>元及以上</w:t>
            </w:r>
            <w:r>
              <w:rPr>
                <w:rFonts w:ascii="宋体"/>
                <w:sz w:val="18"/>
                <w:szCs w:val="18"/>
              </w:rPr>
              <w:t>8000</w:t>
            </w:r>
            <w:r>
              <w:rPr>
                <w:rFonts w:hint="eastAsia" w:ascii="宋体"/>
                <w:sz w:val="18"/>
                <w:szCs w:val="18"/>
              </w:rPr>
              <w:t>元以下；</w:t>
            </w:r>
          </w:p>
          <w:p w14:paraId="4A22CC7E">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非拖带船从事拖带作业的</w:t>
            </w:r>
            <w:r>
              <w:rPr>
                <w:rFonts w:hint="eastAsia" w:ascii="宋体"/>
                <w:sz w:val="18"/>
                <w:szCs w:val="18"/>
              </w:rPr>
              <w:t>：6</w:t>
            </w:r>
            <w:r>
              <w:rPr>
                <w:rFonts w:ascii="宋体"/>
                <w:sz w:val="18"/>
                <w:szCs w:val="18"/>
              </w:rPr>
              <w:t>000</w:t>
            </w:r>
            <w:r>
              <w:rPr>
                <w:rFonts w:hint="eastAsia" w:ascii="宋体"/>
                <w:sz w:val="18"/>
                <w:szCs w:val="18"/>
              </w:rPr>
              <w:t>元及以上2万元以下。</w:t>
            </w:r>
          </w:p>
        </w:tc>
      </w:tr>
      <w:tr w14:paraId="3187C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61" w:type="dxa"/>
            <w:vMerge w:val="continue"/>
          </w:tcPr>
          <w:p w14:paraId="337777E8">
            <w:pPr>
              <w:spacing w:before="156" w:beforeLines="50" w:after="156" w:afterLines="50"/>
              <w:jc w:val="left"/>
              <w:rPr>
                <w:rFonts w:ascii="宋体"/>
                <w:sz w:val="18"/>
                <w:szCs w:val="18"/>
              </w:rPr>
            </w:pPr>
          </w:p>
        </w:tc>
        <w:tc>
          <w:tcPr>
            <w:tcW w:w="880" w:type="dxa"/>
            <w:vMerge w:val="continue"/>
            <w:vAlign w:val="center"/>
          </w:tcPr>
          <w:p w14:paraId="02FB418B">
            <w:pPr>
              <w:spacing w:before="156" w:beforeLines="50" w:after="156" w:afterLines="50"/>
              <w:jc w:val="left"/>
              <w:rPr>
                <w:rFonts w:ascii="宋体"/>
                <w:sz w:val="18"/>
                <w:szCs w:val="18"/>
              </w:rPr>
            </w:pPr>
          </w:p>
        </w:tc>
        <w:tc>
          <w:tcPr>
            <w:tcW w:w="1129" w:type="dxa"/>
            <w:vMerge w:val="continue"/>
            <w:vAlign w:val="center"/>
          </w:tcPr>
          <w:p w14:paraId="4AE18929">
            <w:pPr>
              <w:spacing w:before="156" w:beforeLines="50" w:after="156" w:afterLines="50"/>
              <w:jc w:val="left"/>
              <w:rPr>
                <w:rFonts w:ascii="宋体"/>
                <w:sz w:val="18"/>
                <w:szCs w:val="18"/>
              </w:rPr>
            </w:pPr>
          </w:p>
        </w:tc>
        <w:tc>
          <w:tcPr>
            <w:tcW w:w="1296" w:type="dxa"/>
            <w:vMerge w:val="continue"/>
            <w:vAlign w:val="center"/>
          </w:tcPr>
          <w:p w14:paraId="1D18ABC6">
            <w:pPr>
              <w:spacing w:before="156" w:beforeLines="50" w:after="156" w:afterLines="50"/>
              <w:jc w:val="left"/>
              <w:rPr>
                <w:rFonts w:ascii="宋体"/>
                <w:sz w:val="18"/>
                <w:szCs w:val="18"/>
              </w:rPr>
            </w:pPr>
          </w:p>
        </w:tc>
        <w:tc>
          <w:tcPr>
            <w:tcW w:w="1001" w:type="dxa"/>
            <w:vMerge w:val="restart"/>
            <w:vAlign w:val="center"/>
          </w:tcPr>
          <w:p w14:paraId="77A95E03">
            <w:pPr>
              <w:spacing w:before="156" w:beforeLines="50" w:after="156" w:afterLines="50"/>
              <w:jc w:val="center"/>
              <w:rPr>
                <w:rFonts w:ascii="宋体"/>
                <w:sz w:val="18"/>
                <w:szCs w:val="18"/>
              </w:rPr>
            </w:pPr>
            <w:r>
              <w:rPr>
                <w:rFonts w:hint="eastAsia" w:ascii="宋体"/>
                <w:sz w:val="18"/>
                <w:szCs w:val="18"/>
              </w:rPr>
              <w:t>一般</w:t>
            </w:r>
          </w:p>
        </w:tc>
        <w:tc>
          <w:tcPr>
            <w:tcW w:w="2767" w:type="dxa"/>
            <w:vAlign w:val="center"/>
          </w:tcPr>
          <w:p w14:paraId="316C12F8">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w:t>
            </w:r>
          </w:p>
        </w:tc>
        <w:tc>
          <w:tcPr>
            <w:tcW w:w="2187" w:type="dxa"/>
            <w:vAlign w:val="center"/>
          </w:tcPr>
          <w:p w14:paraId="2E3826F3">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1707" w:type="dxa"/>
            <w:vAlign w:val="center"/>
          </w:tcPr>
          <w:p w14:paraId="6DB4128A">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1725" w:type="dxa"/>
            <w:tcBorders>
              <w:right w:val="single" w:color="auto" w:sz="4" w:space="0"/>
            </w:tcBorders>
            <w:vAlign w:val="center"/>
          </w:tcPr>
          <w:p w14:paraId="6F168C15">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2142" w:type="dxa"/>
            <w:tcBorders>
              <w:left w:val="single" w:color="auto" w:sz="4" w:space="0"/>
            </w:tcBorders>
            <w:vAlign w:val="center"/>
          </w:tcPr>
          <w:p w14:paraId="69A69FEF">
            <w:pPr>
              <w:spacing w:before="156" w:beforeLines="50" w:after="156" w:afterLines="50"/>
              <w:jc w:val="center"/>
              <w:rPr>
                <w:rFonts w:ascii="宋体"/>
                <w:sz w:val="18"/>
                <w:szCs w:val="18"/>
              </w:rPr>
            </w:pPr>
            <w:r>
              <w:rPr>
                <w:rFonts w:ascii="宋体"/>
                <w:kern w:val="0"/>
                <w:sz w:val="18"/>
                <w:szCs w:val="18"/>
              </w:rPr>
              <w:t>/</w:t>
            </w:r>
          </w:p>
        </w:tc>
        <w:tc>
          <w:tcPr>
            <w:tcW w:w="3398" w:type="dxa"/>
            <w:vMerge w:val="continue"/>
            <w:tcBorders>
              <w:left w:val="single" w:color="auto" w:sz="4" w:space="0"/>
            </w:tcBorders>
            <w:vAlign w:val="center"/>
          </w:tcPr>
          <w:p w14:paraId="6EE80ACB">
            <w:pPr>
              <w:spacing w:before="156" w:beforeLines="50" w:after="156" w:afterLines="50"/>
              <w:jc w:val="center"/>
              <w:rPr>
                <w:rFonts w:ascii="宋体"/>
                <w:kern w:val="0"/>
                <w:sz w:val="18"/>
                <w:szCs w:val="18"/>
              </w:rPr>
            </w:pPr>
          </w:p>
        </w:tc>
        <w:tc>
          <w:tcPr>
            <w:tcW w:w="3223" w:type="dxa"/>
            <w:vMerge w:val="continue"/>
            <w:tcBorders>
              <w:left w:val="single" w:color="auto" w:sz="4" w:space="0"/>
            </w:tcBorders>
            <w:vAlign w:val="center"/>
          </w:tcPr>
          <w:p w14:paraId="079E6D6A">
            <w:pPr>
              <w:spacing w:before="156" w:beforeLines="50" w:after="156" w:afterLines="50"/>
              <w:jc w:val="center"/>
              <w:rPr>
                <w:rFonts w:ascii="宋体"/>
                <w:kern w:val="0"/>
                <w:sz w:val="18"/>
                <w:szCs w:val="18"/>
              </w:rPr>
            </w:pPr>
          </w:p>
        </w:tc>
      </w:tr>
      <w:tr w14:paraId="43C2E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661" w:type="dxa"/>
            <w:vMerge w:val="continue"/>
          </w:tcPr>
          <w:p w14:paraId="11CBD397">
            <w:pPr>
              <w:spacing w:before="156" w:beforeLines="50" w:after="156" w:afterLines="50"/>
              <w:jc w:val="left"/>
              <w:rPr>
                <w:rFonts w:ascii="宋体"/>
                <w:sz w:val="18"/>
                <w:szCs w:val="18"/>
              </w:rPr>
            </w:pPr>
          </w:p>
        </w:tc>
        <w:tc>
          <w:tcPr>
            <w:tcW w:w="880" w:type="dxa"/>
            <w:vMerge w:val="continue"/>
            <w:vAlign w:val="center"/>
          </w:tcPr>
          <w:p w14:paraId="3F7F126E">
            <w:pPr>
              <w:spacing w:before="156" w:beforeLines="50" w:after="156" w:afterLines="50"/>
              <w:jc w:val="left"/>
              <w:rPr>
                <w:rFonts w:ascii="宋体"/>
                <w:sz w:val="18"/>
                <w:szCs w:val="18"/>
              </w:rPr>
            </w:pPr>
          </w:p>
        </w:tc>
        <w:tc>
          <w:tcPr>
            <w:tcW w:w="1129" w:type="dxa"/>
            <w:vMerge w:val="continue"/>
            <w:vAlign w:val="center"/>
          </w:tcPr>
          <w:p w14:paraId="375B89C4">
            <w:pPr>
              <w:spacing w:before="156" w:beforeLines="50" w:after="156" w:afterLines="50"/>
              <w:jc w:val="left"/>
              <w:rPr>
                <w:rFonts w:ascii="宋体"/>
                <w:sz w:val="18"/>
                <w:szCs w:val="18"/>
              </w:rPr>
            </w:pPr>
          </w:p>
        </w:tc>
        <w:tc>
          <w:tcPr>
            <w:tcW w:w="1296" w:type="dxa"/>
            <w:vMerge w:val="continue"/>
            <w:vAlign w:val="center"/>
          </w:tcPr>
          <w:p w14:paraId="343CCBEF">
            <w:pPr>
              <w:spacing w:before="156" w:beforeLines="50" w:after="156" w:afterLines="50"/>
              <w:jc w:val="left"/>
              <w:rPr>
                <w:rFonts w:ascii="宋体"/>
                <w:sz w:val="18"/>
                <w:szCs w:val="18"/>
              </w:rPr>
            </w:pPr>
          </w:p>
        </w:tc>
        <w:tc>
          <w:tcPr>
            <w:tcW w:w="1001" w:type="dxa"/>
            <w:vMerge w:val="continue"/>
            <w:vAlign w:val="center"/>
          </w:tcPr>
          <w:p w14:paraId="342A81F6">
            <w:pPr>
              <w:spacing w:before="156" w:beforeLines="50" w:after="156" w:afterLines="50"/>
              <w:jc w:val="center"/>
              <w:rPr>
                <w:rFonts w:ascii="宋体"/>
                <w:sz w:val="18"/>
                <w:szCs w:val="18"/>
              </w:rPr>
            </w:pPr>
          </w:p>
        </w:tc>
        <w:tc>
          <w:tcPr>
            <w:tcW w:w="2767" w:type="dxa"/>
            <w:vAlign w:val="center"/>
          </w:tcPr>
          <w:p w14:paraId="0FFCB2B9">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船舶超过核定航区航行，造成一般以下等级水上交通事故的。</w:t>
            </w:r>
          </w:p>
        </w:tc>
        <w:tc>
          <w:tcPr>
            <w:tcW w:w="2187" w:type="dxa"/>
            <w:vAlign w:val="center"/>
          </w:tcPr>
          <w:p w14:paraId="6BFE0517">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w:t>
            </w:r>
            <w:r>
              <w:rPr>
                <w:rFonts w:hint="eastAsia" w:ascii="宋体"/>
                <w:sz w:val="18"/>
                <w:szCs w:val="18"/>
              </w:rPr>
              <w:t>万元以下</w:t>
            </w:r>
          </w:p>
        </w:tc>
        <w:tc>
          <w:tcPr>
            <w:tcW w:w="1707" w:type="dxa"/>
            <w:vAlign w:val="center"/>
          </w:tcPr>
          <w:p w14:paraId="574CC583">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4.5</w:t>
            </w:r>
            <w:r>
              <w:rPr>
                <w:rFonts w:hint="eastAsia" w:ascii="宋体"/>
                <w:sz w:val="18"/>
                <w:szCs w:val="18"/>
              </w:rPr>
              <w:t>万元以下</w:t>
            </w:r>
          </w:p>
        </w:tc>
        <w:tc>
          <w:tcPr>
            <w:tcW w:w="1725" w:type="dxa"/>
            <w:tcBorders>
              <w:right w:val="single" w:color="auto" w:sz="4" w:space="0"/>
            </w:tcBorders>
            <w:vAlign w:val="center"/>
          </w:tcPr>
          <w:p w14:paraId="242738AF">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5</w:t>
            </w:r>
            <w:r>
              <w:rPr>
                <w:rFonts w:hint="eastAsia" w:ascii="宋体"/>
                <w:sz w:val="18"/>
                <w:szCs w:val="18"/>
              </w:rPr>
              <w:t>万元以下</w:t>
            </w:r>
          </w:p>
        </w:tc>
        <w:tc>
          <w:tcPr>
            <w:tcW w:w="2142" w:type="dxa"/>
            <w:tcBorders>
              <w:left w:val="single" w:color="auto" w:sz="4" w:space="0"/>
            </w:tcBorders>
            <w:vAlign w:val="center"/>
          </w:tcPr>
          <w:p w14:paraId="7E33F425">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并可以对责任船员给予暂扣适任证书或者其他适任证件6个月以上直至吊销适任证书或者其他适任证件的处罚。</w:t>
            </w:r>
          </w:p>
        </w:tc>
        <w:tc>
          <w:tcPr>
            <w:tcW w:w="3398" w:type="dxa"/>
            <w:vMerge w:val="continue"/>
            <w:tcBorders>
              <w:left w:val="single" w:color="auto" w:sz="4" w:space="0"/>
            </w:tcBorders>
            <w:vAlign w:val="center"/>
          </w:tcPr>
          <w:p w14:paraId="3BB32949">
            <w:pPr>
              <w:spacing w:before="156" w:beforeLines="50" w:after="156" w:afterLines="50"/>
              <w:jc w:val="left"/>
              <w:rPr>
                <w:rFonts w:ascii="宋体"/>
                <w:sz w:val="18"/>
                <w:szCs w:val="18"/>
              </w:rPr>
            </w:pPr>
          </w:p>
        </w:tc>
        <w:tc>
          <w:tcPr>
            <w:tcW w:w="3223" w:type="dxa"/>
            <w:vMerge w:val="continue"/>
            <w:tcBorders>
              <w:left w:val="single" w:color="auto" w:sz="4" w:space="0"/>
            </w:tcBorders>
            <w:vAlign w:val="center"/>
          </w:tcPr>
          <w:p w14:paraId="7C87AD96">
            <w:pPr>
              <w:spacing w:before="156" w:beforeLines="50" w:after="156" w:afterLines="50"/>
              <w:jc w:val="left"/>
              <w:rPr>
                <w:rFonts w:ascii="宋体"/>
                <w:sz w:val="18"/>
                <w:szCs w:val="18"/>
              </w:rPr>
            </w:pPr>
          </w:p>
        </w:tc>
      </w:tr>
      <w:tr w14:paraId="2261E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661" w:type="dxa"/>
            <w:vMerge w:val="continue"/>
          </w:tcPr>
          <w:p w14:paraId="6A362843">
            <w:pPr>
              <w:spacing w:before="156" w:beforeLines="50" w:after="156" w:afterLines="50"/>
              <w:jc w:val="left"/>
              <w:rPr>
                <w:rFonts w:ascii="宋体"/>
                <w:sz w:val="18"/>
                <w:szCs w:val="18"/>
              </w:rPr>
            </w:pPr>
          </w:p>
        </w:tc>
        <w:tc>
          <w:tcPr>
            <w:tcW w:w="880" w:type="dxa"/>
            <w:vMerge w:val="continue"/>
            <w:vAlign w:val="center"/>
          </w:tcPr>
          <w:p w14:paraId="4072C041">
            <w:pPr>
              <w:spacing w:before="156" w:beforeLines="50" w:after="156" w:afterLines="50"/>
              <w:jc w:val="left"/>
              <w:rPr>
                <w:rFonts w:ascii="宋体"/>
                <w:sz w:val="18"/>
                <w:szCs w:val="18"/>
              </w:rPr>
            </w:pPr>
          </w:p>
        </w:tc>
        <w:tc>
          <w:tcPr>
            <w:tcW w:w="1129" w:type="dxa"/>
            <w:vMerge w:val="continue"/>
            <w:vAlign w:val="center"/>
          </w:tcPr>
          <w:p w14:paraId="4F426F73">
            <w:pPr>
              <w:spacing w:before="156" w:beforeLines="50" w:after="156" w:afterLines="50"/>
              <w:jc w:val="left"/>
              <w:rPr>
                <w:rFonts w:ascii="宋体"/>
                <w:sz w:val="18"/>
                <w:szCs w:val="18"/>
              </w:rPr>
            </w:pPr>
          </w:p>
        </w:tc>
        <w:tc>
          <w:tcPr>
            <w:tcW w:w="1296" w:type="dxa"/>
            <w:vMerge w:val="continue"/>
            <w:vAlign w:val="center"/>
          </w:tcPr>
          <w:p w14:paraId="5285F8F3">
            <w:pPr>
              <w:spacing w:before="156" w:beforeLines="50" w:after="156" w:afterLines="50"/>
              <w:jc w:val="left"/>
              <w:rPr>
                <w:rFonts w:ascii="宋体"/>
                <w:sz w:val="18"/>
                <w:szCs w:val="18"/>
              </w:rPr>
            </w:pPr>
          </w:p>
        </w:tc>
        <w:tc>
          <w:tcPr>
            <w:tcW w:w="1001" w:type="dxa"/>
            <w:vMerge w:val="continue"/>
            <w:vAlign w:val="center"/>
          </w:tcPr>
          <w:p w14:paraId="7127C467">
            <w:pPr>
              <w:spacing w:before="156" w:beforeLines="50" w:after="156" w:afterLines="50"/>
              <w:jc w:val="center"/>
              <w:rPr>
                <w:rFonts w:ascii="宋体"/>
                <w:sz w:val="18"/>
                <w:szCs w:val="18"/>
              </w:rPr>
            </w:pPr>
          </w:p>
        </w:tc>
        <w:tc>
          <w:tcPr>
            <w:tcW w:w="2767" w:type="dxa"/>
            <w:tcBorders>
              <w:bottom w:val="single" w:color="auto" w:sz="4" w:space="0"/>
            </w:tcBorders>
            <w:vAlign w:val="center"/>
          </w:tcPr>
          <w:p w14:paraId="38BE5093">
            <w:pPr>
              <w:widowControl/>
              <w:spacing w:before="156" w:beforeLines="50" w:after="156" w:afterLines="50"/>
              <w:jc w:val="left"/>
              <w:rPr>
                <w:rFonts w:ascii="宋体"/>
                <w:kern w:val="0"/>
                <w:sz w:val="18"/>
                <w:szCs w:val="18"/>
              </w:rPr>
            </w:pPr>
            <w:r>
              <w:rPr>
                <w:rFonts w:hint="eastAsia" w:ascii="宋体"/>
                <w:kern w:val="0"/>
                <w:sz w:val="18"/>
                <w:szCs w:val="18"/>
              </w:rPr>
              <w:t>船舶超过核定航区航行，造成一般及以上等级水上交通事故的。</w:t>
            </w:r>
          </w:p>
        </w:tc>
        <w:tc>
          <w:tcPr>
            <w:tcW w:w="2187" w:type="dxa"/>
            <w:tcBorders>
              <w:bottom w:val="single" w:color="auto" w:sz="4" w:space="0"/>
            </w:tcBorders>
            <w:vAlign w:val="center"/>
          </w:tcPr>
          <w:p w14:paraId="74A416A8">
            <w:pPr>
              <w:spacing w:before="156" w:beforeLines="50" w:after="156" w:afterLines="50"/>
              <w:jc w:val="left"/>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1707" w:type="dxa"/>
            <w:tcBorders>
              <w:bottom w:val="single" w:color="auto" w:sz="4" w:space="0"/>
            </w:tcBorders>
            <w:vAlign w:val="center"/>
          </w:tcPr>
          <w:p w14:paraId="7F855004">
            <w:pPr>
              <w:spacing w:before="156" w:beforeLines="50" w:after="156" w:afterLines="50"/>
              <w:jc w:val="left"/>
              <w:rPr>
                <w:rFonts w:ascii="宋体"/>
                <w:sz w:val="18"/>
                <w:szCs w:val="18"/>
              </w:rPr>
            </w:pPr>
            <w:r>
              <w:rPr>
                <w:rFonts w:ascii="宋体"/>
                <w:sz w:val="18"/>
                <w:szCs w:val="18"/>
              </w:rPr>
              <w:t>4.5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1725" w:type="dxa"/>
            <w:tcBorders>
              <w:bottom w:val="single" w:color="auto" w:sz="4" w:space="0"/>
              <w:right w:val="single" w:color="auto" w:sz="4" w:space="0"/>
            </w:tcBorders>
            <w:vAlign w:val="center"/>
          </w:tcPr>
          <w:p w14:paraId="5276C494">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万元以下</w:t>
            </w:r>
          </w:p>
        </w:tc>
        <w:tc>
          <w:tcPr>
            <w:tcW w:w="2142" w:type="dxa"/>
            <w:tcBorders>
              <w:left w:val="single" w:color="auto" w:sz="4" w:space="0"/>
              <w:bottom w:val="single" w:color="auto" w:sz="4" w:space="0"/>
            </w:tcBorders>
            <w:vAlign w:val="center"/>
          </w:tcPr>
          <w:p w14:paraId="0F50722E">
            <w:pPr>
              <w:spacing w:before="156" w:beforeLines="50" w:after="156" w:afterLines="50"/>
              <w:jc w:val="left"/>
              <w:rPr>
                <w:rFonts w:ascii="宋体"/>
                <w:sz w:val="18"/>
                <w:szCs w:val="18"/>
              </w:rPr>
            </w:pPr>
            <w:r>
              <w:rPr>
                <w:rFonts w:hint="eastAsia" w:ascii="宋体"/>
                <w:sz w:val="18"/>
                <w:szCs w:val="18"/>
              </w:rPr>
              <w:t>暂扣直至吊销证书处罚的裁量按照</w:t>
            </w:r>
            <w:r>
              <w:rPr>
                <w:rFonts w:ascii="宋体"/>
                <w:sz w:val="18"/>
                <w:szCs w:val="18"/>
              </w:rPr>
              <w:t xml:space="preserve"> </w:t>
            </w:r>
            <w:r>
              <w:rPr>
                <w:rFonts w:hint="eastAsia" w:ascii="宋体"/>
                <w:sz w:val="18"/>
                <w:szCs w:val="18"/>
              </w:rPr>
              <w:t>《中华人民共和国内河海事行政处罚规定》第三十二条实施。</w:t>
            </w:r>
          </w:p>
        </w:tc>
        <w:tc>
          <w:tcPr>
            <w:tcW w:w="3398" w:type="dxa"/>
            <w:vMerge w:val="continue"/>
            <w:tcBorders>
              <w:left w:val="single" w:color="auto" w:sz="4" w:space="0"/>
            </w:tcBorders>
            <w:vAlign w:val="center"/>
          </w:tcPr>
          <w:p w14:paraId="2550DEBC">
            <w:pPr>
              <w:spacing w:before="156" w:beforeLines="50" w:after="156" w:afterLines="50"/>
              <w:jc w:val="left"/>
              <w:rPr>
                <w:rFonts w:ascii="宋体"/>
                <w:kern w:val="0"/>
                <w:sz w:val="18"/>
                <w:szCs w:val="18"/>
              </w:rPr>
            </w:pPr>
          </w:p>
        </w:tc>
        <w:tc>
          <w:tcPr>
            <w:tcW w:w="3223" w:type="dxa"/>
            <w:vMerge w:val="continue"/>
            <w:tcBorders>
              <w:left w:val="single" w:color="auto" w:sz="4" w:space="0"/>
            </w:tcBorders>
            <w:vAlign w:val="center"/>
          </w:tcPr>
          <w:p w14:paraId="334C9755">
            <w:pPr>
              <w:spacing w:before="156" w:beforeLines="50" w:after="156" w:afterLines="50"/>
              <w:jc w:val="left"/>
              <w:rPr>
                <w:rFonts w:ascii="宋体"/>
                <w:kern w:val="0"/>
                <w:sz w:val="18"/>
                <w:szCs w:val="18"/>
              </w:rPr>
            </w:pPr>
          </w:p>
        </w:tc>
      </w:tr>
    </w:tbl>
    <w:p w14:paraId="71BE0D7A">
      <w:pPr>
        <w:spacing w:before="156" w:beforeLines="50" w:after="156" w:afterLines="50"/>
        <w:jc w:val="left"/>
        <w:rPr>
          <w:rFonts w:ascii="宋体"/>
          <w:b/>
          <w:sz w:val="18"/>
          <w:szCs w:val="18"/>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
        <w:gridCol w:w="876"/>
        <w:gridCol w:w="10"/>
        <w:gridCol w:w="1282"/>
        <w:gridCol w:w="85"/>
        <w:gridCol w:w="1779"/>
        <w:gridCol w:w="464"/>
        <w:gridCol w:w="385"/>
        <w:gridCol w:w="607"/>
        <w:gridCol w:w="1602"/>
        <w:gridCol w:w="808"/>
        <w:gridCol w:w="451"/>
        <w:gridCol w:w="1428"/>
        <w:gridCol w:w="389"/>
        <w:gridCol w:w="451"/>
        <w:gridCol w:w="1923"/>
        <w:gridCol w:w="36"/>
        <w:gridCol w:w="425"/>
        <w:gridCol w:w="1947"/>
        <w:gridCol w:w="179"/>
        <w:gridCol w:w="567"/>
        <w:gridCol w:w="2876"/>
        <w:gridCol w:w="41"/>
        <w:gridCol w:w="250"/>
        <w:gridCol w:w="17"/>
        <w:gridCol w:w="532"/>
      </w:tblGrid>
      <w:tr w14:paraId="56441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5" w:hRule="atLeast"/>
        </w:trPr>
        <w:tc>
          <w:tcPr>
            <w:tcW w:w="679" w:type="dxa"/>
            <w:vMerge w:val="restart"/>
            <w:vAlign w:val="center"/>
          </w:tcPr>
          <w:p w14:paraId="0283C793">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14:paraId="3B717946">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14:paraId="3E90D91C">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14:paraId="641E064A">
            <w:pPr>
              <w:spacing w:before="156" w:beforeLines="50" w:after="156" w:afterLines="50"/>
              <w:jc w:val="center"/>
              <w:rPr>
                <w:b/>
                <w:sz w:val="18"/>
                <w:szCs w:val="18"/>
              </w:rPr>
            </w:pPr>
            <w:r>
              <w:rPr>
                <w:rFonts w:hint="eastAsia"/>
                <w:b/>
                <w:sz w:val="18"/>
                <w:szCs w:val="18"/>
              </w:rPr>
              <w:t>违法行</w:t>
            </w:r>
          </w:p>
          <w:p w14:paraId="6FF0C54F">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14:paraId="43E0C6F8">
            <w:pPr>
              <w:spacing w:before="156" w:beforeLines="50" w:after="156" w:afterLines="50"/>
              <w:rPr>
                <w:b/>
                <w:sz w:val="18"/>
                <w:szCs w:val="18"/>
              </w:rPr>
            </w:pPr>
            <w:r>
              <w:rPr>
                <w:rFonts w:hint="eastAsia"/>
                <w:b/>
                <w:sz w:val="18"/>
                <w:szCs w:val="18"/>
              </w:rPr>
              <w:t>主要考虑因素（事实、性质、情节、危害程度和实际后果等）</w:t>
            </w:r>
          </w:p>
        </w:tc>
        <w:tc>
          <w:tcPr>
            <w:tcW w:w="12320" w:type="dxa"/>
            <w:gridSpan w:val="16"/>
            <w:vAlign w:val="center"/>
          </w:tcPr>
          <w:p w14:paraId="530E8D67">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14:paraId="504EF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679" w:type="dxa"/>
            <w:vMerge w:val="continue"/>
            <w:vAlign w:val="center"/>
          </w:tcPr>
          <w:p w14:paraId="423D0FCB">
            <w:pPr>
              <w:spacing w:before="156" w:beforeLines="50" w:after="156" w:afterLines="50"/>
              <w:jc w:val="left"/>
              <w:rPr>
                <w:b/>
                <w:sz w:val="18"/>
                <w:szCs w:val="18"/>
              </w:rPr>
            </w:pPr>
          </w:p>
        </w:tc>
        <w:tc>
          <w:tcPr>
            <w:tcW w:w="897" w:type="dxa"/>
            <w:gridSpan w:val="3"/>
            <w:vMerge w:val="continue"/>
            <w:vAlign w:val="center"/>
          </w:tcPr>
          <w:p w14:paraId="036C8D4F">
            <w:pPr>
              <w:spacing w:before="156" w:beforeLines="50" w:after="156" w:afterLines="50"/>
              <w:jc w:val="left"/>
              <w:rPr>
                <w:b/>
                <w:sz w:val="18"/>
                <w:szCs w:val="18"/>
              </w:rPr>
            </w:pPr>
          </w:p>
        </w:tc>
        <w:tc>
          <w:tcPr>
            <w:tcW w:w="3146" w:type="dxa"/>
            <w:gridSpan w:val="3"/>
            <w:vMerge w:val="continue"/>
            <w:vAlign w:val="center"/>
          </w:tcPr>
          <w:p w14:paraId="39012021">
            <w:pPr>
              <w:spacing w:before="156" w:beforeLines="50" w:after="156" w:afterLines="50"/>
              <w:jc w:val="left"/>
              <w:rPr>
                <w:b/>
                <w:sz w:val="18"/>
                <w:szCs w:val="18"/>
              </w:rPr>
            </w:pPr>
          </w:p>
        </w:tc>
        <w:tc>
          <w:tcPr>
            <w:tcW w:w="849" w:type="dxa"/>
            <w:gridSpan w:val="2"/>
            <w:vMerge w:val="continue"/>
            <w:vAlign w:val="center"/>
          </w:tcPr>
          <w:p w14:paraId="14FBBDE1">
            <w:pPr>
              <w:spacing w:before="156" w:beforeLines="50" w:after="156" w:afterLines="50"/>
              <w:jc w:val="left"/>
              <w:rPr>
                <w:b/>
                <w:sz w:val="18"/>
                <w:szCs w:val="18"/>
              </w:rPr>
            </w:pPr>
          </w:p>
        </w:tc>
        <w:tc>
          <w:tcPr>
            <w:tcW w:w="2209" w:type="dxa"/>
            <w:gridSpan w:val="2"/>
            <w:vMerge w:val="continue"/>
            <w:vAlign w:val="center"/>
          </w:tcPr>
          <w:p w14:paraId="6498E536">
            <w:pPr>
              <w:spacing w:before="156" w:beforeLines="50" w:after="156" w:afterLines="50"/>
              <w:jc w:val="left"/>
              <w:rPr>
                <w:b/>
                <w:sz w:val="18"/>
                <w:szCs w:val="18"/>
              </w:rPr>
            </w:pPr>
          </w:p>
        </w:tc>
        <w:tc>
          <w:tcPr>
            <w:tcW w:w="12320" w:type="dxa"/>
            <w:gridSpan w:val="16"/>
            <w:vAlign w:val="center"/>
          </w:tcPr>
          <w:p w14:paraId="128F6B09">
            <w:pPr>
              <w:spacing w:before="156" w:beforeLines="50" w:after="156" w:afterLines="50"/>
              <w:jc w:val="center"/>
              <w:rPr>
                <w:b/>
                <w:sz w:val="18"/>
                <w:szCs w:val="18"/>
              </w:rPr>
            </w:pPr>
            <w:r>
              <w:rPr>
                <w:rFonts w:hint="eastAsia"/>
                <w:b/>
                <w:sz w:val="18"/>
                <w:szCs w:val="18"/>
              </w:rPr>
              <w:t>处罚基准</w:t>
            </w:r>
          </w:p>
        </w:tc>
      </w:tr>
      <w:tr w14:paraId="26BB0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679" w:type="dxa"/>
            <w:vMerge w:val="continue"/>
            <w:vAlign w:val="center"/>
          </w:tcPr>
          <w:p w14:paraId="54265A93">
            <w:pPr>
              <w:spacing w:before="156" w:beforeLines="50" w:after="156" w:afterLines="50"/>
              <w:jc w:val="left"/>
              <w:rPr>
                <w:b/>
                <w:sz w:val="18"/>
                <w:szCs w:val="18"/>
              </w:rPr>
            </w:pPr>
          </w:p>
        </w:tc>
        <w:tc>
          <w:tcPr>
            <w:tcW w:w="897" w:type="dxa"/>
            <w:gridSpan w:val="3"/>
            <w:vMerge w:val="continue"/>
            <w:vAlign w:val="center"/>
          </w:tcPr>
          <w:p w14:paraId="6B35B742">
            <w:pPr>
              <w:spacing w:before="156" w:beforeLines="50" w:after="156" w:afterLines="50"/>
              <w:jc w:val="left"/>
              <w:rPr>
                <w:b/>
                <w:sz w:val="18"/>
                <w:szCs w:val="18"/>
              </w:rPr>
            </w:pPr>
          </w:p>
        </w:tc>
        <w:tc>
          <w:tcPr>
            <w:tcW w:w="1282" w:type="dxa"/>
            <w:vMerge w:val="restart"/>
            <w:vAlign w:val="center"/>
          </w:tcPr>
          <w:p w14:paraId="0910BC6E">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14:paraId="4D5F1B17">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14:paraId="73C45F0C">
            <w:pPr>
              <w:spacing w:before="156" w:beforeLines="50" w:after="156" w:afterLines="50"/>
              <w:jc w:val="left"/>
              <w:rPr>
                <w:b/>
                <w:sz w:val="18"/>
                <w:szCs w:val="18"/>
              </w:rPr>
            </w:pPr>
          </w:p>
        </w:tc>
        <w:tc>
          <w:tcPr>
            <w:tcW w:w="2209" w:type="dxa"/>
            <w:gridSpan w:val="2"/>
            <w:vMerge w:val="continue"/>
            <w:vAlign w:val="center"/>
          </w:tcPr>
          <w:p w14:paraId="27741D96">
            <w:pPr>
              <w:spacing w:before="156" w:beforeLines="50" w:after="156" w:afterLines="50"/>
              <w:jc w:val="left"/>
              <w:rPr>
                <w:b/>
                <w:sz w:val="18"/>
                <w:szCs w:val="18"/>
              </w:rPr>
            </w:pPr>
          </w:p>
        </w:tc>
        <w:tc>
          <w:tcPr>
            <w:tcW w:w="7858" w:type="dxa"/>
            <w:gridSpan w:val="9"/>
            <w:vAlign w:val="center"/>
          </w:tcPr>
          <w:p w14:paraId="4EA9A930">
            <w:pPr>
              <w:spacing w:before="156" w:beforeLines="50" w:after="156" w:afterLines="50"/>
              <w:jc w:val="center"/>
              <w:rPr>
                <w:b/>
                <w:sz w:val="18"/>
                <w:szCs w:val="18"/>
              </w:rPr>
            </w:pPr>
            <w:r>
              <w:rPr>
                <w:rFonts w:hint="eastAsia"/>
                <w:b/>
                <w:sz w:val="18"/>
                <w:szCs w:val="18"/>
              </w:rPr>
              <w:t>【对象】船舶经营人或所有人</w:t>
            </w:r>
          </w:p>
        </w:tc>
        <w:tc>
          <w:tcPr>
            <w:tcW w:w="4462" w:type="dxa"/>
            <w:gridSpan w:val="7"/>
            <w:vMerge w:val="restart"/>
            <w:vAlign w:val="center"/>
          </w:tcPr>
          <w:p w14:paraId="4520072F">
            <w:pPr>
              <w:spacing w:before="156" w:beforeLines="50" w:after="156" w:afterLines="50"/>
              <w:jc w:val="center"/>
              <w:rPr>
                <w:rFonts w:ascii="宋体"/>
                <w:b/>
                <w:kern w:val="0"/>
                <w:sz w:val="18"/>
                <w:szCs w:val="18"/>
              </w:rPr>
            </w:pPr>
            <w:r>
              <w:rPr>
                <w:rFonts w:hint="eastAsia"/>
                <w:b/>
                <w:sz w:val="18"/>
                <w:szCs w:val="18"/>
              </w:rPr>
              <w:t>【对象】责任船员</w:t>
            </w:r>
          </w:p>
        </w:tc>
      </w:tr>
      <w:tr w14:paraId="3DD77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3" w:hRule="atLeast"/>
        </w:trPr>
        <w:tc>
          <w:tcPr>
            <w:tcW w:w="679" w:type="dxa"/>
            <w:vMerge w:val="continue"/>
            <w:vAlign w:val="center"/>
          </w:tcPr>
          <w:p w14:paraId="2739A79B">
            <w:pPr>
              <w:spacing w:before="156" w:beforeLines="50" w:after="156" w:afterLines="50"/>
              <w:jc w:val="left"/>
              <w:rPr>
                <w:b/>
                <w:sz w:val="18"/>
                <w:szCs w:val="18"/>
              </w:rPr>
            </w:pPr>
          </w:p>
        </w:tc>
        <w:tc>
          <w:tcPr>
            <w:tcW w:w="897" w:type="dxa"/>
            <w:gridSpan w:val="3"/>
            <w:vMerge w:val="continue"/>
            <w:vAlign w:val="center"/>
          </w:tcPr>
          <w:p w14:paraId="6DFA8333">
            <w:pPr>
              <w:spacing w:before="156" w:beforeLines="50" w:after="156" w:afterLines="50"/>
              <w:jc w:val="left"/>
              <w:rPr>
                <w:b/>
                <w:sz w:val="18"/>
                <w:szCs w:val="18"/>
              </w:rPr>
            </w:pPr>
          </w:p>
        </w:tc>
        <w:tc>
          <w:tcPr>
            <w:tcW w:w="1282" w:type="dxa"/>
            <w:vMerge w:val="continue"/>
            <w:vAlign w:val="center"/>
          </w:tcPr>
          <w:p w14:paraId="06E218A8">
            <w:pPr>
              <w:spacing w:before="156" w:beforeLines="50" w:after="156" w:afterLines="50"/>
              <w:jc w:val="left"/>
              <w:rPr>
                <w:b/>
                <w:sz w:val="18"/>
                <w:szCs w:val="18"/>
              </w:rPr>
            </w:pPr>
          </w:p>
        </w:tc>
        <w:tc>
          <w:tcPr>
            <w:tcW w:w="1864" w:type="dxa"/>
            <w:gridSpan w:val="2"/>
            <w:vMerge w:val="continue"/>
            <w:vAlign w:val="center"/>
          </w:tcPr>
          <w:p w14:paraId="09B5EF54">
            <w:pPr>
              <w:spacing w:before="156" w:beforeLines="50" w:after="156" w:afterLines="50"/>
              <w:jc w:val="left"/>
              <w:rPr>
                <w:b/>
                <w:sz w:val="18"/>
                <w:szCs w:val="18"/>
              </w:rPr>
            </w:pPr>
          </w:p>
        </w:tc>
        <w:tc>
          <w:tcPr>
            <w:tcW w:w="849" w:type="dxa"/>
            <w:gridSpan w:val="2"/>
            <w:vMerge w:val="continue"/>
            <w:vAlign w:val="center"/>
          </w:tcPr>
          <w:p w14:paraId="2729D9CB">
            <w:pPr>
              <w:spacing w:before="156" w:beforeLines="50" w:after="156" w:afterLines="50"/>
              <w:jc w:val="left"/>
              <w:rPr>
                <w:b/>
                <w:sz w:val="18"/>
                <w:szCs w:val="18"/>
              </w:rPr>
            </w:pPr>
          </w:p>
        </w:tc>
        <w:tc>
          <w:tcPr>
            <w:tcW w:w="2209" w:type="dxa"/>
            <w:gridSpan w:val="2"/>
            <w:vMerge w:val="continue"/>
            <w:vAlign w:val="center"/>
          </w:tcPr>
          <w:p w14:paraId="3D49BF07">
            <w:pPr>
              <w:spacing w:before="156" w:beforeLines="50" w:after="156" w:afterLines="50"/>
              <w:jc w:val="left"/>
              <w:rPr>
                <w:b/>
                <w:sz w:val="18"/>
                <w:szCs w:val="18"/>
              </w:rPr>
            </w:pPr>
          </w:p>
        </w:tc>
        <w:tc>
          <w:tcPr>
            <w:tcW w:w="2687" w:type="dxa"/>
            <w:gridSpan w:val="3"/>
            <w:vAlign w:val="center"/>
          </w:tcPr>
          <w:p w14:paraId="5062D306">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14:paraId="6C98A242">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14:paraId="1AA0116A">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4462" w:type="dxa"/>
            <w:gridSpan w:val="7"/>
            <w:vMerge w:val="continue"/>
            <w:vAlign w:val="center"/>
          </w:tcPr>
          <w:p w14:paraId="1A763BB8">
            <w:pPr>
              <w:spacing w:before="156" w:beforeLines="50" w:after="156" w:afterLines="50"/>
              <w:jc w:val="left"/>
              <w:rPr>
                <w:rFonts w:ascii="宋体"/>
                <w:b/>
                <w:sz w:val="18"/>
                <w:szCs w:val="18"/>
              </w:rPr>
            </w:pPr>
          </w:p>
        </w:tc>
      </w:tr>
      <w:tr w14:paraId="68292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679" w:type="dxa"/>
            <w:vMerge w:val="restart"/>
            <w:vAlign w:val="center"/>
          </w:tcPr>
          <w:p w14:paraId="7C1FC83B">
            <w:pPr>
              <w:spacing w:before="156" w:beforeLines="50" w:after="156" w:afterLines="50"/>
              <w:jc w:val="center"/>
              <w:rPr>
                <w:rFonts w:ascii="宋体"/>
                <w:kern w:val="0"/>
                <w:sz w:val="18"/>
                <w:szCs w:val="18"/>
              </w:rPr>
            </w:pPr>
            <w:r>
              <w:rPr>
                <w:rFonts w:hint="eastAsia" w:ascii="宋体"/>
                <w:kern w:val="0"/>
                <w:sz w:val="18"/>
                <w:szCs w:val="18"/>
              </w:rPr>
              <w:t>25</w:t>
            </w:r>
          </w:p>
        </w:tc>
        <w:tc>
          <w:tcPr>
            <w:tcW w:w="897" w:type="dxa"/>
            <w:gridSpan w:val="3"/>
            <w:vMerge w:val="restart"/>
            <w:vAlign w:val="center"/>
          </w:tcPr>
          <w:p w14:paraId="15B01EAB">
            <w:pPr>
              <w:widowControl/>
              <w:spacing w:before="156" w:beforeLines="50" w:after="156" w:afterLines="50"/>
              <w:jc w:val="left"/>
              <w:rPr>
                <w:kern w:val="0"/>
                <w:sz w:val="18"/>
                <w:szCs w:val="18"/>
              </w:rPr>
            </w:pPr>
            <w:r>
              <w:rPr>
                <w:rFonts w:hint="eastAsia"/>
                <w:kern w:val="0"/>
                <w:sz w:val="18"/>
                <w:szCs w:val="18"/>
              </w:rPr>
              <w:t>不按照规定保持船舶自动识别系统处于正常工作状态</w:t>
            </w:r>
          </w:p>
        </w:tc>
        <w:tc>
          <w:tcPr>
            <w:tcW w:w="1282" w:type="dxa"/>
            <w:vMerge w:val="restart"/>
            <w:vAlign w:val="center"/>
          </w:tcPr>
          <w:p w14:paraId="3BB1540F">
            <w:pPr>
              <w:widowControl/>
              <w:spacing w:before="156" w:beforeLines="50" w:after="156" w:afterLines="50"/>
              <w:rPr>
                <w:kern w:val="0"/>
                <w:sz w:val="18"/>
                <w:szCs w:val="18"/>
              </w:rPr>
            </w:pPr>
            <w:r>
              <w:rPr>
                <w:rFonts w:hint="eastAsia"/>
                <w:kern w:val="0"/>
                <w:sz w:val="18"/>
                <w:szCs w:val="18"/>
              </w:rPr>
              <w:t>1.《中华人民共和国内河交通安全管理条例》第十七条第四款；</w:t>
            </w:r>
          </w:p>
          <w:p w14:paraId="5B91503E">
            <w:pPr>
              <w:widowControl/>
              <w:spacing w:before="156" w:beforeLines="50" w:after="156" w:afterLines="50"/>
              <w:rPr>
                <w:kern w:val="0"/>
                <w:sz w:val="18"/>
                <w:szCs w:val="18"/>
              </w:rPr>
            </w:pPr>
            <w:r>
              <w:rPr>
                <w:rFonts w:hint="eastAsia"/>
                <w:kern w:val="0"/>
                <w:sz w:val="18"/>
                <w:szCs w:val="18"/>
              </w:rPr>
              <w:t>2.《中华人民共和国船舶安全监督规则》第四十六条。</w:t>
            </w:r>
          </w:p>
        </w:tc>
        <w:tc>
          <w:tcPr>
            <w:tcW w:w="1864" w:type="dxa"/>
            <w:gridSpan w:val="2"/>
            <w:vMerge w:val="restart"/>
            <w:vAlign w:val="center"/>
          </w:tcPr>
          <w:p w14:paraId="4215E443">
            <w:pPr>
              <w:spacing w:before="156" w:beforeLines="50" w:after="156" w:afterLines="50"/>
              <w:jc w:val="left"/>
              <w:rPr>
                <w:kern w:val="0"/>
                <w:sz w:val="18"/>
                <w:szCs w:val="18"/>
              </w:rPr>
            </w:pPr>
            <w:r>
              <w:rPr>
                <w:rFonts w:hint="eastAsia"/>
                <w:kern w:val="0"/>
                <w:sz w:val="18"/>
                <w:szCs w:val="18"/>
              </w:rPr>
              <w:t>1.《中华人民共和国内河交通安全管理条例》第八十一条；</w:t>
            </w:r>
          </w:p>
          <w:p w14:paraId="7A16D82C">
            <w:pPr>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14:paraId="3109D1BB">
            <w:pPr>
              <w:spacing w:before="156" w:beforeLines="50" w:after="156" w:afterLines="50"/>
              <w:jc w:val="left"/>
              <w:rPr>
                <w:kern w:val="0"/>
                <w:sz w:val="18"/>
                <w:szCs w:val="18"/>
              </w:rPr>
            </w:pPr>
            <w:r>
              <w:rPr>
                <w:rFonts w:hint="eastAsia" w:ascii="宋体"/>
                <w:sz w:val="18"/>
                <w:szCs w:val="18"/>
              </w:rPr>
              <w:t>3.</w:t>
            </w:r>
            <w:r>
              <w:rPr>
                <w:rFonts w:hint="eastAsia" w:ascii="宋体"/>
                <w:kern w:val="0"/>
                <w:sz w:val="18"/>
                <w:szCs w:val="18"/>
              </w:rPr>
              <w:t>《中华人民共和国行政处罚法》第三十二条（从轻）。</w:t>
            </w:r>
          </w:p>
        </w:tc>
        <w:tc>
          <w:tcPr>
            <w:tcW w:w="849" w:type="dxa"/>
            <w:gridSpan w:val="2"/>
            <w:vAlign w:val="center"/>
          </w:tcPr>
          <w:p w14:paraId="7640B3C6">
            <w:pPr>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14:paraId="49219788">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14:paraId="15041D8E">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763" w:type="dxa"/>
            <w:gridSpan w:val="3"/>
            <w:vAlign w:val="center"/>
          </w:tcPr>
          <w:p w14:paraId="03DF1951">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408" w:type="dxa"/>
            <w:gridSpan w:val="3"/>
            <w:vAlign w:val="center"/>
          </w:tcPr>
          <w:p w14:paraId="2917345F">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4462" w:type="dxa"/>
            <w:gridSpan w:val="7"/>
            <w:vAlign w:val="center"/>
          </w:tcPr>
          <w:p w14:paraId="69B479FB">
            <w:pPr>
              <w:spacing w:before="156" w:beforeLines="50" w:after="156" w:afterLines="50"/>
              <w:jc w:val="center"/>
              <w:rPr>
                <w:rFonts w:ascii="宋体"/>
                <w:kern w:val="0"/>
                <w:sz w:val="18"/>
                <w:szCs w:val="18"/>
              </w:rPr>
            </w:pPr>
            <w:r>
              <w:rPr>
                <w:rFonts w:ascii="宋体"/>
                <w:kern w:val="0"/>
                <w:sz w:val="18"/>
                <w:szCs w:val="18"/>
              </w:rPr>
              <w:t>/</w:t>
            </w:r>
          </w:p>
        </w:tc>
      </w:tr>
      <w:tr w14:paraId="65484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679" w:type="dxa"/>
            <w:vMerge w:val="continue"/>
            <w:vAlign w:val="center"/>
          </w:tcPr>
          <w:p w14:paraId="02CB3A4F">
            <w:pPr>
              <w:spacing w:before="156" w:beforeLines="50" w:after="156" w:afterLines="50"/>
              <w:jc w:val="left"/>
              <w:rPr>
                <w:rFonts w:ascii="宋体"/>
                <w:kern w:val="0"/>
                <w:sz w:val="18"/>
                <w:szCs w:val="18"/>
              </w:rPr>
            </w:pPr>
          </w:p>
        </w:tc>
        <w:tc>
          <w:tcPr>
            <w:tcW w:w="897" w:type="dxa"/>
            <w:gridSpan w:val="3"/>
            <w:vMerge w:val="continue"/>
            <w:vAlign w:val="center"/>
          </w:tcPr>
          <w:p w14:paraId="222DBB6D">
            <w:pPr>
              <w:spacing w:before="156" w:beforeLines="50" w:after="156" w:afterLines="50"/>
              <w:jc w:val="left"/>
              <w:rPr>
                <w:kern w:val="0"/>
                <w:sz w:val="18"/>
                <w:szCs w:val="18"/>
              </w:rPr>
            </w:pPr>
          </w:p>
        </w:tc>
        <w:tc>
          <w:tcPr>
            <w:tcW w:w="1282" w:type="dxa"/>
            <w:vMerge w:val="continue"/>
            <w:vAlign w:val="center"/>
          </w:tcPr>
          <w:p w14:paraId="24C8EAD7">
            <w:pPr>
              <w:widowControl/>
              <w:spacing w:before="156" w:beforeLines="50" w:after="156" w:afterLines="50"/>
              <w:jc w:val="left"/>
              <w:rPr>
                <w:kern w:val="0"/>
                <w:sz w:val="18"/>
                <w:szCs w:val="18"/>
              </w:rPr>
            </w:pPr>
          </w:p>
        </w:tc>
        <w:tc>
          <w:tcPr>
            <w:tcW w:w="1864" w:type="dxa"/>
            <w:gridSpan w:val="2"/>
            <w:vMerge w:val="continue"/>
            <w:vAlign w:val="center"/>
          </w:tcPr>
          <w:p w14:paraId="141C477F">
            <w:pPr>
              <w:spacing w:before="156" w:beforeLines="50" w:after="156" w:afterLines="50"/>
              <w:jc w:val="left"/>
              <w:rPr>
                <w:kern w:val="0"/>
                <w:sz w:val="18"/>
                <w:szCs w:val="18"/>
              </w:rPr>
            </w:pPr>
          </w:p>
        </w:tc>
        <w:tc>
          <w:tcPr>
            <w:tcW w:w="849" w:type="dxa"/>
            <w:gridSpan w:val="2"/>
            <w:vMerge w:val="restart"/>
            <w:vAlign w:val="center"/>
          </w:tcPr>
          <w:p w14:paraId="02BF72CE">
            <w:pPr>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14:paraId="6F71590B">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14:paraId="1B2D47C1">
            <w:pPr>
              <w:spacing w:before="156" w:beforeLines="50" w:after="156" w:afterLines="50"/>
              <w:jc w:val="left"/>
              <w:rPr>
                <w:kern w:val="0"/>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2763" w:type="dxa"/>
            <w:gridSpan w:val="3"/>
            <w:vAlign w:val="center"/>
          </w:tcPr>
          <w:p w14:paraId="2F84F06A">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2408" w:type="dxa"/>
            <w:gridSpan w:val="3"/>
            <w:vAlign w:val="center"/>
          </w:tcPr>
          <w:p w14:paraId="33F82A20">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c>
          <w:tcPr>
            <w:tcW w:w="4462" w:type="dxa"/>
            <w:gridSpan w:val="7"/>
            <w:vAlign w:val="center"/>
          </w:tcPr>
          <w:p w14:paraId="1A7686B8">
            <w:pPr>
              <w:spacing w:before="156" w:beforeLines="50" w:after="156" w:afterLines="50"/>
              <w:jc w:val="center"/>
              <w:rPr>
                <w:rFonts w:ascii="宋体"/>
                <w:kern w:val="0"/>
                <w:sz w:val="18"/>
                <w:szCs w:val="18"/>
              </w:rPr>
            </w:pPr>
            <w:r>
              <w:rPr>
                <w:rFonts w:ascii="宋体"/>
                <w:kern w:val="0"/>
                <w:sz w:val="18"/>
                <w:szCs w:val="18"/>
              </w:rPr>
              <w:t>/</w:t>
            </w:r>
          </w:p>
        </w:tc>
      </w:tr>
      <w:tr w14:paraId="5AE83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5" w:hRule="atLeast"/>
        </w:trPr>
        <w:tc>
          <w:tcPr>
            <w:tcW w:w="679" w:type="dxa"/>
            <w:vMerge w:val="continue"/>
            <w:vAlign w:val="center"/>
          </w:tcPr>
          <w:p w14:paraId="4422CA43">
            <w:pPr>
              <w:spacing w:before="156" w:beforeLines="50" w:after="156" w:afterLines="50"/>
              <w:jc w:val="left"/>
              <w:rPr>
                <w:rFonts w:ascii="宋体"/>
                <w:kern w:val="0"/>
                <w:sz w:val="18"/>
                <w:szCs w:val="18"/>
              </w:rPr>
            </w:pPr>
          </w:p>
        </w:tc>
        <w:tc>
          <w:tcPr>
            <w:tcW w:w="897" w:type="dxa"/>
            <w:gridSpan w:val="3"/>
            <w:vMerge w:val="continue"/>
            <w:vAlign w:val="center"/>
          </w:tcPr>
          <w:p w14:paraId="3FBB34C6">
            <w:pPr>
              <w:spacing w:before="156" w:beforeLines="50" w:after="156" w:afterLines="50"/>
              <w:jc w:val="left"/>
              <w:rPr>
                <w:kern w:val="0"/>
                <w:sz w:val="18"/>
                <w:szCs w:val="18"/>
              </w:rPr>
            </w:pPr>
          </w:p>
        </w:tc>
        <w:tc>
          <w:tcPr>
            <w:tcW w:w="1282" w:type="dxa"/>
            <w:vMerge w:val="continue"/>
            <w:vAlign w:val="center"/>
          </w:tcPr>
          <w:p w14:paraId="5D528F99">
            <w:pPr>
              <w:spacing w:before="156" w:beforeLines="50" w:after="156" w:afterLines="50"/>
              <w:jc w:val="left"/>
              <w:rPr>
                <w:kern w:val="0"/>
                <w:sz w:val="18"/>
                <w:szCs w:val="18"/>
              </w:rPr>
            </w:pPr>
          </w:p>
        </w:tc>
        <w:tc>
          <w:tcPr>
            <w:tcW w:w="1864" w:type="dxa"/>
            <w:gridSpan w:val="2"/>
            <w:vMerge w:val="continue"/>
            <w:vAlign w:val="center"/>
          </w:tcPr>
          <w:p w14:paraId="6D2E72D0">
            <w:pPr>
              <w:spacing w:before="156" w:beforeLines="50" w:after="156" w:afterLines="50"/>
              <w:jc w:val="left"/>
              <w:rPr>
                <w:kern w:val="0"/>
                <w:sz w:val="18"/>
                <w:szCs w:val="18"/>
              </w:rPr>
            </w:pPr>
          </w:p>
        </w:tc>
        <w:tc>
          <w:tcPr>
            <w:tcW w:w="849" w:type="dxa"/>
            <w:gridSpan w:val="2"/>
            <w:vMerge w:val="continue"/>
            <w:vAlign w:val="center"/>
          </w:tcPr>
          <w:p w14:paraId="08947575">
            <w:pPr>
              <w:spacing w:before="156" w:beforeLines="50" w:after="156" w:afterLines="50"/>
              <w:jc w:val="center"/>
              <w:rPr>
                <w:kern w:val="0"/>
                <w:sz w:val="18"/>
                <w:szCs w:val="18"/>
              </w:rPr>
            </w:pPr>
          </w:p>
        </w:tc>
        <w:tc>
          <w:tcPr>
            <w:tcW w:w="2209" w:type="dxa"/>
            <w:gridSpan w:val="2"/>
            <w:vAlign w:val="center"/>
          </w:tcPr>
          <w:p w14:paraId="0DA5282E">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14:paraId="75E075EB">
            <w:pPr>
              <w:spacing w:before="156" w:beforeLines="50" w:after="156" w:afterLines="50"/>
              <w:jc w:val="left"/>
              <w:rPr>
                <w:kern w:val="0"/>
                <w:sz w:val="18"/>
                <w:szCs w:val="18"/>
              </w:rPr>
            </w:pPr>
            <w:r>
              <w:rPr>
                <w:kern w:val="0"/>
                <w:sz w:val="18"/>
                <w:szCs w:val="18"/>
              </w:rPr>
              <w:t>3000</w:t>
            </w:r>
            <w:r>
              <w:rPr>
                <w:rFonts w:hint="eastAsia"/>
                <w:kern w:val="0"/>
                <w:sz w:val="18"/>
                <w:szCs w:val="18"/>
              </w:rPr>
              <w:t>元及以上</w:t>
            </w:r>
            <w:r>
              <w:rPr>
                <w:kern w:val="0"/>
                <w:sz w:val="18"/>
                <w:szCs w:val="18"/>
              </w:rPr>
              <w:t>5000</w:t>
            </w:r>
            <w:r>
              <w:rPr>
                <w:rFonts w:hint="eastAsia"/>
                <w:kern w:val="0"/>
                <w:sz w:val="18"/>
                <w:szCs w:val="18"/>
              </w:rPr>
              <w:t>元以下</w:t>
            </w:r>
          </w:p>
        </w:tc>
        <w:tc>
          <w:tcPr>
            <w:tcW w:w="2763" w:type="dxa"/>
            <w:gridSpan w:val="3"/>
            <w:vAlign w:val="center"/>
          </w:tcPr>
          <w:p w14:paraId="11120660">
            <w:pPr>
              <w:spacing w:before="156" w:beforeLines="50" w:after="156" w:afterLines="50"/>
              <w:jc w:val="left"/>
              <w:rPr>
                <w:kern w:val="0"/>
                <w:sz w:val="18"/>
                <w:szCs w:val="18"/>
              </w:rPr>
            </w:pPr>
            <w:r>
              <w:rPr>
                <w:kern w:val="0"/>
                <w:sz w:val="18"/>
                <w:szCs w:val="18"/>
              </w:rPr>
              <w:t>4000</w:t>
            </w:r>
            <w:r>
              <w:rPr>
                <w:rFonts w:hint="eastAsia"/>
                <w:kern w:val="0"/>
                <w:sz w:val="18"/>
                <w:szCs w:val="18"/>
              </w:rPr>
              <w:t>元及以上</w:t>
            </w:r>
            <w:r>
              <w:rPr>
                <w:kern w:val="0"/>
                <w:sz w:val="18"/>
                <w:szCs w:val="18"/>
              </w:rPr>
              <w:t>6000</w:t>
            </w:r>
            <w:r>
              <w:rPr>
                <w:rFonts w:hint="eastAsia"/>
                <w:kern w:val="0"/>
                <w:sz w:val="18"/>
                <w:szCs w:val="18"/>
              </w:rPr>
              <w:t>元以下</w:t>
            </w:r>
          </w:p>
        </w:tc>
        <w:tc>
          <w:tcPr>
            <w:tcW w:w="2408" w:type="dxa"/>
            <w:gridSpan w:val="3"/>
            <w:vAlign w:val="center"/>
          </w:tcPr>
          <w:p w14:paraId="7B97DA6D">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8000</w:t>
            </w:r>
            <w:r>
              <w:rPr>
                <w:rFonts w:hint="eastAsia"/>
                <w:kern w:val="0"/>
                <w:sz w:val="18"/>
                <w:szCs w:val="18"/>
              </w:rPr>
              <w:t>元以下</w:t>
            </w:r>
          </w:p>
        </w:tc>
        <w:tc>
          <w:tcPr>
            <w:tcW w:w="4462" w:type="dxa"/>
            <w:gridSpan w:val="7"/>
            <w:vAlign w:val="center"/>
          </w:tcPr>
          <w:p w14:paraId="29937970">
            <w:pPr>
              <w:spacing w:before="156" w:beforeLines="50" w:after="156" w:afterLines="50"/>
              <w:jc w:val="center"/>
              <w:rPr>
                <w:rFonts w:ascii="宋体"/>
                <w:kern w:val="0"/>
                <w:sz w:val="18"/>
                <w:szCs w:val="18"/>
              </w:rPr>
            </w:pPr>
            <w:r>
              <w:rPr>
                <w:rFonts w:ascii="宋体"/>
                <w:kern w:val="0"/>
                <w:sz w:val="18"/>
                <w:szCs w:val="18"/>
              </w:rPr>
              <w:t>/</w:t>
            </w:r>
          </w:p>
        </w:tc>
      </w:tr>
      <w:tr w14:paraId="58173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trPr>
        <w:tc>
          <w:tcPr>
            <w:tcW w:w="679" w:type="dxa"/>
            <w:vMerge w:val="continue"/>
            <w:vAlign w:val="center"/>
          </w:tcPr>
          <w:p w14:paraId="0B0F1034">
            <w:pPr>
              <w:spacing w:before="156" w:beforeLines="50" w:after="156" w:afterLines="50"/>
              <w:jc w:val="left"/>
              <w:rPr>
                <w:rFonts w:ascii="宋体"/>
                <w:kern w:val="0"/>
                <w:sz w:val="18"/>
                <w:szCs w:val="18"/>
              </w:rPr>
            </w:pPr>
          </w:p>
        </w:tc>
        <w:tc>
          <w:tcPr>
            <w:tcW w:w="897" w:type="dxa"/>
            <w:gridSpan w:val="3"/>
            <w:vMerge w:val="continue"/>
            <w:vAlign w:val="center"/>
          </w:tcPr>
          <w:p w14:paraId="2683B00D">
            <w:pPr>
              <w:spacing w:before="156" w:beforeLines="50" w:after="156" w:afterLines="50"/>
              <w:jc w:val="left"/>
              <w:rPr>
                <w:kern w:val="0"/>
                <w:sz w:val="18"/>
                <w:szCs w:val="18"/>
              </w:rPr>
            </w:pPr>
          </w:p>
        </w:tc>
        <w:tc>
          <w:tcPr>
            <w:tcW w:w="1282" w:type="dxa"/>
            <w:vMerge w:val="continue"/>
            <w:vAlign w:val="center"/>
          </w:tcPr>
          <w:p w14:paraId="346E11EB">
            <w:pPr>
              <w:spacing w:before="156" w:beforeLines="50" w:after="156" w:afterLines="50"/>
              <w:jc w:val="left"/>
              <w:rPr>
                <w:kern w:val="0"/>
                <w:sz w:val="18"/>
                <w:szCs w:val="18"/>
              </w:rPr>
            </w:pPr>
          </w:p>
        </w:tc>
        <w:tc>
          <w:tcPr>
            <w:tcW w:w="1864" w:type="dxa"/>
            <w:gridSpan w:val="2"/>
            <w:vMerge w:val="continue"/>
            <w:vAlign w:val="center"/>
          </w:tcPr>
          <w:p w14:paraId="0D690E1C">
            <w:pPr>
              <w:spacing w:before="156" w:beforeLines="50" w:after="156" w:afterLines="50"/>
              <w:jc w:val="left"/>
              <w:rPr>
                <w:kern w:val="0"/>
                <w:sz w:val="18"/>
                <w:szCs w:val="18"/>
              </w:rPr>
            </w:pPr>
          </w:p>
        </w:tc>
        <w:tc>
          <w:tcPr>
            <w:tcW w:w="849" w:type="dxa"/>
            <w:gridSpan w:val="2"/>
            <w:vMerge w:val="restart"/>
            <w:vAlign w:val="center"/>
          </w:tcPr>
          <w:p w14:paraId="459873F3">
            <w:pPr>
              <w:spacing w:before="156" w:beforeLines="50" w:after="156" w:afterLines="50"/>
              <w:jc w:val="center"/>
              <w:rPr>
                <w:kern w:val="0"/>
                <w:sz w:val="18"/>
                <w:szCs w:val="18"/>
              </w:rPr>
            </w:pPr>
            <w:r>
              <w:rPr>
                <w:rFonts w:hint="eastAsia"/>
                <w:kern w:val="0"/>
                <w:sz w:val="18"/>
                <w:szCs w:val="18"/>
              </w:rPr>
              <w:t>情节严重</w:t>
            </w:r>
          </w:p>
        </w:tc>
        <w:tc>
          <w:tcPr>
            <w:tcW w:w="2209" w:type="dxa"/>
            <w:gridSpan w:val="2"/>
            <w:tcBorders>
              <w:bottom w:val="single" w:color="auto" w:sz="4" w:space="0"/>
            </w:tcBorders>
            <w:vAlign w:val="center"/>
          </w:tcPr>
          <w:p w14:paraId="64B6C5F9">
            <w:pPr>
              <w:spacing w:before="156" w:beforeLines="50" w:after="156" w:afterLines="50"/>
              <w:jc w:val="left"/>
              <w:rPr>
                <w:kern w:val="0"/>
                <w:sz w:val="18"/>
                <w:szCs w:val="18"/>
              </w:rPr>
            </w:pPr>
            <w:r>
              <w:rPr>
                <w:rFonts w:hint="eastAsia"/>
                <w:kern w:val="0"/>
                <w:sz w:val="18"/>
                <w:szCs w:val="18"/>
              </w:rPr>
              <w:t xml:space="preserve"> 造成一般及以上等级水上交通事故的。</w:t>
            </w:r>
          </w:p>
        </w:tc>
        <w:tc>
          <w:tcPr>
            <w:tcW w:w="2687" w:type="dxa"/>
            <w:gridSpan w:val="3"/>
            <w:vMerge w:val="restart"/>
            <w:vAlign w:val="center"/>
          </w:tcPr>
          <w:p w14:paraId="49B9728F">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1</w:t>
            </w:r>
            <w:r>
              <w:rPr>
                <w:rFonts w:hint="eastAsia"/>
                <w:kern w:val="0"/>
                <w:sz w:val="18"/>
                <w:szCs w:val="18"/>
              </w:rPr>
              <w:t>万元及以下</w:t>
            </w:r>
          </w:p>
        </w:tc>
        <w:tc>
          <w:tcPr>
            <w:tcW w:w="2763" w:type="dxa"/>
            <w:gridSpan w:val="3"/>
            <w:vMerge w:val="restart"/>
            <w:vAlign w:val="center"/>
          </w:tcPr>
          <w:p w14:paraId="075CB5E3">
            <w:pPr>
              <w:spacing w:before="156" w:beforeLines="50" w:after="156" w:afterLines="50"/>
              <w:jc w:val="left"/>
              <w:rPr>
                <w:kern w:val="0"/>
                <w:sz w:val="18"/>
                <w:szCs w:val="18"/>
              </w:rPr>
            </w:pPr>
            <w:r>
              <w:rPr>
                <w:kern w:val="0"/>
                <w:sz w:val="18"/>
                <w:szCs w:val="18"/>
              </w:rPr>
              <w:t>6000</w:t>
            </w:r>
            <w:r>
              <w:rPr>
                <w:rFonts w:hint="eastAsia"/>
                <w:kern w:val="0"/>
                <w:sz w:val="18"/>
                <w:szCs w:val="18"/>
              </w:rPr>
              <w:t>元及以上</w:t>
            </w:r>
            <w:r>
              <w:rPr>
                <w:kern w:val="0"/>
                <w:sz w:val="18"/>
                <w:szCs w:val="18"/>
              </w:rPr>
              <w:t>1</w:t>
            </w:r>
            <w:r>
              <w:rPr>
                <w:rFonts w:hint="eastAsia"/>
                <w:kern w:val="0"/>
                <w:sz w:val="18"/>
                <w:szCs w:val="18"/>
              </w:rPr>
              <w:t>万元及以下</w:t>
            </w:r>
          </w:p>
        </w:tc>
        <w:tc>
          <w:tcPr>
            <w:tcW w:w="2408" w:type="dxa"/>
            <w:gridSpan w:val="3"/>
            <w:vMerge w:val="restart"/>
            <w:vAlign w:val="center"/>
          </w:tcPr>
          <w:p w14:paraId="622783AC">
            <w:pPr>
              <w:spacing w:before="156" w:beforeLines="50" w:after="156" w:afterLines="50"/>
              <w:jc w:val="left"/>
              <w:rPr>
                <w:kern w:val="0"/>
                <w:sz w:val="18"/>
                <w:szCs w:val="18"/>
              </w:rPr>
            </w:pPr>
            <w:r>
              <w:rPr>
                <w:kern w:val="0"/>
                <w:sz w:val="18"/>
                <w:szCs w:val="18"/>
              </w:rPr>
              <w:t>8000</w:t>
            </w:r>
            <w:r>
              <w:rPr>
                <w:rFonts w:hint="eastAsia"/>
                <w:kern w:val="0"/>
                <w:sz w:val="18"/>
                <w:szCs w:val="18"/>
              </w:rPr>
              <w:t>元及以上</w:t>
            </w:r>
            <w:r>
              <w:rPr>
                <w:kern w:val="0"/>
                <w:sz w:val="18"/>
                <w:szCs w:val="18"/>
              </w:rPr>
              <w:t>1</w:t>
            </w:r>
            <w:r>
              <w:rPr>
                <w:rFonts w:hint="eastAsia"/>
                <w:kern w:val="0"/>
                <w:sz w:val="18"/>
                <w:szCs w:val="18"/>
              </w:rPr>
              <w:t>万元及以下</w:t>
            </w:r>
          </w:p>
        </w:tc>
        <w:tc>
          <w:tcPr>
            <w:tcW w:w="4462" w:type="dxa"/>
            <w:gridSpan w:val="7"/>
            <w:tcBorders>
              <w:bottom w:val="single" w:color="auto" w:sz="4" w:space="0"/>
            </w:tcBorders>
            <w:vAlign w:val="center"/>
          </w:tcPr>
          <w:p w14:paraId="5CFA543E">
            <w:pPr>
              <w:spacing w:before="156" w:beforeLines="50" w:after="156" w:afterLines="50"/>
              <w:jc w:val="left"/>
              <w:rPr>
                <w:rFonts w:ascii="宋体"/>
                <w:kern w:val="0"/>
                <w:sz w:val="18"/>
                <w:szCs w:val="18"/>
              </w:rPr>
            </w:pP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6D835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679" w:type="dxa"/>
            <w:vMerge w:val="continue"/>
            <w:vAlign w:val="center"/>
          </w:tcPr>
          <w:p w14:paraId="5B742EA5">
            <w:pPr>
              <w:spacing w:before="156" w:beforeLines="50" w:after="156" w:afterLines="50"/>
              <w:jc w:val="left"/>
              <w:rPr>
                <w:rFonts w:ascii="宋体"/>
                <w:kern w:val="0"/>
                <w:sz w:val="18"/>
                <w:szCs w:val="18"/>
              </w:rPr>
            </w:pPr>
          </w:p>
        </w:tc>
        <w:tc>
          <w:tcPr>
            <w:tcW w:w="897" w:type="dxa"/>
            <w:gridSpan w:val="3"/>
            <w:vMerge w:val="continue"/>
            <w:vAlign w:val="center"/>
          </w:tcPr>
          <w:p w14:paraId="44D5C077">
            <w:pPr>
              <w:spacing w:before="156" w:beforeLines="50" w:after="156" w:afterLines="50"/>
              <w:jc w:val="left"/>
              <w:rPr>
                <w:kern w:val="0"/>
                <w:sz w:val="18"/>
                <w:szCs w:val="18"/>
              </w:rPr>
            </w:pPr>
          </w:p>
        </w:tc>
        <w:tc>
          <w:tcPr>
            <w:tcW w:w="1282" w:type="dxa"/>
            <w:vMerge w:val="continue"/>
            <w:vAlign w:val="center"/>
          </w:tcPr>
          <w:p w14:paraId="09259F37">
            <w:pPr>
              <w:spacing w:before="156" w:beforeLines="50" w:after="156" w:afterLines="50"/>
              <w:jc w:val="left"/>
              <w:rPr>
                <w:kern w:val="0"/>
                <w:sz w:val="18"/>
                <w:szCs w:val="18"/>
              </w:rPr>
            </w:pPr>
          </w:p>
        </w:tc>
        <w:tc>
          <w:tcPr>
            <w:tcW w:w="1864" w:type="dxa"/>
            <w:gridSpan w:val="2"/>
            <w:vMerge w:val="continue"/>
            <w:vAlign w:val="center"/>
          </w:tcPr>
          <w:p w14:paraId="7F5AA892">
            <w:pPr>
              <w:spacing w:before="156" w:beforeLines="50" w:after="156" w:afterLines="50"/>
              <w:jc w:val="left"/>
              <w:rPr>
                <w:kern w:val="0"/>
                <w:sz w:val="18"/>
                <w:szCs w:val="18"/>
              </w:rPr>
            </w:pPr>
          </w:p>
        </w:tc>
        <w:tc>
          <w:tcPr>
            <w:tcW w:w="849" w:type="dxa"/>
            <w:gridSpan w:val="2"/>
            <w:vMerge w:val="continue"/>
            <w:vAlign w:val="center"/>
          </w:tcPr>
          <w:p w14:paraId="2566DAB6">
            <w:pPr>
              <w:spacing w:before="156" w:beforeLines="50" w:after="156" w:afterLines="50"/>
              <w:jc w:val="center"/>
              <w:rPr>
                <w:kern w:val="0"/>
                <w:sz w:val="18"/>
                <w:szCs w:val="18"/>
              </w:rPr>
            </w:pPr>
          </w:p>
        </w:tc>
        <w:tc>
          <w:tcPr>
            <w:tcW w:w="2209" w:type="dxa"/>
            <w:gridSpan w:val="2"/>
            <w:tcBorders>
              <w:top w:val="single" w:color="auto" w:sz="4" w:space="0"/>
            </w:tcBorders>
            <w:vAlign w:val="center"/>
          </w:tcPr>
          <w:p w14:paraId="422786CF">
            <w:pPr>
              <w:spacing w:before="156" w:beforeLines="50" w:after="156" w:afterLines="50"/>
              <w:jc w:val="left"/>
              <w:rPr>
                <w:kern w:val="0"/>
                <w:sz w:val="18"/>
                <w:szCs w:val="18"/>
              </w:rPr>
            </w:pPr>
            <w:r>
              <w:rPr>
                <w:rFonts w:hint="eastAsia"/>
                <w:kern w:val="0"/>
                <w:sz w:val="18"/>
                <w:szCs w:val="18"/>
              </w:rPr>
              <w:t>1.</w:t>
            </w:r>
            <w:r>
              <w:rPr>
                <w:rFonts w:hint="eastAsia"/>
                <w:sz w:val="18"/>
                <w:szCs w:val="18"/>
              </w:rPr>
              <w:t xml:space="preserve"> </w:t>
            </w:r>
            <w:r>
              <w:rPr>
                <w:rFonts w:hint="eastAsia"/>
                <w:kern w:val="0"/>
                <w:sz w:val="18"/>
                <w:szCs w:val="18"/>
              </w:rPr>
              <w:t>为掩盖违法行为故意关闭系统的；</w:t>
            </w:r>
          </w:p>
          <w:p w14:paraId="47A13D51">
            <w:pPr>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14:paraId="352EF586">
            <w:pPr>
              <w:spacing w:before="156" w:beforeLines="50" w:after="156" w:afterLines="50"/>
              <w:jc w:val="left"/>
              <w:rPr>
                <w:kern w:val="0"/>
                <w:sz w:val="18"/>
                <w:szCs w:val="18"/>
              </w:rPr>
            </w:pPr>
          </w:p>
        </w:tc>
        <w:tc>
          <w:tcPr>
            <w:tcW w:w="2763" w:type="dxa"/>
            <w:gridSpan w:val="3"/>
            <w:vMerge w:val="continue"/>
            <w:vAlign w:val="center"/>
          </w:tcPr>
          <w:p w14:paraId="34DFE96C">
            <w:pPr>
              <w:spacing w:before="156" w:beforeLines="50" w:after="156" w:afterLines="50"/>
              <w:jc w:val="left"/>
              <w:rPr>
                <w:kern w:val="0"/>
                <w:sz w:val="18"/>
                <w:szCs w:val="18"/>
              </w:rPr>
            </w:pPr>
          </w:p>
        </w:tc>
        <w:tc>
          <w:tcPr>
            <w:tcW w:w="2408" w:type="dxa"/>
            <w:gridSpan w:val="3"/>
            <w:vMerge w:val="continue"/>
            <w:vAlign w:val="center"/>
          </w:tcPr>
          <w:p w14:paraId="3864CE99">
            <w:pPr>
              <w:spacing w:before="156" w:beforeLines="50" w:after="156" w:afterLines="50"/>
              <w:jc w:val="left"/>
              <w:rPr>
                <w:kern w:val="0"/>
                <w:sz w:val="18"/>
                <w:szCs w:val="18"/>
              </w:rPr>
            </w:pPr>
          </w:p>
        </w:tc>
        <w:tc>
          <w:tcPr>
            <w:tcW w:w="4462" w:type="dxa"/>
            <w:gridSpan w:val="7"/>
            <w:tcBorders>
              <w:top w:val="single" w:color="auto" w:sz="4" w:space="0"/>
            </w:tcBorders>
            <w:vAlign w:val="center"/>
          </w:tcPr>
          <w:p w14:paraId="127BD9AA">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2565E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055" w:hRule="atLeast"/>
        </w:trPr>
        <w:tc>
          <w:tcPr>
            <w:tcW w:w="679" w:type="dxa"/>
            <w:vMerge w:val="restart"/>
            <w:vAlign w:val="center"/>
          </w:tcPr>
          <w:p w14:paraId="17B25DDF">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14:paraId="1337EDA5">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14:paraId="2F372523">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14:paraId="25334595">
            <w:pPr>
              <w:spacing w:before="156" w:beforeLines="50" w:after="156" w:afterLines="50"/>
              <w:jc w:val="center"/>
              <w:rPr>
                <w:b/>
                <w:sz w:val="18"/>
                <w:szCs w:val="18"/>
              </w:rPr>
            </w:pPr>
            <w:r>
              <w:rPr>
                <w:rFonts w:hint="eastAsia"/>
                <w:b/>
                <w:sz w:val="18"/>
                <w:szCs w:val="18"/>
              </w:rPr>
              <w:t>违法行</w:t>
            </w:r>
          </w:p>
          <w:p w14:paraId="48DBD9D1">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14:paraId="79C75B12">
            <w:pPr>
              <w:spacing w:before="156" w:beforeLines="50" w:after="156" w:afterLines="50"/>
              <w:rPr>
                <w:b/>
                <w:sz w:val="18"/>
                <w:szCs w:val="18"/>
              </w:rPr>
            </w:pPr>
            <w:r>
              <w:rPr>
                <w:rFonts w:hint="eastAsia"/>
                <w:b/>
                <w:sz w:val="18"/>
                <w:szCs w:val="18"/>
              </w:rPr>
              <w:t>主要考虑因素（事实、性质、情节、危害程度和实际后果等）</w:t>
            </w:r>
          </w:p>
        </w:tc>
        <w:tc>
          <w:tcPr>
            <w:tcW w:w="11771" w:type="dxa"/>
            <w:gridSpan w:val="14"/>
            <w:vAlign w:val="center"/>
          </w:tcPr>
          <w:p w14:paraId="5C3F6BCC">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14:paraId="4443A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612" w:hRule="atLeast"/>
        </w:trPr>
        <w:tc>
          <w:tcPr>
            <w:tcW w:w="679" w:type="dxa"/>
            <w:vMerge w:val="continue"/>
            <w:vAlign w:val="center"/>
          </w:tcPr>
          <w:p w14:paraId="43EEFBA8">
            <w:pPr>
              <w:spacing w:before="156" w:beforeLines="50" w:after="156" w:afterLines="50"/>
              <w:jc w:val="left"/>
              <w:rPr>
                <w:b/>
                <w:sz w:val="18"/>
                <w:szCs w:val="18"/>
              </w:rPr>
            </w:pPr>
          </w:p>
        </w:tc>
        <w:tc>
          <w:tcPr>
            <w:tcW w:w="897" w:type="dxa"/>
            <w:gridSpan w:val="3"/>
            <w:vMerge w:val="continue"/>
            <w:vAlign w:val="center"/>
          </w:tcPr>
          <w:p w14:paraId="28BBB22E">
            <w:pPr>
              <w:spacing w:before="156" w:beforeLines="50" w:after="156" w:afterLines="50"/>
              <w:jc w:val="left"/>
              <w:rPr>
                <w:b/>
                <w:sz w:val="18"/>
                <w:szCs w:val="18"/>
              </w:rPr>
            </w:pPr>
          </w:p>
        </w:tc>
        <w:tc>
          <w:tcPr>
            <w:tcW w:w="3146" w:type="dxa"/>
            <w:gridSpan w:val="3"/>
            <w:vMerge w:val="continue"/>
            <w:vAlign w:val="center"/>
          </w:tcPr>
          <w:p w14:paraId="7D325023">
            <w:pPr>
              <w:spacing w:before="156" w:beforeLines="50" w:after="156" w:afterLines="50"/>
              <w:jc w:val="left"/>
              <w:rPr>
                <w:b/>
                <w:sz w:val="18"/>
                <w:szCs w:val="18"/>
              </w:rPr>
            </w:pPr>
          </w:p>
        </w:tc>
        <w:tc>
          <w:tcPr>
            <w:tcW w:w="849" w:type="dxa"/>
            <w:gridSpan w:val="2"/>
            <w:vMerge w:val="continue"/>
            <w:vAlign w:val="center"/>
          </w:tcPr>
          <w:p w14:paraId="6BBC2583">
            <w:pPr>
              <w:spacing w:before="156" w:beforeLines="50" w:after="156" w:afterLines="50"/>
              <w:jc w:val="left"/>
              <w:rPr>
                <w:b/>
                <w:sz w:val="18"/>
                <w:szCs w:val="18"/>
              </w:rPr>
            </w:pPr>
          </w:p>
        </w:tc>
        <w:tc>
          <w:tcPr>
            <w:tcW w:w="2209" w:type="dxa"/>
            <w:gridSpan w:val="2"/>
            <w:vMerge w:val="continue"/>
            <w:vAlign w:val="center"/>
          </w:tcPr>
          <w:p w14:paraId="18F0C874">
            <w:pPr>
              <w:spacing w:before="156" w:beforeLines="50" w:after="156" w:afterLines="50"/>
              <w:jc w:val="left"/>
              <w:rPr>
                <w:b/>
                <w:sz w:val="18"/>
                <w:szCs w:val="18"/>
              </w:rPr>
            </w:pPr>
          </w:p>
        </w:tc>
        <w:tc>
          <w:tcPr>
            <w:tcW w:w="11771" w:type="dxa"/>
            <w:gridSpan w:val="14"/>
            <w:vAlign w:val="center"/>
          </w:tcPr>
          <w:p w14:paraId="493180E5">
            <w:pPr>
              <w:spacing w:before="156" w:beforeLines="50" w:after="156" w:afterLines="50"/>
              <w:jc w:val="center"/>
              <w:rPr>
                <w:b/>
                <w:sz w:val="18"/>
                <w:szCs w:val="18"/>
              </w:rPr>
            </w:pPr>
            <w:r>
              <w:rPr>
                <w:rFonts w:hint="eastAsia"/>
                <w:b/>
                <w:sz w:val="18"/>
                <w:szCs w:val="18"/>
              </w:rPr>
              <w:t>处罚基准</w:t>
            </w:r>
          </w:p>
        </w:tc>
      </w:tr>
      <w:tr w14:paraId="4C1B4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560" w:hRule="atLeast"/>
        </w:trPr>
        <w:tc>
          <w:tcPr>
            <w:tcW w:w="679" w:type="dxa"/>
            <w:vMerge w:val="continue"/>
            <w:vAlign w:val="center"/>
          </w:tcPr>
          <w:p w14:paraId="15B95C83">
            <w:pPr>
              <w:spacing w:before="156" w:beforeLines="50" w:after="156" w:afterLines="50"/>
              <w:jc w:val="left"/>
              <w:rPr>
                <w:b/>
                <w:sz w:val="18"/>
                <w:szCs w:val="18"/>
              </w:rPr>
            </w:pPr>
          </w:p>
        </w:tc>
        <w:tc>
          <w:tcPr>
            <w:tcW w:w="897" w:type="dxa"/>
            <w:gridSpan w:val="3"/>
            <w:vMerge w:val="continue"/>
            <w:vAlign w:val="center"/>
          </w:tcPr>
          <w:p w14:paraId="3E6B13FE">
            <w:pPr>
              <w:spacing w:before="156" w:beforeLines="50" w:after="156" w:afterLines="50"/>
              <w:jc w:val="left"/>
              <w:rPr>
                <w:b/>
                <w:sz w:val="18"/>
                <w:szCs w:val="18"/>
              </w:rPr>
            </w:pPr>
          </w:p>
        </w:tc>
        <w:tc>
          <w:tcPr>
            <w:tcW w:w="1282" w:type="dxa"/>
            <w:vMerge w:val="restart"/>
            <w:vAlign w:val="center"/>
          </w:tcPr>
          <w:p w14:paraId="6F034157">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14:paraId="1978BBC0">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14:paraId="323AECE3">
            <w:pPr>
              <w:spacing w:before="156" w:beforeLines="50" w:after="156" w:afterLines="50"/>
              <w:jc w:val="left"/>
              <w:rPr>
                <w:b/>
                <w:sz w:val="18"/>
                <w:szCs w:val="18"/>
              </w:rPr>
            </w:pPr>
          </w:p>
        </w:tc>
        <w:tc>
          <w:tcPr>
            <w:tcW w:w="2209" w:type="dxa"/>
            <w:gridSpan w:val="2"/>
            <w:vMerge w:val="continue"/>
            <w:vAlign w:val="center"/>
          </w:tcPr>
          <w:p w14:paraId="773330A3">
            <w:pPr>
              <w:spacing w:before="156" w:beforeLines="50" w:after="156" w:afterLines="50"/>
              <w:jc w:val="left"/>
              <w:rPr>
                <w:b/>
                <w:sz w:val="18"/>
                <w:szCs w:val="18"/>
              </w:rPr>
            </w:pPr>
          </w:p>
        </w:tc>
        <w:tc>
          <w:tcPr>
            <w:tcW w:w="7858" w:type="dxa"/>
            <w:gridSpan w:val="9"/>
            <w:vAlign w:val="center"/>
          </w:tcPr>
          <w:p w14:paraId="5CF40A35">
            <w:pPr>
              <w:spacing w:before="156" w:beforeLines="50" w:after="156" w:afterLines="50"/>
              <w:jc w:val="center"/>
              <w:rPr>
                <w:b/>
                <w:sz w:val="18"/>
                <w:szCs w:val="18"/>
              </w:rPr>
            </w:pPr>
            <w:r>
              <w:rPr>
                <w:rFonts w:hint="eastAsia"/>
                <w:b/>
                <w:sz w:val="18"/>
                <w:szCs w:val="18"/>
              </w:rPr>
              <w:t>【对象】船舶经营人或所有人</w:t>
            </w:r>
          </w:p>
        </w:tc>
        <w:tc>
          <w:tcPr>
            <w:tcW w:w="3913" w:type="dxa"/>
            <w:gridSpan w:val="5"/>
            <w:vMerge w:val="restart"/>
            <w:vAlign w:val="center"/>
          </w:tcPr>
          <w:p w14:paraId="68E259E9">
            <w:pPr>
              <w:spacing w:before="156" w:beforeLines="50" w:after="156" w:afterLines="50"/>
              <w:jc w:val="center"/>
              <w:rPr>
                <w:rFonts w:ascii="宋体"/>
                <w:b/>
                <w:kern w:val="0"/>
                <w:sz w:val="18"/>
                <w:szCs w:val="18"/>
              </w:rPr>
            </w:pPr>
            <w:r>
              <w:rPr>
                <w:rFonts w:hint="eastAsia"/>
                <w:b/>
                <w:sz w:val="18"/>
                <w:szCs w:val="18"/>
              </w:rPr>
              <w:t>【对象】责任船员</w:t>
            </w:r>
          </w:p>
        </w:tc>
      </w:tr>
      <w:tr w14:paraId="29ADC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763" w:hRule="atLeast"/>
        </w:trPr>
        <w:tc>
          <w:tcPr>
            <w:tcW w:w="679" w:type="dxa"/>
            <w:vMerge w:val="continue"/>
            <w:vAlign w:val="center"/>
          </w:tcPr>
          <w:p w14:paraId="640C9CE4">
            <w:pPr>
              <w:spacing w:before="156" w:beforeLines="50" w:after="156" w:afterLines="50"/>
              <w:jc w:val="left"/>
              <w:rPr>
                <w:b/>
                <w:sz w:val="18"/>
                <w:szCs w:val="18"/>
              </w:rPr>
            </w:pPr>
          </w:p>
        </w:tc>
        <w:tc>
          <w:tcPr>
            <w:tcW w:w="897" w:type="dxa"/>
            <w:gridSpan w:val="3"/>
            <w:vMerge w:val="continue"/>
            <w:vAlign w:val="center"/>
          </w:tcPr>
          <w:p w14:paraId="033A204D">
            <w:pPr>
              <w:spacing w:before="156" w:beforeLines="50" w:after="156" w:afterLines="50"/>
              <w:jc w:val="left"/>
              <w:rPr>
                <w:b/>
                <w:sz w:val="18"/>
                <w:szCs w:val="18"/>
              </w:rPr>
            </w:pPr>
          </w:p>
        </w:tc>
        <w:tc>
          <w:tcPr>
            <w:tcW w:w="1282" w:type="dxa"/>
            <w:vMerge w:val="continue"/>
            <w:vAlign w:val="center"/>
          </w:tcPr>
          <w:p w14:paraId="0253943C">
            <w:pPr>
              <w:spacing w:before="156" w:beforeLines="50" w:after="156" w:afterLines="50"/>
              <w:jc w:val="left"/>
              <w:rPr>
                <w:b/>
                <w:sz w:val="18"/>
                <w:szCs w:val="18"/>
              </w:rPr>
            </w:pPr>
          </w:p>
        </w:tc>
        <w:tc>
          <w:tcPr>
            <w:tcW w:w="1864" w:type="dxa"/>
            <w:gridSpan w:val="2"/>
            <w:vMerge w:val="continue"/>
            <w:vAlign w:val="center"/>
          </w:tcPr>
          <w:p w14:paraId="3C7DE425">
            <w:pPr>
              <w:spacing w:before="156" w:beforeLines="50" w:after="156" w:afterLines="50"/>
              <w:jc w:val="left"/>
              <w:rPr>
                <w:b/>
                <w:sz w:val="18"/>
                <w:szCs w:val="18"/>
              </w:rPr>
            </w:pPr>
          </w:p>
        </w:tc>
        <w:tc>
          <w:tcPr>
            <w:tcW w:w="849" w:type="dxa"/>
            <w:gridSpan w:val="2"/>
            <w:vMerge w:val="continue"/>
            <w:vAlign w:val="center"/>
          </w:tcPr>
          <w:p w14:paraId="6990EDC2">
            <w:pPr>
              <w:spacing w:before="156" w:beforeLines="50" w:after="156" w:afterLines="50"/>
              <w:jc w:val="left"/>
              <w:rPr>
                <w:b/>
                <w:sz w:val="18"/>
                <w:szCs w:val="18"/>
              </w:rPr>
            </w:pPr>
          </w:p>
        </w:tc>
        <w:tc>
          <w:tcPr>
            <w:tcW w:w="2209" w:type="dxa"/>
            <w:gridSpan w:val="2"/>
            <w:vMerge w:val="continue"/>
            <w:vAlign w:val="center"/>
          </w:tcPr>
          <w:p w14:paraId="5E560092">
            <w:pPr>
              <w:spacing w:before="156" w:beforeLines="50" w:after="156" w:afterLines="50"/>
              <w:jc w:val="left"/>
              <w:rPr>
                <w:b/>
                <w:sz w:val="18"/>
                <w:szCs w:val="18"/>
              </w:rPr>
            </w:pPr>
          </w:p>
        </w:tc>
        <w:tc>
          <w:tcPr>
            <w:tcW w:w="2687" w:type="dxa"/>
            <w:gridSpan w:val="3"/>
            <w:vAlign w:val="center"/>
          </w:tcPr>
          <w:p w14:paraId="3778BA9C">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14:paraId="4FF16B94">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14:paraId="26E530CA">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3913" w:type="dxa"/>
            <w:gridSpan w:val="5"/>
            <w:vMerge w:val="continue"/>
            <w:vAlign w:val="center"/>
          </w:tcPr>
          <w:p w14:paraId="1A84BC95">
            <w:pPr>
              <w:spacing w:before="156" w:beforeLines="50" w:after="156" w:afterLines="50"/>
              <w:jc w:val="left"/>
              <w:rPr>
                <w:rFonts w:ascii="宋体"/>
                <w:b/>
                <w:sz w:val="18"/>
                <w:szCs w:val="18"/>
              </w:rPr>
            </w:pPr>
          </w:p>
        </w:tc>
      </w:tr>
      <w:tr w14:paraId="707D5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717" w:hRule="atLeast"/>
        </w:trPr>
        <w:tc>
          <w:tcPr>
            <w:tcW w:w="679" w:type="dxa"/>
            <w:vMerge w:val="restart"/>
            <w:vAlign w:val="center"/>
          </w:tcPr>
          <w:p w14:paraId="10727BA5">
            <w:pPr>
              <w:spacing w:before="156" w:beforeLines="50" w:after="156" w:afterLines="50"/>
              <w:jc w:val="center"/>
              <w:rPr>
                <w:rFonts w:ascii="宋体"/>
                <w:kern w:val="0"/>
                <w:sz w:val="18"/>
                <w:szCs w:val="18"/>
              </w:rPr>
            </w:pPr>
            <w:r>
              <w:rPr>
                <w:rFonts w:hint="eastAsia" w:ascii="宋体"/>
                <w:kern w:val="0"/>
                <w:sz w:val="18"/>
                <w:szCs w:val="18"/>
              </w:rPr>
              <w:t>26</w:t>
            </w:r>
          </w:p>
        </w:tc>
        <w:tc>
          <w:tcPr>
            <w:tcW w:w="897" w:type="dxa"/>
            <w:gridSpan w:val="3"/>
            <w:vMerge w:val="restart"/>
            <w:vAlign w:val="center"/>
          </w:tcPr>
          <w:p w14:paraId="32987B19">
            <w:pPr>
              <w:widowControl/>
              <w:spacing w:before="156" w:beforeLines="50" w:after="156" w:afterLines="50"/>
              <w:jc w:val="left"/>
              <w:rPr>
                <w:kern w:val="0"/>
                <w:sz w:val="18"/>
                <w:szCs w:val="18"/>
              </w:rPr>
            </w:pPr>
            <w:r>
              <w:rPr>
                <w:rFonts w:hint="eastAsia"/>
                <w:kern w:val="0"/>
                <w:sz w:val="18"/>
                <w:szCs w:val="18"/>
              </w:rPr>
              <w:t>不按照规定在船舶自动识别设备中输入准确信息</w:t>
            </w:r>
          </w:p>
        </w:tc>
        <w:tc>
          <w:tcPr>
            <w:tcW w:w="1282" w:type="dxa"/>
            <w:vMerge w:val="restart"/>
            <w:vAlign w:val="center"/>
          </w:tcPr>
          <w:p w14:paraId="6E3C8F14">
            <w:pPr>
              <w:widowControl/>
              <w:spacing w:before="156" w:beforeLines="50" w:after="156" w:afterLines="50"/>
              <w:jc w:val="left"/>
              <w:rPr>
                <w:kern w:val="0"/>
                <w:sz w:val="18"/>
                <w:szCs w:val="18"/>
              </w:rPr>
            </w:pPr>
            <w:r>
              <w:rPr>
                <w:rFonts w:hint="eastAsia"/>
                <w:kern w:val="0"/>
                <w:sz w:val="18"/>
                <w:szCs w:val="18"/>
              </w:rPr>
              <w:t>1.《中华人民共和国内河交通安全管理条例》十七条第四款；</w:t>
            </w:r>
          </w:p>
          <w:p w14:paraId="1176E9EB">
            <w:pPr>
              <w:widowControl/>
              <w:spacing w:before="156" w:beforeLines="50" w:after="156" w:afterLines="50"/>
              <w:jc w:val="left"/>
              <w:rPr>
                <w:kern w:val="0"/>
                <w:sz w:val="18"/>
                <w:szCs w:val="18"/>
              </w:rPr>
            </w:pPr>
            <w:r>
              <w:rPr>
                <w:rFonts w:hint="eastAsia"/>
                <w:kern w:val="0"/>
                <w:sz w:val="18"/>
                <w:szCs w:val="18"/>
              </w:rPr>
              <w:t>2.《中华人民共和国船舶安全监督规则 》第四十六条。</w:t>
            </w:r>
          </w:p>
          <w:p w14:paraId="1A05E3ED">
            <w:pPr>
              <w:widowControl/>
              <w:spacing w:before="156" w:beforeLines="50" w:after="156" w:afterLines="50"/>
              <w:jc w:val="left"/>
              <w:rPr>
                <w:kern w:val="0"/>
                <w:sz w:val="18"/>
                <w:szCs w:val="18"/>
              </w:rPr>
            </w:pPr>
          </w:p>
        </w:tc>
        <w:tc>
          <w:tcPr>
            <w:tcW w:w="1864" w:type="dxa"/>
            <w:gridSpan w:val="2"/>
            <w:vMerge w:val="restart"/>
            <w:vAlign w:val="center"/>
          </w:tcPr>
          <w:p w14:paraId="0890D940">
            <w:pPr>
              <w:widowControl/>
              <w:spacing w:before="156" w:beforeLines="50" w:after="156" w:afterLines="50"/>
              <w:jc w:val="left"/>
              <w:rPr>
                <w:kern w:val="0"/>
                <w:sz w:val="18"/>
                <w:szCs w:val="18"/>
              </w:rPr>
            </w:pPr>
            <w:r>
              <w:rPr>
                <w:rFonts w:hint="eastAsia"/>
                <w:kern w:val="0"/>
                <w:sz w:val="18"/>
                <w:szCs w:val="18"/>
              </w:rPr>
              <w:t>1.《中华人民共和国内河交通安全管理条例》第八十一条；</w:t>
            </w:r>
          </w:p>
          <w:p w14:paraId="731A7F68">
            <w:pPr>
              <w:widowControl/>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14:paraId="3DF4CC6C">
            <w:pPr>
              <w:widowControl/>
              <w:spacing w:before="156" w:beforeLines="50" w:after="156" w:afterLines="50"/>
              <w:jc w:val="left"/>
              <w:rPr>
                <w:kern w:val="0"/>
                <w:sz w:val="18"/>
                <w:szCs w:val="18"/>
              </w:rPr>
            </w:pPr>
            <w:r>
              <w:rPr>
                <w:rFonts w:hint="eastAsia"/>
                <w:kern w:val="0"/>
                <w:sz w:val="18"/>
                <w:szCs w:val="18"/>
              </w:rPr>
              <w:t>3. 《中华人民共和国行政处罚法》第三十二条（从轻）。</w:t>
            </w:r>
          </w:p>
          <w:p w14:paraId="2C150CA5">
            <w:pPr>
              <w:widowControl/>
              <w:spacing w:before="156" w:beforeLines="50" w:after="156" w:afterLines="50"/>
              <w:jc w:val="left"/>
              <w:rPr>
                <w:kern w:val="0"/>
                <w:sz w:val="18"/>
                <w:szCs w:val="18"/>
              </w:rPr>
            </w:pPr>
          </w:p>
        </w:tc>
        <w:tc>
          <w:tcPr>
            <w:tcW w:w="849" w:type="dxa"/>
            <w:gridSpan w:val="2"/>
            <w:vAlign w:val="center"/>
          </w:tcPr>
          <w:p w14:paraId="6B131268">
            <w:pPr>
              <w:widowControl/>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14:paraId="0F37E41C">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14:paraId="45FC8D6E">
            <w:pPr>
              <w:widowControl/>
              <w:spacing w:before="156" w:beforeLines="50" w:after="156" w:afterLines="50"/>
              <w:jc w:val="left"/>
              <w:rPr>
                <w:kern w:val="0"/>
                <w:sz w:val="18"/>
                <w:szCs w:val="18"/>
              </w:rPr>
            </w:pPr>
            <w:r>
              <w:rPr>
                <w:rFonts w:hint="eastAsia"/>
                <w:kern w:val="0"/>
                <w:sz w:val="18"/>
                <w:szCs w:val="18"/>
              </w:rPr>
              <w:t>1000元及以上2000元以下</w:t>
            </w:r>
          </w:p>
        </w:tc>
        <w:tc>
          <w:tcPr>
            <w:tcW w:w="2763" w:type="dxa"/>
            <w:gridSpan w:val="3"/>
            <w:vAlign w:val="center"/>
          </w:tcPr>
          <w:p w14:paraId="330F2CFD">
            <w:pPr>
              <w:widowControl/>
              <w:spacing w:before="156" w:beforeLines="50" w:after="156" w:afterLines="50"/>
              <w:jc w:val="left"/>
              <w:rPr>
                <w:kern w:val="0"/>
                <w:sz w:val="18"/>
                <w:szCs w:val="18"/>
              </w:rPr>
            </w:pPr>
            <w:r>
              <w:rPr>
                <w:rFonts w:hint="eastAsia"/>
                <w:kern w:val="0"/>
                <w:sz w:val="18"/>
                <w:szCs w:val="18"/>
              </w:rPr>
              <w:t>1000元及以上2000元以下</w:t>
            </w:r>
          </w:p>
        </w:tc>
        <w:tc>
          <w:tcPr>
            <w:tcW w:w="2408" w:type="dxa"/>
            <w:gridSpan w:val="3"/>
            <w:vAlign w:val="center"/>
          </w:tcPr>
          <w:p w14:paraId="650A64F7">
            <w:pPr>
              <w:widowControl/>
              <w:spacing w:before="156" w:beforeLines="50" w:after="156" w:afterLines="50"/>
              <w:jc w:val="left"/>
              <w:rPr>
                <w:kern w:val="0"/>
                <w:sz w:val="18"/>
                <w:szCs w:val="18"/>
              </w:rPr>
            </w:pPr>
            <w:r>
              <w:rPr>
                <w:rFonts w:hint="eastAsia"/>
                <w:kern w:val="0"/>
                <w:sz w:val="18"/>
                <w:szCs w:val="18"/>
              </w:rPr>
              <w:t>1000元及以上2000元以下</w:t>
            </w:r>
          </w:p>
        </w:tc>
        <w:tc>
          <w:tcPr>
            <w:tcW w:w="3913" w:type="dxa"/>
            <w:gridSpan w:val="5"/>
            <w:vAlign w:val="center"/>
          </w:tcPr>
          <w:p w14:paraId="1793E206">
            <w:pPr>
              <w:widowControl/>
              <w:spacing w:before="156" w:beforeLines="50" w:after="156" w:afterLines="50"/>
              <w:jc w:val="left"/>
              <w:rPr>
                <w:kern w:val="0"/>
                <w:sz w:val="18"/>
                <w:szCs w:val="18"/>
              </w:rPr>
            </w:pPr>
            <w:r>
              <w:rPr>
                <w:rFonts w:hint="eastAsia"/>
                <w:kern w:val="0"/>
                <w:sz w:val="18"/>
                <w:szCs w:val="18"/>
              </w:rPr>
              <w:t>/</w:t>
            </w:r>
          </w:p>
        </w:tc>
      </w:tr>
      <w:tr w14:paraId="185A4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1278" w:hRule="atLeast"/>
        </w:trPr>
        <w:tc>
          <w:tcPr>
            <w:tcW w:w="679" w:type="dxa"/>
            <w:vMerge w:val="continue"/>
            <w:vAlign w:val="center"/>
          </w:tcPr>
          <w:p w14:paraId="602F9F39">
            <w:pPr>
              <w:spacing w:before="156" w:beforeLines="50" w:after="156" w:afterLines="50"/>
              <w:jc w:val="left"/>
              <w:rPr>
                <w:rFonts w:ascii="宋体"/>
                <w:kern w:val="0"/>
                <w:sz w:val="18"/>
                <w:szCs w:val="18"/>
              </w:rPr>
            </w:pPr>
          </w:p>
        </w:tc>
        <w:tc>
          <w:tcPr>
            <w:tcW w:w="897" w:type="dxa"/>
            <w:gridSpan w:val="3"/>
            <w:vMerge w:val="continue"/>
            <w:vAlign w:val="center"/>
          </w:tcPr>
          <w:p w14:paraId="1A83457B">
            <w:pPr>
              <w:spacing w:before="156" w:beforeLines="50" w:after="156" w:afterLines="50"/>
              <w:jc w:val="left"/>
              <w:rPr>
                <w:kern w:val="0"/>
                <w:sz w:val="18"/>
                <w:szCs w:val="18"/>
              </w:rPr>
            </w:pPr>
          </w:p>
        </w:tc>
        <w:tc>
          <w:tcPr>
            <w:tcW w:w="1282" w:type="dxa"/>
            <w:vMerge w:val="continue"/>
            <w:vAlign w:val="center"/>
          </w:tcPr>
          <w:p w14:paraId="0F19A1C7">
            <w:pPr>
              <w:widowControl/>
              <w:spacing w:before="156" w:beforeLines="50" w:after="156" w:afterLines="50"/>
              <w:jc w:val="left"/>
              <w:rPr>
                <w:kern w:val="0"/>
                <w:sz w:val="18"/>
                <w:szCs w:val="18"/>
              </w:rPr>
            </w:pPr>
          </w:p>
        </w:tc>
        <w:tc>
          <w:tcPr>
            <w:tcW w:w="1864" w:type="dxa"/>
            <w:gridSpan w:val="2"/>
            <w:vMerge w:val="continue"/>
            <w:vAlign w:val="center"/>
          </w:tcPr>
          <w:p w14:paraId="6B306397">
            <w:pPr>
              <w:widowControl/>
              <w:spacing w:before="156" w:beforeLines="50" w:after="156" w:afterLines="50"/>
              <w:jc w:val="left"/>
              <w:rPr>
                <w:kern w:val="0"/>
                <w:sz w:val="18"/>
                <w:szCs w:val="18"/>
              </w:rPr>
            </w:pPr>
          </w:p>
        </w:tc>
        <w:tc>
          <w:tcPr>
            <w:tcW w:w="849" w:type="dxa"/>
            <w:gridSpan w:val="2"/>
            <w:vMerge w:val="restart"/>
            <w:vAlign w:val="center"/>
          </w:tcPr>
          <w:p w14:paraId="3187B89B">
            <w:pPr>
              <w:widowControl/>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14:paraId="3367D176">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14:paraId="785DFF53">
            <w:pPr>
              <w:widowControl/>
              <w:spacing w:before="156" w:beforeLines="50" w:after="156" w:afterLines="50"/>
              <w:jc w:val="left"/>
              <w:rPr>
                <w:kern w:val="0"/>
                <w:sz w:val="18"/>
                <w:szCs w:val="18"/>
              </w:rPr>
            </w:pPr>
            <w:r>
              <w:rPr>
                <w:rFonts w:hint="eastAsia"/>
                <w:kern w:val="0"/>
                <w:sz w:val="18"/>
                <w:szCs w:val="18"/>
              </w:rPr>
              <w:t>2000元及以上3000元以下</w:t>
            </w:r>
          </w:p>
        </w:tc>
        <w:tc>
          <w:tcPr>
            <w:tcW w:w="2763" w:type="dxa"/>
            <w:gridSpan w:val="3"/>
            <w:vAlign w:val="center"/>
          </w:tcPr>
          <w:p w14:paraId="5CC5F346">
            <w:pPr>
              <w:widowControl/>
              <w:spacing w:before="156" w:beforeLines="50" w:after="156" w:afterLines="50"/>
              <w:jc w:val="left"/>
              <w:rPr>
                <w:kern w:val="0"/>
                <w:sz w:val="18"/>
                <w:szCs w:val="18"/>
              </w:rPr>
            </w:pPr>
            <w:r>
              <w:rPr>
                <w:rFonts w:hint="eastAsia"/>
                <w:kern w:val="0"/>
                <w:sz w:val="18"/>
                <w:szCs w:val="18"/>
              </w:rPr>
              <w:t>2000元以上4000元以下</w:t>
            </w:r>
          </w:p>
        </w:tc>
        <w:tc>
          <w:tcPr>
            <w:tcW w:w="2408" w:type="dxa"/>
            <w:gridSpan w:val="3"/>
            <w:vAlign w:val="center"/>
          </w:tcPr>
          <w:p w14:paraId="60301E72">
            <w:pPr>
              <w:widowControl/>
              <w:spacing w:before="156" w:beforeLines="50" w:after="156" w:afterLines="50"/>
              <w:jc w:val="left"/>
              <w:rPr>
                <w:kern w:val="0"/>
                <w:sz w:val="18"/>
                <w:szCs w:val="18"/>
              </w:rPr>
            </w:pPr>
            <w:r>
              <w:rPr>
                <w:rFonts w:hint="eastAsia"/>
                <w:kern w:val="0"/>
                <w:sz w:val="18"/>
                <w:szCs w:val="18"/>
              </w:rPr>
              <w:t>2000元以上5000元以下</w:t>
            </w:r>
          </w:p>
        </w:tc>
        <w:tc>
          <w:tcPr>
            <w:tcW w:w="3913" w:type="dxa"/>
            <w:gridSpan w:val="5"/>
            <w:vAlign w:val="center"/>
          </w:tcPr>
          <w:p w14:paraId="0BED2B44">
            <w:pPr>
              <w:widowControl/>
              <w:spacing w:before="156" w:beforeLines="50" w:after="156" w:afterLines="50"/>
              <w:jc w:val="left"/>
              <w:rPr>
                <w:kern w:val="0"/>
                <w:sz w:val="18"/>
                <w:szCs w:val="18"/>
              </w:rPr>
            </w:pPr>
            <w:r>
              <w:rPr>
                <w:rFonts w:hint="eastAsia"/>
                <w:kern w:val="0"/>
                <w:sz w:val="18"/>
                <w:szCs w:val="18"/>
              </w:rPr>
              <w:t>/</w:t>
            </w:r>
          </w:p>
        </w:tc>
      </w:tr>
      <w:tr w14:paraId="7FE7F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869" w:hRule="atLeast"/>
        </w:trPr>
        <w:tc>
          <w:tcPr>
            <w:tcW w:w="679" w:type="dxa"/>
            <w:vMerge w:val="continue"/>
            <w:vAlign w:val="center"/>
          </w:tcPr>
          <w:p w14:paraId="54FDD498">
            <w:pPr>
              <w:spacing w:before="156" w:beforeLines="50" w:after="156" w:afterLines="50"/>
              <w:jc w:val="left"/>
              <w:rPr>
                <w:rFonts w:ascii="宋体"/>
                <w:kern w:val="0"/>
                <w:sz w:val="18"/>
                <w:szCs w:val="18"/>
              </w:rPr>
            </w:pPr>
          </w:p>
        </w:tc>
        <w:tc>
          <w:tcPr>
            <w:tcW w:w="897" w:type="dxa"/>
            <w:gridSpan w:val="3"/>
            <w:vMerge w:val="continue"/>
            <w:vAlign w:val="center"/>
          </w:tcPr>
          <w:p w14:paraId="6165CB3B">
            <w:pPr>
              <w:spacing w:before="156" w:beforeLines="50" w:after="156" w:afterLines="50"/>
              <w:jc w:val="left"/>
              <w:rPr>
                <w:kern w:val="0"/>
                <w:sz w:val="18"/>
                <w:szCs w:val="18"/>
              </w:rPr>
            </w:pPr>
          </w:p>
        </w:tc>
        <w:tc>
          <w:tcPr>
            <w:tcW w:w="1282" w:type="dxa"/>
            <w:vMerge w:val="continue"/>
            <w:vAlign w:val="center"/>
          </w:tcPr>
          <w:p w14:paraId="2D4BBB37">
            <w:pPr>
              <w:widowControl/>
              <w:spacing w:before="156" w:beforeLines="50" w:after="156" w:afterLines="50"/>
              <w:jc w:val="left"/>
              <w:rPr>
                <w:kern w:val="0"/>
                <w:sz w:val="18"/>
                <w:szCs w:val="18"/>
              </w:rPr>
            </w:pPr>
          </w:p>
        </w:tc>
        <w:tc>
          <w:tcPr>
            <w:tcW w:w="1864" w:type="dxa"/>
            <w:gridSpan w:val="2"/>
            <w:vMerge w:val="continue"/>
            <w:vAlign w:val="center"/>
          </w:tcPr>
          <w:p w14:paraId="1AB3E88B">
            <w:pPr>
              <w:widowControl/>
              <w:spacing w:before="156" w:beforeLines="50" w:after="156" w:afterLines="50"/>
              <w:jc w:val="left"/>
              <w:rPr>
                <w:kern w:val="0"/>
                <w:sz w:val="18"/>
                <w:szCs w:val="18"/>
              </w:rPr>
            </w:pPr>
          </w:p>
        </w:tc>
        <w:tc>
          <w:tcPr>
            <w:tcW w:w="849" w:type="dxa"/>
            <w:gridSpan w:val="2"/>
            <w:vMerge w:val="continue"/>
            <w:vAlign w:val="center"/>
          </w:tcPr>
          <w:p w14:paraId="11AFE5D5">
            <w:pPr>
              <w:widowControl/>
              <w:spacing w:before="156" w:beforeLines="50" w:after="156" w:afterLines="50"/>
              <w:jc w:val="center"/>
              <w:rPr>
                <w:kern w:val="0"/>
                <w:sz w:val="18"/>
                <w:szCs w:val="18"/>
              </w:rPr>
            </w:pPr>
          </w:p>
        </w:tc>
        <w:tc>
          <w:tcPr>
            <w:tcW w:w="2209" w:type="dxa"/>
            <w:gridSpan w:val="2"/>
            <w:vAlign w:val="center"/>
          </w:tcPr>
          <w:p w14:paraId="18723C6B">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14:paraId="75DF3570">
            <w:pPr>
              <w:widowControl/>
              <w:spacing w:before="156" w:beforeLines="50" w:after="156" w:afterLines="50"/>
              <w:jc w:val="left"/>
              <w:rPr>
                <w:kern w:val="0"/>
                <w:sz w:val="18"/>
                <w:szCs w:val="18"/>
              </w:rPr>
            </w:pPr>
            <w:r>
              <w:rPr>
                <w:rFonts w:hint="eastAsia"/>
                <w:kern w:val="0"/>
                <w:sz w:val="18"/>
                <w:szCs w:val="18"/>
              </w:rPr>
              <w:t>3000元及以上5000元以下</w:t>
            </w:r>
          </w:p>
        </w:tc>
        <w:tc>
          <w:tcPr>
            <w:tcW w:w="2763" w:type="dxa"/>
            <w:gridSpan w:val="3"/>
            <w:vAlign w:val="center"/>
          </w:tcPr>
          <w:p w14:paraId="0115CB6E">
            <w:pPr>
              <w:widowControl/>
              <w:spacing w:before="156" w:beforeLines="50" w:after="156" w:afterLines="50"/>
              <w:jc w:val="left"/>
              <w:rPr>
                <w:kern w:val="0"/>
                <w:sz w:val="18"/>
                <w:szCs w:val="18"/>
              </w:rPr>
            </w:pPr>
            <w:r>
              <w:rPr>
                <w:rFonts w:hint="eastAsia"/>
                <w:kern w:val="0"/>
                <w:sz w:val="18"/>
                <w:szCs w:val="18"/>
              </w:rPr>
              <w:t>4000元及以上6000元以下</w:t>
            </w:r>
          </w:p>
        </w:tc>
        <w:tc>
          <w:tcPr>
            <w:tcW w:w="2408" w:type="dxa"/>
            <w:gridSpan w:val="3"/>
            <w:vAlign w:val="center"/>
          </w:tcPr>
          <w:p w14:paraId="0E5402C7">
            <w:pPr>
              <w:widowControl/>
              <w:spacing w:before="156" w:beforeLines="50" w:after="156" w:afterLines="50"/>
              <w:jc w:val="left"/>
              <w:rPr>
                <w:kern w:val="0"/>
                <w:sz w:val="18"/>
                <w:szCs w:val="18"/>
              </w:rPr>
            </w:pPr>
            <w:r>
              <w:rPr>
                <w:rFonts w:hint="eastAsia"/>
                <w:kern w:val="0"/>
                <w:sz w:val="18"/>
                <w:szCs w:val="18"/>
              </w:rPr>
              <w:t>5000元及以上8000元以下</w:t>
            </w:r>
          </w:p>
        </w:tc>
        <w:tc>
          <w:tcPr>
            <w:tcW w:w="3913" w:type="dxa"/>
            <w:gridSpan w:val="5"/>
            <w:vAlign w:val="center"/>
          </w:tcPr>
          <w:p w14:paraId="3B7D30F2">
            <w:pPr>
              <w:widowControl/>
              <w:spacing w:before="156" w:beforeLines="50" w:after="156" w:afterLines="50"/>
              <w:jc w:val="left"/>
              <w:rPr>
                <w:kern w:val="0"/>
                <w:sz w:val="18"/>
                <w:szCs w:val="18"/>
              </w:rPr>
            </w:pPr>
            <w:r>
              <w:rPr>
                <w:rFonts w:hint="eastAsia"/>
                <w:kern w:val="0"/>
                <w:sz w:val="18"/>
                <w:szCs w:val="18"/>
              </w:rPr>
              <w:t>/</w:t>
            </w:r>
          </w:p>
        </w:tc>
      </w:tr>
      <w:tr w14:paraId="04779DDE">
        <w:tblPrEx>
          <w:tblCellMar>
            <w:top w:w="0" w:type="dxa"/>
            <w:left w:w="108" w:type="dxa"/>
            <w:bottom w:w="0" w:type="dxa"/>
            <w:right w:w="108" w:type="dxa"/>
          </w:tblCellMar>
        </w:tblPrEx>
        <w:trPr>
          <w:gridAfter w:val="2"/>
          <w:wAfter w:w="549" w:type="dxa"/>
          <w:trHeight w:val="1708" w:hRule="atLeast"/>
        </w:trPr>
        <w:tc>
          <w:tcPr>
            <w:tcW w:w="679" w:type="dxa"/>
            <w:vMerge w:val="continue"/>
            <w:vAlign w:val="center"/>
          </w:tcPr>
          <w:p w14:paraId="335187FC">
            <w:pPr>
              <w:spacing w:before="156" w:beforeLines="50" w:after="156" w:afterLines="50"/>
              <w:jc w:val="left"/>
              <w:rPr>
                <w:rFonts w:ascii="宋体"/>
                <w:kern w:val="0"/>
                <w:sz w:val="18"/>
                <w:szCs w:val="18"/>
              </w:rPr>
            </w:pPr>
          </w:p>
        </w:tc>
        <w:tc>
          <w:tcPr>
            <w:tcW w:w="897" w:type="dxa"/>
            <w:gridSpan w:val="3"/>
            <w:vMerge w:val="continue"/>
            <w:vAlign w:val="center"/>
          </w:tcPr>
          <w:p w14:paraId="4F95FC4F">
            <w:pPr>
              <w:spacing w:before="156" w:beforeLines="50" w:after="156" w:afterLines="50"/>
              <w:jc w:val="left"/>
              <w:rPr>
                <w:kern w:val="0"/>
                <w:sz w:val="18"/>
                <w:szCs w:val="18"/>
              </w:rPr>
            </w:pPr>
          </w:p>
        </w:tc>
        <w:tc>
          <w:tcPr>
            <w:tcW w:w="1282" w:type="dxa"/>
            <w:vMerge w:val="continue"/>
            <w:vAlign w:val="center"/>
          </w:tcPr>
          <w:p w14:paraId="414F28AF">
            <w:pPr>
              <w:widowControl/>
              <w:spacing w:before="156" w:beforeLines="50" w:after="156" w:afterLines="50"/>
              <w:jc w:val="left"/>
              <w:rPr>
                <w:kern w:val="0"/>
                <w:sz w:val="18"/>
                <w:szCs w:val="18"/>
              </w:rPr>
            </w:pPr>
          </w:p>
        </w:tc>
        <w:tc>
          <w:tcPr>
            <w:tcW w:w="1864" w:type="dxa"/>
            <w:gridSpan w:val="2"/>
            <w:vMerge w:val="continue"/>
            <w:vAlign w:val="center"/>
          </w:tcPr>
          <w:p w14:paraId="65ED9A3B">
            <w:pPr>
              <w:widowControl/>
              <w:spacing w:before="156" w:beforeLines="50" w:after="156" w:afterLines="50"/>
              <w:jc w:val="left"/>
              <w:rPr>
                <w:kern w:val="0"/>
                <w:sz w:val="18"/>
                <w:szCs w:val="18"/>
              </w:rPr>
            </w:pPr>
          </w:p>
        </w:tc>
        <w:tc>
          <w:tcPr>
            <w:tcW w:w="849" w:type="dxa"/>
            <w:gridSpan w:val="2"/>
            <w:vMerge w:val="restart"/>
            <w:vAlign w:val="center"/>
          </w:tcPr>
          <w:p w14:paraId="6AB2E090">
            <w:pPr>
              <w:widowControl/>
              <w:spacing w:before="156" w:beforeLines="50" w:after="156" w:afterLines="50"/>
              <w:jc w:val="center"/>
              <w:rPr>
                <w:kern w:val="0"/>
                <w:sz w:val="18"/>
                <w:szCs w:val="18"/>
              </w:rPr>
            </w:pPr>
            <w:r>
              <w:rPr>
                <w:rFonts w:hint="eastAsia"/>
                <w:kern w:val="0"/>
                <w:sz w:val="18"/>
                <w:szCs w:val="18"/>
              </w:rPr>
              <w:t>情节</w:t>
            </w:r>
          </w:p>
          <w:p w14:paraId="01CABD72">
            <w:pPr>
              <w:widowControl/>
              <w:spacing w:before="156" w:beforeLines="50" w:after="156" w:afterLines="50"/>
              <w:jc w:val="center"/>
              <w:rPr>
                <w:kern w:val="0"/>
                <w:sz w:val="18"/>
                <w:szCs w:val="18"/>
              </w:rPr>
            </w:pPr>
            <w:r>
              <w:rPr>
                <w:rFonts w:hint="eastAsia"/>
                <w:kern w:val="0"/>
                <w:sz w:val="18"/>
                <w:szCs w:val="18"/>
              </w:rPr>
              <w:t>严重</w:t>
            </w:r>
          </w:p>
        </w:tc>
        <w:tc>
          <w:tcPr>
            <w:tcW w:w="2209" w:type="dxa"/>
            <w:gridSpan w:val="2"/>
            <w:tcBorders>
              <w:bottom w:val="single" w:color="auto" w:sz="4" w:space="0"/>
            </w:tcBorders>
            <w:vAlign w:val="center"/>
          </w:tcPr>
          <w:p w14:paraId="3A004832">
            <w:pPr>
              <w:widowControl/>
              <w:spacing w:before="156" w:beforeLines="50" w:after="156" w:afterLines="50"/>
              <w:jc w:val="left"/>
              <w:rPr>
                <w:kern w:val="0"/>
                <w:sz w:val="18"/>
                <w:szCs w:val="18"/>
              </w:rPr>
            </w:pPr>
            <w:r>
              <w:rPr>
                <w:rFonts w:hint="eastAsia"/>
                <w:kern w:val="0"/>
                <w:sz w:val="18"/>
                <w:szCs w:val="18"/>
              </w:rPr>
              <w:t>造成一般及以上等级水上交通事故的。</w:t>
            </w:r>
          </w:p>
        </w:tc>
        <w:tc>
          <w:tcPr>
            <w:tcW w:w="2687" w:type="dxa"/>
            <w:gridSpan w:val="3"/>
            <w:vMerge w:val="restart"/>
            <w:vAlign w:val="center"/>
          </w:tcPr>
          <w:p w14:paraId="7312E1C1">
            <w:pPr>
              <w:widowControl/>
              <w:spacing w:before="156" w:beforeLines="50" w:after="156" w:afterLines="50"/>
              <w:jc w:val="left"/>
              <w:rPr>
                <w:kern w:val="0"/>
                <w:sz w:val="18"/>
                <w:szCs w:val="18"/>
              </w:rPr>
            </w:pPr>
            <w:r>
              <w:rPr>
                <w:rFonts w:hint="eastAsia"/>
                <w:kern w:val="0"/>
                <w:sz w:val="18"/>
                <w:szCs w:val="18"/>
              </w:rPr>
              <w:t>5000元及以上1万元及以下</w:t>
            </w:r>
          </w:p>
        </w:tc>
        <w:tc>
          <w:tcPr>
            <w:tcW w:w="2763" w:type="dxa"/>
            <w:gridSpan w:val="3"/>
            <w:vMerge w:val="restart"/>
            <w:vAlign w:val="center"/>
          </w:tcPr>
          <w:p w14:paraId="213FE18A">
            <w:pPr>
              <w:widowControl/>
              <w:spacing w:before="156" w:beforeLines="50" w:after="156" w:afterLines="50"/>
              <w:jc w:val="left"/>
              <w:rPr>
                <w:kern w:val="0"/>
                <w:sz w:val="18"/>
                <w:szCs w:val="18"/>
              </w:rPr>
            </w:pPr>
            <w:r>
              <w:rPr>
                <w:rFonts w:hint="eastAsia"/>
                <w:kern w:val="0"/>
                <w:sz w:val="18"/>
                <w:szCs w:val="18"/>
              </w:rPr>
              <w:t>6000元及以上1万元及以下</w:t>
            </w:r>
          </w:p>
        </w:tc>
        <w:tc>
          <w:tcPr>
            <w:tcW w:w="2408" w:type="dxa"/>
            <w:gridSpan w:val="3"/>
            <w:vMerge w:val="restart"/>
            <w:vAlign w:val="center"/>
          </w:tcPr>
          <w:p w14:paraId="78597DC3">
            <w:pPr>
              <w:widowControl/>
              <w:spacing w:before="156" w:beforeLines="50" w:after="156" w:afterLines="50"/>
              <w:jc w:val="left"/>
              <w:rPr>
                <w:kern w:val="0"/>
                <w:sz w:val="18"/>
                <w:szCs w:val="18"/>
              </w:rPr>
            </w:pPr>
            <w:r>
              <w:rPr>
                <w:rFonts w:hint="eastAsia"/>
                <w:kern w:val="0"/>
                <w:sz w:val="18"/>
                <w:szCs w:val="18"/>
              </w:rPr>
              <w:t>8000元及以上1万元及以下</w:t>
            </w:r>
          </w:p>
        </w:tc>
        <w:tc>
          <w:tcPr>
            <w:tcW w:w="3913" w:type="dxa"/>
            <w:gridSpan w:val="5"/>
            <w:tcBorders>
              <w:bottom w:val="single" w:color="auto" w:sz="4" w:space="0"/>
            </w:tcBorders>
            <w:vAlign w:val="center"/>
          </w:tcPr>
          <w:p w14:paraId="2C0885DE">
            <w:pPr>
              <w:widowControl/>
              <w:spacing w:before="156" w:beforeLines="50" w:after="156" w:afterLines="50"/>
              <w:jc w:val="left"/>
              <w:rPr>
                <w:kern w:val="0"/>
                <w:sz w:val="18"/>
                <w:szCs w:val="18"/>
              </w:rPr>
            </w:pPr>
            <w:r>
              <w:rPr>
                <w:rFonts w:hint="eastAsia"/>
                <w:kern w:val="0"/>
                <w:sz w:val="18"/>
                <w:szCs w:val="18"/>
              </w:rPr>
              <w:t>造成一般及以上等级水上交通事故的，暂扣直至吊销证书处罚的裁量按照 《中华人民共和国内河海事行政处罚规定》第三十二条实施。</w:t>
            </w:r>
          </w:p>
        </w:tc>
      </w:tr>
      <w:tr w14:paraId="109A6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2"/>
          <w:wAfter w:w="549" w:type="dxa"/>
          <w:trHeight w:val="341" w:hRule="atLeast"/>
        </w:trPr>
        <w:tc>
          <w:tcPr>
            <w:tcW w:w="679" w:type="dxa"/>
            <w:vMerge w:val="continue"/>
            <w:vAlign w:val="center"/>
          </w:tcPr>
          <w:p w14:paraId="2D5B2D74">
            <w:pPr>
              <w:spacing w:before="156" w:beforeLines="50" w:after="156" w:afterLines="50"/>
              <w:jc w:val="left"/>
              <w:rPr>
                <w:rFonts w:ascii="宋体"/>
                <w:kern w:val="0"/>
                <w:sz w:val="18"/>
                <w:szCs w:val="18"/>
              </w:rPr>
            </w:pPr>
          </w:p>
        </w:tc>
        <w:tc>
          <w:tcPr>
            <w:tcW w:w="897" w:type="dxa"/>
            <w:gridSpan w:val="3"/>
            <w:vMerge w:val="continue"/>
            <w:vAlign w:val="center"/>
          </w:tcPr>
          <w:p w14:paraId="109EF592">
            <w:pPr>
              <w:spacing w:before="156" w:beforeLines="50" w:after="156" w:afterLines="50"/>
              <w:jc w:val="left"/>
              <w:rPr>
                <w:kern w:val="0"/>
                <w:sz w:val="18"/>
                <w:szCs w:val="18"/>
              </w:rPr>
            </w:pPr>
          </w:p>
        </w:tc>
        <w:tc>
          <w:tcPr>
            <w:tcW w:w="1282" w:type="dxa"/>
            <w:vMerge w:val="continue"/>
            <w:vAlign w:val="center"/>
          </w:tcPr>
          <w:p w14:paraId="6E62DF53">
            <w:pPr>
              <w:spacing w:before="156" w:beforeLines="50" w:after="156" w:afterLines="50"/>
              <w:jc w:val="left"/>
              <w:rPr>
                <w:kern w:val="0"/>
                <w:sz w:val="18"/>
                <w:szCs w:val="18"/>
              </w:rPr>
            </w:pPr>
          </w:p>
        </w:tc>
        <w:tc>
          <w:tcPr>
            <w:tcW w:w="1864" w:type="dxa"/>
            <w:gridSpan w:val="2"/>
            <w:vMerge w:val="continue"/>
            <w:vAlign w:val="center"/>
          </w:tcPr>
          <w:p w14:paraId="0E6182A0">
            <w:pPr>
              <w:spacing w:before="156" w:beforeLines="50" w:after="156" w:afterLines="50"/>
              <w:jc w:val="left"/>
              <w:rPr>
                <w:kern w:val="0"/>
                <w:sz w:val="18"/>
                <w:szCs w:val="18"/>
              </w:rPr>
            </w:pPr>
          </w:p>
        </w:tc>
        <w:tc>
          <w:tcPr>
            <w:tcW w:w="849" w:type="dxa"/>
            <w:gridSpan w:val="2"/>
            <w:vMerge w:val="continue"/>
            <w:vAlign w:val="center"/>
          </w:tcPr>
          <w:p w14:paraId="1FA21304">
            <w:pPr>
              <w:spacing w:before="156" w:beforeLines="50" w:after="156" w:afterLines="50"/>
              <w:jc w:val="center"/>
              <w:rPr>
                <w:kern w:val="0"/>
                <w:sz w:val="18"/>
                <w:szCs w:val="18"/>
              </w:rPr>
            </w:pPr>
          </w:p>
        </w:tc>
        <w:tc>
          <w:tcPr>
            <w:tcW w:w="2209" w:type="dxa"/>
            <w:gridSpan w:val="2"/>
            <w:tcBorders>
              <w:top w:val="single" w:color="auto" w:sz="4" w:space="0"/>
            </w:tcBorders>
            <w:vAlign w:val="center"/>
          </w:tcPr>
          <w:p w14:paraId="7A0B3C42">
            <w:pPr>
              <w:widowControl/>
              <w:spacing w:before="156" w:beforeLines="50" w:after="156" w:afterLines="50"/>
              <w:jc w:val="left"/>
              <w:rPr>
                <w:kern w:val="0"/>
                <w:sz w:val="18"/>
                <w:szCs w:val="18"/>
              </w:rPr>
            </w:pPr>
            <w:r>
              <w:rPr>
                <w:rFonts w:hint="eastAsia"/>
                <w:kern w:val="0"/>
                <w:sz w:val="18"/>
                <w:szCs w:val="18"/>
              </w:rPr>
              <w:t>1.</w:t>
            </w:r>
            <w:r>
              <w:rPr>
                <w:rFonts w:hint="eastAsia"/>
                <w:sz w:val="18"/>
                <w:szCs w:val="18"/>
              </w:rPr>
              <w:t xml:space="preserve"> </w:t>
            </w:r>
            <w:r>
              <w:rPr>
                <w:rFonts w:hint="eastAsia"/>
                <w:kern w:val="0"/>
                <w:sz w:val="18"/>
                <w:szCs w:val="18"/>
              </w:rPr>
              <w:t>为掩盖违法行为故意关闭系统的；</w:t>
            </w:r>
          </w:p>
          <w:p w14:paraId="49394BEF">
            <w:pPr>
              <w:widowControl/>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14:paraId="35E3C562">
            <w:pPr>
              <w:spacing w:before="156" w:beforeLines="50" w:after="156" w:afterLines="50"/>
              <w:jc w:val="left"/>
              <w:rPr>
                <w:kern w:val="0"/>
                <w:sz w:val="18"/>
                <w:szCs w:val="18"/>
              </w:rPr>
            </w:pPr>
          </w:p>
        </w:tc>
        <w:tc>
          <w:tcPr>
            <w:tcW w:w="2763" w:type="dxa"/>
            <w:gridSpan w:val="3"/>
            <w:vMerge w:val="continue"/>
            <w:vAlign w:val="center"/>
          </w:tcPr>
          <w:p w14:paraId="4E59C911">
            <w:pPr>
              <w:spacing w:before="156" w:beforeLines="50" w:after="156" w:afterLines="50"/>
              <w:jc w:val="left"/>
              <w:rPr>
                <w:kern w:val="0"/>
                <w:sz w:val="18"/>
                <w:szCs w:val="18"/>
              </w:rPr>
            </w:pPr>
          </w:p>
        </w:tc>
        <w:tc>
          <w:tcPr>
            <w:tcW w:w="2408" w:type="dxa"/>
            <w:gridSpan w:val="3"/>
            <w:vMerge w:val="continue"/>
            <w:vAlign w:val="center"/>
          </w:tcPr>
          <w:p w14:paraId="66822732">
            <w:pPr>
              <w:spacing w:before="156" w:beforeLines="50" w:after="156" w:afterLines="50"/>
              <w:jc w:val="left"/>
              <w:rPr>
                <w:kern w:val="0"/>
                <w:sz w:val="18"/>
                <w:szCs w:val="18"/>
              </w:rPr>
            </w:pPr>
          </w:p>
        </w:tc>
        <w:tc>
          <w:tcPr>
            <w:tcW w:w="3913" w:type="dxa"/>
            <w:gridSpan w:val="5"/>
            <w:tcBorders>
              <w:top w:val="single" w:color="auto" w:sz="4" w:space="0"/>
            </w:tcBorders>
            <w:vAlign w:val="center"/>
          </w:tcPr>
          <w:p w14:paraId="1746B665">
            <w:pPr>
              <w:spacing w:before="156" w:beforeLines="50" w:after="156" w:afterLines="50"/>
              <w:jc w:val="left"/>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64433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055" w:hRule="atLeast"/>
        </w:trPr>
        <w:tc>
          <w:tcPr>
            <w:tcW w:w="679" w:type="dxa"/>
            <w:vMerge w:val="restart"/>
            <w:vAlign w:val="center"/>
          </w:tcPr>
          <w:p w14:paraId="2B1EB09F">
            <w:pPr>
              <w:spacing w:before="156" w:beforeLines="50" w:after="156" w:afterLines="50"/>
              <w:jc w:val="center"/>
              <w:rPr>
                <w:b/>
                <w:sz w:val="18"/>
                <w:szCs w:val="18"/>
              </w:rPr>
            </w:pPr>
            <w:r>
              <w:rPr>
                <w:rFonts w:hint="eastAsia"/>
                <w:b/>
                <w:sz w:val="18"/>
                <w:szCs w:val="18"/>
              </w:rPr>
              <w:t>序号</w:t>
            </w:r>
          </w:p>
        </w:tc>
        <w:tc>
          <w:tcPr>
            <w:tcW w:w="897" w:type="dxa"/>
            <w:gridSpan w:val="3"/>
            <w:vMerge w:val="restart"/>
            <w:vAlign w:val="center"/>
          </w:tcPr>
          <w:p w14:paraId="2818F505">
            <w:pPr>
              <w:spacing w:before="156" w:beforeLines="50" w:after="156" w:afterLines="50"/>
              <w:jc w:val="center"/>
              <w:rPr>
                <w:b/>
                <w:sz w:val="18"/>
                <w:szCs w:val="18"/>
              </w:rPr>
            </w:pPr>
            <w:r>
              <w:rPr>
                <w:rFonts w:hint="eastAsia"/>
                <w:b/>
                <w:sz w:val="18"/>
                <w:szCs w:val="18"/>
              </w:rPr>
              <w:t>案由</w:t>
            </w:r>
          </w:p>
        </w:tc>
        <w:tc>
          <w:tcPr>
            <w:tcW w:w="3146" w:type="dxa"/>
            <w:gridSpan w:val="3"/>
            <w:vMerge w:val="restart"/>
            <w:vAlign w:val="center"/>
          </w:tcPr>
          <w:p w14:paraId="0A0C68BC">
            <w:pPr>
              <w:spacing w:before="156" w:beforeLines="50" w:after="156" w:afterLines="50"/>
              <w:jc w:val="center"/>
              <w:rPr>
                <w:b/>
                <w:sz w:val="18"/>
                <w:szCs w:val="18"/>
              </w:rPr>
            </w:pPr>
            <w:r>
              <w:rPr>
                <w:rFonts w:hint="eastAsia"/>
                <w:b/>
                <w:sz w:val="18"/>
                <w:szCs w:val="18"/>
              </w:rPr>
              <w:t>法律依据</w:t>
            </w:r>
          </w:p>
        </w:tc>
        <w:tc>
          <w:tcPr>
            <w:tcW w:w="849" w:type="dxa"/>
            <w:gridSpan w:val="2"/>
            <w:vMerge w:val="restart"/>
            <w:vAlign w:val="center"/>
          </w:tcPr>
          <w:p w14:paraId="0D24BA6D">
            <w:pPr>
              <w:spacing w:before="156" w:beforeLines="50" w:after="156" w:afterLines="50"/>
              <w:jc w:val="center"/>
              <w:rPr>
                <w:b/>
                <w:sz w:val="18"/>
                <w:szCs w:val="18"/>
              </w:rPr>
            </w:pPr>
            <w:r>
              <w:rPr>
                <w:rFonts w:hint="eastAsia"/>
                <w:b/>
                <w:sz w:val="18"/>
                <w:szCs w:val="18"/>
              </w:rPr>
              <w:t>违法行</w:t>
            </w:r>
          </w:p>
          <w:p w14:paraId="5605DD4B">
            <w:pPr>
              <w:spacing w:before="156" w:beforeLines="50" w:after="156" w:afterLines="50"/>
              <w:jc w:val="center"/>
              <w:rPr>
                <w:b/>
                <w:sz w:val="18"/>
                <w:szCs w:val="18"/>
              </w:rPr>
            </w:pPr>
            <w:r>
              <w:rPr>
                <w:rFonts w:hint="eastAsia"/>
                <w:b/>
                <w:sz w:val="18"/>
                <w:szCs w:val="18"/>
              </w:rPr>
              <w:t>为情节</w:t>
            </w:r>
          </w:p>
        </w:tc>
        <w:tc>
          <w:tcPr>
            <w:tcW w:w="2209" w:type="dxa"/>
            <w:gridSpan w:val="2"/>
            <w:vMerge w:val="restart"/>
            <w:vAlign w:val="center"/>
          </w:tcPr>
          <w:p w14:paraId="5788DFE2">
            <w:pPr>
              <w:spacing w:before="156" w:beforeLines="50" w:after="156" w:afterLines="50"/>
              <w:rPr>
                <w:b/>
                <w:sz w:val="18"/>
                <w:szCs w:val="18"/>
              </w:rPr>
            </w:pPr>
            <w:r>
              <w:rPr>
                <w:rFonts w:hint="eastAsia"/>
                <w:b/>
                <w:sz w:val="18"/>
                <w:szCs w:val="18"/>
              </w:rPr>
              <w:t>主要考虑因素（事实、性质、情节、危害程度和实际后果等）</w:t>
            </w:r>
          </w:p>
        </w:tc>
        <w:tc>
          <w:tcPr>
            <w:tcW w:w="11788" w:type="dxa"/>
            <w:gridSpan w:val="15"/>
            <w:vAlign w:val="center"/>
          </w:tcPr>
          <w:p w14:paraId="34A4D950">
            <w:pPr>
              <w:spacing w:before="156" w:beforeLines="50" w:after="156" w:afterLines="50"/>
              <w:rPr>
                <w:b/>
                <w:sz w:val="18"/>
                <w:szCs w:val="18"/>
              </w:rPr>
            </w:pPr>
            <w:r>
              <w:rPr>
                <w:rFonts w:hint="eastAsia"/>
                <w:b/>
                <w:sz w:val="18"/>
                <w:szCs w:val="18"/>
              </w:rPr>
              <w:t>【法定幅度和种类】责令改正，处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14:paraId="0C52D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612" w:hRule="atLeast"/>
        </w:trPr>
        <w:tc>
          <w:tcPr>
            <w:tcW w:w="679" w:type="dxa"/>
            <w:vMerge w:val="continue"/>
            <w:vAlign w:val="center"/>
          </w:tcPr>
          <w:p w14:paraId="231D3DD9">
            <w:pPr>
              <w:spacing w:before="156" w:beforeLines="50" w:after="156" w:afterLines="50"/>
              <w:jc w:val="left"/>
              <w:rPr>
                <w:b/>
                <w:sz w:val="18"/>
                <w:szCs w:val="18"/>
              </w:rPr>
            </w:pPr>
          </w:p>
        </w:tc>
        <w:tc>
          <w:tcPr>
            <w:tcW w:w="897" w:type="dxa"/>
            <w:gridSpan w:val="3"/>
            <w:vMerge w:val="continue"/>
            <w:vAlign w:val="center"/>
          </w:tcPr>
          <w:p w14:paraId="0E9F79A4">
            <w:pPr>
              <w:spacing w:before="156" w:beforeLines="50" w:after="156" w:afterLines="50"/>
              <w:jc w:val="left"/>
              <w:rPr>
                <w:b/>
                <w:sz w:val="18"/>
                <w:szCs w:val="18"/>
              </w:rPr>
            </w:pPr>
          </w:p>
        </w:tc>
        <w:tc>
          <w:tcPr>
            <w:tcW w:w="3146" w:type="dxa"/>
            <w:gridSpan w:val="3"/>
            <w:vMerge w:val="continue"/>
            <w:vAlign w:val="center"/>
          </w:tcPr>
          <w:p w14:paraId="7FBB27E1">
            <w:pPr>
              <w:spacing w:before="156" w:beforeLines="50" w:after="156" w:afterLines="50"/>
              <w:jc w:val="left"/>
              <w:rPr>
                <w:b/>
                <w:sz w:val="18"/>
                <w:szCs w:val="18"/>
              </w:rPr>
            </w:pPr>
          </w:p>
        </w:tc>
        <w:tc>
          <w:tcPr>
            <w:tcW w:w="849" w:type="dxa"/>
            <w:gridSpan w:val="2"/>
            <w:vMerge w:val="continue"/>
            <w:vAlign w:val="center"/>
          </w:tcPr>
          <w:p w14:paraId="33A25EDA">
            <w:pPr>
              <w:spacing w:before="156" w:beforeLines="50" w:after="156" w:afterLines="50"/>
              <w:jc w:val="left"/>
              <w:rPr>
                <w:b/>
                <w:sz w:val="18"/>
                <w:szCs w:val="18"/>
              </w:rPr>
            </w:pPr>
          </w:p>
        </w:tc>
        <w:tc>
          <w:tcPr>
            <w:tcW w:w="2209" w:type="dxa"/>
            <w:gridSpan w:val="2"/>
            <w:vMerge w:val="continue"/>
            <w:vAlign w:val="center"/>
          </w:tcPr>
          <w:p w14:paraId="28AEF46E">
            <w:pPr>
              <w:spacing w:before="156" w:beforeLines="50" w:after="156" w:afterLines="50"/>
              <w:jc w:val="left"/>
              <w:rPr>
                <w:b/>
                <w:sz w:val="18"/>
                <w:szCs w:val="18"/>
              </w:rPr>
            </w:pPr>
          </w:p>
        </w:tc>
        <w:tc>
          <w:tcPr>
            <w:tcW w:w="11788" w:type="dxa"/>
            <w:gridSpan w:val="15"/>
            <w:vAlign w:val="center"/>
          </w:tcPr>
          <w:p w14:paraId="6A87FBAB">
            <w:pPr>
              <w:spacing w:before="156" w:beforeLines="50" w:after="156" w:afterLines="50"/>
              <w:jc w:val="center"/>
              <w:rPr>
                <w:b/>
                <w:sz w:val="18"/>
                <w:szCs w:val="18"/>
              </w:rPr>
            </w:pPr>
            <w:r>
              <w:rPr>
                <w:rFonts w:hint="eastAsia"/>
                <w:b/>
                <w:sz w:val="18"/>
                <w:szCs w:val="18"/>
              </w:rPr>
              <w:t>处罚基准</w:t>
            </w:r>
          </w:p>
        </w:tc>
      </w:tr>
      <w:tr w14:paraId="5AE3B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560" w:hRule="atLeast"/>
        </w:trPr>
        <w:tc>
          <w:tcPr>
            <w:tcW w:w="679" w:type="dxa"/>
            <w:vMerge w:val="continue"/>
            <w:vAlign w:val="center"/>
          </w:tcPr>
          <w:p w14:paraId="54EAD5FF">
            <w:pPr>
              <w:spacing w:before="156" w:beforeLines="50" w:after="156" w:afterLines="50"/>
              <w:jc w:val="left"/>
              <w:rPr>
                <w:b/>
                <w:sz w:val="18"/>
                <w:szCs w:val="18"/>
              </w:rPr>
            </w:pPr>
          </w:p>
        </w:tc>
        <w:tc>
          <w:tcPr>
            <w:tcW w:w="897" w:type="dxa"/>
            <w:gridSpan w:val="3"/>
            <w:vMerge w:val="continue"/>
            <w:vAlign w:val="center"/>
          </w:tcPr>
          <w:p w14:paraId="76BCBB83">
            <w:pPr>
              <w:spacing w:before="156" w:beforeLines="50" w:after="156" w:afterLines="50"/>
              <w:jc w:val="left"/>
              <w:rPr>
                <w:b/>
                <w:sz w:val="18"/>
                <w:szCs w:val="18"/>
              </w:rPr>
            </w:pPr>
          </w:p>
        </w:tc>
        <w:tc>
          <w:tcPr>
            <w:tcW w:w="1282" w:type="dxa"/>
            <w:vMerge w:val="restart"/>
            <w:vAlign w:val="center"/>
          </w:tcPr>
          <w:p w14:paraId="7F7E22A0">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14:paraId="11F8E81B">
            <w:pPr>
              <w:spacing w:before="156" w:beforeLines="50" w:after="156" w:afterLines="50"/>
              <w:jc w:val="center"/>
              <w:rPr>
                <w:b/>
                <w:sz w:val="18"/>
                <w:szCs w:val="18"/>
              </w:rPr>
            </w:pPr>
            <w:r>
              <w:rPr>
                <w:rFonts w:hint="eastAsia"/>
                <w:b/>
                <w:sz w:val="18"/>
                <w:szCs w:val="18"/>
              </w:rPr>
              <w:t>处罚依据</w:t>
            </w:r>
          </w:p>
        </w:tc>
        <w:tc>
          <w:tcPr>
            <w:tcW w:w="849" w:type="dxa"/>
            <w:gridSpan w:val="2"/>
            <w:vMerge w:val="continue"/>
            <w:vAlign w:val="center"/>
          </w:tcPr>
          <w:p w14:paraId="74C24418">
            <w:pPr>
              <w:spacing w:before="156" w:beforeLines="50" w:after="156" w:afterLines="50"/>
              <w:jc w:val="left"/>
              <w:rPr>
                <w:b/>
                <w:sz w:val="18"/>
                <w:szCs w:val="18"/>
              </w:rPr>
            </w:pPr>
          </w:p>
        </w:tc>
        <w:tc>
          <w:tcPr>
            <w:tcW w:w="2209" w:type="dxa"/>
            <w:gridSpan w:val="2"/>
            <w:vMerge w:val="continue"/>
            <w:vAlign w:val="center"/>
          </w:tcPr>
          <w:p w14:paraId="0162D231">
            <w:pPr>
              <w:spacing w:before="156" w:beforeLines="50" w:after="156" w:afterLines="50"/>
              <w:jc w:val="left"/>
              <w:rPr>
                <w:b/>
                <w:sz w:val="18"/>
                <w:szCs w:val="18"/>
              </w:rPr>
            </w:pPr>
          </w:p>
        </w:tc>
        <w:tc>
          <w:tcPr>
            <w:tcW w:w="7858" w:type="dxa"/>
            <w:gridSpan w:val="9"/>
            <w:vAlign w:val="center"/>
          </w:tcPr>
          <w:p w14:paraId="53173BCF">
            <w:pPr>
              <w:spacing w:before="156" w:beforeLines="50" w:after="156" w:afterLines="50"/>
              <w:jc w:val="center"/>
              <w:rPr>
                <w:b/>
                <w:sz w:val="18"/>
                <w:szCs w:val="18"/>
              </w:rPr>
            </w:pPr>
            <w:r>
              <w:rPr>
                <w:rFonts w:hint="eastAsia"/>
                <w:b/>
                <w:sz w:val="18"/>
                <w:szCs w:val="18"/>
              </w:rPr>
              <w:t>【对象】船舶经营人或所有人</w:t>
            </w:r>
          </w:p>
        </w:tc>
        <w:tc>
          <w:tcPr>
            <w:tcW w:w="3930" w:type="dxa"/>
            <w:gridSpan w:val="6"/>
            <w:vMerge w:val="restart"/>
            <w:vAlign w:val="center"/>
          </w:tcPr>
          <w:p w14:paraId="4A048A13">
            <w:pPr>
              <w:spacing w:before="156" w:beforeLines="50" w:after="156" w:afterLines="50"/>
              <w:jc w:val="center"/>
              <w:rPr>
                <w:rFonts w:ascii="宋体"/>
                <w:b/>
                <w:kern w:val="0"/>
                <w:sz w:val="18"/>
                <w:szCs w:val="18"/>
              </w:rPr>
            </w:pPr>
            <w:r>
              <w:rPr>
                <w:rFonts w:hint="eastAsia"/>
                <w:b/>
                <w:sz w:val="18"/>
                <w:szCs w:val="18"/>
              </w:rPr>
              <w:t>【对象】责任船员</w:t>
            </w:r>
          </w:p>
        </w:tc>
      </w:tr>
      <w:tr w14:paraId="350C2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763" w:hRule="atLeast"/>
        </w:trPr>
        <w:tc>
          <w:tcPr>
            <w:tcW w:w="679" w:type="dxa"/>
            <w:vMerge w:val="continue"/>
            <w:vAlign w:val="center"/>
          </w:tcPr>
          <w:p w14:paraId="080183CA">
            <w:pPr>
              <w:spacing w:before="156" w:beforeLines="50" w:after="156" w:afterLines="50"/>
              <w:jc w:val="left"/>
              <w:rPr>
                <w:b/>
                <w:sz w:val="18"/>
                <w:szCs w:val="18"/>
              </w:rPr>
            </w:pPr>
          </w:p>
        </w:tc>
        <w:tc>
          <w:tcPr>
            <w:tcW w:w="897" w:type="dxa"/>
            <w:gridSpan w:val="3"/>
            <w:vMerge w:val="continue"/>
            <w:vAlign w:val="center"/>
          </w:tcPr>
          <w:p w14:paraId="3C6DEA98">
            <w:pPr>
              <w:spacing w:before="156" w:beforeLines="50" w:after="156" w:afterLines="50"/>
              <w:jc w:val="left"/>
              <w:rPr>
                <w:b/>
                <w:sz w:val="18"/>
                <w:szCs w:val="18"/>
              </w:rPr>
            </w:pPr>
          </w:p>
        </w:tc>
        <w:tc>
          <w:tcPr>
            <w:tcW w:w="1282" w:type="dxa"/>
            <w:vMerge w:val="continue"/>
            <w:vAlign w:val="center"/>
          </w:tcPr>
          <w:p w14:paraId="2FEB13EA">
            <w:pPr>
              <w:spacing w:before="156" w:beforeLines="50" w:after="156" w:afterLines="50"/>
              <w:jc w:val="left"/>
              <w:rPr>
                <w:b/>
                <w:sz w:val="18"/>
                <w:szCs w:val="18"/>
              </w:rPr>
            </w:pPr>
          </w:p>
        </w:tc>
        <w:tc>
          <w:tcPr>
            <w:tcW w:w="1864" w:type="dxa"/>
            <w:gridSpan w:val="2"/>
            <w:vMerge w:val="continue"/>
            <w:vAlign w:val="center"/>
          </w:tcPr>
          <w:p w14:paraId="11C1B2B8">
            <w:pPr>
              <w:spacing w:before="156" w:beforeLines="50" w:after="156" w:afterLines="50"/>
              <w:jc w:val="left"/>
              <w:rPr>
                <w:b/>
                <w:sz w:val="18"/>
                <w:szCs w:val="18"/>
              </w:rPr>
            </w:pPr>
          </w:p>
        </w:tc>
        <w:tc>
          <w:tcPr>
            <w:tcW w:w="849" w:type="dxa"/>
            <w:gridSpan w:val="2"/>
            <w:vMerge w:val="continue"/>
            <w:vAlign w:val="center"/>
          </w:tcPr>
          <w:p w14:paraId="3156ABC3">
            <w:pPr>
              <w:spacing w:before="156" w:beforeLines="50" w:after="156" w:afterLines="50"/>
              <w:jc w:val="left"/>
              <w:rPr>
                <w:b/>
                <w:sz w:val="18"/>
                <w:szCs w:val="18"/>
              </w:rPr>
            </w:pPr>
          </w:p>
        </w:tc>
        <w:tc>
          <w:tcPr>
            <w:tcW w:w="2209" w:type="dxa"/>
            <w:gridSpan w:val="2"/>
            <w:vMerge w:val="continue"/>
            <w:vAlign w:val="center"/>
          </w:tcPr>
          <w:p w14:paraId="31DE8430">
            <w:pPr>
              <w:spacing w:before="156" w:beforeLines="50" w:after="156" w:afterLines="50"/>
              <w:jc w:val="left"/>
              <w:rPr>
                <w:b/>
                <w:sz w:val="18"/>
                <w:szCs w:val="18"/>
              </w:rPr>
            </w:pPr>
          </w:p>
        </w:tc>
        <w:tc>
          <w:tcPr>
            <w:tcW w:w="2687" w:type="dxa"/>
            <w:gridSpan w:val="3"/>
            <w:vAlign w:val="center"/>
          </w:tcPr>
          <w:p w14:paraId="6D922EE2">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763" w:type="dxa"/>
            <w:gridSpan w:val="3"/>
            <w:vAlign w:val="center"/>
          </w:tcPr>
          <w:p w14:paraId="69A7BF8A">
            <w:pPr>
              <w:spacing w:before="156" w:beforeLines="50" w:after="156" w:afterLines="50"/>
              <w:jc w:val="left"/>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408" w:type="dxa"/>
            <w:gridSpan w:val="3"/>
            <w:vAlign w:val="center"/>
          </w:tcPr>
          <w:p w14:paraId="283B468C">
            <w:pPr>
              <w:spacing w:before="156" w:beforeLines="50" w:after="156" w:afterLines="50"/>
              <w:jc w:val="left"/>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3930" w:type="dxa"/>
            <w:gridSpan w:val="6"/>
            <w:vMerge w:val="continue"/>
            <w:vAlign w:val="center"/>
          </w:tcPr>
          <w:p w14:paraId="6D9C0907">
            <w:pPr>
              <w:spacing w:before="156" w:beforeLines="50" w:after="156" w:afterLines="50"/>
              <w:jc w:val="left"/>
              <w:rPr>
                <w:rFonts w:ascii="宋体"/>
                <w:b/>
                <w:sz w:val="18"/>
                <w:szCs w:val="18"/>
              </w:rPr>
            </w:pPr>
          </w:p>
        </w:tc>
      </w:tr>
      <w:tr w14:paraId="114F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717" w:hRule="atLeast"/>
        </w:trPr>
        <w:tc>
          <w:tcPr>
            <w:tcW w:w="679" w:type="dxa"/>
            <w:vMerge w:val="restart"/>
            <w:vAlign w:val="center"/>
          </w:tcPr>
          <w:p w14:paraId="78D5752E">
            <w:pPr>
              <w:spacing w:before="156" w:beforeLines="50" w:after="156" w:afterLines="50"/>
              <w:jc w:val="center"/>
              <w:rPr>
                <w:rFonts w:ascii="宋体"/>
                <w:kern w:val="0"/>
                <w:sz w:val="18"/>
                <w:szCs w:val="18"/>
              </w:rPr>
            </w:pPr>
            <w:r>
              <w:rPr>
                <w:rFonts w:hint="eastAsia" w:ascii="宋体"/>
                <w:kern w:val="0"/>
                <w:sz w:val="18"/>
                <w:szCs w:val="18"/>
              </w:rPr>
              <w:t>27</w:t>
            </w:r>
          </w:p>
        </w:tc>
        <w:tc>
          <w:tcPr>
            <w:tcW w:w="897" w:type="dxa"/>
            <w:gridSpan w:val="3"/>
            <w:vMerge w:val="restart"/>
            <w:vAlign w:val="center"/>
          </w:tcPr>
          <w:p w14:paraId="500BBB09">
            <w:pPr>
              <w:widowControl/>
              <w:spacing w:before="156" w:beforeLines="50" w:after="156" w:afterLines="50"/>
              <w:jc w:val="left"/>
              <w:rPr>
                <w:kern w:val="0"/>
                <w:sz w:val="18"/>
                <w:szCs w:val="18"/>
              </w:rPr>
            </w:pPr>
            <w:r>
              <w:rPr>
                <w:rFonts w:hint="eastAsia"/>
                <w:kern w:val="0"/>
                <w:sz w:val="18"/>
                <w:szCs w:val="18"/>
              </w:rPr>
              <w:t>船舶自动识别系统发生故障未及时向海事机构报告</w:t>
            </w:r>
          </w:p>
        </w:tc>
        <w:tc>
          <w:tcPr>
            <w:tcW w:w="1282" w:type="dxa"/>
            <w:vMerge w:val="restart"/>
            <w:vAlign w:val="center"/>
          </w:tcPr>
          <w:p w14:paraId="1EB4A992">
            <w:pPr>
              <w:widowControl/>
              <w:spacing w:before="156" w:beforeLines="50" w:after="156" w:afterLines="50"/>
              <w:jc w:val="left"/>
              <w:rPr>
                <w:kern w:val="0"/>
                <w:sz w:val="18"/>
                <w:szCs w:val="18"/>
              </w:rPr>
            </w:pPr>
            <w:r>
              <w:rPr>
                <w:rFonts w:hint="eastAsia"/>
                <w:kern w:val="0"/>
                <w:sz w:val="18"/>
                <w:szCs w:val="18"/>
              </w:rPr>
              <w:t>1.《中华人民共和国内河交通安全管理条例》十七条第四款；</w:t>
            </w:r>
          </w:p>
          <w:p w14:paraId="7E726FCE">
            <w:pPr>
              <w:widowControl/>
              <w:spacing w:before="156" w:beforeLines="50" w:after="156" w:afterLines="50"/>
              <w:jc w:val="left"/>
              <w:rPr>
                <w:kern w:val="0"/>
                <w:sz w:val="18"/>
                <w:szCs w:val="18"/>
              </w:rPr>
            </w:pPr>
            <w:r>
              <w:rPr>
                <w:rFonts w:hint="eastAsia"/>
                <w:kern w:val="0"/>
                <w:sz w:val="18"/>
                <w:szCs w:val="18"/>
              </w:rPr>
              <w:t>2.《中华人民共和国船舶安全监督规则 》第四十六条。</w:t>
            </w:r>
          </w:p>
          <w:p w14:paraId="1462BB04">
            <w:pPr>
              <w:widowControl/>
              <w:spacing w:before="156" w:beforeLines="50" w:after="156" w:afterLines="50"/>
              <w:jc w:val="left"/>
              <w:rPr>
                <w:kern w:val="0"/>
                <w:sz w:val="18"/>
                <w:szCs w:val="18"/>
              </w:rPr>
            </w:pPr>
          </w:p>
        </w:tc>
        <w:tc>
          <w:tcPr>
            <w:tcW w:w="1864" w:type="dxa"/>
            <w:gridSpan w:val="2"/>
            <w:vMerge w:val="restart"/>
            <w:vAlign w:val="center"/>
          </w:tcPr>
          <w:p w14:paraId="4D652D73">
            <w:pPr>
              <w:widowControl/>
              <w:spacing w:before="156" w:beforeLines="50" w:after="156" w:afterLines="50"/>
              <w:jc w:val="left"/>
              <w:rPr>
                <w:kern w:val="0"/>
                <w:sz w:val="18"/>
                <w:szCs w:val="18"/>
              </w:rPr>
            </w:pPr>
            <w:r>
              <w:rPr>
                <w:rFonts w:hint="eastAsia"/>
                <w:kern w:val="0"/>
                <w:sz w:val="18"/>
                <w:szCs w:val="18"/>
              </w:rPr>
              <w:t>1.《中华人民共和国内河交通安全管理条例》第八十一条；</w:t>
            </w:r>
          </w:p>
          <w:p w14:paraId="745963E3">
            <w:pPr>
              <w:widowControl/>
              <w:spacing w:before="156" w:beforeLines="50" w:after="156" w:afterLines="50"/>
              <w:jc w:val="left"/>
              <w:rPr>
                <w:kern w:val="0"/>
                <w:sz w:val="18"/>
                <w:szCs w:val="18"/>
              </w:rPr>
            </w:pPr>
            <w:r>
              <w:rPr>
                <w:rFonts w:hint="eastAsia"/>
                <w:kern w:val="0"/>
                <w:sz w:val="18"/>
                <w:szCs w:val="18"/>
              </w:rPr>
              <w:t>2.《中华人民共和国内河海事行政处罚规定》第十七条第一款和第二款第（十四）项；</w:t>
            </w:r>
          </w:p>
          <w:p w14:paraId="4E4EED2A">
            <w:pPr>
              <w:widowControl/>
              <w:spacing w:before="156" w:beforeLines="50" w:after="156" w:afterLines="50"/>
              <w:jc w:val="left"/>
              <w:rPr>
                <w:kern w:val="0"/>
                <w:sz w:val="18"/>
                <w:szCs w:val="18"/>
              </w:rPr>
            </w:pPr>
            <w:r>
              <w:rPr>
                <w:rFonts w:hint="eastAsia"/>
                <w:kern w:val="0"/>
                <w:sz w:val="18"/>
                <w:szCs w:val="18"/>
              </w:rPr>
              <w:t>3. 《中华人民共和国行政处罚法》第三十二条（从轻）。</w:t>
            </w:r>
          </w:p>
          <w:p w14:paraId="3E0C7A47">
            <w:pPr>
              <w:widowControl/>
              <w:spacing w:before="156" w:beforeLines="50" w:after="156" w:afterLines="50"/>
              <w:jc w:val="left"/>
              <w:rPr>
                <w:kern w:val="0"/>
                <w:sz w:val="18"/>
                <w:szCs w:val="18"/>
              </w:rPr>
            </w:pPr>
          </w:p>
        </w:tc>
        <w:tc>
          <w:tcPr>
            <w:tcW w:w="849" w:type="dxa"/>
            <w:gridSpan w:val="2"/>
            <w:vAlign w:val="center"/>
          </w:tcPr>
          <w:p w14:paraId="64B5F34B">
            <w:pPr>
              <w:widowControl/>
              <w:spacing w:before="156" w:beforeLines="50" w:after="156" w:afterLines="50"/>
              <w:jc w:val="center"/>
              <w:rPr>
                <w:kern w:val="0"/>
                <w:sz w:val="18"/>
                <w:szCs w:val="18"/>
              </w:rPr>
            </w:pPr>
            <w:r>
              <w:rPr>
                <w:rFonts w:hint="eastAsia"/>
                <w:kern w:val="0"/>
                <w:sz w:val="18"/>
                <w:szCs w:val="18"/>
              </w:rPr>
              <w:t>从轻</w:t>
            </w:r>
          </w:p>
        </w:tc>
        <w:tc>
          <w:tcPr>
            <w:tcW w:w="2209" w:type="dxa"/>
            <w:gridSpan w:val="2"/>
            <w:vAlign w:val="center"/>
          </w:tcPr>
          <w:p w14:paraId="7A0F8031">
            <w:pPr>
              <w:widowControl/>
              <w:spacing w:before="156" w:beforeLines="50" w:after="156" w:afterLines="50"/>
              <w:jc w:val="left"/>
              <w:rPr>
                <w:kern w:val="0"/>
                <w:sz w:val="18"/>
                <w:szCs w:val="18"/>
              </w:rPr>
            </w:pPr>
            <w:r>
              <w:rPr>
                <w:rFonts w:hint="eastAsia"/>
                <w:kern w:val="0"/>
                <w:sz w:val="18"/>
                <w:szCs w:val="18"/>
              </w:rPr>
              <w:t>具有法定从轻情节。</w:t>
            </w:r>
          </w:p>
        </w:tc>
        <w:tc>
          <w:tcPr>
            <w:tcW w:w="2687" w:type="dxa"/>
            <w:gridSpan w:val="3"/>
            <w:vAlign w:val="center"/>
          </w:tcPr>
          <w:p w14:paraId="1BD0C722">
            <w:pPr>
              <w:widowControl/>
              <w:spacing w:before="156" w:beforeLines="50" w:after="156" w:afterLines="50"/>
              <w:jc w:val="left"/>
              <w:rPr>
                <w:kern w:val="0"/>
                <w:sz w:val="18"/>
                <w:szCs w:val="18"/>
              </w:rPr>
            </w:pPr>
            <w:r>
              <w:rPr>
                <w:rFonts w:hint="eastAsia"/>
                <w:kern w:val="0"/>
                <w:sz w:val="18"/>
                <w:szCs w:val="18"/>
              </w:rPr>
              <w:t>1000元及以上2000元以下</w:t>
            </w:r>
          </w:p>
        </w:tc>
        <w:tc>
          <w:tcPr>
            <w:tcW w:w="2763" w:type="dxa"/>
            <w:gridSpan w:val="3"/>
            <w:vAlign w:val="center"/>
          </w:tcPr>
          <w:p w14:paraId="636098C3">
            <w:pPr>
              <w:widowControl/>
              <w:spacing w:before="156" w:beforeLines="50" w:after="156" w:afterLines="50"/>
              <w:jc w:val="left"/>
              <w:rPr>
                <w:kern w:val="0"/>
                <w:sz w:val="18"/>
                <w:szCs w:val="18"/>
              </w:rPr>
            </w:pPr>
            <w:r>
              <w:rPr>
                <w:rFonts w:hint="eastAsia"/>
                <w:kern w:val="0"/>
                <w:sz w:val="18"/>
                <w:szCs w:val="18"/>
              </w:rPr>
              <w:t>1000元及以上2000元以下</w:t>
            </w:r>
          </w:p>
        </w:tc>
        <w:tc>
          <w:tcPr>
            <w:tcW w:w="2408" w:type="dxa"/>
            <w:gridSpan w:val="3"/>
            <w:vAlign w:val="center"/>
          </w:tcPr>
          <w:p w14:paraId="77C41D87">
            <w:pPr>
              <w:widowControl/>
              <w:spacing w:before="156" w:beforeLines="50" w:after="156" w:afterLines="50"/>
              <w:jc w:val="left"/>
              <w:rPr>
                <w:kern w:val="0"/>
                <w:sz w:val="18"/>
                <w:szCs w:val="18"/>
              </w:rPr>
            </w:pPr>
            <w:r>
              <w:rPr>
                <w:rFonts w:hint="eastAsia"/>
                <w:kern w:val="0"/>
                <w:sz w:val="18"/>
                <w:szCs w:val="18"/>
              </w:rPr>
              <w:t>1000元及以上2000元以下</w:t>
            </w:r>
          </w:p>
        </w:tc>
        <w:tc>
          <w:tcPr>
            <w:tcW w:w="3930" w:type="dxa"/>
            <w:gridSpan w:val="6"/>
            <w:vAlign w:val="center"/>
          </w:tcPr>
          <w:p w14:paraId="2EB1346D">
            <w:pPr>
              <w:widowControl/>
              <w:spacing w:before="156" w:beforeLines="50" w:after="156" w:afterLines="50"/>
              <w:jc w:val="left"/>
              <w:rPr>
                <w:kern w:val="0"/>
                <w:sz w:val="18"/>
                <w:szCs w:val="18"/>
              </w:rPr>
            </w:pPr>
            <w:r>
              <w:rPr>
                <w:rFonts w:hint="eastAsia"/>
                <w:kern w:val="0"/>
                <w:sz w:val="18"/>
                <w:szCs w:val="18"/>
              </w:rPr>
              <w:t>/</w:t>
            </w:r>
          </w:p>
        </w:tc>
      </w:tr>
      <w:tr w14:paraId="708C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278" w:hRule="atLeast"/>
        </w:trPr>
        <w:tc>
          <w:tcPr>
            <w:tcW w:w="679" w:type="dxa"/>
            <w:vMerge w:val="continue"/>
            <w:vAlign w:val="center"/>
          </w:tcPr>
          <w:p w14:paraId="5EAA1589">
            <w:pPr>
              <w:spacing w:before="156" w:beforeLines="50" w:after="156" w:afterLines="50"/>
              <w:jc w:val="left"/>
              <w:rPr>
                <w:rFonts w:ascii="宋体"/>
                <w:kern w:val="0"/>
                <w:sz w:val="18"/>
                <w:szCs w:val="18"/>
              </w:rPr>
            </w:pPr>
          </w:p>
        </w:tc>
        <w:tc>
          <w:tcPr>
            <w:tcW w:w="897" w:type="dxa"/>
            <w:gridSpan w:val="3"/>
            <w:vMerge w:val="continue"/>
            <w:vAlign w:val="center"/>
          </w:tcPr>
          <w:p w14:paraId="6A058E3F">
            <w:pPr>
              <w:spacing w:before="156" w:beforeLines="50" w:after="156" w:afterLines="50"/>
              <w:jc w:val="left"/>
              <w:rPr>
                <w:kern w:val="0"/>
                <w:sz w:val="18"/>
                <w:szCs w:val="18"/>
              </w:rPr>
            </w:pPr>
          </w:p>
        </w:tc>
        <w:tc>
          <w:tcPr>
            <w:tcW w:w="1282" w:type="dxa"/>
            <w:vMerge w:val="continue"/>
            <w:vAlign w:val="center"/>
          </w:tcPr>
          <w:p w14:paraId="7A29C9A3">
            <w:pPr>
              <w:widowControl/>
              <w:spacing w:before="156" w:beforeLines="50" w:after="156" w:afterLines="50"/>
              <w:jc w:val="left"/>
              <w:rPr>
                <w:kern w:val="0"/>
                <w:sz w:val="18"/>
                <w:szCs w:val="18"/>
              </w:rPr>
            </w:pPr>
          </w:p>
        </w:tc>
        <w:tc>
          <w:tcPr>
            <w:tcW w:w="1864" w:type="dxa"/>
            <w:gridSpan w:val="2"/>
            <w:vMerge w:val="continue"/>
            <w:vAlign w:val="center"/>
          </w:tcPr>
          <w:p w14:paraId="1BB023E5">
            <w:pPr>
              <w:widowControl/>
              <w:spacing w:before="156" w:beforeLines="50" w:after="156" w:afterLines="50"/>
              <w:jc w:val="left"/>
              <w:rPr>
                <w:kern w:val="0"/>
                <w:sz w:val="18"/>
                <w:szCs w:val="18"/>
              </w:rPr>
            </w:pPr>
          </w:p>
        </w:tc>
        <w:tc>
          <w:tcPr>
            <w:tcW w:w="849" w:type="dxa"/>
            <w:gridSpan w:val="2"/>
            <w:vMerge w:val="restart"/>
            <w:vAlign w:val="center"/>
          </w:tcPr>
          <w:p w14:paraId="68E98376">
            <w:pPr>
              <w:widowControl/>
              <w:spacing w:before="156" w:beforeLines="50" w:after="156" w:afterLines="50"/>
              <w:jc w:val="center"/>
              <w:rPr>
                <w:kern w:val="0"/>
                <w:sz w:val="18"/>
                <w:szCs w:val="18"/>
              </w:rPr>
            </w:pPr>
            <w:r>
              <w:rPr>
                <w:rFonts w:hint="eastAsia"/>
                <w:kern w:val="0"/>
                <w:sz w:val="18"/>
                <w:szCs w:val="18"/>
              </w:rPr>
              <w:t>一般</w:t>
            </w:r>
          </w:p>
        </w:tc>
        <w:tc>
          <w:tcPr>
            <w:tcW w:w="2209" w:type="dxa"/>
            <w:gridSpan w:val="2"/>
            <w:vAlign w:val="center"/>
          </w:tcPr>
          <w:p w14:paraId="7170FECE">
            <w:pPr>
              <w:widowControl/>
              <w:spacing w:before="156" w:beforeLines="50" w:after="156" w:afterLines="50"/>
              <w:jc w:val="left"/>
              <w:rPr>
                <w:kern w:val="0"/>
                <w:sz w:val="18"/>
                <w:szCs w:val="18"/>
              </w:rPr>
            </w:pPr>
            <w:r>
              <w:rPr>
                <w:rFonts w:hint="eastAsia"/>
                <w:kern w:val="0"/>
                <w:sz w:val="18"/>
                <w:szCs w:val="18"/>
              </w:rPr>
              <w:t>未造成险情、事故的。</w:t>
            </w:r>
          </w:p>
        </w:tc>
        <w:tc>
          <w:tcPr>
            <w:tcW w:w="2687" w:type="dxa"/>
            <w:gridSpan w:val="3"/>
            <w:vAlign w:val="center"/>
          </w:tcPr>
          <w:p w14:paraId="1A58D919">
            <w:pPr>
              <w:widowControl/>
              <w:spacing w:before="156" w:beforeLines="50" w:after="156" w:afterLines="50"/>
              <w:jc w:val="left"/>
              <w:rPr>
                <w:kern w:val="0"/>
                <w:sz w:val="18"/>
                <w:szCs w:val="18"/>
              </w:rPr>
            </w:pPr>
            <w:r>
              <w:rPr>
                <w:rFonts w:hint="eastAsia"/>
                <w:kern w:val="0"/>
                <w:sz w:val="18"/>
                <w:szCs w:val="18"/>
              </w:rPr>
              <w:t>2000元及以上3000元以下</w:t>
            </w:r>
          </w:p>
        </w:tc>
        <w:tc>
          <w:tcPr>
            <w:tcW w:w="2763" w:type="dxa"/>
            <w:gridSpan w:val="3"/>
            <w:vAlign w:val="center"/>
          </w:tcPr>
          <w:p w14:paraId="4E7E7AE7">
            <w:pPr>
              <w:widowControl/>
              <w:spacing w:before="156" w:beforeLines="50" w:after="156" w:afterLines="50"/>
              <w:jc w:val="left"/>
              <w:rPr>
                <w:kern w:val="0"/>
                <w:sz w:val="18"/>
                <w:szCs w:val="18"/>
              </w:rPr>
            </w:pPr>
            <w:r>
              <w:rPr>
                <w:rFonts w:hint="eastAsia"/>
                <w:kern w:val="0"/>
                <w:sz w:val="18"/>
                <w:szCs w:val="18"/>
              </w:rPr>
              <w:t>2000元以上4000元以下</w:t>
            </w:r>
          </w:p>
        </w:tc>
        <w:tc>
          <w:tcPr>
            <w:tcW w:w="2408" w:type="dxa"/>
            <w:gridSpan w:val="3"/>
            <w:vAlign w:val="center"/>
          </w:tcPr>
          <w:p w14:paraId="66527807">
            <w:pPr>
              <w:widowControl/>
              <w:spacing w:before="156" w:beforeLines="50" w:after="156" w:afterLines="50"/>
              <w:jc w:val="left"/>
              <w:rPr>
                <w:kern w:val="0"/>
                <w:sz w:val="18"/>
                <w:szCs w:val="18"/>
              </w:rPr>
            </w:pPr>
            <w:r>
              <w:rPr>
                <w:rFonts w:hint="eastAsia"/>
                <w:kern w:val="0"/>
                <w:sz w:val="18"/>
                <w:szCs w:val="18"/>
              </w:rPr>
              <w:t>2000元以上5000元以下</w:t>
            </w:r>
          </w:p>
        </w:tc>
        <w:tc>
          <w:tcPr>
            <w:tcW w:w="3930" w:type="dxa"/>
            <w:gridSpan w:val="6"/>
            <w:vAlign w:val="center"/>
          </w:tcPr>
          <w:p w14:paraId="4F09F08D">
            <w:pPr>
              <w:widowControl/>
              <w:spacing w:before="156" w:beforeLines="50" w:after="156" w:afterLines="50"/>
              <w:jc w:val="left"/>
              <w:rPr>
                <w:kern w:val="0"/>
                <w:sz w:val="18"/>
                <w:szCs w:val="18"/>
              </w:rPr>
            </w:pPr>
            <w:r>
              <w:rPr>
                <w:rFonts w:hint="eastAsia"/>
                <w:kern w:val="0"/>
                <w:sz w:val="18"/>
                <w:szCs w:val="18"/>
              </w:rPr>
              <w:t>/</w:t>
            </w:r>
          </w:p>
        </w:tc>
      </w:tr>
      <w:tr w14:paraId="475A6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294" w:hRule="atLeast"/>
        </w:trPr>
        <w:tc>
          <w:tcPr>
            <w:tcW w:w="679" w:type="dxa"/>
            <w:vMerge w:val="continue"/>
            <w:vAlign w:val="center"/>
          </w:tcPr>
          <w:p w14:paraId="4351157F">
            <w:pPr>
              <w:spacing w:before="156" w:beforeLines="50" w:after="156" w:afterLines="50"/>
              <w:jc w:val="left"/>
              <w:rPr>
                <w:rFonts w:ascii="宋体"/>
                <w:kern w:val="0"/>
                <w:sz w:val="18"/>
                <w:szCs w:val="18"/>
              </w:rPr>
            </w:pPr>
          </w:p>
        </w:tc>
        <w:tc>
          <w:tcPr>
            <w:tcW w:w="897" w:type="dxa"/>
            <w:gridSpan w:val="3"/>
            <w:vMerge w:val="continue"/>
            <w:vAlign w:val="center"/>
          </w:tcPr>
          <w:p w14:paraId="26ADC880">
            <w:pPr>
              <w:spacing w:before="156" w:beforeLines="50" w:after="156" w:afterLines="50"/>
              <w:jc w:val="left"/>
              <w:rPr>
                <w:kern w:val="0"/>
                <w:sz w:val="18"/>
                <w:szCs w:val="18"/>
              </w:rPr>
            </w:pPr>
          </w:p>
        </w:tc>
        <w:tc>
          <w:tcPr>
            <w:tcW w:w="1282" w:type="dxa"/>
            <w:vMerge w:val="continue"/>
            <w:vAlign w:val="center"/>
          </w:tcPr>
          <w:p w14:paraId="11C7F125">
            <w:pPr>
              <w:widowControl/>
              <w:spacing w:before="156" w:beforeLines="50" w:after="156" w:afterLines="50"/>
              <w:jc w:val="left"/>
              <w:rPr>
                <w:kern w:val="0"/>
                <w:sz w:val="18"/>
                <w:szCs w:val="18"/>
              </w:rPr>
            </w:pPr>
          </w:p>
        </w:tc>
        <w:tc>
          <w:tcPr>
            <w:tcW w:w="1864" w:type="dxa"/>
            <w:gridSpan w:val="2"/>
            <w:vMerge w:val="continue"/>
            <w:vAlign w:val="center"/>
          </w:tcPr>
          <w:p w14:paraId="064DF5CB">
            <w:pPr>
              <w:widowControl/>
              <w:spacing w:before="156" w:beforeLines="50" w:after="156" w:afterLines="50"/>
              <w:jc w:val="left"/>
              <w:rPr>
                <w:kern w:val="0"/>
                <w:sz w:val="18"/>
                <w:szCs w:val="18"/>
              </w:rPr>
            </w:pPr>
          </w:p>
        </w:tc>
        <w:tc>
          <w:tcPr>
            <w:tcW w:w="849" w:type="dxa"/>
            <w:gridSpan w:val="2"/>
            <w:vMerge w:val="continue"/>
            <w:vAlign w:val="center"/>
          </w:tcPr>
          <w:p w14:paraId="0AE660A6">
            <w:pPr>
              <w:widowControl/>
              <w:spacing w:before="156" w:beforeLines="50" w:after="156" w:afterLines="50"/>
              <w:jc w:val="center"/>
              <w:rPr>
                <w:kern w:val="0"/>
                <w:sz w:val="18"/>
                <w:szCs w:val="18"/>
              </w:rPr>
            </w:pPr>
          </w:p>
        </w:tc>
        <w:tc>
          <w:tcPr>
            <w:tcW w:w="2209" w:type="dxa"/>
            <w:gridSpan w:val="2"/>
            <w:vAlign w:val="center"/>
          </w:tcPr>
          <w:p w14:paraId="0C77AB0D">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687" w:type="dxa"/>
            <w:gridSpan w:val="3"/>
            <w:vAlign w:val="center"/>
          </w:tcPr>
          <w:p w14:paraId="17499D0B">
            <w:pPr>
              <w:widowControl/>
              <w:spacing w:before="156" w:beforeLines="50" w:after="156" w:afterLines="50"/>
              <w:jc w:val="left"/>
              <w:rPr>
                <w:kern w:val="0"/>
                <w:sz w:val="18"/>
                <w:szCs w:val="18"/>
              </w:rPr>
            </w:pPr>
            <w:r>
              <w:rPr>
                <w:rFonts w:hint="eastAsia"/>
                <w:kern w:val="0"/>
                <w:sz w:val="18"/>
                <w:szCs w:val="18"/>
              </w:rPr>
              <w:t>3000元及以上5000元以下</w:t>
            </w:r>
          </w:p>
        </w:tc>
        <w:tc>
          <w:tcPr>
            <w:tcW w:w="2763" w:type="dxa"/>
            <w:gridSpan w:val="3"/>
            <w:vAlign w:val="center"/>
          </w:tcPr>
          <w:p w14:paraId="5AEB1A4F">
            <w:pPr>
              <w:widowControl/>
              <w:spacing w:before="156" w:beforeLines="50" w:after="156" w:afterLines="50"/>
              <w:jc w:val="left"/>
              <w:rPr>
                <w:kern w:val="0"/>
                <w:sz w:val="18"/>
                <w:szCs w:val="18"/>
              </w:rPr>
            </w:pPr>
            <w:r>
              <w:rPr>
                <w:rFonts w:hint="eastAsia"/>
                <w:kern w:val="0"/>
                <w:sz w:val="18"/>
                <w:szCs w:val="18"/>
              </w:rPr>
              <w:t>4000元及以上6000元以下</w:t>
            </w:r>
          </w:p>
        </w:tc>
        <w:tc>
          <w:tcPr>
            <w:tcW w:w="2408" w:type="dxa"/>
            <w:gridSpan w:val="3"/>
            <w:vAlign w:val="center"/>
          </w:tcPr>
          <w:p w14:paraId="65FE53C2">
            <w:pPr>
              <w:widowControl/>
              <w:spacing w:before="156" w:beforeLines="50" w:after="156" w:afterLines="50"/>
              <w:jc w:val="left"/>
              <w:rPr>
                <w:kern w:val="0"/>
                <w:sz w:val="18"/>
                <w:szCs w:val="18"/>
              </w:rPr>
            </w:pPr>
            <w:r>
              <w:rPr>
                <w:rFonts w:hint="eastAsia"/>
                <w:kern w:val="0"/>
                <w:sz w:val="18"/>
                <w:szCs w:val="18"/>
              </w:rPr>
              <w:t>5000元及以上8000元以下</w:t>
            </w:r>
          </w:p>
        </w:tc>
        <w:tc>
          <w:tcPr>
            <w:tcW w:w="3930" w:type="dxa"/>
            <w:gridSpan w:val="6"/>
            <w:vAlign w:val="center"/>
          </w:tcPr>
          <w:p w14:paraId="25C9C613">
            <w:pPr>
              <w:widowControl/>
              <w:spacing w:before="156" w:beforeLines="50" w:after="156" w:afterLines="50"/>
              <w:jc w:val="left"/>
              <w:rPr>
                <w:kern w:val="0"/>
                <w:sz w:val="18"/>
                <w:szCs w:val="18"/>
              </w:rPr>
            </w:pPr>
            <w:r>
              <w:rPr>
                <w:rFonts w:hint="eastAsia"/>
                <w:kern w:val="0"/>
                <w:sz w:val="18"/>
                <w:szCs w:val="18"/>
              </w:rPr>
              <w:t>/</w:t>
            </w:r>
          </w:p>
        </w:tc>
      </w:tr>
      <w:tr w14:paraId="53205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1545" w:hRule="atLeast"/>
        </w:trPr>
        <w:tc>
          <w:tcPr>
            <w:tcW w:w="679" w:type="dxa"/>
            <w:vMerge w:val="continue"/>
            <w:vAlign w:val="center"/>
          </w:tcPr>
          <w:p w14:paraId="7966B3A8">
            <w:pPr>
              <w:spacing w:before="156" w:beforeLines="50" w:after="156" w:afterLines="50"/>
              <w:jc w:val="left"/>
              <w:rPr>
                <w:rFonts w:ascii="宋体"/>
                <w:kern w:val="0"/>
                <w:sz w:val="18"/>
                <w:szCs w:val="18"/>
              </w:rPr>
            </w:pPr>
          </w:p>
        </w:tc>
        <w:tc>
          <w:tcPr>
            <w:tcW w:w="897" w:type="dxa"/>
            <w:gridSpan w:val="3"/>
            <w:vMerge w:val="continue"/>
            <w:vAlign w:val="center"/>
          </w:tcPr>
          <w:p w14:paraId="39E3BF4E">
            <w:pPr>
              <w:spacing w:before="156" w:beforeLines="50" w:after="156" w:afterLines="50"/>
              <w:jc w:val="left"/>
              <w:rPr>
                <w:kern w:val="0"/>
                <w:sz w:val="18"/>
                <w:szCs w:val="18"/>
              </w:rPr>
            </w:pPr>
          </w:p>
        </w:tc>
        <w:tc>
          <w:tcPr>
            <w:tcW w:w="1282" w:type="dxa"/>
            <w:vMerge w:val="continue"/>
            <w:vAlign w:val="center"/>
          </w:tcPr>
          <w:p w14:paraId="532A0371">
            <w:pPr>
              <w:widowControl/>
              <w:spacing w:before="156" w:beforeLines="50" w:after="156" w:afterLines="50"/>
              <w:jc w:val="left"/>
              <w:rPr>
                <w:kern w:val="0"/>
                <w:sz w:val="18"/>
                <w:szCs w:val="18"/>
              </w:rPr>
            </w:pPr>
          </w:p>
        </w:tc>
        <w:tc>
          <w:tcPr>
            <w:tcW w:w="1864" w:type="dxa"/>
            <w:gridSpan w:val="2"/>
            <w:vMerge w:val="continue"/>
            <w:vAlign w:val="center"/>
          </w:tcPr>
          <w:p w14:paraId="3494C807">
            <w:pPr>
              <w:widowControl/>
              <w:spacing w:before="156" w:beforeLines="50" w:after="156" w:afterLines="50"/>
              <w:jc w:val="left"/>
              <w:rPr>
                <w:kern w:val="0"/>
                <w:sz w:val="18"/>
                <w:szCs w:val="18"/>
              </w:rPr>
            </w:pPr>
          </w:p>
        </w:tc>
        <w:tc>
          <w:tcPr>
            <w:tcW w:w="849" w:type="dxa"/>
            <w:gridSpan w:val="2"/>
            <w:vMerge w:val="restart"/>
            <w:vAlign w:val="center"/>
          </w:tcPr>
          <w:p w14:paraId="32F7A000">
            <w:pPr>
              <w:widowControl/>
              <w:spacing w:before="156" w:beforeLines="50" w:after="156" w:afterLines="50"/>
              <w:jc w:val="center"/>
              <w:rPr>
                <w:kern w:val="0"/>
                <w:sz w:val="18"/>
                <w:szCs w:val="18"/>
              </w:rPr>
            </w:pPr>
            <w:r>
              <w:rPr>
                <w:rFonts w:hint="eastAsia"/>
                <w:kern w:val="0"/>
                <w:sz w:val="18"/>
                <w:szCs w:val="18"/>
              </w:rPr>
              <w:t>情节</w:t>
            </w:r>
          </w:p>
          <w:p w14:paraId="525FB06F">
            <w:pPr>
              <w:widowControl/>
              <w:spacing w:before="156" w:beforeLines="50" w:after="156" w:afterLines="50"/>
              <w:jc w:val="center"/>
              <w:rPr>
                <w:kern w:val="0"/>
                <w:sz w:val="18"/>
                <w:szCs w:val="18"/>
              </w:rPr>
            </w:pPr>
            <w:r>
              <w:rPr>
                <w:rFonts w:hint="eastAsia"/>
                <w:kern w:val="0"/>
                <w:sz w:val="18"/>
                <w:szCs w:val="18"/>
              </w:rPr>
              <w:t>严重</w:t>
            </w:r>
          </w:p>
        </w:tc>
        <w:tc>
          <w:tcPr>
            <w:tcW w:w="2209" w:type="dxa"/>
            <w:gridSpan w:val="2"/>
            <w:tcBorders>
              <w:bottom w:val="single" w:color="auto" w:sz="4" w:space="0"/>
            </w:tcBorders>
            <w:vAlign w:val="center"/>
          </w:tcPr>
          <w:p w14:paraId="015E0C10">
            <w:pPr>
              <w:widowControl/>
              <w:spacing w:before="156" w:beforeLines="50" w:after="156" w:afterLines="50"/>
              <w:jc w:val="left"/>
              <w:rPr>
                <w:kern w:val="0"/>
                <w:sz w:val="18"/>
                <w:szCs w:val="18"/>
              </w:rPr>
            </w:pPr>
            <w:r>
              <w:rPr>
                <w:rFonts w:hint="eastAsia"/>
                <w:kern w:val="0"/>
                <w:sz w:val="18"/>
                <w:szCs w:val="18"/>
              </w:rPr>
              <w:t xml:space="preserve"> 造成一般及以上等级水上交通事故的。</w:t>
            </w:r>
          </w:p>
        </w:tc>
        <w:tc>
          <w:tcPr>
            <w:tcW w:w="2687" w:type="dxa"/>
            <w:gridSpan w:val="3"/>
            <w:vMerge w:val="restart"/>
            <w:vAlign w:val="center"/>
          </w:tcPr>
          <w:p w14:paraId="372F751F">
            <w:pPr>
              <w:widowControl/>
              <w:spacing w:before="156" w:beforeLines="50" w:after="156" w:afterLines="50"/>
              <w:jc w:val="left"/>
              <w:rPr>
                <w:kern w:val="0"/>
                <w:sz w:val="18"/>
                <w:szCs w:val="18"/>
              </w:rPr>
            </w:pPr>
            <w:r>
              <w:rPr>
                <w:rFonts w:hint="eastAsia"/>
                <w:kern w:val="0"/>
                <w:sz w:val="18"/>
                <w:szCs w:val="18"/>
              </w:rPr>
              <w:t>5000元及以上1万元及以下</w:t>
            </w:r>
          </w:p>
        </w:tc>
        <w:tc>
          <w:tcPr>
            <w:tcW w:w="2763" w:type="dxa"/>
            <w:gridSpan w:val="3"/>
            <w:vMerge w:val="restart"/>
            <w:vAlign w:val="center"/>
          </w:tcPr>
          <w:p w14:paraId="5372A081">
            <w:pPr>
              <w:widowControl/>
              <w:spacing w:before="156" w:beforeLines="50" w:after="156" w:afterLines="50"/>
              <w:jc w:val="left"/>
              <w:rPr>
                <w:kern w:val="0"/>
                <w:sz w:val="18"/>
                <w:szCs w:val="18"/>
              </w:rPr>
            </w:pPr>
            <w:r>
              <w:rPr>
                <w:rFonts w:hint="eastAsia"/>
                <w:kern w:val="0"/>
                <w:sz w:val="18"/>
                <w:szCs w:val="18"/>
              </w:rPr>
              <w:t>6000元及以上1万元及以下</w:t>
            </w:r>
          </w:p>
        </w:tc>
        <w:tc>
          <w:tcPr>
            <w:tcW w:w="2408" w:type="dxa"/>
            <w:gridSpan w:val="3"/>
            <w:vMerge w:val="restart"/>
            <w:vAlign w:val="center"/>
          </w:tcPr>
          <w:p w14:paraId="4C8145E3">
            <w:pPr>
              <w:widowControl/>
              <w:spacing w:before="156" w:beforeLines="50" w:after="156" w:afterLines="50"/>
              <w:jc w:val="left"/>
              <w:rPr>
                <w:kern w:val="0"/>
                <w:sz w:val="18"/>
                <w:szCs w:val="18"/>
              </w:rPr>
            </w:pPr>
            <w:r>
              <w:rPr>
                <w:rFonts w:hint="eastAsia"/>
                <w:kern w:val="0"/>
                <w:sz w:val="18"/>
                <w:szCs w:val="18"/>
              </w:rPr>
              <w:t>8000元及以上1万元及以下</w:t>
            </w:r>
          </w:p>
        </w:tc>
        <w:tc>
          <w:tcPr>
            <w:tcW w:w="3930" w:type="dxa"/>
            <w:gridSpan w:val="6"/>
            <w:tcBorders>
              <w:bottom w:val="single" w:color="auto" w:sz="4" w:space="0"/>
            </w:tcBorders>
            <w:vAlign w:val="center"/>
          </w:tcPr>
          <w:p w14:paraId="2AB1E487">
            <w:pPr>
              <w:widowControl/>
              <w:spacing w:before="156" w:beforeLines="50" w:after="156" w:afterLines="50"/>
              <w:jc w:val="left"/>
              <w:rPr>
                <w:kern w:val="0"/>
                <w:sz w:val="18"/>
                <w:szCs w:val="18"/>
              </w:rPr>
            </w:pPr>
            <w:r>
              <w:rPr>
                <w:rFonts w:hint="eastAsia"/>
                <w:kern w:val="0"/>
                <w:sz w:val="18"/>
                <w:szCs w:val="18"/>
              </w:rPr>
              <w:t>造成一般及以上等级水上交通事故的，暂扣直至吊销证书处罚的裁量按照 《中华人民共和国内河海事行政处罚规定》第三十二条实施。</w:t>
            </w:r>
          </w:p>
        </w:tc>
      </w:tr>
      <w:tr w14:paraId="0EF03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32" w:type="dxa"/>
          <w:trHeight w:val="483" w:hRule="atLeast"/>
        </w:trPr>
        <w:tc>
          <w:tcPr>
            <w:tcW w:w="679" w:type="dxa"/>
            <w:vMerge w:val="continue"/>
            <w:vAlign w:val="center"/>
          </w:tcPr>
          <w:p w14:paraId="143F976E">
            <w:pPr>
              <w:spacing w:before="156" w:beforeLines="50" w:after="156" w:afterLines="50"/>
              <w:jc w:val="left"/>
              <w:rPr>
                <w:rFonts w:ascii="宋体"/>
                <w:kern w:val="0"/>
                <w:sz w:val="18"/>
                <w:szCs w:val="18"/>
              </w:rPr>
            </w:pPr>
          </w:p>
        </w:tc>
        <w:tc>
          <w:tcPr>
            <w:tcW w:w="897" w:type="dxa"/>
            <w:gridSpan w:val="3"/>
            <w:vMerge w:val="continue"/>
            <w:vAlign w:val="center"/>
          </w:tcPr>
          <w:p w14:paraId="7D33881C">
            <w:pPr>
              <w:spacing w:before="156" w:beforeLines="50" w:after="156" w:afterLines="50"/>
              <w:jc w:val="left"/>
              <w:rPr>
                <w:kern w:val="0"/>
                <w:sz w:val="18"/>
                <w:szCs w:val="18"/>
              </w:rPr>
            </w:pPr>
          </w:p>
        </w:tc>
        <w:tc>
          <w:tcPr>
            <w:tcW w:w="1282" w:type="dxa"/>
            <w:vMerge w:val="continue"/>
            <w:vAlign w:val="center"/>
          </w:tcPr>
          <w:p w14:paraId="61211F24">
            <w:pPr>
              <w:widowControl/>
              <w:spacing w:before="156" w:beforeLines="50" w:after="156" w:afterLines="50"/>
              <w:jc w:val="left"/>
              <w:rPr>
                <w:kern w:val="0"/>
                <w:sz w:val="18"/>
                <w:szCs w:val="18"/>
              </w:rPr>
            </w:pPr>
          </w:p>
        </w:tc>
        <w:tc>
          <w:tcPr>
            <w:tcW w:w="1864" w:type="dxa"/>
            <w:gridSpan w:val="2"/>
            <w:vMerge w:val="continue"/>
            <w:vAlign w:val="center"/>
          </w:tcPr>
          <w:p w14:paraId="09462E1F">
            <w:pPr>
              <w:widowControl/>
              <w:spacing w:before="156" w:beforeLines="50" w:after="156" w:afterLines="50"/>
              <w:jc w:val="left"/>
              <w:rPr>
                <w:kern w:val="0"/>
                <w:sz w:val="18"/>
                <w:szCs w:val="18"/>
              </w:rPr>
            </w:pPr>
          </w:p>
        </w:tc>
        <w:tc>
          <w:tcPr>
            <w:tcW w:w="849" w:type="dxa"/>
            <w:gridSpan w:val="2"/>
            <w:vMerge w:val="continue"/>
            <w:vAlign w:val="center"/>
          </w:tcPr>
          <w:p w14:paraId="53CB6963">
            <w:pPr>
              <w:widowControl/>
              <w:spacing w:before="156" w:beforeLines="50" w:after="156" w:afterLines="50"/>
              <w:jc w:val="left"/>
              <w:rPr>
                <w:kern w:val="0"/>
                <w:sz w:val="18"/>
                <w:szCs w:val="18"/>
              </w:rPr>
            </w:pPr>
          </w:p>
        </w:tc>
        <w:tc>
          <w:tcPr>
            <w:tcW w:w="2209" w:type="dxa"/>
            <w:gridSpan w:val="2"/>
            <w:tcBorders>
              <w:top w:val="single" w:color="auto" w:sz="4" w:space="0"/>
            </w:tcBorders>
            <w:vAlign w:val="center"/>
          </w:tcPr>
          <w:p w14:paraId="6E73A8E7">
            <w:pPr>
              <w:widowControl/>
              <w:spacing w:before="156" w:beforeLines="50" w:after="156" w:afterLines="50"/>
              <w:jc w:val="left"/>
              <w:rPr>
                <w:kern w:val="0"/>
                <w:sz w:val="18"/>
                <w:szCs w:val="18"/>
              </w:rPr>
            </w:pPr>
            <w:r>
              <w:rPr>
                <w:rFonts w:hint="eastAsia"/>
                <w:kern w:val="0"/>
                <w:sz w:val="18"/>
                <w:szCs w:val="18"/>
              </w:rPr>
              <w:t>1. 为掩盖违法行为故意关闭系统的；</w:t>
            </w:r>
          </w:p>
          <w:p w14:paraId="0C2B63F9">
            <w:pPr>
              <w:widowControl/>
              <w:spacing w:before="156" w:beforeLines="50" w:after="156" w:afterLines="50"/>
              <w:jc w:val="left"/>
              <w:rPr>
                <w:kern w:val="0"/>
                <w:sz w:val="18"/>
                <w:szCs w:val="18"/>
              </w:rPr>
            </w:pPr>
            <w:r>
              <w:rPr>
                <w:rFonts w:hint="eastAsia"/>
                <w:kern w:val="0"/>
                <w:sz w:val="18"/>
                <w:szCs w:val="18"/>
              </w:rPr>
              <w:t>2. 具有其他严重情节的。</w:t>
            </w:r>
          </w:p>
        </w:tc>
        <w:tc>
          <w:tcPr>
            <w:tcW w:w="2687" w:type="dxa"/>
            <w:gridSpan w:val="3"/>
            <w:vMerge w:val="continue"/>
            <w:vAlign w:val="center"/>
          </w:tcPr>
          <w:p w14:paraId="7F512B46">
            <w:pPr>
              <w:widowControl/>
              <w:spacing w:before="156" w:beforeLines="50" w:after="156" w:afterLines="50"/>
              <w:jc w:val="left"/>
              <w:rPr>
                <w:kern w:val="0"/>
                <w:sz w:val="18"/>
                <w:szCs w:val="18"/>
              </w:rPr>
            </w:pPr>
          </w:p>
        </w:tc>
        <w:tc>
          <w:tcPr>
            <w:tcW w:w="2763" w:type="dxa"/>
            <w:gridSpan w:val="3"/>
            <w:vMerge w:val="continue"/>
            <w:vAlign w:val="center"/>
          </w:tcPr>
          <w:p w14:paraId="1AD33E6B">
            <w:pPr>
              <w:widowControl/>
              <w:spacing w:before="156" w:beforeLines="50" w:after="156" w:afterLines="50"/>
              <w:jc w:val="left"/>
              <w:rPr>
                <w:kern w:val="0"/>
                <w:sz w:val="18"/>
                <w:szCs w:val="18"/>
              </w:rPr>
            </w:pPr>
          </w:p>
        </w:tc>
        <w:tc>
          <w:tcPr>
            <w:tcW w:w="2408" w:type="dxa"/>
            <w:gridSpan w:val="3"/>
            <w:vMerge w:val="continue"/>
            <w:vAlign w:val="center"/>
          </w:tcPr>
          <w:p w14:paraId="490FED3D">
            <w:pPr>
              <w:widowControl/>
              <w:spacing w:before="156" w:beforeLines="50" w:after="156" w:afterLines="50"/>
              <w:jc w:val="left"/>
              <w:rPr>
                <w:kern w:val="0"/>
                <w:sz w:val="18"/>
                <w:szCs w:val="18"/>
              </w:rPr>
            </w:pPr>
          </w:p>
        </w:tc>
        <w:tc>
          <w:tcPr>
            <w:tcW w:w="3930" w:type="dxa"/>
            <w:gridSpan w:val="6"/>
            <w:tcBorders>
              <w:top w:val="single" w:color="auto" w:sz="4" w:space="0"/>
            </w:tcBorders>
            <w:vAlign w:val="center"/>
          </w:tcPr>
          <w:p w14:paraId="09EA5CC3">
            <w:pPr>
              <w:widowControl/>
              <w:spacing w:before="156" w:beforeLines="50" w:after="156" w:afterLines="50"/>
              <w:jc w:val="left"/>
              <w:rPr>
                <w:kern w:val="0"/>
                <w:sz w:val="18"/>
                <w:szCs w:val="18"/>
              </w:rPr>
            </w:pPr>
            <w:r>
              <w:rPr>
                <w:rFonts w:hint="eastAsia"/>
                <w:kern w:val="0"/>
                <w:sz w:val="18"/>
                <w:szCs w:val="18"/>
              </w:rPr>
              <w:t>情节严重的，对责任船员给予暂扣适任证书或者其他适任证件3个月至6个月直至吊销适任证书或者其他适任证件的处罚。</w:t>
            </w:r>
          </w:p>
        </w:tc>
      </w:tr>
      <w:tr w14:paraId="7486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050" w:hRule="atLeast"/>
        </w:trPr>
        <w:tc>
          <w:tcPr>
            <w:tcW w:w="690" w:type="dxa"/>
            <w:gridSpan w:val="2"/>
            <w:vMerge w:val="restart"/>
            <w:vAlign w:val="center"/>
          </w:tcPr>
          <w:p w14:paraId="3FC55F33">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30509AEE">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5"/>
            <w:vMerge w:val="restart"/>
            <w:vAlign w:val="center"/>
          </w:tcPr>
          <w:p w14:paraId="6B149F9D">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gridSpan w:val="2"/>
            <w:vMerge w:val="restart"/>
            <w:vAlign w:val="center"/>
          </w:tcPr>
          <w:p w14:paraId="539BDB67">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861" w:type="dxa"/>
            <w:gridSpan w:val="3"/>
            <w:vMerge w:val="restart"/>
            <w:vAlign w:val="center"/>
          </w:tcPr>
          <w:p w14:paraId="5412314D">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262" w:type="dxa"/>
            <w:gridSpan w:val="11"/>
            <w:tcBorders>
              <w:bottom w:val="single" w:color="auto" w:sz="4" w:space="0"/>
              <w:right w:val="single" w:color="auto" w:sz="4" w:space="0"/>
            </w:tcBorders>
            <w:vAlign w:val="center"/>
          </w:tcPr>
          <w:p w14:paraId="354B9381">
            <w:pPr>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54C4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83" w:hRule="atLeast"/>
        </w:trPr>
        <w:tc>
          <w:tcPr>
            <w:tcW w:w="690" w:type="dxa"/>
            <w:gridSpan w:val="2"/>
            <w:vMerge w:val="continue"/>
            <w:vAlign w:val="center"/>
          </w:tcPr>
          <w:p w14:paraId="37433877">
            <w:pPr>
              <w:spacing w:before="156" w:beforeLines="50" w:after="156" w:afterLines="50"/>
              <w:jc w:val="center"/>
              <w:rPr>
                <w:rFonts w:ascii="宋体"/>
                <w:b/>
                <w:kern w:val="0"/>
                <w:sz w:val="18"/>
                <w:szCs w:val="18"/>
              </w:rPr>
            </w:pPr>
          </w:p>
        </w:tc>
        <w:tc>
          <w:tcPr>
            <w:tcW w:w="876" w:type="dxa"/>
            <w:vMerge w:val="continue"/>
            <w:vAlign w:val="center"/>
          </w:tcPr>
          <w:p w14:paraId="09EC5207">
            <w:pPr>
              <w:spacing w:before="156" w:beforeLines="50" w:after="156" w:afterLines="50"/>
              <w:jc w:val="center"/>
              <w:rPr>
                <w:rFonts w:ascii="宋体"/>
                <w:b/>
                <w:kern w:val="0"/>
                <w:sz w:val="18"/>
                <w:szCs w:val="18"/>
              </w:rPr>
            </w:pPr>
          </w:p>
        </w:tc>
        <w:tc>
          <w:tcPr>
            <w:tcW w:w="3620" w:type="dxa"/>
            <w:gridSpan w:val="5"/>
            <w:vMerge w:val="continue"/>
            <w:vAlign w:val="center"/>
          </w:tcPr>
          <w:p w14:paraId="0DCDEB82">
            <w:pPr>
              <w:spacing w:before="156" w:beforeLines="50" w:after="156" w:afterLines="50"/>
              <w:jc w:val="center"/>
              <w:rPr>
                <w:rFonts w:ascii="宋体"/>
                <w:b/>
                <w:kern w:val="0"/>
                <w:sz w:val="18"/>
                <w:szCs w:val="18"/>
              </w:rPr>
            </w:pPr>
          </w:p>
        </w:tc>
        <w:tc>
          <w:tcPr>
            <w:tcW w:w="992" w:type="dxa"/>
            <w:gridSpan w:val="2"/>
            <w:vMerge w:val="continue"/>
            <w:vAlign w:val="center"/>
          </w:tcPr>
          <w:p w14:paraId="0D18CCD9">
            <w:pPr>
              <w:spacing w:before="156" w:beforeLines="50" w:after="156" w:afterLines="50"/>
              <w:jc w:val="left"/>
              <w:rPr>
                <w:rFonts w:ascii="宋体"/>
                <w:b/>
                <w:kern w:val="0"/>
                <w:sz w:val="18"/>
                <w:szCs w:val="18"/>
              </w:rPr>
            </w:pPr>
          </w:p>
        </w:tc>
        <w:tc>
          <w:tcPr>
            <w:tcW w:w="2861" w:type="dxa"/>
            <w:gridSpan w:val="3"/>
            <w:vMerge w:val="continue"/>
            <w:vAlign w:val="center"/>
          </w:tcPr>
          <w:p w14:paraId="23094152">
            <w:pPr>
              <w:spacing w:before="156" w:beforeLines="50" w:after="156" w:afterLines="50"/>
              <w:jc w:val="left"/>
              <w:rPr>
                <w:rFonts w:ascii="宋体"/>
                <w:b/>
                <w:kern w:val="0"/>
                <w:sz w:val="18"/>
                <w:szCs w:val="18"/>
              </w:rPr>
            </w:pPr>
          </w:p>
        </w:tc>
        <w:tc>
          <w:tcPr>
            <w:tcW w:w="10262" w:type="dxa"/>
            <w:gridSpan w:val="11"/>
            <w:tcBorders>
              <w:top w:val="single" w:color="auto" w:sz="4" w:space="0"/>
              <w:bottom w:val="single" w:color="auto" w:sz="4" w:space="0"/>
              <w:right w:val="single" w:color="auto" w:sz="4" w:space="0"/>
            </w:tcBorders>
            <w:vAlign w:val="center"/>
          </w:tcPr>
          <w:p w14:paraId="77761C6C">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806B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592" w:hRule="atLeast"/>
        </w:trPr>
        <w:tc>
          <w:tcPr>
            <w:tcW w:w="690" w:type="dxa"/>
            <w:gridSpan w:val="2"/>
            <w:vMerge w:val="continue"/>
            <w:vAlign w:val="center"/>
          </w:tcPr>
          <w:p w14:paraId="4F91E000">
            <w:pPr>
              <w:spacing w:before="156" w:beforeLines="50" w:after="156" w:afterLines="50"/>
              <w:jc w:val="center"/>
              <w:rPr>
                <w:rFonts w:ascii="宋体"/>
                <w:b/>
                <w:kern w:val="0"/>
                <w:sz w:val="18"/>
                <w:szCs w:val="18"/>
              </w:rPr>
            </w:pPr>
          </w:p>
        </w:tc>
        <w:tc>
          <w:tcPr>
            <w:tcW w:w="876" w:type="dxa"/>
            <w:vMerge w:val="continue"/>
            <w:vAlign w:val="center"/>
          </w:tcPr>
          <w:p w14:paraId="318EA07B">
            <w:pPr>
              <w:spacing w:before="156" w:beforeLines="50" w:after="156" w:afterLines="50"/>
              <w:jc w:val="center"/>
              <w:rPr>
                <w:rFonts w:ascii="宋体"/>
                <w:b/>
                <w:kern w:val="0"/>
                <w:sz w:val="18"/>
                <w:szCs w:val="18"/>
              </w:rPr>
            </w:pPr>
          </w:p>
        </w:tc>
        <w:tc>
          <w:tcPr>
            <w:tcW w:w="1377" w:type="dxa"/>
            <w:gridSpan w:val="3"/>
            <w:vMerge w:val="restart"/>
            <w:vAlign w:val="center"/>
          </w:tcPr>
          <w:p w14:paraId="5E8D7D0B">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gridSpan w:val="2"/>
            <w:vMerge w:val="restart"/>
            <w:vAlign w:val="center"/>
          </w:tcPr>
          <w:p w14:paraId="6DEECD70">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gridSpan w:val="2"/>
            <w:vMerge w:val="continue"/>
            <w:vAlign w:val="center"/>
          </w:tcPr>
          <w:p w14:paraId="15B772A8">
            <w:pPr>
              <w:spacing w:before="156" w:beforeLines="50" w:after="156" w:afterLines="50"/>
              <w:jc w:val="left"/>
              <w:rPr>
                <w:rFonts w:ascii="宋体"/>
                <w:b/>
                <w:kern w:val="0"/>
                <w:sz w:val="18"/>
                <w:szCs w:val="18"/>
              </w:rPr>
            </w:pPr>
          </w:p>
        </w:tc>
        <w:tc>
          <w:tcPr>
            <w:tcW w:w="2861" w:type="dxa"/>
            <w:gridSpan w:val="3"/>
            <w:vMerge w:val="continue"/>
            <w:vAlign w:val="center"/>
          </w:tcPr>
          <w:p w14:paraId="38F30B07">
            <w:pPr>
              <w:spacing w:before="156" w:beforeLines="50" w:after="156" w:afterLines="50"/>
              <w:jc w:val="left"/>
              <w:rPr>
                <w:rFonts w:ascii="宋体"/>
                <w:b/>
                <w:kern w:val="0"/>
                <w:sz w:val="18"/>
                <w:szCs w:val="18"/>
              </w:rPr>
            </w:pPr>
          </w:p>
        </w:tc>
        <w:tc>
          <w:tcPr>
            <w:tcW w:w="7345" w:type="dxa"/>
            <w:gridSpan w:val="9"/>
            <w:tcBorders>
              <w:top w:val="single" w:color="auto" w:sz="4" w:space="0"/>
              <w:bottom w:val="single" w:color="auto" w:sz="4" w:space="0"/>
              <w:right w:val="single" w:color="auto" w:sz="4" w:space="0"/>
            </w:tcBorders>
            <w:vAlign w:val="center"/>
          </w:tcPr>
          <w:p w14:paraId="1DFBC12B">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2917" w:type="dxa"/>
            <w:gridSpan w:val="2"/>
            <w:vMerge w:val="restart"/>
            <w:tcBorders>
              <w:top w:val="single" w:color="auto" w:sz="4" w:space="0"/>
              <w:right w:val="single" w:color="auto" w:sz="4" w:space="0"/>
            </w:tcBorders>
            <w:vAlign w:val="center"/>
          </w:tcPr>
          <w:p w14:paraId="6E9F4BD3">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08E9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389" w:hRule="atLeast"/>
        </w:trPr>
        <w:tc>
          <w:tcPr>
            <w:tcW w:w="690" w:type="dxa"/>
            <w:gridSpan w:val="2"/>
            <w:vMerge w:val="continue"/>
            <w:vAlign w:val="center"/>
          </w:tcPr>
          <w:p w14:paraId="76F2237F">
            <w:pPr>
              <w:spacing w:before="156" w:beforeLines="50" w:after="156" w:afterLines="50"/>
              <w:jc w:val="left"/>
              <w:rPr>
                <w:rFonts w:ascii="宋体"/>
                <w:b/>
                <w:kern w:val="0"/>
                <w:sz w:val="18"/>
                <w:szCs w:val="18"/>
              </w:rPr>
            </w:pPr>
          </w:p>
        </w:tc>
        <w:tc>
          <w:tcPr>
            <w:tcW w:w="876" w:type="dxa"/>
            <w:vMerge w:val="continue"/>
            <w:vAlign w:val="center"/>
          </w:tcPr>
          <w:p w14:paraId="76F0E7BE">
            <w:pPr>
              <w:spacing w:before="156" w:beforeLines="50" w:after="156" w:afterLines="50"/>
              <w:jc w:val="left"/>
              <w:rPr>
                <w:rFonts w:ascii="宋体"/>
                <w:b/>
                <w:kern w:val="0"/>
                <w:sz w:val="18"/>
                <w:szCs w:val="18"/>
              </w:rPr>
            </w:pPr>
          </w:p>
        </w:tc>
        <w:tc>
          <w:tcPr>
            <w:tcW w:w="1377" w:type="dxa"/>
            <w:gridSpan w:val="3"/>
            <w:vMerge w:val="continue"/>
            <w:vAlign w:val="center"/>
          </w:tcPr>
          <w:p w14:paraId="193B11E5">
            <w:pPr>
              <w:spacing w:before="156" w:beforeLines="50" w:after="156" w:afterLines="50"/>
              <w:jc w:val="left"/>
              <w:rPr>
                <w:rFonts w:ascii="宋体"/>
                <w:b/>
                <w:kern w:val="0"/>
                <w:sz w:val="18"/>
                <w:szCs w:val="18"/>
              </w:rPr>
            </w:pPr>
          </w:p>
        </w:tc>
        <w:tc>
          <w:tcPr>
            <w:tcW w:w="2243" w:type="dxa"/>
            <w:gridSpan w:val="2"/>
            <w:vMerge w:val="continue"/>
            <w:vAlign w:val="center"/>
          </w:tcPr>
          <w:p w14:paraId="08F018BA">
            <w:pPr>
              <w:spacing w:before="156" w:beforeLines="50" w:after="156" w:afterLines="50"/>
              <w:jc w:val="left"/>
              <w:rPr>
                <w:rFonts w:ascii="宋体"/>
                <w:b/>
                <w:kern w:val="0"/>
                <w:sz w:val="18"/>
                <w:szCs w:val="18"/>
              </w:rPr>
            </w:pPr>
          </w:p>
        </w:tc>
        <w:tc>
          <w:tcPr>
            <w:tcW w:w="992" w:type="dxa"/>
            <w:gridSpan w:val="2"/>
            <w:vMerge w:val="continue"/>
            <w:vAlign w:val="center"/>
          </w:tcPr>
          <w:p w14:paraId="1E5DB6D0">
            <w:pPr>
              <w:spacing w:before="156" w:beforeLines="50" w:after="156" w:afterLines="50"/>
              <w:jc w:val="left"/>
              <w:rPr>
                <w:rFonts w:ascii="宋体"/>
                <w:b/>
                <w:kern w:val="0"/>
                <w:sz w:val="18"/>
                <w:szCs w:val="18"/>
              </w:rPr>
            </w:pPr>
          </w:p>
        </w:tc>
        <w:tc>
          <w:tcPr>
            <w:tcW w:w="2861" w:type="dxa"/>
            <w:gridSpan w:val="3"/>
            <w:vMerge w:val="continue"/>
            <w:vAlign w:val="center"/>
          </w:tcPr>
          <w:p w14:paraId="6C3D3E2C">
            <w:pPr>
              <w:spacing w:before="156" w:beforeLines="50" w:after="156" w:afterLines="50"/>
              <w:jc w:val="left"/>
              <w:rPr>
                <w:rFonts w:ascii="宋体"/>
                <w:b/>
                <w:kern w:val="0"/>
                <w:sz w:val="18"/>
                <w:szCs w:val="18"/>
              </w:rPr>
            </w:pPr>
          </w:p>
        </w:tc>
        <w:tc>
          <w:tcPr>
            <w:tcW w:w="2268" w:type="dxa"/>
            <w:gridSpan w:val="3"/>
            <w:tcBorders>
              <w:top w:val="single" w:color="auto" w:sz="4" w:space="0"/>
              <w:right w:val="single" w:color="auto" w:sz="4" w:space="0"/>
            </w:tcBorders>
            <w:vAlign w:val="center"/>
          </w:tcPr>
          <w:p w14:paraId="5980CCA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84" w:type="dxa"/>
            <w:gridSpan w:val="3"/>
            <w:tcBorders>
              <w:top w:val="single" w:color="auto" w:sz="4" w:space="0"/>
              <w:right w:val="single" w:color="auto" w:sz="4" w:space="0"/>
            </w:tcBorders>
            <w:vAlign w:val="center"/>
          </w:tcPr>
          <w:p w14:paraId="2B3A4359">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93" w:type="dxa"/>
            <w:gridSpan w:val="3"/>
            <w:tcBorders>
              <w:top w:val="single" w:color="auto" w:sz="4" w:space="0"/>
              <w:right w:val="single" w:color="auto" w:sz="4" w:space="0"/>
            </w:tcBorders>
            <w:vAlign w:val="center"/>
          </w:tcPr>
          <w:p w14:paraId="155897D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917" w:type="dxa"/>
            <w:gridSpan w:val="2"/>
            <w:vMerge w:val="continue"/>
            <w:tcBorders>
              <w:right w:val="single" w:color="auto" w:sz="4" w:space="0"/>
            </w:tcBorders>
            <w:vAlign w:val="center"/>
          </w:tcPr>
          <w:p w14:paraId="0C286D40">
            <w:pPr>
              <w:spacing w:before="156" w:beforeLines="50" w:after="156" w:afterLines="50"/>
              <w:jc w:val="left"/>
              <w:rPr>
                <w:rFonts w:ascii="宋体"/>
                <w:b/>
                <w:sz w:val="18"/>
                <w:szCs w:val="18"/>
              </w:rPr>
            </w:pPr>
          </w:p>
        </w:tc>
      </w:tr>
      <w:tr w14:paraId="2B01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299" w:hRule="atLeast"/>
        </w:trPr>
        <w:tc>
          <w:tcPr>
            <w:tcW w:w="690" w:type="dxa"/>
            <w:gridSpan w:val="2"/>
            <w:vMerge w:val="restart"/>
            <w:vAlign w:val="center"/>
          </w:tcPr>
          <w:p w14:paraId="2EFD0FAB">
            <w:pPr>
              <w:spacing w:before="156" w:beforeLines="50" w:after="156" w:afterLines="50"/>
              <w:jc w:val="center"/>
              <w:rPr>
                <w:rFonts w:ascii="宋体"/>
                <w:kern w:val="0"/>
                <w:sz w:val="18"/>
                <w:szCs w:val="18"/>
              </w:rPr>
            </w:pPr>
            <w:r>
              <w:rPr>
                <w:rFonts w:hint="eastAsia" w:ascii="宋体"/>
                <w:kern w:val="0"/>
                <w:sz w:val="18"/>
                <w:szCs w:val="18"/>
              </w:rPr>
              <w:t>28</w:t>
            </w:r>
          </w:p>
        </w:tc>
        <w:tc>
          <w:tcPr>
            <w:tcW w:w="876" w:type="dxa"/>
            <w:vMerge w:val="restart"/>
            <w:vAlign w:val="center"/>
          </w:tcPr>
          <w:p w14:paraId="3F8B822B">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w:t>
            </w:r>
          </w:p>
        </w:tc>
        <w:tc>
          <w:tcPr>
            <w:tcW w:w="1377" w:type="dxa"/>
            <w:gridSpan w:val="3"/>
            <w:vMerge w:val="restart"/>
            <w:vAlign w:val="center"/>
          </w:tcPr>
          <w:p w14:paraId="372B0A08">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1.《中华人民共和国内河交通安全管理条例》第十五条第二款；</w:t>
            </w:r>
          </w:p>
          <w:p w14:paraId="563DBEB7">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2.《中华人民共和国内河避碰规则》（2003修订本）第七条第一款。</w:t>
            </w:r>
          </w:p>
        </w:tc>
        <w:tc>
          <w:tcPr>
            <w:tcW w:w="2243" w:type="dxa"/>
            <w:gridSpan w:val="2"/>
            <w:vMerge w:val="restart"/>
            <w:vAlign w:val="center"/>
          </w:tcPr>
          <w:p w14:paraId="6D610916">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14:paraId="15DD9FB5">
            <w:pPr>
              <w:widowControl/>
              <w:spacing w:before="156" w:beforeLines="50" w:after="156" w:afterLines="50"/>
              <w:rPr>
                <w:rFonts w:ascii="宋体"/>
                <w:kern w:val="0"/>
                <w:sz w:val="18"/>
                <w:szCs w:val="18"/>
              </w:rPr>
            </w:pPr>
            <w:r>
              <w:rPr>
                <w:rFonts w:hint="eastAsia" w:ascii="宋体"/>
                <w:kern w:val="0"/>
                <w:sz w:val="18"/>
                <w:szCs w:val="18"/>
              </w:rPr>
              <w:t>2.《中华人民共和国内河海事行政处罚规定》第十七条第一款和第二款第（九）项；</w:t>
            </w:r>
          </w:p>
          <w:p w14:paraId="2AF2F409">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14:paraId="4B85E370">
            <w:pPr>
              <w:widowControl/>
              <w:spacing w:before="156" w:beforeLines="50" w:after="156" w:afterLines="50"/>
              <w:rPr>
                <w:rFonts w:ascii="宋体"/>
                <w:kern w:val="0"/>
                <w:sz w:val="18"/>
                <w:szCs w:val="18"/>
              </w:rPr>
            </w:pPr>
          </w:p>
        </w:tc>
        <w:tc>
          <w:tcPr>
            <w:tcW w:w="992" w:type="dxa"/>
            <w:gridSpan w:val="2"/>
            <w:vAlign w:val="center"/>
          </w:tcPr>
          <w:p w14:paraId="577C6F0C">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861" w:type="dxa"/>
            <w:gridSpan w:val="3"/>
            <w:vAlign w:val="center"/>
          </w:tcPr>
          <w:p w14:paraId="6555C5D3">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gridSpan w:val="3"/>
            <w:tcBorders>
              <w:right w:val="single" w:color="auto" w:sz="4" w:space="0"/>
            </w:tcBorders>
            <w:vAlign w:val="center"/>
          </w:tcPr>
          <w:p w14:paraId="0D98CB17">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384" w:type="dxa"/>
            <w:gridSpan w:val="3"/>
            <w:tcBorders>
              <w:right w:val="single" w:color="auto" w:sz="4" w:space="0"/>
            </w:tcBorders>
            <w:vAlign w:val="center"/>
          </w:tcPr>
          <w:p w14:paraId="5751B99C">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693" w:type="dxa"/>
            <w:gridSpan w:val="3"/>
            <w:tcBorders>
              <w:right w:val="single" w:color="auto" w:sz="4" w:space="0"/>
            </w:tcBorders>
            <w:vAlign w:val="center"/>
          </w:tcPr>
          <w:p w14:paraId="525155F7">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917" w:type="dxa"/>
            <w:gridSpan w:val="2"/>
            <w:tcBorders>
              <w:right w:val="single" w:color="auto" w:sz="4" w:space="0"/>
            </w:tcBorders>
            <w:vAlign w:val="center"/>
          </w:tcPr>
          <w:p w14:paraId="7DA0BB82">
            <w:pPr>
              <w:widowControl/>
              <w:spacing w:before="156" w:beforeLines="50" w:after="156" w:afterLines="50"/>
              <w:rPr>
                <w:rFonts w:ascii="宋体"/>
                <w:kern w:val="0"/>
                <w:sz w:val="18"/>
                <w:szCs w:val="18"/>
              </w:rPr>
            </w:pPr>
            <w:r>
              <w:rPr>
                <w:rFonts w:hint="eastAsia" w:ascii="宋体"/>
                <w:kern w:val="0"/>
                <w:sz w:val="18"/>
                <w:szCs w:val="18"/>
              </w:rPr>
              <w:t>/</w:t>
            </w:r>
          </w:p>
        </w:tc>
      </w:tr>
      <w:tr w14:paraId="3B91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357" w:hRule="atLeast"/>
        </w:trPr>
        <w:tc>
          <w:tcPr>
            <w:tcW w:w="690" w:type="dxa"/>
            <w:gridSpan w:val="2"/>
            <w:vMerge w:val="continue"/>
            <w:vAlign w:val="center"/>
          </w:tcPr>
          <w:p w14:paraId="5B856DC9">
            <w:pPr>
              <w:spacing w:before="156" w:beforeLines="50" w:after="156" w:afterLines="50"/>
              <w:jc w:val="left"/>
              <w:rPr>
                <w:rFonts w:ascii="宋体"/>
                <w:kern w:val="0"/>
                <w:sz w:val="18"/>
                <w:szCs w:val="18"/>
              </w:rPr>
            </w:pPr>
          </w:p>
        </w:tc>
        <w:tc>
          <w:tcPr>
            <w:tcW w:w="876" w:type="dxa"/>
            <w:vMerge w:val="continue"/>
            <w:vAlign w:val="center"/>
          </w:tcPr>
          <w:p w14:paraId="57E20055">
            <w:pPr>
              <w:spacing w:before="156" w:beforeLines="50" w:after="156" w:afterLines="50"/>
              <w:jc w:val="left"/>
              <w:rPr>
                <w:rFonts w:ascii="宋体"/>
                <w:kern w:val="0"/>
                <w:sz w:val="18"/>
                <w:szCs w:val="18"/>
              </w:rPr>
            </w:pPr>
          </w:p>
        </w:tc>
        <w:tc>
          <w:tcPr>
            <w:tcW w:w="1377" w:type="dxa"/>
            <w:gridSpan w:val="3"/>
            <w:vMerge w:val="continue"/>
            <w:vAlign w:val="center"/>
          </w:tcPr>
          <w:p w14:paraId="263BBD1E">
            <w:pPr>
              <w:widowControl/>
              <w:spacing w:before="156" w:beforeLines="50" w:after="156" w:afterLines="50"/>
              <w:rPr>
                <w:rFonts w:ascii="宋体"/>
                <w:kern w:val="0"/>
                <w:sz w:val="18"/>
                <w:szCs w:val="18"/>
              </w:rPr>
            </w:pPr>
          </w:p>
        </w:tc>
        <w:tc>
          <w:tcPr>
            <w:tcW w:w="2243" w:type="dxa"/>
            <w:gridSpan w:val="2"/>
            <w:vMerge w:val="continue"/>
            <w:vAlign w:val="center"/>
          </w:tcPr>
          <w:p w14:paraId="33D8B15C">
            <w:pPr>
              <w:widowControl/>
              <w:spacing w:before="156" w:beforeLines="50" w:after="156" w:afterLines="50"/>
              <w:rPr>
                <w:rFonts w:ascii="宋体"/>
                <w:kern w:val="0"/>
                <w:sz w:val="18"/>
                <w:szCs w:val="18"/>
              </w:rPr>
            </w:pPr>
          </w:p>
        </w:tc>
        <w:tc>
          <w:tcPr>
            <w:tcW w:w="992" w:type="dxa"/>
            <w:gridSpan w:val="2"/>
            <w:vMerge w:val="restart"/>
            <w:vAlign w:val="center"/>
          </w:tcPr>
          <w:p w14:paraId="76688C20">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861" w:type="dxa"/>
            <w:gridSpan w:val="3"/>
            <w:vAlign w:val="center"/>
          </w:tcPr>
          <w:p w14:paraId="10D9A199">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在限制航速的区域和汛期高水位期间未按照海事管理机构规定的航速航行，超过或低于规定最高或最低航速30%及以内的行为，且未造成事故的。</w:t>
            </w:r>
          </w:p>
        </w:tc>
        <w:tc>
          <w:tcPr>
            <w:tcW w:w="2268" w:type="dxa"/>
            <w:gridSpan w:val="3"/>
            <w:tcBorders>
              <w:right w:val="single" w:color="auto" w:sz="4" w:space="0"/>
            </w:tcBorders>
            <w:vAlign w:val="center"/>
          </w:tcPr>
          <w:p w14:paraId="4BCCB5DC">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384" w:type="dxa"/>
            <w:gridSpan w:val="3"/>
            <w:tcBorders>
              <w:right w:val="single" w:color="auto" w:sz="4" w:space="0"/>
            </w:tcBorders>
            <w:vAlign w:val="center"/>
          </w:tcPr>
          <w:p w14:paraId="620FF988">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693" w:type="dxa"/>
            <w:gridSpan w:val="3"/>
            <w:tcBorders>
              <w:right w:val="single" w:color="auto" w:sz="4" w:space="0"/>
            </w:tcBorders>
            <w:vAlign w:val="center"/>
          </w:tcPr>
          <w:p w14:paraId="3E803CB2">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2917" w:type="dxa"/>
            <w:gridSpan w:val="2"/>
            <w:tcBorders>
              <w:right w:val="single" w:color="auto" w:sz="4" w:space="0"/>
            </w:tcBorders>
            <w:vAlign w:val="center"/>
          </w:tcPr>
          <w:p w14:paraId="5F3F18E0">
            <w:pPr>
              <w:widowControl/>
              <w:spacing w:before="156" w:beforeLines="50" w:after="156" w:afterLines="50"/>
              <w:rPr>
                <w:rFonts w:ascii="宋体"/>
                <w:kern w:val="0"/>
                <w:sz w:val="18"/>
                <w:szCs w:val="18"/>
              </w:rPr>
            </w:pPr>
            <w:r>
              <w:rPr>
                <w:rFonts w:hint="eastAsia" w:ascii="宋体"/>
                <w:kern w:val="0"/>
                <w:sz w:val="18"/>
                <w:szCs w:val="18"/>
              </w:rPr>
              <w:t>/</w:t>
            </w:r>
          </w:p>
        </w:tc>
      </w:tr>
      <w:tr w14:paraId="3C2F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446" w:hRule="atLeast"/>
        </w:trPr>
        <w:tc>
          <w:tcPr>
            <w:tcW w:w="690" w:type="dxa"/>
            <w:gridSpan w:val="2"/>
            <w:vMerge w:val="continue"/>
            <w:vAlign w:val="center"/>
          </w:tcPr>
          <w:p w14:paraId="24CAE2EA">
            <w:pPr>
              <w:spacing w:before="156" w:beforeLines="50" w:after="156" w:afterLines="50"/>
              <w:jc w:val="left"/>
              <w:rPr>
                <w:rFonts w:ascii="宋体"/>
                <w:kern w:val="0"/>
                <w:sz w:val="18"/>
                <w:szCs w:val="18"/>
              </w:rPr>
            </w:pPr>
          </w:p>
        </w:tc>
        <w:tc>
          <w:tcPr>
            <w:tcW w:w="876" w:type="dxa"/>
            <w:vMerge w:val="continue"/>
            <w:vAlign w:val="center"/>
          </w:tcPr>
          <w:p w14:paraId="7724D8B4">
            <w:pPr>
              <w:spacing w:before="156" w:beforeLines="50" w:after="156" w:afterLines="50"/>
              <w:jc w:val="left"/>
              <w:rPr>
                <w:rFonts w:ascii="宋体"/>
                <w:kern w:val="0"/>
                <w:sz w:val="18"/>
                <w:szCs w:val="18"/>
              </w:rPr>
            </w:pPr>
          </w:p>
        </w:tc>
        <w:tc>
          <w:tcPr>
            <w:tcW w:w="1377" w:type="dxa"/>
            <w:gridSpan w:val="3"/>
            <w:vMerge w:val="continue"/>
            <w:vAlign w:val="center"/>
          </w:tcPr>
          <w:p w14:paraId="6A1CE3EB">
            <w:pPr>
              <w:widowControl/>
              <w:spacing w:before="156" w:beforeLines="50" w:after="156" w:afterLines="50"/>
              <w:rPr>
                <w:rFonts w:ascii="宋体"/>
                <w:kern w:val="0"/>
                <w:sz w:val="18"/>
                <w:szCs w:val="18"/>
              </w:rPr>
            </w:pPr>
          </w:p>
        </w:tc>
        <w:tc>
          <w:tcPr>
            <w:tcW w:w="2243" w:type="dxa"/>
            <w:gridSpan w:val="2"/>
            <w:vMerge w:val="continue"/>
            <w:vAlign w:val="center"/>
          </w:tcPr>
          <w:p w14:paraId="77A9994C">
            <w:pPr>
              <w:widowControl/>
              <w:spacing w:before="156" w:beforeLines="50" w:after="156" w:afterLines="50"/>
              <w:rPr>
                <w:rFonts w:ascii="宋体"/>
                <w:kern w:val="0"/>
                <w:sz w:val="18"/>
                <w:szCs w:val="18"/>
              </w:rPr>
            </w:pPr>
          </w:p>
        </w:tc>
        <w:tc>
          <w:tcPr>
            <w:tcW w:w="992" w:type="dxa"/>
            <w:gridSpan w:val="2"/>
            <w:vMerge w:val="continue"/>
            <w:vAlign w:val="center"/>
          </w:tcPr>
          <w:p w14:paraId="5221F298">
            <w:pPr>
              <w:widowControl/>
              <w:spacing w:before="156" w:beforeLines="50" w:after="156" w:afterLines="50"/>
              <w:jc w:val="center"/>
              <w:rPr>
                <w:rFonts w:ascii="宋体"/>
                <w:kern w:val="0"/>
                <w:sz w:val="18"/>
                <w:szCs w:val="18"/>
              </w:rPr>
            </w:pPr>
          </w:p>
        </w:tc>
        <w:tc>
          <w:tcPr>
            <w:tcW w:w="2861" w:type="dxa"/>
            <w:gridSpan w:val="3"/>
            <w:tcBorders>
              <w:top w:val="single" w:color="auto" w:sz="4" w:space="0"/>
            </w:tcBorders>
            <w:vAlign w:val="center"/>
          </w:tcPr>
          <w:p w14:paraId="1497DB44">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在限制航速的区域和汛期高水位期间未按照海事管理机构规定的航速航行，超过或低于规定最高或最低航速30%以外的行为，且未造成事故的。</w:t>
            </w:r>
          </w:p>
        </w:tc>
        <w:tc>
          <w:tcPr>
            <w:tcW w:w="2268" w:type="dxa"/>
            <w:gridSpan w:val="3"/>
            <w:tcBorders>
              <w:top w:val="single" w:color="auto" w:sz="4" w:space="0"/>
              <w:bottom w:val="single" w:color="auto" w:sz="4" w:space="0"/>
              <w:right w:val="single" w:color="auto" w:sz="4" w:space="0"/>
            </w:tcBorders>
            <w:vAlign w:val="center"/>
          </w:tcPr>
          <w:p w14:paraId="00D542B7">
            <w:pPr>
              <w:widowControl/>
              <w:spacing w:before="156" w:beforeLines="50" w:after="156" w:afterLines="50"/>
              <w:rPr>
                <w:rFonts w:ascii="宋体"/>
                <w:kern w:val="0"/>
                <w:sz w:val="18"/>
                <w:szCs w:val="18"/>
              </w:rPr>
            </w:pPr>
            <w:r>
              <w:rPr>
                <w:rFonts w:hint="eastAsia" w:ascii="宋体"/>
                <w:kern w:val="0"/>
                <w:sz w:val="18"/>
                <w:szCs w:val="18"/>
              </w:rPr>
              <w:t>3000元及以上4000元以下</w:t>
            </w:r>
          </w:p>
        </w:tc>
        <w:tc>
          <w:tcPr>
            <w:tcW w:w="2384" w:type="dxa"/>
            <w:gridSpan w:val="3"/>
            <w:tcBorders>
              <w:top w:val="single" w:color="auto" w:sz="4" w:space="0"/>
              <w:right w:val="single" w:color="auto" w:sz="4" w:space="0"/>
            </w:tcBorders>
            <w:vAlign w:val="center"/>
          </w:tcPr>
          <w:p w14:paraId="68A6E4DD">
            <w:pPr>
              <w:widowControl/>
              <w:spacing w:before="156" w:beforeLines="50" w:after="156" w:afterLines="50"/>
              <w:rPr>
                <w:rFonts w:ascii="宋体"/>
                <w:kern w:val="0"/>
                <w:sz w:val="18"/>
                <w:szCs w:val="18"/>
              </w:rPr>
            </w:pPr>
            <w:r>
              <w:rPr>
                <w:rFonts w:hint="eastAsia" w:ascii="宋体"/>
                <w:kern w:val="0"/>
                <w:sz w:val="18"/>
                <w:szCs w:val="18"/>
              </w:rPr>
              <w:t>4000元及以上5000元以下</w:t>
            </w:r>
          </w:p>
        </w:tc>
        <w:tc>
          <w:tcPr>
            <w:tcW w:w="2693" w:type="dxa"/>
            <w:gridSpan w:val="3"/>
            <w:tcBorders>
              <w:right w:val="single" w:color="auto" w:sz="4" w:space="0"/>
            </w:tcBorders>
            <w:vAlign w:val="center"/>
          </w:tcPr>
          <w:p w14:paraId="43DFBCF2">
            <w:pPr>
              <w:widowControl/>
              <w:spacing w:before="156" w:beforeLines="50" w:after="156" w:afterLines="50"/>
              <w:rPr>
                <w:rFonts w:ascii="宋体"/>
                <w:kern w:val="0"/>
                <w:sz w:val="18"/>
                <w:szCs w:val="18"/>
              </w:rPr>
            </w:pPr>
            <w:r>
              <w:rPr>
                <w:rFonts w:hint="eastAsia" w:ascii="宋体"/>
                <w:kern w:val="0"/>
                <w:sz w:val="18"/>
                <w:szCs w:val="18"/>
              </w:rPr>
              <w:t>5000元及以上6000元以下</w:t>
            </w:r>
          </w:p>
        </w:tc>
        <w:tc>
          <w:tcPr>
            <w:tcW w:w="2917" w:type="dxa"/>
            <w:gridSpan w:val="2"/>
            <w:tcBorders>
              <w:right w:val="single" w:color="auto" w:sz="4" w:space="0"/>
            </w:tcBorders>
            <w:vAlign w:val="center"/>
          </w:tcPr>
          <w:p w14:paraId="3F484879">
            <w:pPr>
              <w:widowControl/>
              <w:spacing w:before="156" w:beforeLines="50" w:after="156" w:afterLines="50"/>
              <w:rPr>
                <w:rFonts w:ascii="宋体"/>
                <w:kern w:val="0"/>
                <w:sz w:val="18"/>
                <w:szCs w:val="18"/>
              </w:rPr>
            </w:pPr>
            <w:r>
              <w:rPr>
                <w:rFonts w:hint="eastAsia" w:ascii="宋体"/>
                <w:kern w:val="0"/>
                <w:sz w:val="18"/>
                <w:szCs w:val="18"/>
              </w:rPr>
              <w:t>/</w:t>
            </w:r>
          </w:p>
        </w:tc>
      </w:tr>
      <w:tr w14:paraId="72FF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284" w:hRule="atLeast"/>
        </w:trPr>
        <w:tc>
          <w:tcPr>
            <w:tcW w:w="690" w:type="dxa"/>
            <w:gridSpan w:val="2"/>
            <w:vMerge w:val="continue"/>
            <w:vAlign w:val="center"/>
          </w:tcPr>
          <w:p w14:paraId="6639C8F6">
            <w:pPr>
              <w:spacing w:before="156" w:beforeLines="50" w:after="156" w:afterLines="50"/>
              <w:jc w:val="left"/>
              <w:rPr>
                <w:rFonts w:ascii="宋体"/>
                <w:kern w:val="0"/>
                <w:sz w:val="18"/>
                <w:szCs w:val="18"/>
              </w:rPr>
            </w:pPr>
          </w:p>
        </w:tc>
        <w:tc>
          <w:tcPr>
            <w:tcW w:w="876" w:type="dxa"/>
            <w:vMerge w:val="continue"/>
            <w:vAlign w:val="center"/>
          </w:tcPr>
          <w:p w14:paraId="5DE2330C">
            <w:pPr>
              <w:spacing w:before="156" w:beforeLines="50" w:after="156" w:afterLines="50"/>
              <w:jc w:val="left"/>
              <w:rPr>
                <w:rFonts w:ascii="宋体"/>
                <w:kern w:val="0"/>
                <w:sz w:val="18"/>
                <w:szCs w:val="18"/>
              </w:rPr>
            </w:pPr>
          </w:p>
        </w:tc>
        <w:tc>
          <w:tcPr>
            <w:tcW w:w="1377" w:type="dxa"/>
            <w:gridSpan w:val="3"/>
            <w:vMerge w:val="continue"/>
            <w:vAlign w:val="center"/>
          </w:tcPr>
          <w:p w14:paraId="7A6AE532">
            <w:pPr>
              <w:widowControl/>
              <w:spacing w:before="156" w:beforeLines="50" w:after="156" w:afterLines="50"/>
              <w:rPr>
                <w:rFonts w:ascii="宋体"/>
                <w:kern w:val="0"/>
                <w:sz w:val="18"/>
                <w:szCs w:val="18"/>
              </w:rPr>
            </w:pPr>
          </w:p>
        </w:tc>
        <w:tc>
          <w:tcPr>
            <w:tcW w:w="2243" w:type="dxa"/>
            <w:gridSpan w:val="2"/>
            <w:vMerge w:val="continue"/>
            <w:vAlign w:val="center"/>
          </w:tcPr>
          <w:p w14:paraId="04EC5DF8">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tcBorders>
            <w:vAlign w:val="center"/>
          </w:tcPr>
          <w:p w14:paraId="3BA8C6DD">
            <w:pPr>
              <w:widowControl/>
              <w:spacing w:before="156" w:beforeLines="50" w:after="156" w:afterLines="50"/>
              <w:jc w:val="center"/>
              <w:rPr>
                <w:rFonts w:ascii="宋体"/>
                <w:kern w:val="0"/>
                <w:sz w:val="18"/>
                <w:szCs w:val="18"/>
              </w:rPr>
            </w:pPr>
          </w:p>
        </w:tc>
        <w:tc>
          <w:tcPr>
            <w:tcW w:w="2861" w:type="dxa"/>
            <w:gridSpan w:val="3"/>
            <w:tcBorders>
              <w:bottom w:val="single" w:color="auto" w:sz="4" w:space="0"/>
            </w:tcBorders>
            <w:vAlign w:val="center"/>
          </w:tcPr>
          <w:p w14:paraId="38542300">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在限制航速的区域和汛期高水位期间未按照海事管理机构规定的航速航行，导致发生一般以下水上交通事故的。</w:t>
            </w:r>
          </w:p>
        </w:tc>
        <w:tc>
          <w:tcPr>
            <w:tcW w:w="2268" w:type="dxa"/>
            <w:gridSpan w:val="3"/>
            <w:tcBorders>
              <w:top w:val="single" w:color="auto" w:sz="4" w:space="0"/>
              <w:bottom w:val="single" w:color="auto" w:sz="4" w:space="0"/>
              <w:right w:val="single" w:color="auto" w:sz="4" w:space="0"/>
            </w:tcBorders>
            <w:vAlign w:val="center"/>
          </w:tcPr>
          <w:p w14:paraId="4F0F1894">
            <w:pPr>
              <w:widowControl/>
              <w:spacing w:before="156" w:beforeLines="50" w:after="156" w:afterLines="50"/>
              <w:rPr>
                <w:rFonts w:ascii="宋体"/>
                <w:kern w:val="0"/>
                <w:sz w:val="18"/>
                <w:szCs w:val="18"/>
              </w:rPr>
            </w:pPr>
            <w:r>
              <w:rPr>
                <w:rFonts w:hint="eastAsia" w:ascii="宋体"/>
                <w:kern w:val="0"/>
                <w:sz w:val="18"/>
                <w:szCs w:val="18"/>
              </w:rPr>
              <w:t>4000元及以上5000元以下</w:t>
            </w:r>
          </w:p>
        </w:tc>
        <w:tc>
          <w:tcPr>
            <w:tcW w:w="2384" w:type="dxa"/>
            <w:gridSpan w:val="3"/>
            <w:tcBorders>
              <w:bottom w:val="single" w:color="auto" w:sz="4" w:space="0"/>
              <w:right w:val="single" w:color="auto" w:sz="4" w:space="0"/>
            </w:tcBorders>
            <w:vAlign w:val="center"/>
          </w:tcPr>
          <w:p w14:paraId="68416D8E">
            <w:pPr>
              <w:widowControl/>
              <w:spacing w:before="156" w:beforeLines="50" w:after="156" w:afterLines="50"/>
              <w:rPr>
                <w:rFonts w:ascii="宋体"/>
                <w:kern w:val="0"/>
                <w:sz w:val="18"/>
                <w:szCs w:val="18"/>
              </w:rPr>
            </w:pPr>
            <w:r>
              <w:rPr>
                <w:rFonts w:hint="eastAsia" w:ascii="宋体"/>
                <w:kern w:val="0"/>
                <w:sz w:val="18"/>
                <w:szCs w:val="18"/>
              </w:rPr>
              <w:t>5000元及以上6000元以下</w:t>
            </w:r>
          </w:p>
        </w:tc>
        <w:tc>
          <w:tcPr>
            <w:tcW w:w="2693" w:type="dxa"/>
            <w:gridSpan w:val="3"/>
            <w:tcBorders>
              <w:right w:val="single" w:color="auto" w:sz="4" w:space="0"/>
            </w:tcBorders>
            <w:vAlign w:val="center"/>
          </w:tcPr>
          <w:p w14:paraId="1135EB98">
            <w:pPr>
              <w:widowControl/>
              <w:spacing w:before="156" w:beforeLines="50" w:after="156" w:afterLines="50"/>
              <w:rPr>
                <w:rFonts w:ascii="宋体"/>
                <w:kern w:val="0"/>
                <w:sz w:val="18"/>
                <w:szCs w:val="18"/>
              </w:rPr>
            </w:pPr>
            <w:r>
              <w:rPr>
                <w:rFonts w:hint="eastAsia" w:ascii="宋体"/>
                <w:kern w:val="0"/>
                <w:sz w:val="18"/>
                <w:szCs w:val="18"/>
              </w:rPr>
              <w:t>6000元及以上8000元以下</w:t>
            </w:r>
          </w:p>
        </w:tc>
        <w:tc>
          <w:tcPr>
            <w:tcW w:w="2917" w:type="dxa"/>
            <w:gridSpan w:val="2"/>
            <w:tcBorders>
              <w:right w:val="single" w:color="auto" w:sz="4" w:space="0"/>
            </w:tcBorders>
            <w:vAlign w:val="center"/>
          </w:tcPr>
          <w:p w14:paraId="7903A3FB">
            <w:pPr>
              <w:widowControl/>
              <w:spacing w:before="156" w:beforeLines="50" w:after="156" w:afterLines="50"/>
              <w:rPr>
                <w:rFonts w:ascii="宋体"/>
                <w:kern w:val="0"/>
                <w:sz w:val="18"/>
                <w:szCs w:val="18"/>
              </w:rPr>
            </w:pPr>
            <w:r>
              <w:rPr>
                <w:rFonts w:hint="eastAsia" w:ascii="宋体"/>
                <w:kern w:val="0"/>
                <w:sz w:val="18"/>
                <w:szCs w:val="18"/>
              </w:rPr>
              <w:t>/</w:t>
            </w:r>
          </w:p>
        </w:tc>
      </w:tr>
      <w:tr w14:paraId="3191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1460" w:hRule="atLeast"/>
        </w:trPr>
        <w:tc>
          <w:tcPr>
            <w:tcW w:w="690" w:type="dxa"/>
            <w:gridSpan w:val="2"/>
            <w:vMerge w:val="continue"/>
            <w:vAlign w:val="center"/>
          </w:tcPr>
          <w:p w14:paraId="772D12D2">
            <w:pPr>
              <w:spacing w:before="156" w:beforeLines="50" w:after="156" w:afterLines="50"/>
              <w:jc w:val="left"/>
              <w:rPr>
                <w:rFonts w:ascii="宋体"/>
                <w:kern w:val="0"/>
                <w:sz w:val="18"/>
                <w:szCs w:val="18"/>
              </w:rPr>
            </w:pPr>
          </w:p>
        </w:tc>
        <w:tc>
          <w:tcPr>
            <w:tcW w:w="876" w:type="dxa"/>
            <w:vMerge w:val="continue"/>
            <w:vAlign w:val="center"/>
          </w:tcPr>
          <w:p w14:paraId="12909BCE">
            <w:pPr>
              <w:spacing w:before="156" w:beforeLines="50" w:after="156" w:afterLines="50"/>
              <w:jc w:val="left"/>
              <w:rPr>
                <w:rFonts w:ascii="宋体"/>
                <w:kern w:val="0"/>
                <w:sz w:val="18"/>
                <w:szCs w:val="18"/>
              </w:rPr>
            </w:pPr>
          </w:p>
        </w:tc>
        <w:tc>
          <w:tcPr>
            <w:tcW w:w="1377" w:type="dxa"/>
            <w:gridSpan w:val="3"/>
            <w:vMerge w:val="continue"/>
            <w:vAlign w:val="center"/>
          </w:tcPr>
          <w:p w14:paraId="58E3209A">
            <w:pPr>
              <w:widowControl/>
              <w:spacing w:before="156" w:beforeLines="50" w:after="156" w:afterLines="50"/>
              <w:rPr>
                <w:rFonts w:ascii="宋体"/>
                <w:kern w:val="0"/>
                <w:sz w:val="18"/>
                <w:szCs w:val="18"/>
              </w:rPr>
            </w:pPr>
          </w:p>
        </w:tc>
        <w:tc>
          <w:tcPr>
            <w:tcW w:w="2243" w:type="dxa"/>
            <w:gridSpan w:val="2"/>
            <w:vMerge w:val="continue"/>
            <w:vAlign w:val="center"/>
          </w:tcPr>
          <w:p w14:paraId="568BF39B">
            <w:pPr>
              <w:widowControl/>
              <w:spacing w:before="156" w:beforeLines="50" w:after="156" w:afterLines="50"/>
              <w:rPr>
                <w:rFonts w:ascii="宋体"/>
                <w:kern w:val="0"/>
                <w:sz w:val="18"/>
                <w:szCs w:val="18"/>
              </w:rPr>
            </w:pPr>
          </w:p>
        </w:tc>
        <w:tc>
          <w:tcPr>
            <w:tcW w:w="992" w:type="dxa"/>
            <w:gridSpan w:val="2"/>
            <w:vMerge w:val="restart"/>
            <w:tcBorders>
              <w:top w:val="single" w:color="auto" w:sz="4" w:space="0"/>
              <w:right w:val="single" w:color="auto" w:sz="4" w:space="0"/>
            </w:tcBorders>
            <w:vAlign w:val="center"/>
          </w:tcPr>
          <w:p w14:paraId="16687D98">
            <w:pPr>
              <w:widowControl/>
              <w:spacing w:before="156" w:beforeLines="50" w:after="156" w:afterLines="50"/>
              <w:jc w:val="center"/>
              <w:rPr>
                <w:rFonts w:ascii="宋体"/>
                <w:kern w:val="0"/>
                <w:sz w:val="18"/>
                <w:szCs w:val="18"/>
              </w:rPr>
            </w:pPr>
            <w:r>
              <w:rPr>
                <w:rFonts w:hint="eastAsia" w:ascii="宋体"/>
                <w:kern w:val="0"/>
                <w:sz w:val="18"/>
                <w:szCs w:val="18"/>
              </w:rPr>
              <w:t>情节</w:t>
            </w:r>
          </w:p>
          <w:p w14:paraId="0FBE28D4">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861" w:type="dxa"/>
            <w:gridSpan w:val="3"/>
            <w:tcBorders>
              <w:top w:val="single" w:color="auto" w:sz="4" w:space="0"/>
              <w:left w:val="single" w:color="auto" w:sz="4" w:space="0"/>
              <w:bottom w:val="single" w:color="auto" w:sz="4" w:space="0"/>
            </w:tcBorders>
            <w:vAlign w:val="center"/>
          </w:tcPr>
          <w:p w14:paraId="02CDDE7E">
            <w:pPr>
              <w:widowControl/>
              <w:spacing w:before="156" w:beforeLines="50" w:after="156" w:afterLines="50"/>
              <w:rPr>
                <w:rFonts w:ascii="宋体"/>
                <w:kern w:val="0"/>
                <w:sz w:val="18"/>
                <w:szCs w:val="18"/>
              </w:rPr>
            </w:pPr>
            <w:r>
              <w:rPr>
                <w:rFonts w:hint="eastAsia" w:ascii="宋体"/>
                <w:kern w:val="0"/>
                <w:sz w:val="18"/>
                <w:szCs w:val="18"/>
              </w:rPr>
              <w:t>在限制航速的区域和汛期高水位期间未按照海事管理机构规定的航速航行，导致发生一般及以上水上交通事故的。</w:t>
            </w:r>
          </w:p>
        </w:tc>
        <w:tc>
          <w:tcPr>
            <w:tcW w:w="2268" w:type="dxa"/>
            <w:gridSpan w:val="3"/>
            <w:vMerge w:val="restart"/>
            <w:tcBorders>
              <w:top w:val="single" w:color="auto" w:sz="4" w:space="0"/>
              <w:right w:val="single" w:color="auto" w:sz="4" w:space="0"/>
            </w:tcBorders>
            <w:vAlign w:val="center"/>
          </w:tcPr>
          <w:p w14:paraId="0414D43B">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384" w:type="dxa"/>
            <w:gridSpan w:val="3"/>
            <w:vMerge w:val="restart"/>
            <w:tcBorders>
              <w:top w:val="single" w:color="auto" w:sz="4" w:space="0"/>
              <w:right w:val="single" w:color="auto" w:sz="4" w:space="0"/>
            </w:tcBorders>
            <w:vAlign w:val="center"/>
          </w:tcPr>
          <w:p w14:paraId="27FCB093">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693" w:type="dxa"/>
            <w:gridSpan w:val="3"/>
            <w:vMerge w:val="restart"/>
            <w:tcBorders>
              <w:right w:val="single" w:color="auto" w:sz="4" w:space="0"/>
            </w:tcBorders>
            <w:vAlign w:val="center"/>
          </w:tcPr>
          <w:p w14:paraId="28BE0192">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2917" w:type="dxa"/>
            <w:gridSpan w:val="2"/>
            <w:tcBorders>
              <w:bottom w:val="single" w:color="auto" w:sz="4" w:space="0"/>
              <w:right w:val="single" w:color="auto" w:sz="4" w:space="0"/>
            </w:tcBorders>
            <w:vAlign w:val="center"/>
          </w:tcPr>
          <w:p w14:paraId="138EA7D3">
            <w:pPr>
              <w:widowControl/>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14:paraId="1D9EB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799" w:type="dxa"/>
          <w:trHeight w:val="204" w:hRule="atLeast"/>
        </w:trPr>
        <w:tc>
          <w:tcPr>
            <w:tcW w:w="690" w:type="dxa"/>
            <w:gridSpan w:val="2"/>
            <w:vMerge w:val="continue"/>
            <w:vAlign w:val="center"/>
          </w:tcPr>
          <w:p w14:paraId="02FDBE92">
            <w:pPr>
              <w:spacing w:before="156" w:beforeLines="50" w:after="156" w:afterLines="50"/>
              <w:jc w:val="left"/>
              <w:rPr>
                <w:rFonts w:ascii="宋体"/>
                <w:kern w:val="0"/>
                <w:sz w:val="18"/>
                <w:szCs w:val="18"/>
              </w:rPr>
            </w:pPr>
          </w:p>
        </w:tc>
        <w:tc>
          <w:tcPr>
            <w:tcW w:w="876" w:type="dxa"/>
            <w:vMerge w:val="continue"/>
            <w:vAlign w:val="center"/>
          </w:tcPr>
          <w:p w14:paraId="2690F638">
            <w:pPr>
              <w:spacing w:before="156" w:beforeLines="50" w:after="156" w:afterLines="50"/>
              <w:jc w:val="left"/>
              <w:rPr>
                <w:rFonts w:ascii="宋体"/>
                <w:kern w:val="0"/>
                <w:sz w:val="18"/>
                <w:szCs w:val="18"/>
              </w:rPr>
            </w:pPr>
          </w:p>
        </w:tc>
        <w:tc>
          <w:tcPr>
            <w:tcW w:w="1377" w:type="dxa"/>
            <w:gridSpan w:val="3"/>
            <w:vMerge w:val="continue"/>
            <w:vAlign w:val="center"/>
          </w:tcPr>
          <w:p w14:paraId="594B9F01">
            <w:pPr>
              <w:widowControl/>
              <w:spacing w:before="156" w:beforeLines="50" w:after="156" w:afterLines="50"/>
              <w:rPr>
                <w:rFonts w:ascii="宋体"/>
                <w:kern w:val="0"/>
                <w:sz w:val="18"/>
                <w:szCs w:val="18"/>
              </w:rPr>
            </w:pPr>
          </w:p>
        </w:tc>
        <w:tc>
          <w:tcPr>
            <w:tcW w:w="2243" w:type="dxa"/>
            <w:gridSpan w:val="2"/>
            <w:vMerge w:val="continue"/>
            <w:vAlign w:val="center"/>
          </w:tcPr>
          <w:p w14:paraId="24289575">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right w:val="single" w:color="auto" w:sz="4" w:space="0"/>
            </w:tcBorders>
            <w:vAlign w:val="center"/>
          </w:tcPr>
          <w:p w14:paraId="14AB880B">
            <w:pPr>
              <w:widowControl/>
              <w:spacing w:before="156" w:beforeLines="50" w:after="156" w:afterLines="50"/>
              <w:rPr>
                <w:rFonts w:ascii="宋体"/>
                <w:kern w:val="0"/>
                <w:sz w:val="18"/>
                <w:szCs w:val="18"/>
              </w:rPr>
            </w:pPr>
          </w:p>
        </w:tc>
        <w:tc>
          <w:tcPr>
            <w:tcW w:w="2861" w:type="dxa"/>
            <w:gridSpan w:val="3"/>
            <w:tcBorders>
              <w:top w:val="single" w:color="auto" w:sz="4" w:space="0"/>
              <w:left w:val="single" w:color="auto" w:sz="4" w:space="0"/>
              <w:bottom w:val="single" w:color="auto" w:sz="4" w:space="0"/>
            </w:tcBorders>
            <w:vAlign w:val="center"/>
          </w:tcPr>
          <w:p w14:paraId="701EB22B">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gridSpan w:val="3"/>
            <w:vMerge w:val="continue"/>
            <w:tcBorders>
              <w:bottom w:val="single" w:color="auto" w:sz="4" w:space="0"/>
              <w:right w:val="single" w:color="auto" w:sz="4" w:space="0"/>
            </w:tcBorders>
            <w:vAlign w:val="center"/>
          </w:tcPr>
          <w:p w14:paraId="4264425A">
            <w:pPr>
              <w:widowControl/>
              <w:spacing w:before="156" w:beforeLines="50" w:after="156" w:afterLines="50"/>
              <w:rPr>
                <w:rFonts w:ascii="宋体"/>
                <w:kern w:val="0"/>
                <w:sz w:val="18"/>
                <w:szCs w:val="18"/>
              </w:rPr>
            </w:pPr>
          </w:p>
        </w:tc>
        <w:tc>
          <w:tcPr>
            <w:tcW w:w="2384" w:type="dxa"/>
            <w:gridSpan w:val="3"/>
            <w:vMerge w:val="continue"/>
            <w:tcBorders>
              <w:bottom w:val="single" w:color="auto" w:sz="4" w:space="0"/>
              <w:right w:val="single" w:color="auto" w:sz="4" w:space="0"/>
            </w:tcBorders>
            <w:vAlign w:val="center"/>
          </w:tcPr>
          <w:p w14:paraId="6DD62945">
            <w:pPr>
              <w:widowControl/>
              <w:spacing w:before="156" w:beforeLines="50" w:after="156" w:afterLines="50"/>
              <w:rPr>
                <w:rFonts w:ascii="宋体"/>
                <w:kern w:val="0"/>
                <w:sz w:val="18"/>
                <w:szCs w:val="18"/>
              </w:rPr>
            </w:pPr>
          </w:p>
        </w:tc>
        <w:tc>
          <w:tcPr>
            <w:tcW w:w="2693" w:type="dxa"/>
            <w:gridSpan w:val="3"/>
            <w:vMerge w:val="continue"/>
            <w:tcBorders>
              <w:bottom w:val="single" w:color="auto" w:sz="4" w:space="0"/>
              <w:right w:val="single" w:color="auto" w:sz="4" w:space="0"/>
            </w:tcBorders>
            <w:vAlign w:val="center"/>
          </w:tcPr>
          <w:p w14:paraId="5C585468">
            <w:pPr>
              <w:widowControl/>
              <w:spacing w:before="156" w:beforeLines="50" w:after="156" w:afterLines="50"/>
              <w:rPr>
                <w:rFonts w:ascii="宋体"/>
                <w:kern w:val="0"/>
                <w:sz w:val="18"/>
                <w:szCs w:val="18"/>
              </w:rPr>
            </w:pPr>
          </w:p>
        </w:tc>
        <w:tc>
          <w:tcPr>
            <w:tcW w:w="2917" w:type="dxa"/>
            <w:gridSpan w:val="2"/>
            <w:tcBorders>
              <w:top w:val="single" w:color="auto" w:sz="4" w:space="0"/>
              <w:bottom w:val="single" w:color="auto" w:sz="4" w:space="0"/>
              <w:right w:val="single" w:color="auto" w:sz="4" w:space="0"/>
            </w:tcBorders>
            <w:vAlign w:val="center"/>
          </w:tcPr>
          <w:p w14:paraId="4DA6A4AD">
            <w:pPr>
              <w:widowControl/>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r w14:paraId="5A67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304" w:hRule="atLeast"/>
        </w:trPr>
        <w:tc>
          <w:tcPr>
            <w:tcW w:w="690" w:type="dxa"/>
            <w:gridSpan w:val="2"/>
            <w:vMerge w:val="restart"/>
            <w:vAlign w:val="center"/>
          </w:tcPr>
          <w:p w14:paraId="7467015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54366A5D">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5"/>
            <w:vMerge w:val="restart"/>
            <w:vAlign w:val="center"/>
          </w:tcPr>
          <w:p w14:paraId="3075AF97">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gridSpan w:val="2"/>
            <w:vMerge w:val="restart"/>
            <w:vAlign w:val="center"/>
          </w:tcPr>
          <w:p w14:paraId="114FFF97">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410" w:type="dxa"/>
            <w:gridSpan w:val="2"/>
            <w:vMerge w:val="restart"/>
            <w:vAlign w:val="center"/>
          </w:tcPr>
          <w:p w14:paraId="2382BBEE">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0672" w:type="dxa"/>
            <w:gridSpan w:val="11"/>
            <w:tcBorders>
              <w:bottom w:val="single" w:color="auto" w:sz="4" w:space="0"/>
              <w:right w:val="single" w:color="auto" w:sz="4" w:space="0"/>
            </w:tcBorders>
            <w:vAlign w:val="center"/>
          </w:tcPr>
          <w:p w14:paraId="158B95DA">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5F4F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442" w:hRule="atLeast"/>
        </w:trPr>
        <w:tc>
          <w:tcPr>
            <w:tcW w:w="690" w:type="dxa"/>
            <w:gridSpan w:val="2"/>
            <w:vMerge w:val="continue"/>
            <w:vAlign w:val="center"/>
          </w:tcPr>
          <w:p w14:paraId="232E586B">
            <w:pPr>
              <w:spacing w:before="156" w:beforeLines="50" w:after="156" w:afterLines="50"/>
              <w:jc w:val="center"/>
              <w:rPr>
                <w:rFonts w:ascii="宋体"/>
                <w:b/>
                <w:kern w:val="0"/>
                <w:sz w:val="18"/>
                <w:szCs w:val="18"/>
              </w:rPr>
            </w:pPr>
          </w:p>
        </w:tc>
        <w:tc>
          <w:tcPr>
            <w:tcW w:w="876" w:type="dxa"/>
            <w:vMerge w:val="continue"/>
            <w:vAlign w:val="center"/>
          </w:tcPr>
          <w:p w14:paraId="6B27AA17">
            <w:pPr>
              <w:spacing w:before="156" w:beforeLines="50" w:after="156" w:afterLines="50"/>
              <w:jc w:val="center"/>
              <w:rPr>
                <w:rFonts w:ascii="宋体"/>
                <w:b/>
                <w:kern w:val="0"/>
                <w:sz w:val="18"/>
                <w:szCs w:val="18"/>
              </w:rPr>
            </w:pPr>
          </w:p>
        </w:tc>
        <w:tc>
          <w:tcPr>
            <w:tcW w:w="3620" w:type="dxa"/>
            <w:gridSpan w:val="5"/>
            <w:vMerge w:val="continue"/>
            <w:vAlign w:val="center"/>
          </w:tcPr>
          <w:p w14:paraId="11F07804">
            <w:pPr>
              <w:spacing w:before="156" w:beforeLines="50" w:after="156" w:afterLines="50"/>
              <w:jc w:val="center"/>
              <w:rPr>
                <w:rFonts w:ascii="宋体"/>
                <w:b/>
                <w:kern w:val="0"/>
                <w:sz w:val="18"/>
                <w:szCs w:val="18"/>
              </w:rPr>
            </w:pPr>
          </w:p>
        </w:tc>
        <w:tc>
          <w:tcPr>
            <w:tcW w:w="992" w:type="dxa"/>
            <w:gridSpan w:val="2"/>
            <w:vMerge w:val="continue"/>
            <w:vAlign w:val="center"/>
          </w:tcPr>
          <w:p w14:paraId="30962A32">
            <w:pPr>
              <w:spacing w:before="156" w:beforeLines="50" w:after="156" w:afterLines="50"/>
              <w:jc w:val="left"/>
              <w:rPr>
                <w:rFonts w:ascii="宋体"/>
                <w:b/>
                <w:kern w:val="0"/>
                <w:sz w:val="18"/>
                <w:szCs w:val="18"/>
              </w:rPr>
            </w:pPr>
          </w:p>
        </w:tc>
        <w:tc>
          <w:tcPr>
            <w:tcW w:w="2410" w:type="dxa"/>
            <w:gridSpan w:val="2"/>
            <w:vMerge w:val="continue"/>
            <w:vAlign w:val="center"/>
          </w:tcPr>
          <w:p w14:paraId="507D90FF">
            <w:pPr>
              <w:spacing w:before="156" w:beforeLines="50" w:after="156" w:afterLines="50"/>
              <w:jc w:val="left"/>
              <w:rPr>
                <w:rFonts w:ascii="宋体"/>
                <w:b/>
                <w:kern w:val="0"/>
                <w:sz w:val="18"/>
                <w:szCs w:val="18"/>
              </w:rPr>
            </w:pPr>
          </w:p>
        </w:tc>
        <w:tc>
          <w:tcPr>
            <w:tcW w:w="10672" w:type="dxa"/>
            <w:gridSpan w:val="11"/>
            <w:tcBorders>
              <w:top w:val="single" w:color="auto" w:sz="4" w:space="0"/>
              <w:bottom w:val="single" w:color="auto" w:sz="4" w:space="0"/>
              <w:right w:val="single" w:color="auto" w:sz="4" w:space="0"/>
            </w:tcBorders>
            <w:vAlign w:val="center"/>
          </w:tcPr>
          <w:p w14:paraId="41BD6D8E">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60E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592" w:hRule="atLeast"/>
        </w:trPr>
        <w:tc>
          <w:tcPr>
            <w:tcW w:w="690" w:type="dxa"/>
            <w:gridSpan w:val="2"/>
            <w:vMerge w:val="continue"/>
            <w:vAlign w:val="center"/>
          </w:tcPr>
          <w:p w14:paraId="5F5B9301">
            <w:pPr>
              <w:spacing w:before="156" w:beforeLines="50" w:after="156" w:afterLines="50"/>
              <w:jc w:val="center"/>
              <w:rPr>
                <w:rFonts w:ascii="宋体"/>
                <w:b/>
                <w:kern w:val="0"/>
                <w:sz w:val="18"/>
                <w:szCs w:val="18"/>
              </w:rPr>
            </w:pPr>
          </w:p>
        </w:tc>
        <w:tc>
          <w:tcPr>
            <w:tcW w:w="876" w:type="dxa"/>
            <w:vMerge w:val="continue"/>
            <w:vAlign w:val="center"/>
          </w:tcPr>
          <w:p w14:paraId="369299CF">
            <w:pPr>
              <w:spacing w:before="156" w:beforeLines="50" w:after="156" w:afterLines="50"/>
              <w:jc w:val="center"/>
              <w:rPr>
                <w:rFonts w:ascii="宋体"/>
                <w:b/>
                <w:kern w:val="0"/>
                <w:sz w:val="18"/>
                <w:szCs w:val="18"/>
              </w:rPr>
            </w:pPr>
          </w:p>
        </w:tc>
        <w:tc>
          <w:tcPr>
            <w:tcW w:w="1377" w:type="dxa"/>
            <w:gridSpan w:val="3"/>
            <w:vMerge w:val="restart"/>
            <w:vAlign w:val="center"/>
          </w:tcPr>
          <w:p w14:paraId="56C32ACD">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gridSpan w:val="2"/>
            <w:vMerge w:val="restart"/>
            <w:vAlign w:val="center"/>
          </w:tcPr>
          <w:p w14:paraId="78F45686">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gridSpan w:val="2"/>
            <w:vMerge w:val="continue"/>
            <w:vAlign w:val="center"/>
          </w:tcPr>
          <w:p w14:paraId="1781F75B">
            <w:pPr>
              <w:spacing w:before="156" w:beforeLines="50" w:after="156" w:afterLines="50"/>
              <w:jc w:val="left"/>
              <w:rPr>
                <w:rFonts w:ascii="宋体"/>
                <w:b/>
                <w:kern w:val="0"/>
                <w:sz w:val="18"/>
                <w:szCs w:val="18"/>
              </w:rPr>
            </w:pPr>
          </w:p>
        </w:tc>
        <w:tc>
          <w:tcPr>
            <w:tcW w:w="2410" w:type="dxa"/>
            <w:gridSpan w:val="2"/>
            <w:vMerge w:val="continue"/>
            <w:vAlign w:val="center"/>
          </w:tcPr>
          <w:p w14:paraId="213C2BA8">
            <w:pPr>
              <w:spacing w:before="156" w:beforeLines="50" w:after="156" w:afterLines="50"/>
              <w:jc w:val="left"/>
              <w:rPr>
                <w:rFonts w:ascii="宋体"/>
                <w:b/>
                <w:kern w:val="0"/>
                <w:sz w:val="18"/>
                <w:szCs w:val="18"/>
              </w:rPr>
            </w:pPr>
          </w:p>
        </w:tc>
        <w:tc>
          <w:tcPr>
            <w:tcW w:w="7229" w:type="dxa"/>
            <w:gridSpan w:val="9"/>
            <w:tcBorders>
              <w:top w:val="single" w:color="auto" w:sz="4" w:space="0"/>
              <w:bottom w:val="single" w:color="auto" w:sz="4" w:space="0"/>
              <w:right w:val="single" w:color="auto" w:sz="4" w:space="0"/>
            </w:tcBorders>
            <w:vAlign w:val="center"/>
          </w:tcPr>
          <w:p w14:paraId="7A490FCE">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43" w:type="dxa"/>
            <w:gridSpan w:val="2"/>
            <w:vMerge w:val="restart"/>
            <w:tcBorders>
              <w:top w:val="single" w:color="auto" w:sz="4" w:space="0"/>
              <w:right w:val="single" w:color="auto" w:sz="4" w:space="0"/>
            </w:tcBorders>
            <w:vAlign w:val="center"/>
          </w:tcPr>
          <w:p w14:paraId="20FF6707">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1DE6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389" w:hRule="atLeast"/>
        </w:trPr>
        <w:tc>
          <w:tcPr>
            <w:tcW w:w="690" w:type="dxa"/>
            <w:gridSpan w:val="2"/>
            <w:vMerge w:val="continue"/>
            <w:vAlign w:val="center"/>
          </w:tcPr>
          <w:p w14:paraId="530C1697">
            <w:pPr>
              <w:spacing w:before="156" w:beforeLines="50" w:after="156" w:afterLines="50"/>
              <w:jc w:val="left"/>
              <w:rPr>
                <w:rFonts w:ascii="宋体"/>
                <w:b/>
                <w:kern w:val="0"/>
                <w:sz w:val="18"/>
                <w:szCs w:val="18"/>
              </w:rPr>
            </w:pPr>
          </w:p>
        </w:tc>
        <w:tc>
          <w:tcPr>
            <w:tcW w:w="876" w:type="dxa"/>
            <w:vMerge w:val="continue"/>
            <w:vAlign w:val="center"/>
          </w:tcPr>
          <w:p w14:paraId="3E1D23D9">
            <w:pPr>
              <w:spacing w:before="156" w:beforeLines="50" w:after="156" w:afterLines="50"/>
              <w:jc w:val="left"/>
              <w:rPr>
                <w:rFonts w:ascii="宋体"/>
                <w:b/>
                <w:kern w:val="0"/>
                <w:sz w:val="18"/>
                <w:szCs w:val="18"/>
              </w:rPr>
            </w:pPr>
          </w:p>
        </w:tc>
        <w:tc>
          <w:tcPr>
            <w:tcW w:w="1377" w:type="dxa"/>
            <w:gridSpan w:val="3"/>
            <w:vMerge w:val="continue"/>
            <w:vAlign w:val="center"/>
          </w:tcPr>
          <w:p w14:paraId="0EAFFB3C">
            <w:pPr>
              <w:spacing w:before="156" w:beforeLines="50" w:after="156" w:afterLines="50"/>
              <w:jc w:val="left"/>
              <w:rPr>
                <w:rFonts w:ascii="宋体"/>
                <w:b/>
                <w:kern w:val="0"/>
                <w:sz w:val="18"/>
                <w:szCs w:val="18"/>
              </w:rPr>
            </w:pPr>
          </w:p>
        </w:tc>
        <w:tc>
          <w:tcPr>
            <w:tcW w:w="2243" w:type="dxa"/>
            <w:gridSpan w:val="2"/>
            <w:vMerge w:val="continue"/>
            <w:vAlign w:val="center"/>
          </w:tcPr>
          <w:p w14:paraId="25192892">
            <w:pPr>
              <w:spacing w:before="156" w:beforeLines="50" w:after="156" w:afterLines="50"/>
              <w:jc w:val="left"/>
              <w:rPr>
                <w:rFonts w:ascii="宋体"/>
                <w:b/>
                <w:kern w:val="0"/>
                <w:sz w:val="18"/>
                <w:szCs w:val="18"/>
              </w:rPr>
            </w:pPr>
          </w:p>
        </w:tc>
        <w:tc>
          <w:tcPr>
            <w:tcW w:w="992" w:type="dxa"/>
            <w:gridSpan w:val="2"/>
            <w:vMerge w:val="continue"/>
            <w:vAlign w:val="center"/>
          </w:tcPr>
          <w:p w14:paraId="0D376B5D">
            <w:pPr>
              <w:spacing w:before="156" w:beforeLines="50" w:after="156" w:afterLines="50"/>
              <w:jc w:val="left"/>
              <w:rPr>
                <w:rFonts w:ascii="宋体"/>
                <w:b/>
                <w:kern w:val="0"/>
                <w:sz w:val="18"/>
                <w:szCs w:val="18"/>
              </w:rPr>
            </w:pPr>
          </w:p>
        </w:tc>
        <w:tc>
          <w:tcPr>
            <w:tcW w:w="2410" w:type="dxa"/>
            <w:gridSpan w:val="2"/>
            <w:vMerge w:val="continue"/>
            <w:vAlign w:val="center"/>
          </w:tcPr>
          <w:p w14:paraId="3739F7EF">
            <w:pPr>
              <w:spacing w:before="156" w:beforeLines="50" w:after="156" w:afterLines="50"/>
              <w:jc w:val="left"/>
              <w:rPr>
                <w:rFonts w:ascii="宋体"/>
                <w:b/>
                <w:kern w:val="0"/>
                <w:sz w:val="18"/>
                <w:szCs w:val="18"/>
              </w:rPr>
            </w:pPr>
          </w:p>
        </w:tc>
        <w:tc>
          <w:tcPr>
            <w:tcW w:w="2268" w:type="dxa"/>
            <w:gridSpan w:val="3"/>
            <w:tcBorders>
              <w:top w:val="single" w:color="auto" w:sz="4" w:space="0"/>
              <w:right w:val="single" w:color="auto" w:sz="4" w:space="0"/>
            </w:tcBorders>
            <w:vAlign w:val="center"/>
          </w:tcPr>
          <w:p w14:paraId="7C57689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3"/>
            <w:tcBorders>
              <w:top w:val="single" w:color="auto" w:sz="4" w:space="0"/>
              <w:right w:val="single" w:color="auto" w:sz="4" w:space="0"/>
            </w:tcBorders>
            <w:vAlign w:val="center"/>
          </w:tcPr>
          <w:p w14:paraId="6CD45DD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gridSpan w:val="3"/>
            <w:tcBorders>
              <w:top w:val="single" w:color="auto" w:sz="4" w:space="0"/>
              <w:right w:val="single" w:color="auto" w:sz="4" w:space="0"/>
            </w:tcBorders>
            <w:vAlign w:val="center"/>
          </w:tcPr>
          <w:p w14:paraId="297B04A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43" w:type="dxa"/>
            <w:gridSpan w:val="2"/>
            <w:vMerge w:val="continue"/>
            <w:tcBorders>
              <w:right w:val="single" w:color="auto" w:sz="4" w:space="0"/>
            </w:tcBorders>
            <w:vAlign w:val="center"/>
          </w:tcPr>
          <w:p w14:paraId="746399EA">
            <w:pPr>
              <w:spacing w:before="156" w:beforeLines="50" w:after="156" w:afterLines="50"/>
              <w:jc w:val="left"/>
              <w:rPr>
                <w:rFonts w:ascii="宋体"/>
                <w:b/>
                <w:sz w:val="18"/>
                <w:szCs w:val="18"/>
              </w:rPr>
            </w:pPr>
          </w:p>
        </w:tc>
      </w:tr>
      <w:tr w14:paraId="732C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484" w:hRule="atLeast"/>
        </w:trPr>
        <w:tc>
          <w:tcPr>
            <w:tcW w:w="690" w:type="dxa"/>
            <w:gridSpan w:val="2"/>
            <w:vMerge w:val="restart"/>
            <w:vAlign w:val="center"/>
          </w:tcPr>
          <w:p w14:paraId="6376679C">
            <w:pPr>
              <w:spacing w:before="156" w:beforeLines="50" w:after="156" w:afterLines="50"/>
              <w:jc w:val="center"/>
              <w:rPr>
                <w:rFonts w:ascii="宋体"/>
                <w:kern w:val="0"/>
                <w:sz w:val="18"/>
                <w:szCs w:val="18"/>
              </w:rPr>
            </w:pPr>
            <w:r>
              <w:rPr>
                <w:rFonts w:hint="eastAsia" w:ascii="宋体"/>
                <w:kern w:val="0"/>
                <w:sz w:val="18"/>
                <w:szCs w:val="18"/>
              </w:rPr>
              <w:t>29</w:t>
            </w:r>
          </w:p>
        </w:tc>
        <w:tc>
          <w:tcPr>
            <w:tcW w:w="876" w:type="dxa"/>
            <w:vMerge w:val="restart"/>
            <w:vAlign w:val="center"/>
          </w:tcPr>
          <w:p w14:paraId="2299490D">
            <w:pPr>
              <w:widowControl/>
              <w:spacing w:before="156" w:beforeLines="50" w:after="156" w:afterLines="50"/>
              <w:rPr>
                <w:rFonts w:ascii="宋体"/>
                <w:kern w:val="0"/>
                <w:sz w:val="18"/>
                <w:szCs w:val="18"/>
              </w:rPr>
            </w:pPr>
            <w:r>
              <w:rPr>
                <w:rFonts w:hint="eastAsia" w:ascii="宋体"/>
                <w:kern w:val="0"/>
                <w:sz w:val="18"/>
                <w:szCs w:val="18"/>
              </w:rPr>
              <w:t>在禁止横穿航道的航段，穿越航道</w:t>
            </w:r>
          </w:p>
        </w:tc>
        <w:tc>
          <w:tcPr>
            <w:tcW w:w="1377" w:type="dxa"/>
            <w:gridSpan w:val="3"/>
            <w:vMerge w:val="restart"/>
            <w:vAlign w:val="center"/>
          </w:tcPr>
          <w:p w14:paraId="14050C37">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1.《中华人民共和国内河交通安全管理条例》十七条第四款；</w:t>
            </w:r>
          </w:p>
          <w:p w14:paraId="0AAF5EB4">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2.《中华人民共和国内河避碰规则》（2003修订本）第八条；</w:t>
            </w:r>
          </w:p>
          <w:p w14:paraId="30323EFC">
            <w:pPr>
              <w:widowControl/>
              <w:spacing w:before="156" w:beforeLines="50" w:after="156" w:afterLines="50"/>
              <w:rPr>
                <w:rFonts w:ascii="宋体"/>
                <w:kern w:val="0"/>
                <w:sz w:val="18"/>
                <w:szCs w:val="18"/>
              </w:rPr>
            </w:pPr>
            <w:r>
              <w:rPr>
                <w:rFonts w:hint="eastAsia" w:ascii="宋体"/>
                <w:kern w:val="0"/>
                <w:sz w:val="18"/>
                <w:szCs w:val="18"/>
              </w:rPr>
              <w:t>3. 其他法律、法规、规章等。</w:t>
            </w:r>
          </w:p>
        </w:tc>
        <w:tc>
          <w:tcPr>
            <w:tcW w:w="2243" w:type="dxa"/>
            <w:gridSpan w:val="2"/>
            <w:vMerge w:val="restart"/>
            <w:vAlign w:val="center"/>
          </w:tcPr>
          <w:p w14:paraId="196308DC">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14:paraId="3D05C3CB">
            <w:pPr>
              <w:widowControl/>
              <w:spacing w:before="156" w:beforeLines="50" w:after="156" w:afterLines="50"/>
              <w:rPr>
                <w:rFonts w:ascii="宋体"/>
                <w:kern w:val="0"/>
                <w:sz w:val="18"/>
                <w:szCs w:val="18"/>
              </w:rPr>
            </w:pPr>
            <w:r>
              <w:rPr>
                <w:rFonts w:hint="eastAsia" w:ascii="宋体"/>
                <w:kern w:val="0"/>
                <w:sz w:val="18"/>
                <w:szCs w:val="18"/>
              </w:rPr>
              <w:t>2 .《中华人民共和国内河海事行政处罚规定》第十七条第一款和第二款第（八）项；</w:t>
            </w:r>
          </w:p>
          <w:p w14:paraId="68023C80">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14:paraId="066A8576">
            <w:pPr>
              <w:widowControl/>
              <w:spacing w:before="156" w:beforeLines="50" w:after="156" w:afterLines="50"/>
              <w:rPr>
                <w:rFonts w:ascii="宋体"/>
                <w:kern w:val="0"/>
                <w:sz w:val="18"/>
                <w:szCs w:val="18"/>
              </w:rPr>
            </w:pPr>
          </w:p>
        </w:tc>
        <w:tc>
          <w:tcPr>
            <w:tcW w:w="992" w:type="dxa"/>
            <w:gridSpan w:val="2"/>
            <w:vAlign w:val="center"/>
          </w:tcPr>
          <w:p w14:paraId="43B24DB7">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410" w:type="dxa"/>
            <w:gridSpan w:val="2"/>
            <w:vAlign w:val="center"/>
          </w:tcPr>
          <w:p w14:paraId="2B6B6C24">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gridSpan w:val="3"/>
            <w:tcBorders>
              <w:right w:val="single" w:color="auto" w:sz="4" w:space="0"/>
            </w:tcBorders>
            <w:vAlign w:val="center"/>
          </w:tcPr>
          <w:p w14:paraId="74E6608C">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gridSpan w:val="3"/>
            <w:tcBorders>
              <w:right w:val="single" w:color="auto" w:sz="4" w:space="0"/>
            </w:tcBorders>
            <w:vAlign w:val="center"/>
          </w:tcPr>
          <w:p w14:paraId="2603E1BC">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gridSpan w:val="3"/>
            <w:tcBorders>
              <w:right w:val="single" w:color="auto" w:sz="4" w:space="0"/>
            </w:tcBorders>
            <w:vAlign w:val="center"/>
          </w:tcPr>
          <w:p w14:paraId="5F6DE490">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443" w:type="dxa"/>
            <w:gridSpan w:val="2"/>
            <w:tcBorders>
              <w:right w:val="single" w:color="auto" w:sz="4" w:space="0"/>
            </w:tcBorders>
            <w:vAlign w:val="center"/>
          </w:tcPr>
          <w:p w14:paraId="43B63C25">
            <w:pPr>
              <w:widowControl/>
              <w:spacing w:before="156" w:beforeLines="50" w:after="156" w:afterLines="50"/>
              <w:rPr>
                <w:rFonts w:ascii="宋体"/>
                <w:kern w:val="0"/>
                <w:sz w:val="18"/>
                <w:szCs w:val="18"/>
              </w:rPr>
            </w:pPr>
            <w:r>
              <w:rPr>
                <w:rFonts w:hint="eastAsia" w:ascii="宋体"/>
                <w:kern w:val="0"/>
                <w:sz w:val="18"/>
                <w:szCs w:val="18"/>
              </w:rPr>
              <w:t>/</w:t>
            </w:r>
          </w:p>
        </w:tc>
      </w:tr>
      <w:tr w14:paraId="2C03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351" w:hRule="atLeast"/>
        </w:trPr>
        <w:tc>
          <w:tcPr>
            <w:tcW w:w="690" w:type="dxa"/>
            <w:gridSpan w:val="2"/>
            <w:vMerge w:val="continue"/>
            <w:vAlign w:val="center"/>
          </w:tcPr>
          <w:p w14:paraId="62090221">
            <w:pPr>
              <w:spacing w:before="156" w:beforeLines="50" w:after="156" w:afterLines="50"/>
              <w:jc w:val="left"/>
              <w:rPr>
                <w:rFonts w:ascii="宋体"/>
                <w:kern w:val="0"/>
                <w:sz w:val="18"/>
                <w:szCs w:val="18"/>
              </w:rPr>
            </w:pPr>
          </w:p>
        </w:tc>
        <w:tc>
          <w:tcPr>
            <w:tcW w:w="876" w:type="dxa"/>
            <w:vMerge w:val="continue"/>
            <w:vAlign w:val="center"/>
          </w:tcPr>
          <w:p w14:paraId="5A6AC770">
            <w:pPr>
              <w:spacing w:before="156" w:beforeLines="50" w:after="156" w:afterLines="50"/>
              <w:jc w:val="left"/>
              <w:rPr>
                <w:rFonts w:ascii="宋体"/>
                <w:kern w:val="0"/>
                <w:sz w:val="18"/>
                <w:szCs w:val="18"/>
              </w:rPr>
            </w:pPr>
          </w:p>
        </w:tc>
        <w:tc>
          <w:tcPr>
            <w:tcW w:w="1377" w:type="dxa"/>
            <w:gridSpan w:val="3"/>
            <w:vMerge w:val="continue"/>
            <w:vAlign w:val="center"/>
          </w:tcPr>
          <w:p w14:paraId="207C5280">
            <w:pPr>
              <w:widowControl/>
              <w:spacing w:before="156" w:beforeLines="50" w:after="156" w:afterLines="50"/>
              <w:rPr>
                <w:rFonts w:ascii="宋体"/>
                <w:kern w:val="0"/>
                <w:sz w:val="18"/>
                <w:szCs w:val="18"/>
              </w:rPr>
            </w:pPr>
          </w:p>
        </w:tc>
        <w:tc>
          <w:tcPr>
            <w:tcW w:w="2243" w:type="dxa"/>
            <w:gridSpan w:val="2"/>
            <w:vMerge w:val="continue"/>
            <w:vAlign w:val="center"/>
          </w:tcPr>
          <w:p w14:paraId="6BF4CC2C">
            <w:pPr>
              <w:widowControl/>
              <w:spacing w:before="156" w:beforeLines="50" w:after="156" w:afterLines="50"/>
              <w:rPr>
                <w:rFonts w:ascii="宋体"/>
                <w:kern w:val="0"/>
                <w:sz w:val="18"/>
                <w:szCs w:val="18"/>
              </w:rPr>
            </w:pPr>
          </w:p>
        </w:tc>
        <w:tc>
          <w:tcPr>
            <w:tcW w:w="992" w:type="dxa"/>
            <w:gridSpan w:val="2"/>
            <w:vMerge w:val="restart"/>
            <w:vAlign w:val="center"/>
          </w:tcPr>
          <w:p w14:paraId="2818CFBA">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410" w:type="dxa"/>
            <w:gridSpan w:val="2"/>
            <w:vAlign w:val="center"/>
          </w:tcPr>
          <w:p w14:paraId="6BE90082">
            <w:pPr>
              <w:widowControl/>
              <w:spacing w:before="156" w:beforeLines="50" w:after="156" w:afterLines="50"/>
              <w:rPr>
                <w:rFonts w:ascii="宋体"/>
                <w:kern w:val="0"/>
                <w:sz w:val="18"/>
                <w:szCs w:val="18"/>
              </w:rPr>
            </w:pPr>
            <w:r>
              <w:rPr>
                <w:rFonts w:hint="eastAsia" w:ascii="宋体"/>
                <w:kern w:val="0"/>
                <w:sz w:val="18"/>
                <w:szCs w:val="18"/>
              </w:rPr>
              <w:t>在禁止横穿航道的航段，穿越航道，未造成险情、事故的。</w:t>
            </w:r>
          </w:p>
        </w:tc>
        <w:tc>
          <w:tcPr>
            <w:tcW w:w="2268" w:type="dxa"/>
            <w:gridSpan w:val="3"/>
            <w:tcBorders>
              <w:right w:val="single" w:color="auto" w:sz="4" w:space="0"/>
            </w:tcBorders>
            <w:vAlign w:val="center"/>
          </w:tcPr>
          <w:p w14:paraId="5B219E6A">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10" w:type="dxa"/>
            <w:gridSpan w:val="3"/>
            <w:tcBorders>
              <w:right w:val="single" w:color="auto" w:sz="4" w:space="0"/>
            </w:tcBorders>
            <w:vAlign w:val="center"/>
          </w:tcPr>
          <w:p w14:paraId="4DF1C2DB">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551" w:type="dxa"/>
            <w:gridSpan w:val="3"/>
            <w:tcBorders>
              <w:right w:val="single" w:color="auto" w:sz="4" w:space="0"/>
            </w:tcBorders>
            <w:vAlign w:val="center"/>
          </w:tcPr>
          <w:p w14:paraId="3B71D9A1">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443" w:type="dxa"/>
            <w:gridSpan w:val="2"/>
            <w:tcBorders>
              <w:right w:val="single" w:color="auto" w:sz="4" w:space="0"/>
            </w:tcBorders>
            <w:vAlign w:val="center"/>
          </w:tcPr>
          <w:p w14:paraId="7200EECD">
            <w:pPr>
              <w:widowControl/>
              <w:spacing w:before="156" w:beforeLines="50" w:after="156" w:afterLines="50"/>
              <w:rPr>
                <w:rFonts w:ascii="宋体"/>
                <w:kern w:val="0"/>
                <w:sz w:val="18"/>
                <w:szCs w:val="18"/>
              </w:rPr>
            </w:pPr>
            <w:r>
              <w:rPr>
                <w:rFonts w:hint="eastAsia" w:ascii="宋体"/>
                <w:kern w:val="0"/>
                <w:sz w:val="18"/>
                <w:szCs w:val="18"/>
              </w:rPr>
              <w:t>/</w:t>
            </w:r>
          </w:p>
        </w:tc>
      </w:tr>
      <w:tr w14:paraId="169F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714" w:hRule="atLeast"/>
        </w:trPr>
        <w:tc>
          <w:tcPr>
            <w:tcW w:w="690" w:type="dxa"/>
            <w:gridSpan w:val="2"/>
            <w:vMerge w:val="continue"/>
            <w:vAlign w:val="center"/>
          </w:tcPr>
          <w:p w14:paraId="3689297F">
            <w:pPr>
              <w:spacing w:before="156" w:beforeLines="50" w:after="156" w:afterLines="50"/>
              <w:jc w:val="left"/>
              <w:rPr>
                <w:rFonts w:ascii="宋体"/>
                <w:kern w:val="0"/>
                <w:sz w:val="18"/>
                <w:szCs w:val="18"/>
              </w:rPr>
            </w:pPr>
          </w:p>
        </w:tc>
        <w:tc>
          <w:tcPr>
            <w:tcW w:w="876" w:type="dxa"/>
            <w:vMerge w:val="continue"/>
            <w:vAlign w:val="center"/>
          </w:tcPr>
          <w:p w14:paraId="72B81064">
            <w:pPr>
              <w:spacing w:before="156" w:beforeLines="50" w:after="156" w:afterLines="50"/>
              <w:jc w:val="left"/>
              <w:rPr>
                <w:rFonts w:ascii="宋体"/>
                <w:kern w:val="0"/>
                <w:sz w:val="18"/>
                <w:szCs w:val="18"/>
              </w:rPr>
            </w:pPr>
          </w:p>
        </w:tc>
        <w:tc>
          <w:tcPr>
            <w:tcW w:w="1377" w:type="dxa"/>
            <w:gridSpan w:val="3"/>
            <w:vMerge w:val="continue"/>
            <w:vAlign w:val="center"/>
          </w:tcPr>
          <w:p w14:paraId="1098D23C">
            <w:pPr>
              <w:widowControl/>
              <w:spacing w:before="156" w:beforeLines="50" w:after="156" w:afterLines="50"/>
              <w:rPr>
                <w:rFonts w:ascii="宋体"/>
                <w:kern w:val="0"/>
                <w:sz w:val="18"/>
                <w:szCs w:val="18"/>
              </w:rPr>
            </w:pPr>
          </w:p>
        </w:tc>
        <w:tc>
          <w:tcPr>
            <w:tcW w:w="2243" w:type="dxa"/>
            <w:gridSpan w:val="2"/>
            <w:vMerge w:val="continue"/>
            <w:vAlign w:val="center"/>
          </w:tcPr>
          <w:p w14:paraId="387E2747">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tcBorders>
            <w:vAlign w:val="center"/>
          </w:tcPr>
          <w:p w14:paraId="79454327">
            <w:pPr>
              <w:widowControl/>
              <w:spacing w:before="156" w:beforeLines="50" w:after="156" w:afterLines="50"/>
              <w:jc w:val="center"/>
              <w:rPr>
                <w:rFonts w:ascii="宋体"/>
                <w:kern w:val="0"/>
                <w:sz w:val="18"/>
                <w:szCs w:val="18"/>
              </w:rPr>
            </w:pPr>
          </w:p>
        </w:tc>
        <w:tc>
          <w:tcPr>
            <w:tcW w:w="2410" w:type="dxa"/>
            <w:gridSpan w:val="2"/>
            <w:tcBorders>
              <w:top w:val="single" w:color="auto" w:sz="4" w:space="0"/>
              <w:bottom w:val="single" w:color="auto" w:sz="4" w:space="0"/>
            </w:tcBorders>
            <w:vAlign w:val="center"/>
          </w:tcPr>
          <w:p w14:paraId="024C4B1B">
            <w:pPr>
              <w:widowControl/>
              <w:spacing w:before="156" w:beforeLines="50" w:after="156" w:afterLines="50"/>
              <w:rPr>
                <w:rFonts w:ascii="宋体"/>
                <w:kern w:val="0"/>
                <w:sz w:val="18"/>
                <w:szCs w:val="18"/>
              </w:rPr>
            </w:pPr>
            <w:r>
              <w:rPr>
                <w:rFonts w:hint="eastAsia" w:ascii="宋体"/>
                <w:kern w:val="0"/>
                <w:sz w:val="18"/>
                <w:szCs w:val="18"/>
              </w:rPr>
              <w:t>在禁止横穿航道的航段，穿越航道，导致发生一般以下水上交通事故或污染事故。</w:t>
            </w:r>
          </w:p>
        </w:tc>
        <w:tc>
          <w:tcPr>
            <w:tcW w:w="2268" w:type="dxa"/>
            <w:gridSpan w:val="3"/>
            <w:tcBorders>
              <w:top w:val="single" w:color="auto" w:sz="4" w:space="0"/>
              <w:bottom w:val="single" w:color="auto" w:sz="4" w:space="0"/>
              <w:right w:val="single" w:color="auto" w:sz="4" w:space="0"/>
            </w:tcBorders>
            <w:vAlign w:val="center"/>
          </w:tcPr>
          <w:p w14:paraId="2B925681">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10" w:type="dxa"/>
            <w:gridSpan w:val="3"/>
            <w:tcBorders>
              <w:top w:val="single" w:color="auto" w:sz="4" w:space="0"/>
              <w:bottom w:val="single" w:color="auto" w:sz="4" w:space="0"/>
              <w:right w:val="single" w:color="auto" w:sz="4" w:space="0"/>
            </w:tcBorders>
            <w:vAlign w:val="center"/>
          </w:tcPr>
          <w:p w14:paraId="265E2A82">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551" w:type="dxa"/>
            <w:gridSpan w:val="3"/>
            <w:tcBorders>
              <w:right w:val="single" w:color="auto" w:sz="4" w:space="0"/>
            </w:tcBorders>
            <w:vAlign w:val="center"/>
          </w:tcPr>
          <w:p w14:paraId="3D595A66">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443" w:type="dxa"/>
            <w:gridSpan w:val="2"/>
            <w:tcBorders>
              <w:right w:val="single" w:color="auto" w:sz="4" w:space="0"/>
            </w:tcBorders>
            <w:vAlign w:val="center"/>
          </w:tcPr>
          <w:p w14:paraId="444EF9DB">
            <w:pPr>
              <w:widowControl/>
              <w:spacing w:before="156" w:beforeLines="50" w:after="156" w:afterLines="50"/>
              <w:rPr>
                <w:rFonts w:ascii="宋体"/>
                <w:kern w:val="0"/>
                <w:sz w:val="18"/>
                <w:szCs w:val="18"/>
              </w:rPr>
            </w:pPr>
            <w:r>
              <w:rPr>
                <w:rFonts w:hint="eastAsia" w:ascii="宋体"/>
                <w:kern w:val="0"/>
                <w:sz w:val="18"/>
                <w:szCs w:val="18"/>
              </w:rPr>
              <w:t>/</w:t>
            </w:r>
          </w:p>
        </w:tc>
      </w:tr>
      <w:tr w14:paraId="5805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2565" w:hRule="atLeast"/>
        </w:trPr>
        <w:tc>
          <w:tcPr>
            <w:tcW w:w="690" w:type="dxa"/>
            <w:gridSpan w:val="2"/>
            <w:vMerge w:val="continue"/>
            <w:vAlign w:val="center"/>
          </w:tcPr>
          <w:p w14:paraId="4CE0D9AD">
            <w:pPr>
              <w:spacing w:before="156" w:beforeLines="50" w:after="156" w:afterLines="50"/>
              <w:jc w:val="left"/>
              <w:rPr>
                <w:rFonts w:ascii="宋体"/>
                <w:kern w:val="0"/>
                <w:sz w:val="18"/>
                <w:szCs w:val="18"/>
              </w:rPr>
            </w:pPr>
          </w:p>
        </w:tc>
        <w:tc>
          <w:tcPr>
            <w:tcW w:w="876" w:type="dxa"/>
            <w:vMerge w:val="continue"/>
            <w:vAlign w:val="center"/>
          </w:tcPr>
          <w:p w14:paraId="5EA5B844">
            <w:pPr>
              <w:spacing w:before="156" w:beforeLines="50" w:after="156" w:afterLines="50"/>
              <w:jc w:val="left"/>
              <w:rPr>
                <w:rFonts w:ascii="宋体"/>
                <w:kern w:val="0"/>
                <w:sz w:val="18"/>
                <w:szCs w:val="18"/>
              </w:rPr>
            </w:pPr>
          </w:p>
        </w:tc>
        <w:tc>
          <w:tcPr>
            <w:tcW w:w="1377" w:type="dxa"/>
            <w:gridSpan w:val="3"/>
            <w:vMerge w:val="continue"/>
            <w:vAlign w:val="center"/>
          </w:tcPr>
          <w:p w14:paraId="18B7F5AB">
            <w:pPr>
              <w:widowControl/>
              <w:spacing w:before="156" w:beforeLines="50" w:after="156" w:afterLines="50"/>
              <w:rPr>
                <w:rFonts w:ascii="宋体"/>
                <w:kern w:val="0"/>
                <w:sz w:val="18"/>
                <w:szCs w:val="18"/>
              </w:rPr>
            </w:pPr>
          </w:p>
        </w:tc>
        <w:tc>
          <w:tcPr>
            <w:tcW w:w="2243" w:type="dxa"/>
            <w:gridSpan w:val="2"/>
            <w:vMerge w:val="continue"/>
            <w:vAlign w:val="center"/>
          </w:tcPr>
          <w:p w14:paraId="7ED0FDD3">
            <w:pPr>
              <w:widowControl/>
              <w:spacing w:before="156" w:beforeLines="50" w:after="156" w:afterLines="50"/>
              <w:rPr>
                <w:rFonts w:ascii="宋体"/>
                <w:kern w:val="0"/>
                <w:sz w:val="18"/>
                <w:szCs w:val="18"/>
              </w:rPr>
            </w:pPr>
          </w:p>
        </w:tc>
        <w:tc>
          <w:tcPr>
            <w:tcW w:w="992" w:type="dxa"/>
            <w:gridSpan w:val="2"/>
            <w:vMerge w:val="restart"/>
            <w:tcBorders>
              <w:top w:val="single" w:color="auto" w:sz="4" w:space="0"/>
              <w:right w:val="single" w:color="auto" w:sz="4" w:space="0"/>
            </w:tcBorders>
            <w:vAlign w:val="center"/>
          </w:tcPr>
          <w:p w14:paraId="640929D5">
            <w:pPr>
              <w:widowControl/>
              <w:spacing w:before="156" w:beforeLines="50" w:after="156" w:afterLines="50"/>
              <w:jc w:val="center"/>
              <w:rPr>
                <w:rFonts w:ascii="宋体"/>
                <w:kern w:val="0"/>
                <w:sz w:val="18"/>
                <w:szCs w:val="18"/>
              </w:rPr>
            </w:pPr>
            <w:r>
              <w:rPr>
                <w:rFonts w:hint="eastAsia" w:ascii="宋体"/>
                <w:kern w:val="0"/>
                <w:sz w:val="18"/>
                <w:szCs w:val="18"/>
              </w:rPr>
              <w:t>情节</w:t>
            </w:r>
          </w:p>
          <w:p w14:paraId="6843EC4F">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410" w:type="dxa"/>
            <w:gridSpan w:val="2"/>
            <w:tcBorders>
              <w:top w:val="single" w:color="auto" w:sz="4" w:space="0"/>
              <w:left w:val="single" w:color="auto" w:sz="4" w:space="0"/>
              <w:bottom w:val="single" w:color="auto" w:sz="4" w:space="0"/>
            </w:tcBorders>
            <w:vAlign w:val="center"/>
          </w:tcPr>
          <w:p w14:paraId="2FFD2C8B">
            <w:pPr>
              <w:widowControl/>
              <w:spacing w:before="156" w:beforeLines="50" w:after="156" w:afterLines="50"/>
              <w:rPr>
                <w:rFonts w:ascii="宋体"/>
                <w:kern w:val="0"/>
                <w:sz w:val="18"/>
                <w:szCs w:val="18"/>
              </w:rPr>
            </w:pPr>
            <w:r>
              <w:rPr>
                <w:rFonts w:hint="eastAsia" w:ascii="宋体"/>
                <w:kern w:val="0"/>
                <w:sz w:val="18"/>
                <w:szCs w:val="18"/>
              </w:rPr>
              <w:t>在禁止横穿航道的航段，穿越航道，导致发生一般及以上水上交通事故或重大污染事故。</w:t>
            </w:r>
          </w:p>
        </w:tc>
        <w:tc>
          <w:tcPr>
            <w:tcW w:w="2268" w:type="dxa"/>
            <w:gridSpan w:val="3"/>
            <w:vMerge w:val="restart"/>
            <w:tcBorders>
              <w:top w:val="single" w:color="auto" w:sz="4" w:space="0"/>
              <w:right w:val="single" w:color="auto" w:sz="4" w:space="0"/>
            </w:tcBorders>
            <w:vAlign w:val="center"/>
          </w:tcPr>
          <w:p w14:paraId="79C002E6">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10" w:type="dxa"/>
            <w:gridSpan w:val="3"/>
            <w:vMerge w:val="restart"/>
            <w:tcBorders>
              <w:top w:val="single" w:color="auto" w:sz="4" w:space="0"/>
              <w:right w:val="single" w:color="auto" w:sz="4" w:space="0"/>
            </w:tcBorders>
            <w:vAlign w:val="center"/>
          </w:tcPr>
          <w:p w14:paraId="4A79F7EC">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551" w:type="dxa"/>
            <w:gridSpan w:val="3"/>
            <w:vMerge w:val="restart"/>
            <w:tcBorders>
              <w:right w:val="single" w:color="auto" w:sz="4" w:space="0"/>
            </w:tcBorders>
            <w:vAlign w:val="center"/>
          </w:tcPr>
          <w:p w14:paraId="6EBECE14">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443" w:type="dxa"/>
            <w:gridSpan w:val="2"/>
            <w:tcBorders>
              <w:bottom w:val="single" w:color="auto" w:sz="4" w:space="0"/>
              <w:right w:val="single" w:color="auto" w:sz="4" w:space="0"/>
            </w:tcBorders>
            <w:vAlign w:val="center"/>
          </w:tcPr>
          <w:p w14:paraId="75957A9B">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14:paraId="44185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4"/>
          <w:wAfter w:w="840" w:type="dxa"/>
          <w:trHeight w:val="1507" w:hRule="atLeast"/>
        </w:trPr>
        <w:tc>
          <w:tcPr>
            <w:tcW w:w="690" w:type="dxa"/>
            <w:gridSpan w:val="2"/>
            <w:vMerge w:val="continue"/>
            <w:vAlign w:val="center"/>
          </w:tcPr>
          <w:p w14:paraId="627B1EC5">
            <w:pPr>
              <w:spacing w:before="156" w:beforeLines="50" w:after="156" w:afterLines="50"/>
              <w:jc w:val="left"/>
              <w:rPr>
                <w:rFonts w:ascii="宋体"/>
                <w:kern w:val="0"/>
                <w:sz w:val="18"/>
                <w:szCs w:val="18"/>
              </w:rPr>
            </w:pPr>
          </w:p>
        </w:tc>
        <w:tc>
          <w:tcPr>
            <w:tcW w:w="876" w:type="dxa"/>
            <w:vMerge w:val="continue"/>
            <w:vAlign w:val="center"/>
          </w:tcPr>
          <w:p w14:paraId="0A1865D7">
            <w:pPr>
              <w:spacing w:before="156" w:beforeLines="50" w:after="156" w:afterLines="50"/>
              <w:jc w:val="left"/>
              <w:rPr>
                <w:rFonts w:ascii="宋体"/>
                <w:kern w:val="0"/>
                <w:sz w:val="18"/>
                <w:szCs w:val="18"/>
              </w:rPr>
            </w:pPr>
          </w:p>
        </w:tc>
        <w:tc>
          <w:tcPr>
            <w:tcW w:w="1377" w:type="dxa"/>
            <w:gridSpan w:val="3"/>
            <w:vMerge w:val="continue"/>
            <w:vAlign w:val="center"/>
          </w:tcPr>
          <w:p w14:paraId="56607E1E">
            <w:pPr>
              <w:widowControl/>
              <w:spacing w:before="156" w:beforeLines="50" w:after="156" w:afterLines="50"/>
              <w:rPr>
                <w:rFonts w:ascii="宋体"/>
                <w:kern w:val="0"/>
                <w:sz w:val="18"/>
                <w:szCs w:val="18"/>
              </w:rPr>
            </w:pPr>
          </w:p>
        </w:tc>
        <w:tc>
          <w:tcPr>
            <w:tcW w:w="2243" w:type="dxa"/>
            <w:gridSpan w:val="2"/>
            <w:vMerge w:val="continue"/>
            <w:vAlign w:val="center"/>
          </w:tcPr>
          <w:p w14:paraId="211BBC82">
            <w:pPr>
              <w:widowControl/>
              <w:spacing w:before="156" w:beforeLines="50" w:after="156" w:afterLines="50"/>
              <w:rPr>
                <w:rFonts w:ascii="宋体"/>
                <w:kern w:val="0"/>
                <w:sz w:val="18"/>
                <w:szCs w:val="18"/>
              </w:rPr>
            </w:pPr>
          </w:p>
        </w:tc>
        <w:tc>
          <w:tcPr>
            <w:tcW w:w="992" w:type="dxa"/>
            <w:gridSpan w:val="2"/>
            <w:vMerge w:val="continue"/>
            <w:tcBorders>
              <w:bottom w:val="single" w:color="auto" w:sz="4" w:space="0"/>
              <w:right w:val="single" w:color="auto" w:sz="4" w:space="0"/>
            </w:tcBorders>
            <w:vAlign w:val="center"/>
          </w:tcPr>
          <w:p w14:paraId="6C4BA9FE">
            <w:pPr>
              <w:widowControl/>
              <w:spacing w:before="156" w:beforeLines="50" w:after="156" w:afterLines="50"/>
              <w:rPr>
                <w:rFonts w:ascii="宋体"/>
                <w:kern w:val="0"/>
                <w:sz w:val="18"/>
                <w:szCs w:val="18"/>
              </w:rPr>
            </w:pPr>
          </w:p>
        </w:tc>
        <w:tc>
          <w:tcPr>
            <w:tcW w:w="2410" w:type="dxa"/>
            <w:gridSpan w:val="2"/>
            <w:tcBorders>
              <w:top w:val="single" w:color="auto" w:sz="4" w:space="0"/>
              <w:left w:val="single" w:color="auto" w:sz="4" w:space="0"/>
              <w:bottom w:val="single" w:color="auto" w:sz="4" w:space="0"/>
            </w:tcBorders>
            <w:vAlign w:val="center"/>
          </w:tcPr>
          <w:p w14:paraId="4B6B8159">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gridSpan w:val="3"/>
            <w:vMerge w:val="continue"/>
            <w:tcBorders>
              <w:bottom w:val="single" w:color="auto" w:sz="4" w:space="0"/>
              <w:right w:val="single" w:color="auto" w:sz="4" w:space="0"/>
            </w:tcBorders>
            <w:vAlign w:val="center"/>
          </w:tcPr>
          <w:p w14:paraId="3A060BF9">
            <w:pPr>
              <w:widowControl/>
              <w:spacing w:before="156" w:beforeLines="50" w:after="156" w:afterLines="50"/>
              <w:rPr>
                <w:rFonts w:ascii="宋体"/>
                <w:kern w:val="0"/>
                <w:sz w:val="18"/>
                <w:szCs w:val="18"/>
              </w:rPr>
            </w:pPr>
          </w:p>
        </w:tc>
        <w:tc>
          <w:tcPr>
            <w:tcW w:w="2410" w:type="dxa"/>
            <w:gridSpan w:val="3"/>
            <w:vMerge w:val="continue"/>
            <w:tcBorders>
              <w:bottom w:val="single" w:color="auto" w:sz="4" w:space="0"/>
              <w:right w:val="single" w:color="auto" w:sz="4" w:space="0"/>
            </w:tcBorders>
            <w:vAlign w:val="center"/>
          </w:tcPr>
          <w:p w14:paraId="09182D61">
            <w:pPr>
              <w:widowControl/>
              <w:spacing w:before="156" w:beforeLines="50" w:after="156" w:afterLines="50"/>
              <w:rPr>
                <w:rFonts w:ascii="宋体"/>
                <w:kern w:val="0"/>
                <w:sz w:val="18"/>
                <w:szCs w:val="18"/>
              </w:rPr>
            </w:pPr>
          </w:p>
        </w:tc>
        <w:tc>
          <w:tcPr>
            <w:tcW w:w="2551" w:type="dxa"/>
            <w:gridSpan w:val="3"/>
            <w:vMerge w:val="continue"/>
            <w:tcBorders>
              <w:bottom w:val="single" w:color="auto" w:sz="4" w:space="0"/>
              <w:right w:val="single" w:color="auto" w:sz="4" w:space="0"/>
            </w:tcBorders>
            <w:vAlign w:val="center"/>
          </w:tcPr>
          <w:p w14:paraId="11F7CA2D">
            <w:pPr>
              <w:widowControl/>
              <w:spacing w:before="156" w:beforeLines="50" w:after="156" w:afterLines="50"/>
              <w:rPr>
                <w:rFonts w:ascii="宋体"/>
                <w:kern w:val="0"/>
                <w:sz w:val="18"/>
                <w:szCs w:val="18"/>
              </w:rPr>
            </w:pPr>
          </w:p>
        </w:tc>
        <w:tc>
          <w:tcPr>
            <w:tcW w:w="3443" w:type="dxa"/>
            <w:gridSpan w:val="2"/>
            <w:tcBorders>
              <w:top w:val="single" w:color="auto" w:sz="4" w:space="0"/>
              <w:bottom w:val="single" w:color="auto" w:sz="4" w:space="0"/>
              <w:right w:val="single" w:color="auto" w:sz="4" w:space="0"/>
            </w:tcBorders>
            <w:vAlign w:val="center"/>
          </w:tcPr>
          <w:p w14:paraId="44E057F4">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02639298">
      <w:pPr>
        <w:spacing w:before="156" w:beforeLines="50" w:after="156" w:afterLines="50"/>
        <w:jc w:val="left"/>
        <w:rPr>
          <w:sz w:val="18"/>
          <w:szCs w:val="1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336"/>
        <w:gridCol w:w="2460"/>
        <w:gridCol w:w="2400"/>
        <w:gridCol w:w="2443"/>
        <w:gridCol w:w="3340"/>
      </w:tblGrid>
      <w:tr w14:paraId="744C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14:paraId="0EC2FEEC">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72779338">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14:paraId="52294D99">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14:paraId="51A6FEC3">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336" w:type="dxa"/>
            <w:vMerge w:val="restart"/>
            <w:vAlign w:val="center"/>
          </w:tcPr>
          <w:p w14:paraId="4183F021">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43" w:type="dxa"/>
            <w:gridSpan w:val="4"/>
            <w:tcBorders>
              <w:bottom w:val="single" w:color="auto" w:sz="4" w:space="0"/>
              <w:right w:val="single" w:color="auto" w:sz="4" w:space="0"/>
            </w:tcBorders>
            <w:vAlign w:val="center"/>
          </w:tcPr>
          <w:p w14:paraId="1861CFAD">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17BA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14:paraId="3AF04E65">
            <w:pPr>
              <w:spacing w:before="156" w:beforeLines="50" w:after="156" w:afterLines="50"/>
              <w:jc w:val="center"/>
              <w:rPr>
                <w:rFonts w:ascii="宋体"/>
                <w:b/>
                <w:kern w:val="0"/>
                <w:sz w:val="18"/>
                <w:szCs w:val="18"/>
              </w:rPr>
            </w:pPr>
          </w:p>
        </w:tc>
        <w:tc>
          <w:tcPr>
            <w:tcW w:w="876" w:type="dxa"/>
            <w:vMerge w:val="continue"/>
            <w:vAlign w:val="center"/>
          </w:tcPr>
          <w:p w14:paraId="56140DF8">
            <w:pPr>
              <w:spacing w:before="156" w:beforeLines="50" w:after="156" w:afterLines="50"/>
              <w:jc w:val="center"/>
              <w:rPr>
                <w:rFonts w:ascii="宋体"/>
                <w:b/>
                <w:kern w:val="0"/>
                <w:sz w:val="18"/>
                <w:szCs w:val="18"/>
              </w:rPr>
            </w:pPr>
          </w:p>
        </w:tc>
        <w:tc>
          <w:tcPr>
            <w:tcW w:w="3620" w:type="dxa"/>
            <w:gridSpan w:val="2"/>
            <w:vMerge w:val="continue"/>
            <w:vAlign w:val="center"/>
          </w:tcPr>
          <w:p w14:paraId="4A8D59AB">
            <w:pPr>
              <w:spacing w:before="156" w:beforeLines="50" w:after="156" w:afterLines="50"/>
              <w:jc w:val="center"/>
              <w:rPr>
                <w:rFonts w:ascii="宋体"/>
                <w:b/>
                <w:kern w:val="0"/>
                <w:sz w:val="18"/>
                <w:szCs w:val="18"/>
              </w:rPr>
            </w:pPr>
          </w:p>
        </w:tc>
        <w:tc>
          <w:tcPr>
            <w:tcW w:w="992" w:type="dxa"/>
            <w:vMerge w:val="continue"/>
            <w:vAlign w:val="center"/>
          </w:tcPr>
          <w:p w14:paraId="2EB20416">
            <w:pPr>
              <w:spacing w:before="156" w:beforeLines="50" w:after="156" w:afterLines="50"/>
              <w:jc w:val="left"/>
              <w:rPr>
                <w:rFonts w:ascii="宋体"/>
                <w:b/>
                <w:kern w:val="0"/>
                <w:sz w:val="18"/>
                <w:szCs w:val="18"/>
              </w:rPr>
            </w:pPr>
          </w:p>
        </w:tc>
        <w:tc>
          <w:tcPr>
            <w:tcW w:w="2336" w:type="dxa"/>
            <w:vMerge w:val="continue"/>
            <w:vAlign w:val="center"/>
          </w:tcPr>
          <w:p w14:paraId="34D58089">
            <w:pPr>
              <w:spacing w:before="156" w:beforeLines="50" w:after="156" w:afterLines="50"/>
              <w:jc w:val="left"/>
              <w:rPr>
                <w:rFonts w:ascii="宋体"/>
                <w:b/>
                <w:kern w:val="0"/>
                <w:sz w:val="18"/>
                <w:szCs w:val="18"/>
              </w:rPr>
            </w:pPr>
          </w:p>
        </w:tc>
        <w:tc>
          <w:tcPr>
            <w:tcW w:w="10643" w:type="dxa"/>
            <w:gridSpan w:val="4"/>
            <w:tcBorders>
              <w:top w:val="single" w:color="auto" w:sz="4" w:space="0"/>
              <w:bottom w:val="single" w:color="auto" w:sz="4" w:space="0"/>
              <w:right w:val="single" w:color="auto" w:sz="4" w:space="0"/>
            </w:tcBorders>
            <w:vAlign w:val="center"/>
          </w:tcPr>
          <w:p w14:paraId="5233CF36">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1DD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6D137D67">
            <w:pPr>
              <w:spacing w:before="156" w:beforeLines="50" w:after="156" w:afterLines="50"/>
              <w:jc w:val="center"/>
              <w:rPr>
                <w:rFonts w:ascii="宋体"/>
                <w:b/>
                <w:kern w:val="0"/>
                <w:sz w:val="18"/>
                <w:szCs w:val="18"/>
              </w:rPr>
            </w:pPr>
          </w:p>
        </w:tc>
        <w:tc>
          <w:tcPr>
            <w:tcW w:w="876" w:type="dxa"/>
            <w:vMerge w:val="continue"/>
            <w:vAlign w:val="center"/>
          </w:tcPr>
          <w:p w14:paraId="3B0AF749">
            <w:pPr>
              <w:spacing w:before="156" w:beforeLines="50" w:after="156" w:afterLines="50"/>
              <w:jc w:val="center"/>
              <w:rPr>
                <w:rFonts w:ascii="宋体"/>
                <w:b/>
                <w:kern w:val="0"/>
                <w:sz w:val="18"/>
                <w:szCs w:val="18"/>
              </w:rPr>
            </w:pPr>
          </w:p>
        </w:tc>
        <w:tc>
          <w:tcPr>
            <w:tcW w:w="1377" w:type="dxa"/>
            <w:vMerge w:val="restart"/>
            <w:vAlign w:val="center"/>
          </w:tcPr>
          <w:p w14:paraId="77183E61">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14:paraId="23273B30">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14:paraId="4A2B472B">
            <w:pPr>
              <w:spacing w:before="156" w:beforeLines="50" w:after="156" w:afterLines="50"/>
              <w:jc w:val="left"/>
              <w:rPr>
                <w:rFonts w:ascii="宋体"/>
                <w:b/>
                <w:kern w:val="0"/>
                <w:sz w:val="18"/>
                <w:szCs w:val="18"/>
              </w:rPr>
            </w:pPr>
          </w:p>
        </w:tc>
        <w:tc>
          <w:tcPr>
            <w:tcW w:w="2336" w:type="dxa"/>
            <w:vMerge w:val="continue"/>
            <w:vAlign w:val="center"/>
          </w:tcPr>
          <w:p w14:paraId="66F162AB">
            <w:pPr>
              <w:spacing w:before="156" w:beforeLines="50" w:after="156" w:afterLines="50"/>
              <w:jc w:val="left"/>
              <w:rPr>
                <w:rFonts w:ascii="宋体"/>
                <w:b/>
                <w:kern w:val="0"/>
                <w:sz w:val="18"/>
                <w:szCs w:val="18"/>
              </w:rPr>
            </w:pPr>
          </w:p>
        </w:tc>
        <w:tc>
          <w:tcPr>
            <w:tcW w:w="7303" w:type="dxa"/>
            <w:gridSpan w:val="3"/>
            <w:tcBorders>
              <w:top w:val="single" w:color="auto" w:sz="4" w:space="0"/>
              <w:bottom w:val="single" w:color="auto" w:sz="4" w:space="0"/>
              <w:right w:val="single" w:color="auto" w:sz="4" w:space="0"/>
            </w:tcBorders>
            <w:vAlign w:val="center"/>
          </w:tcPr>
          <w:p w14:paraId="16967E71">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40" w:type="dxa"/>
            <w:vMerge w:val="restart"/>
            <w:tcBorders>
              <w:top w:val="single" w:color="auto" w:sz="4" w:space="0"/>
              <w:right w:val="single" w:color="auto" w:sz="4" w:space="0"/>
            </w:tcBorders>
            <w:vAlign w:val="center"/>
          </w:tcPr>
          <w:p w14:paraId="79865BB7">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78F6C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14:paraId="6A4064FF">
            <w:pPr>
              <w:spacing w:before="156" w:beforeLines="50" w:after="156" w:afterLines="50"/>
              <w:jc w:val="left"/>
              <w:rPr>
                <w:rFonts w:ascii="宋体"/>
                <w:b/>
                <w:kern w:val="0"/>
                <w:sz w:val="18"/>
                <w:szCs w:val="18"/>
              </w:rPr>
            </w:pPr>
          </w:p>
        </w:tc>
        <w:tc>
          <w:tcPr>
            <w:tcW w:w="876" w:type="dxa"/>
            <w:vMerge w:val="continue"/>
            <w:vAlign w:val="center"/>
          </w:tcPr>
          <w:p w14:paraId="5A455598">
            <w:pPr>
              <w:spacing w:before="156" w:beforeLines="50" w:after="156" w:afterLines="50"/>
              <w:jc w:val="left"/>
              <w:rPr>
                <w:rFonts w:ascii="宋体"/>
                <w:b/>
                <w:kern w:val="0"/>
                <w:sz w:val="18"/>
                <w:szCs w:val="18"/>
              </w:rPr>
            </w:pPr>
          </w:p>
        </w:tc>
        <w:tc>
          <w:tcPr>
            <w:tcW w:w="1377" w:type="dxa"/>
            <w:vMerge w:val="continue"/>
            <w:vAlign w:val="center"/>
          </w:tcPr>
          <w:p w14:paraId="5896A77B">
            <w:pPr>
              <w:spacing w:before="156" w:beforeLines="50" w:after="156" w:afterLines="50"/>
              <w:jc w:val="left"/>
              <w:rPr>
                <w:rFonts w:ascii="宋体"/>
                <w:b/>
                <w:kern w:val="0"/>
                <w:sz w:val="18"/>
                <w:szCs w:val="18"/>
              </w:rPr>
            </w:pPr>
          </w:p>
        </w:tc>
        <w:tc>
          <w:tcPr>
            <w:tcW w:w="2243" w:type="dxa"/>
            <w:vMerge w:val="continue"/>
            <w:vAlign w:val="center"/>
          </w:tcPr>
          <w:p w14:paraId="43F7DD03">
            <w:pPr>
              <w:spacing w:before="156" w:beforeLines="50" w:after="156" w:afterLines="50"/>
              <w:jc w:val="left"/>
              <w:rPr>
                <w:rFonts w:ascii="宋体"/>
                <w:b/>
                <w:kern w:val="0"/>
                <w:sz w:val="18"/>
                <w:szCs w:val="18"/>
              </w:rPr>
            </w:pPr>
          </w:p>
        </w:tc>
        <w:tc>
          <w:tcPr>
            <w:tcW w:w="992" w:type="dxa"/>
            <w:vMerge w:val="continue"/>
            <w:vAlign w:val="center"/>
          </w:tcPr>
          <w:p w14:paraId="34D40829">
            <w:pPr>
              <w:spacing w:before="156" w:beforeLines="50" w:after="156" w:afterLines="50"/>
              <w:jc w:val="left"/>
              <w:rPr>
                <w:rFonts w:ascii="宋体"/>
                <w:b/>
                <w:kern w:val="0"/>
                <w:sz w:val="18"/>
                <w:szCs w:val="18"/>
              </w:rPr>
            </w:pPr>
          </w:p>
        </w:tc>
        <w:tc>
          <w:tcPr>
            <w:tcW w:w="2336" w:type="dxa"/>
            <w:vMerge w:val="continue"/>
            <w:vAlign w:val="center"/>
          </w:tcPr>
          <w:p w14:paraId="780B0381">
            <w:pPr>
              <w:spacing w:before="156" w:beforeLines="50" w:after="156" w:afterLines="50"/>
              <w:jc w:val="left"/>
              <w:rPr>
                <w:rFonts w:ascii="宋体"/>
                <w:b/>
                <w:kern w:val="0"/>
                <w:sz w:val="18"/>
                <w:szCs w:val="18"/>
              </w:rPr>
            </w:pPr>
          </w:p>
        </w:tc>
        <w:tc>
          <w:tcPr>
            <w:tcW w:w="2460" w:type="dxa"/>
            <w:tcBorders>
              <w:top w:val="single" w:color="auto" w:sz="4" w:space="0"/>
              <w:right w:val="single" w:color="auto" w:sz="4" w:space="0"/>
            </w:tcBorders>
            <w:vAlign w:val="center"/>
          </w:tcPr>
          <w:p w14:paraId="2AE7CBF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00" w:type="dxa"/>
            <w:tcBorders>
              <w:top w:val="single" w:color="auto" w:sz="4" w:space="0"/>
              <w:right w:val="single" w:color="auto" w:sz="4" w:space="0"/>
            </w:tcBorders>
            <w:vAlign w:val="center"/>
          </w:tcPr>
          <w:p w14:paraId="2F8B1B0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43" w:type="dxa"/>
            <w:tcBorders>
              <w:top w:val="single" w:color="auto" w:sz="4" w:space="0"/>
              <w:right w:val="single" w:color="auto" w:sz="4" w:space="0"/>
            </w:tcBorders>
            <w:vAlign w:val="center"/>
          </w:tcPr>
          <w:p w14:paraId="507F377C">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40" w:type="dxa"/>
            <w:vMerge w:val="continue"/>
            <w:tcBorders>
              <w:right w:val="single" w:color="auto" w:sz="4" w:space="0"/>
            </w:tcBorders>
            <w:vAlign w:val="center"/>
          </w:tcPr>
          <w:p w14:paraId="04E1CB46">
            <w:pPr>
              <w:spacing w:before="156" w:beforeLines="50" w:after="156" w:afterLines="50"/>
              <w:jc w:val="left"/>
              <w:rPr>
                <w:rFonts w:ascii="宋体"/>
                <w:b/>
                <w:sz w:val="18"/>
                <w:szCs w:val="18"/>
              </w:rPr>
            </w:pPr>
          </w:p>
        </w:tc>
      </w:tr>
      <w:tr w14:paraId="4F32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14:paraId="1CA98926">
            <w:pPr>
              <w:spacing w:before="156" w:beforeLines="50" w:after="156" w:afterLines="50"/>
              <w:jc w:val="center"/>
              <w:rPr>
                <w:rFonts w:ascii="宋体"/>
                <w:kern w:val="0"/>
                <w:sz w:val="18"/>
                <w:szCs w:val="18"/>
              </w:rPr>
            </w:pPr>
            <w:r>
              <w:rPr>
                <w:rFonts w:hint="eastAsia" w:ascii="宋体"/>
                <w:kern w:val="0"/>
                <w:sz w:val="18"/>
                <w:szCs w:val="18"/>
              </w:rPr>
              <w:t>30</w:t>
            </w:r>
          </w:p>
        </w:tc>
        <w:tc>
          <w:tcPr>
            <w:tcW w:w="876" w:type="dxa"/>
            <w:vMerge w:val="restart"/>
            <w:vAlign w:val="center"/>
          </w:tcPr>
          <w:p w14:paraId="3A0CF069">
            <w:pPr>
              <w:widowControl/>
              <w:spacing w:before="156" w:beforeLines="50" w:after="156" w:afterLines="50"/>
              <w:rPr>
                <w:sz w:val="18"/>
                <w:szCs w:val="18"/>
              </w:rPr>
            </w:pPr>
            <w:r>
              <w:rPr>
                <w:rFonts w:hint="eastAsia" w:ascii="宋体"/>
                <w:kern w:val="0"/>
                <w:sz w:val="18"/>
                <w:szCs w:val="18"/>
              </w:rPr>
              <w:t>未按照规定擅自夜航</w:t>
            </w:r>
          </w:p>
        </w:tc>
        <w:tc>
          <w:tcPr>
            <w:tcW w:w="1377" w:type="dxa"/>
            <w:vMerge w:val="restart"/>
            <w:vAlign w:val="center"/>
          </w:tcPr>
          <w:p w14:paraId="48E3DB6F">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1.《中华人民共和国内河交通安全管理条例》第十七条第四款；</w:t>
            </w:r>
          </w:p>
          <w:p w14:paraId="1FA6E250">
            <w:pPr>
              <w:widowControl/>
              <w:spacing w:before="156" w:beforeLines="50" w:after="156" w:afterLines="50"/>
              <w:rPr>
                <w:rFonts w:ascii="宋体"/>
                <w:kern w:val="0"/>
                <w:sz w:val="18"/>
                <w:szCs w:val="18"/>
              </w:rPr>
            </w:pPr>
            <w:r>
              <w:rPr>
                <w:rFonts w:hint="eastAsia" w:ascii="宋体"/>
                <w:kern w:val="0"/>
                <w:sz w:val="18"/>
                <w:szCs w:val="18"/>
              </w:rPr>
              <w:t>2.《内河渡口渡船安全管理规定》第十八条；</w:t>
            </w:r>
          </w:p>
          <w:p w14:paraId="3FBDCB13">
            <w:pPr>
              <w:widowControl/>
              <w:spacing w:before="156" w:beforeLines="50" w:after="156" w:afterLines="50"/>
              <w:rPr>
                <w:rFonts w:ascii="宋体"/>
                <w:kern w:val="0"/>
                <w:sz w:val="18"/>
                <w:szCs w:val="18"/>
              </w:rPr>
            </w:pPr>
            <w:r>
              <w:rPr>
                <w:rFonts w:hint="eastAsia" w:ascii="宋体"/>
                <w:kern w:val="0"/>
                <w:sz w:val="18"/>
                <w:szCs w:val="18"/>
              </w:rPr>
              <w:t>3. 其他法律、法规、规章等。</w:t>
            </w:r>
          </w:p>
          <w:p w14:paraId="539F07F7">
            <w:pPr>
              <w:widowControl/>
              <w:spacing w:before="156" w:beforeLines="50" w:after="156" w:afterLines="50"/>
              <w:rPr>
                <w:rFonts w:ascii="宋体"/>
                <w:kern w:val="0"/>
                <w:sz w:val="18"/>
                <w:szCs w:val="18"/>
              </w:rPr>
            </w:pPr>
          </w:p>
          <w:p w14:paraId="2F178A40">
            <w:pPr>
              <w:widowControl/>
              <w:spacing w:before="156" w:beforeLines="50" w:after="156" w:afterLines="50"/>
              <w:rPr>
                <w:rFonts w:ascii="宋体"/>
                <w:kern w:val="0"/>
                <w:sz w:val="18"/>
                <w:szCs w:val="18"/>
              </w:rPr>
            </w:pPr>
          </w:p>
        </w:tc>
        <w:tc>
          <w:tcPr>
            <w:tcW w:w="2243" w:type="dxa"/>
            <w:vMerge w:val="restart"/>
            <w:vAlign w:val="center"/>
          </w:tcPr>
          <w:p w14:paraId="1020F6C9">
            <w:pPr>
              <w:widowControl/>
              <w:spacing w:before="156" w:beforeLines="50" w:after="156" w:afterLines="50"/>
              <w:rPr>
                <w:rFonts w:ascii="宋体"/>
                <w:kern w:val="0"/>
                <w:sz w:val="18"/>
                <w:szCs w:val="18"/>
              </w:rPr>
            </w:pPr>
            <w:r>
              <w:rPr>
                <w:rFonts w:hint="eastAsia" w:ascii="宋体"/>
                <w:kern w:val="0"/>
                <w:sz w:val="18"/>
                <w:szCs w:val="18"/>
              </w:rPr>
              <w:t>1 .《中华人民共和国内河交通安全管理条例》第八十一条；</w:t>
            </w:r>
          </w:p>
          <w:p w14:paraId="77AF8772">
            <w:pPr>
              <w:widowControl/>
              <w:spacing w:before="156" w:beforeLines="50" w:after="156" w:afterLines="50"/>
              <w:rPr>
                <w:rFonts w:ascii="宋体"/>
                <w:kern w:val="0"/>
                <w:sz w:val="18"/>
                <w:szCs w:val="18"/>
              </w:rPr>
            </w:pPr>
            <w:r>
              <w:rPr>
                <w:rFonts w:hint="eastAsia" w:ascii="宋体"/>
                <w:kern w:val="0"/>
                <w:sz w:val="18"/>
                <w:szCs w:val="18"/>
              </w:rPr>
              <w:t>2. 《中华人民共和国内河海事行政处罚规定》第十七条第一款和第二款第（六）项；</w:t>
            </w:r>
          </w:p>
          <w:p w14:paraId="1C55AACF">
            <w:pPr>
              <w:widowControl/>
              <w:spacing w:before="156" w:beforeLines="50" w:after="156" w:afterLines="50"/>
              <w:rPr>
                <w:rFonts w:ascii="宋体"/>
                <w:kern w:val="0"/>
                <w:sz w:val="18"/>
                <w:szCs w:val="18"/>
              </w:rPr>
            </w:pPr>
            <w:r>
              <w:rPr>
                <w:rFonts w:hint="eastAsia" w:ascii="宋体"/>
                <w:kern w:val="0"/>
                <w:sz w:val="18"/>
                <w:szCs w:val="18"/>
              </w:rPr>
              <w:t>3. 《中华人民共和国行政处罚法》第三十二条（从轻）。</w:t>
            </w:r>
          </w:p>
          <w:p w14:paraId="45B68F62">
            <w:pPr>
              <w:widowControl/>
              <w:spacing w:before="156" w:beforeLines="50" w:after="156" w:afterLines="50"/>
              <w:rPr>
                <w:rFonts w:ascii="宋体"/>
                <w:kern w:val="0"/>
                <w:sz w:val="18"/>
                <w:szCs w:val="18"/>
              </w:rPr>
            </w:pPr>
          </w:p>
        </w:tc>
        <w:tc>
          <w:tcPr>
            <w:tcW w:w="992" w:type="dxa"/>
            <w:vAlign w:val="center"/>
          </w:tcPr>
          <w:p w14:paraId="1179E530">
            <w:pPr>
              <w:widowControl/>
              <w:spacing w:before="156" w:beforeLines="50" w:after="156" w:afterLines="50"/>
              <w:jc w:val="center"/>
              <w:rPr>
                <w:rFonts w:ascii="宋体"/>
                <w:kern w:val="0"/>
                <w:sz w:val="18"/>
                <w:szCs w:val="18"/>
              </w:rPr>
            </w:pPr>
            <w:r>
              <w:rPr>
                <w:rFonts w:hint="eastAsia" w:ascii="宋体"/>
                <w:kern w:val="0"/>
                <w:sz w:val="18"/>
                <w:szCs w:val="18"/>
              </w:rPr>
              <w:t>从轻</w:t>
            </w:r>
          </w:p>
        </w:tc>
        <w:tc>
          <w:tcPr>
            <w:tcW w:w="2336" w:type="dxa"/>
            <w:vAlign w:val="center"/>
          </w:tcPr>
          <w:p w14:paraId="0D0B9C89">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460" w:type="dxa"/>
            <w:tcBorders>
              <w:right w:val="single" w:color="auto" w:sz="4" w:space="0"/>
            </w:tcBorders>
            <w:vAlign w:val="center"/>
          </w:tcPr>
          <w:p w14:paraId="336F28BC">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00" w:type="dxa"/>
            <w:tcBorders>
              <w:right w:val="single" w:color="auto" w:sz="4" w:space="0"/>
            </w:tcBorders>
            <w:vAlign w:val="center"/>
          </w:tcPr>
          <w:p w14:paraId="5C194041">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43" w:type="dxa"/>
            <w:tcBorders>
              <w:right w:val="single" w:color="auto" w:sz="4" w:space="0"/>
            </w:tcBorders>
            <w:vAlign w:val="center"/>
          </w:tcPr>
          <w:p w14:paraId="77F88534">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40" w:type="dxa"/>
            <w:tcBorders>
              <w:right w:val="single" w:color="auto" w:sz="4" w:space="0"/>
            </w:tcBorders>
            <w:vAlign w:val="center"/>
          </w:tcPr>
          <w:p w14:paraId="219FA138">
            <w:pPr>
              <w:widowControl/>
              <w:spacing w:before="156" w:beforeLines="50" w:after="156" w:afterLines="50"/>
              <w:rPr>
                <w:rFonts w:ascii="宋体"/>
                <w:kern w:val="0"/>
                <w:sz w:val="18"/>
                <w:szCs w:val="18"/>
              </w:rPr>
            </w:pPr>
            <w:r>
              <w:rPr>
                <w:rFonts w:hint="eastAsia" w:ascii="宋体"/>
                <w:kern w:val="0"/>
                <w:sz w:val="18"/>
                <w:szCs w:val="18"/>
              </w:rPr>
              <w:t>/</w:t>
            </w:r>
          </w:p>
        </w:tc>
      </w:tr>
      <w:tr w14:paraId="275B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14:paraId="522203DA">
            <w:pPr>
              <w:spacing w:before="156" w:beforeLines="50" w:after="156" w:afterLines="50"/>
              <w:jc w:val="left"/>
              <w:rPr>
                <w:rFonts w:ascii="宋体"/>
                <w:kern w:val="0"/>
                <w:sz w:val="18"/>
                <w:szCs w:val="18"/>
              </w:rPr>
            </w:pPr>
          </w:p>
        </w:tc>
        <w:tc>
          <w:tcPr>
            <w:tcW w:w="876" w:type="dxa"/>
            <w:vMerge w:val="continue"/>
            <w:vAlign w:val="center"/>
          </w:tcPr>
          <w:p w14:paraId="64746BC2">
            <w:pPr>
              <w:spacing w:before="156" w:beforeLines="50" w:after="156" w:afterLines="50"/>
              <w:jc w:val="left"/>
              <w:rPr>
                <w:rFonts w:ascii="宋体"/>
                <w:kern w:val="0"/>
                <w:sz w:val="18"/>
                <w:szCs w:val="18"/>
              </w:rPr>
            </w:pPr>
          </w:p>
        </w:tc>
        <w:tc>
          <w:tcPr>
            <w:tcW w:w="1377" w:type="dxa"/>
            <w:vMerge w:val="continue"/>
            <w:vAlign w:val="center"/>
          </w:tcPr>
          <w:p w14:paraId="10108912">
            <w:pPr>
              <w:widowControl/>
              <w:spacing w:before="156" w:beforeLines="50" w:after="156" w:afterLines="50"/>
              <w:rPr>
                <w:rFonts w:ascii="宋体"/>
                <w:kern w:val="0"/>
                <w:sz w:val="18"/>
                <w:szCs w:val="18"/>
              </w:rPr>
            </w:pPr>
          </w:p>
        </w:tc>
        <w:tc>
          <w:tcPr>
            <w:tcW w:w="2243" w:type="dxa"/>
            <w:vMerge w:val="continue"/>
            <w:vAlign w:val="center"/>
          </w:tcPr>
          <w:p w14:paraId="15C31F07">
            <w:pPr>
              <w:widowControl/>
              <w:spacing w:before="156" w:beforeLines="50" w:after="156" w:afterLines="50"/>
              <w:rPr>
                <w:rFonts w:ascii="宋体"/>
                <w:kern w:val="0"/>
                <w:sz w:val="18"/>
                <w:szCs w:val="18"/>
              </w:rPr>
            </w:pPr>
          </w:p>
        </w:tc>
        <w:tc>
          <w:tcPr>
            <w:tcW w:w="992" w:type="dxa"/>
            <w:vMerge w:val="restart"/>
            <w:vAlign w:val="center"/>
          </w:tcPr>
          <w:p w14:paraId="31ECADC2">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336" w:type="dxa"/>
            <w:vAlign w:val="center"/>
          </w:tcPr>
          <w:p w14:paraId="211AAC30">
            <w:pPr>
              <w:widowControl/>
              <w:spacing w:before="156" w:beforeLines="50" w:after="156" w:afterLines="50"/>
              <w:rPr>
                <w:rFonts w:ascii="宋体"/>
                <w:kern w:val="0"/>
                <w:sz w:val="18"/>
                <w:szCs w:val="18"/>
              </w:rPr>
            </w:pPr>
            <w:r>
              <w:rPr>
                <w:rFonts w:hint="eastAsia" w:ascii="宋体"/>
                <w:kern w:val="0"/>
                <w:sz w:val="18"/>
                <w:szCs w:val="18"/>
              </w:rPr>
              <w:t>未按照规定擅自夜航，未造成险情、事故的。</w:t>
            </w:r>
          </w:p>
        </w:tc>
        <w:tc>
          <w:tcPr>
            <w:tcW w:w="2460" w:type="dxa"/>
            <w:tcBorders>
              <w:right w:val="single" w:color="auto" w:sz="4" w:space="0"/>
            </w:tcBorders>
            <w:vAlign w:val="center"/>
          </w:tcPr>
          <w:p w14:paraId="5E056089">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00" w:type="dxa"/>
            <w:tcBorders>
              <w:right w:val="single" w:color="auto" w:sz="4" w:space="0"/>
            </w:tcBorders>
            <w:vAlign w:val="center"/>
          </w:tcPr>
          <w:p w14:paraId="074F38CF">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443" w:type="dxa"/>
            <w:tcBorders>
              <w:right w:val="single" w:color="auto" w:sz="4" w:space="0"/>
            </w:tcBorders>
            <w:vAlign w:val="center"/>
          </w:tcPr>
          <w:p w14:paraId="54EDED65">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340" w:type="dxa"/>
            <w:tcBorders>
              <w:right w:val="single" w:color="auto" w:sz="4" w:space="0"/>
            </w:tcBorders>
            <w:vAlign w:val="center"/>
          </w:tcPr>
          <w:p w14:paraId="6BDCB2F0">
            <w:pPr>
              <w:widowControl/>
              <w:spacing w:before="156" w:beforeLines="50" w:after="156" w:afterLines="50"/>
              <w:rPr>
                <w:rFonts w:ascii="宋体"/>
                <w:kern w:val="0"/>
                <w:sz w:val="18"/>
                <w:szCs w:val="18"/>
              </w:rPr>
            </w:pPr>
            <w:r>
              <w:rPr>
                <w:rFonts w:hint="eastAsia" w:ascii="宋体"/>
                <w:kern w:val="0"/>
                <w:sz w:val="18"/>
                <w:szCs w:val="18"/>
              </w:rPr>
              <w:t>/</w:t>
            </w:r>
          </w:p>
        </w:tc>
      </w:tr>
      <w:tr w14:paraId="0871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14:paraId="34FE7DC7">
            <w:pPr>
              <w:spacing w:before="156" w:beforeLines="50" w:after="156" w:afterLines="50"/>
              <w:jc w:val="left"/>
              <w:rPr>
                <w:rFonts w:ascii="宋体"/>
                <w:kern w:val="0"/>
                <w:sz w:val="18"/>
                <w:szCs w:val="18"/>
              </w:rPr>
            </w:pPr>
          </w:p>
        </w:tc>
        <w:tc>
          <w:tcPr>
            <w:tcW w:w="876" w:type="dxa"/>
            <w:vMerge w:val="continue"/>
            <w:vAlign w:val="center"/>
          </w:tcPr>
          <w:p w14:paraId="37BFBD34">
            <w:pPr>
              <w:spacing w:before="156" w:beforeLines="50" w:after="156" w:afterLines="50"/>
              <w:jc w:val="left"/>
              <w:rPr>
                <w:rFonts w:ascii="宋体"/>
                <w:kern w:val="0"/>
                <w:sz w:val="18"/>
                <w:szCs w:val="18"/>
              </w:rPr>
            </w:pPr>
          </w:p>
        </w:tc>
        <w:tc>
          <w:tcPr>
            <w:tcW w:w="1377" w:type="dxa"/>
            <w:vMerge w:val="continue"/>
            <w:vAlign w:val="center"/>
          </w:tcPr>
          <w:p w14:paraId="35603F35">
            <w:pPr>
              <w:widowControl/>
              <w:spacing w:before="156" w:beforeLines="50" w:after="156" w:afterLines="50"/>
              <w:rPr>
                <w:rFonts w:ascii="宋体"/>
                <w:kern w:val="0"/>
                <w:sz w:val="18"/>
                <w:szCs w:val="18"/>
              </w:rPr>
            </w:pPr>
          </w:p>
        </w:tc>
        <w:tc>
          <w:tcPr>
            <w:tcW w:w="2243" w:type="dxa"/>
            <w:vMerge w:val="continue"/>
            <w:vAlign w:val="center"/>
          </w:tcPr>
          <w:p w14:paraId="1F57AEC9">
            <w:pPr>
              <w:widowControl/>
              <w:spacing w:before="156" w:beforeLines="50" w:after="156" w:afterLines="50"/>
              <w:rPr>
                <w:rFonts w:ascii="宋体"/>
                <w:kern w:val="0"/>
                <w:sz w:val="18"/>
                <w:szCs w:val="18"/>
              </w:rPr>
            </w:pPr>
          </w:p>
        </w:tc>
        <w:tc>
          <w:tcPr>
            <w:tcW w:w="992" w:type="dxa"/>
            <w:vMerge w:val="continue"/>
            <w:tcBorders>
              <w:bottom w:val="single" w:color="auto" w:sz="4" w:space="0"/>
            </w:tcBorders>
            <w:vAlign w:val="center"/>
          </w:tcPr>
          <w:p w14:paraId="5DC3C4E0">
            <w:pPr>
              <w:widowControl/>
              <w:spacing w:before="156" w:beforeLines="50" w:after="156" w:afterLines="50"/>
              <w:jc w:val="center"/>
              <w:rPr>
                <w:rFonts w:ascii="宋体"/>
                <w:kern w:val="0"/>
                <w:sz w:val="18"/>
                <w:szCs w:val="18"/>
              </w:rPr>
            </w:pPr>
          </w:p>
        </w:tc>
        <w:tc>
          <w:tcPr>
            <w:tcW w:w="2336" w:type="dxa"/>
            <w:tcBorders>
              <w:top w:val="single" w:color="auto" w:sz="4" w:space="0"/>
              <w:bottom w:val="single" w:color="auto" w:sz="4" w:space="0"/>
            </w:tcBorders>
            <w:vAlign w:val="center"/>
          </w:tcPr>
          <w:p w14:paraId="679D3F66">
            <w:pPr>
              <w:widowControl/>
              <w:spacing w:before="156" w:beforeLines="50" w:after="156" w:afterLines="50"/>
              <w:rPr>
                <w:rFonts w:ascii="宋体"/>
                <w:kern w:val="0"/>
                <w:sz w:val="18"/>
                <w:szCs w:val="18"/>
              </w:rPr>
            </w:pPr>
            <w:r>
              <w:rPr>
                <w:rFonts w:hint="eastAsia" w:ascii="宋体"/>
                <w:kern w:val="0"/>
                <w:sz w:val="18"/>
                <w:szCs w:val="18"/>
              </w:rPr>
              <w:t>未按照规定擅自夜航，导致发生一般以下水上交通事故的。</w:t>
            </w:r>
          </w:p>
        </w:tc>
        <w:tc>
          <w:tcPr>
            <w:tcW w:w="2460" w:type="dxa"/>
            <w:tcBorders>
              <w:top w:val="single" w:color="auto" w:sz="4" w:space="0"/>
              <w:bottom w:val="single" w:color="auto" w:sz="4" w:space="0"/>
              <w:right w:val="single" w:color="auto" w:sz="4" w:space="0"/>
            </w:tcBorders>
            <w:vAlign w:val="center"/>
          </w:tcPr>
          <w:p w14:paraId="0323CD60">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00" w:type="dxa"/>
            <w:tcBorders>
              <w:top w:val="single" w:color="auto" w:sz="4" w:space="0"/>
              <w:bottom w:val="single" w:color="auto" w:sz="4" w:space="0"/>
              <w:right w:val="single" w:color="auto" w:sz="4" w:space="0"/>
            </w:tcBorders>
            <w:vAlign w:val="center"/>
          </w:tcPr>
          <w:p w14:paraId="0DAA618E">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443" w:type="dxa"/>
            <w:tcBorders>
              <w:right w:val="single" w:color="auto" w:sz="4" w:space="0"/>
            </w:tcBorders>
            <w:vAlign w:val="center"/>
          </w:tcPr>
          <w:p w14:paraId="13CF6CEE">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340" w:type="dxa"/>
            <w:tcBorders>
              <w:right w:val="single" w:color="auto" w:sz="4" w:space="0"/>
            </w:tcBorders>
            <w:vAlign w:val="center"/>
          </w:tcPr>
          <w:p w14:paraId="4A999D10">
            <w:pPr>
              <w:widowControl/>
              <w:spacing w:before="156" w:beforeLines="50" w:after="156" w:afterLines="50"/>
              <w:rPr>
                <w:rFonts w:ascii="宋体"/>
                <w:kern w:val="0"/>
                <w:sz w:val="18"/>
                <w:szCs w:val="18"/>
              </w:rPr>
            </w:pPr>
            <w:r>
              <w:rPr>
                <w:rFonts w:hint="eastAsia" w:ascii="宋体"/>
                <w:kern w:val="0"/>
                <w:sz w:val="18"/>
                <w:szCs w:val="18"/>
              </w:rPr>
              <w:t>/</w:t>
            </w:r>
          </w:p>
        </w:tc>
      </w:tr>
      <w:tr w14:paraId="00D7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690" w:type="dxa"/>
            <w:vMerge w:val="continue"/>
            <w:vAlign w:val="center"/>
          </w:tcPr>
          <w:p w14:paraId="5EAA15E1">
            <w:pPr>
              <w:spacing w:before="156" w:beforeLines="50" w:after="156" w:afterLines="50"/>
              <w:jc w:val="left"/>
              <w:rPr>
                <w:rFonts w:ascii="宋体"/>
                <w:kern w:val="0"/>
                <w:sz w:val="18"/>
                <w:szCs w:val="18"/>
              </w:rPr>
            </w:pPr>
          </w:p>
        </w:tc>
        <w:tc>
          <w:tcPr>
            <w:tcW w:w="876" w:type="dxa"/>
            <w:vMerge w:val="continue"/>
            <w:vAlign w:val="center"/>
          </w:tcPr>
          <w:p w14:paraId="41B8013D">
            <w:pPr>
              <w:spacing w:before="156" w:beforeLines="50" w:after="156" w:afterLines="50"/>
              <w:jc w:val="left"/>
              <w:rPr>
                <w:rFonts w:ascii="宋体"/>
                <w:kern w:val="0"/>
                <w:sz w:val="18"/>
                <w:szCs w:val="18"/>
              </w:rPr>
            </w:pPr>
          </w:p>
        </w:tc>
        <w:tc>
          <w:tcPr>
            <w:tcW w:w="1377" w:type="dxa"/>
            <w:vMerge w:val="continue"/>
            <w:vAlign w:val="center"/>
          </w:tcPr>
          <w:p w14:paraId="45559F3C">
            <w:pPr>
              <w:widowControl/>
              <w:spacing w:before="156" w:beforeLines="50" w:after="156" w:afterLines="50"/>
              <w:rPr>
                <w:rFonts w:ascii="宋体"/>
                <w:kern w:val="0"/>
                <w:sz w:val="18"/>
                <w:szCs w:val="18"/>
              </w:rPr>
            </w:pPr>
          </w:p>
        </w:tc>
        <w:tc>
          <w:tcPr>
            <w:tcW w:w="2243" w:type="dxa"/>
            <w:vMerge w:val="continue"/>
            <w:vAlign w:val="center"/>
          </w:tcPr>
          <w:p w14:paraId="452EC9BD">
            <w:pPr>
              <w:widowControl/>
              <w:spacing w:before="156" w:beforeLines="50" w:after="156" w:afterLines="50"/>
              <w:rPr>
                <w:rFonts w:ascii="宋体"/>
                <w:kern w:val="0"/>
                <w:sz w:val="18"/>
                <w:szCs w:val="18"/>
              </w:rPr>
            </w:pPr>
          </w:p>
        </w:tc>
        <w:tc>
          <w:tcPr>
            <w:tcW w:w="992" w:type="dxa"/>
            <w:vMerge w:val="restart"/>
            <w:tcBorders>
              <w:top w:val="single" w:color="auto" w:sz="4" w:space="0"/>
              <w:right w:val="single" w:color="auto" w:sz="4" w:space="0"/>
            </w:tcBorders>
            <w:vAlign w:val="center"/>
          </w:tcPr>
          <w:p w14:paraId="1C2C6805">
            <w:pPr>
              <w:widowControl/>
              <w:spacing w:before="156" w:beforeLines="50" w:after="156" w:afterLines="50"/>
              <w:jc w:val="center"/>
              <w:rPr>
                <w:rFonts w:ascii="宋体"/>
                <w:kern w:val="0"/>
                <w:sz w:val="18"/>
                <w:szCs w:val="18"/>
              </w:rPr>
            </w:pPr>
            <w:r>
              <w:rPr>
                <w:rFonts w:hint="eastAsia" w:ascii="宋体"/>
                <w:kern w:val="0"/>
                <w:sz w:val="18"/>
                <w:szCs w:val="18"/>
              </w:rPr>
              <w:t>情节</w:t>
            </w:r>
          </w:p>
          <w:p w14:paraId="55B4C299">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336" w:type="dxa"/>
            <w:tcBorders>
              <w:top w:val="single" w:color="auto" w:sz="4" w:space="0"/>
              <w:left w:val="single" w:color="auto" w:sz="4" w:space="0"/>
              <w:bottom w:val="single" w:color="auto" w:sz="4" w:space="0"/>
            </w:tcBorders>
            <w:vAlign w:val="center"/>
          </w:tcPr>
          <w:p w14:paraId="523FEB3A">
            <w:pPr>
              <w:widowControl/>
              <w:spacing w:before="156" w:beforeLines="50" w:after="156" w:afterLines="50"/>
              <w:rPr>
                <w:rFonts w:ascii="宋体"/>
                <w:kern w:val="0"/>
                <w:sz w:val="18"/>
                <w:szCs w:val="18"/>
              </w:rPr>
            </w:pPr>
            <w:r>
              <w:rPr>
                <w:rFonts w:hint="eastAsia" w:ascii="宋体"/>
                <w:kern w:val="0"/>
                <w:sz w:val="18"/>
                <w:szCs w:val="18"/>
              </w:rPr>
              <w:t>未按照规定擅自夜航，导致发生一般及以上水上交通事故的。</w:t>
            </w:r>
          </w:p>
        </w:tc>
        <w:tc>
          <w:tcPr>
            <w:tcW w:w="2460" w:type="dxa"/>
            <w:vMerge w:val="restart"/>
            <w:tcBorders>
              <w:top w:val="single" w:color="auto" w:sz="4" w:space="0"/>
              <w:right w:val="single" w:color="auto" w:sz="4" w:space="0"/>
            </w:tcBorders>
            <w:vAlign w:val="center"/>
          </w:tcPr>
          <w:p w14:paraId="789E1B24">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00" w:type="dxa"/>
            <w:vMerge w:val="restart"/>
            <w:tcBorders>
              <w:top w:val="single" w:color="auto" w:sz="4" w:space="0"/>
              <w:right w:val="single" w:color="auto" w:sz="4" w:space="0"/>
            </w:tcBorders>
            <w:vAlign w:val="center"/>
          </w:tcPr>
          <w:p w14:paraId="3541E36B">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443" w:type="dxa"/>
            <w:vMerge w:val="restart"/>
            <w:tcBorders>
              <w:right w:val="single" w:color="auto" w:sz="4" w:space="0"/>
            </w:tcBorders>
            <w:vAlign w:val="center"/>
          </w:tcPr>
          <w:p w14:paraId="029ABFBA">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340" w:type="dxa"/>
            <w:tcBorders>
              <w:bottom w:val="single" w:color="auto" w:sz="4" w:space="0"/>
              <w:right w:val="single" w:color="auto" w:sz="4" w:space="0"/>
            </w:tcBorders>
            <w:vAlign w:val="center"/>
          </w:tcPr>
          <w:p w14:paraId="5BBC7676">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14:paraId="20BF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690" w:type="dxa"/>
            <w:vMerge w:val="continue"/>
            <w:vAlign w:val="center"/>
          </w:tcPr>
          <w:p w14:paraId="5F8BA3BF">
            <w:pPr>
              <w:spacing w:before="156" w:beforeLines="50" w:after="156" w:afterLines="50"/>
              <w:jc w:val="left"/>
              <w:rPr>
                <w:rFonts w:ascii="宋体"/>
                <w:kern w:val="0"/>
                <w:sz w:val="18"/>
                <w:szCs w:val="18"/>
              </w:rPr>
            </w:pPr>
          </w:p>
        </w:tc>
        <w:tc>
          <w:tcPr>
            <w:tcW w:w="876" w:type="dxa"/>
            <w:vMerge w:val="continue"/>
            <w:vAlign w:val="center"/>
          </w:tcPr>
          <w:p w14:paraId="17F74079">
            <w:pPr>
              <w:spacing w:before="156" w:beforeLines="50" w:after="156" w:afterLines="50"/>
              <w:jc w:val="left"/>
              <w:rPr>
                <w:rFonts w:ascii="宋体"/>
                <w:kern w:val="0"/>
                <w:sz w:val="18"/>
                <w:szCs w:val="18"/>
              </w:rPr>
            </w:pPr>
          </w:p>
        </w:tc>
        <w:tc>
          <w:tcPr>
            <w:tcW w:w="1377" w:type="dxa"/>
            <w:vMerge w:val="continue"/>
            <w:vAlign w:val="center"/>
          </w:tcPr>
          <w:p w14:paraId="5090A9AD">
            <w:pPr>
              <w:widowControl/>
              <w:spacing w:before="156" w:beforeLines="50" w:after="156" w:afterLines="50"/>
              <w:rPr>
                <w:rFonts w:ascii="宋体"/>
                <w:kern w:val="0"/>
                <w:sz w:val="18"/>
                <w:szCs w:val="18"/>
              </w:rPr>
            </w:pPr>
          </w:p>
        </w:tc>
        <w:tc>
          <w:tcPr>
            <w:tcW w:w="2243" w:type="dxa"/>
            <w:vMerge w:val="continue"/>
            <w:vAlign w:val="center"/>
          </w:tcPr>
          <w:p w14:paraId="4F7EEC42">
            <w:pPr>
              <w:widowControl/>
              <w:spacing w:before="156" w:beforeLines="50" w:after="156" w:afterLines="50"/>
              <w:rPr>
                <w:rFonts w:ascii="宋体"/>
                <w:kern w:val="0"/>
                <w:sz w:val="18"/>
                <w:szCs w:val="18"/>
              </w:rPr>
            </w:pPr>
          </w:p>
        </w:tc>
        <w:tc>
          <w:tcPr>
            <w:tcW w:w="992" w:type="dxa"/>
            <w:vMerge w:val="continue"/>
            <w:tcBorders>
              <w:bottom w:val="single" w:color="auto" w:sz="4" w:space="0"/>
              <w:right w:val="single" w:color="auto" w:sz="4" w:space="0"/>
            </w:tcBorders>
            <w:vAlign w:val="center"/>
          </w:tcPr>
          <w:p w14:paraId="41F8F0F5">
            <w:pPr>
              <w:widowControl/>
              <w:spacing w:before="156" w:beforeLines="50" w:after="156" w:afterLines="50"/>
              <w:rPr>
                <w:rFonts w:ascii="宋体"/>
                <w:kern w:val="0"/>
                <w:sz w:val="18"/>
                <w:szCs w:val="18"/>
              </w:rPr>
            </w:pPr>
          </w:p>
        </w:tc>
        <w:tc>
          <w:tcPr>
            <w:tcW w:w="2336" w:type="dxa"/>
            <w:tcBorders>
              <w:top w:val="single" w:color="auto" w:sz="4" w:space="0"/>
              <w:left w:val="single" w:color="auto" w:sz="4" w:space="0"/>
              <w:bottom w:val="single" w:color="auto" w:sz="4" w:space="0"/>
            </w:tcBorders>
            <w:vAlign w:val="center"/>
          </w:tcPr>
          <w:p w14:paraId="32E18D87">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460" w:type="dxa"/>
            <w:vMerge w:val="continue"/>
            <w:tcBorders>
              <w:bottom w:val="single" w:color="auto" w:sz="4" w:space="0"/>
              <w:right w:val="single" w:color="auto" w:sz="4" w:space="0"/>
            </w:tcBorders>
            <w:vAlign w:val="center"/>
          </w:tcPr>
          <w:p w14:paraId="0F742C94">
            <w:pPr>
              <w:widowControl/>
              <w:spacing w:before="156" w:beforeLines="50" w:after="156" w:afterLines="50"/>
              <w:rPr>
                <w:rFonts w:ascii="宋体"/>
                <w:kern w:val="0"/>
                <w:sz w:val="18"/>
                <w:szCs w:val="18"/>
              </w:rPr>
            </w:pPr>
          </w:p>
        </w:tc>
        <w:tc>
          <w:tcPr>
            <w:tcW w:w="2400" w:type="dxa"/>
            <w:vMerge w:val="continue"/>
            <w:tcBorders>
              <w:bottom w:val="single" w:color="auto" w:sz="4" w:space="0"/>
              <w:right w:val="single" w:color="auto" w:sz="4" w:space="0"/>
            </w:tcBorders>
            <w:vAlign w:val="center"/>
          </w:tcPr>
          <w:p w14:paraId="460A02E5">
            <w:pPr>
              <w:widowControl/>
              <w:spacing w:before="156" w:beforeLines="50" w:after="156" w:afterLines="50"/>
              <w:rPr>
                <w:rFonts w:ascii="宋体"/>
                <w:kern w:val="0"/>
                <w:sz w:val="18"/>
                <w:szCs w:val="18"/>
              </w:rPr>
            </w:pPr>
          </w:p>
        </w:tc>
        <w:tc>
          <w:tcPr>
            <w:tcW w:w="2443" w:type="dxa"/>
            <w:vMerge w:val="continue"/>
            <w:tcBorders>
              <w:bottom w:val="single" w:color="auto" w:sz="4" w:space="0"/>
              <w:right w:val="single" w:color="auto" w:sz="4" w:space="0"/>
            </w:tcBorders>
            <w:vAlign w:val="center"/>
          </w:tcPr>
          <w:p w14:paraId="4A061114">
            <w:pPr>
              <w:widowControl/>
              <w:spacing w:before="156" w:beforeLines="50" w:after="156" w:afterLines="50"/>
              <w:rPr>
                <w:rFonts w:ascii="宋体"/>
                <w:kern w:val="0"/>
                <w:sz w:val="18"/>
                <w:szCs w:val="18"/>
              </w:rPr>
            </w:pPr>
          </w:p>
        </w:tc>
        <w:tc>
          <w:tcPr>
            <w:tcW w:w="3340" w:type="dxa"/>
            <w:tcBorders>
              <w:top w:val="single" w:color="auto" w:sz="4" w:space="0"/>
              <w:bottom w:val="single" w:color="auto" w:sz="4" w:space="0"/>
              <w:right w:val="single" w:color="auto" w:sz="4" w:space="0"/>
            </w:tcBorders>
            <w:vAlign w:val="center"/>
          </w:tcPr>
          <w:p w14:paraId="07DAAB5D">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552FF4F6">
      <w:pPr>
        <w:spacing w:before="156" w:beforeLines="50" w:after="156" w:afterLines="50"/>
        <w:jc w:val="left"/>
        <w:rPr>
          <w:b/>
          <w:sz w:val="18"/>
          <w:szCs w:val="18"/>
        </w:rPr>
      </w:pPr>
      <w:r>
        <w:rPr>
          <w:rFonts w:hint="eastAsia"/>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340"/>
      </w:tblGrid>
      <w:tr w14:paraId="49D60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14:paraId="6C9C854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313979DC">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14:paraId="65E2692B">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14:paraId="5DCCC879">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14:paraId="082D4BEF">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569" w:type="dxa"/>
            <w:gridSpan w:val="4"/>
            <w:tcBorders>
              <w:bottom w:val="single" w:color="auto" w:sz="4" w:space="0"/>
              <w:right w:val="single" w:color="auto" w:sz="4" w:space="0"/>
            </w:tcBorders>
            <w:vAlign w:val="center"/>
          </w:tcPr>
          <w:p w14:paraId="43EDB7E4">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3C11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14:paraId="4DCB7A5B">
            <w:pPr>
              <w:spacing w:before="156" w:beforeLines="50" w:after="156" w:afterLines="50"/>
              <w:jc w:val="center"/>
              <w:rPr>
                <w:rFonts w:ascii="宋体"/>
                <w:b/>
                <w:kern w:val="0"/>
                <w:sz w:val="18"/>
                <w:szCs w:val="18"/>
              </w:rPr>
            </w:pPr>
          </w:p>
        </w:tc>
        <w:tc>
          <w:tcPr>
            <w:tcW w:w="876" w:type="dxa"/>
            <w:vMerge w:val="continue"/>
            <w:vAlign w:val="center"/>
          </w:tcPr>
          <w:p w14:paraId="2BA376ED">
            <w:pPr>
              <w:spacing w:before="156" w:beforeLines="50" w:after="156" w:afterLines="50"/>
              <w:jc w:val="center"/>
              <w:rPr>
                <w:rFonts w:ascii="宋体"/>
                <w:b/>
                <w:kern w:val="0"/>
                <w:sz w:val="18"/>
                <w:szCs w:val="18"/>
              </w:rPr>
            </w:pPr>
          </w:p>
        </w:tc>
        <w:tc>
          <w:tcPr>
            <w:tcW w:w="3620" w:type="dxa"/>
            <w:gridSpan w:val="2"/>
            <w:vMerge w:val="continue"/>
            <w:vAlign w:val="center"/>
          </w:tcPr>
          <w:p w14:paraId="57716A8A">
            <w:pPr>
              <w:spacing w:before="156" w:beforeLines="50" w:after="156" w:afterLines="50"/>
              <w:jc w:val="center"/>
              <w:rPr>
                <w:rFonts w:ascii="宋体"/>
                <w:b/>
                <w:kern w:val="0"/>
                <w:sz w:val="18"/>
                <w:szCs w:val="18"/>
              </w:rPr>
            </w:pPr>
          </w:p>
        </w:tc>
        <w:tc>
          <w:tcPr>
            <w:tcW w:w="992" w:type="dxa"/>
            <w:vMerge w:val="continue"/>
            <w:vAlign w:val="center"/>
          </w:tcPr>
          <w:p w14:paraId="1E4441FD">
            <w:pPr>
              <w:spacing w:before="156" w:beforeLines="50" w:after="156" w:afterLines="50"/>
              <w:jc w:val="left"/>
              <w:rPr>
                <w:rFonts w:ascii="宋体"/>
                <w:b/>
                <w:kern w:val="0"/>
                <w:sz w:val="18"/>
                <w:szCs w:val="18"/>
              </w:rPr>
            </w:pPr>
          </w:p>
        </w:tc>
        <w:tc>
          <w:tcPr>
            <w:tcW w:w="2410" w:type="dxa"/>
            <w:vMerge w:val="continue"/>
            <w:vAlign w:val="center"/>
          </w:tcPr>
          <w:p w14:paraId="58D10015">
            <w:pPr>
              <w:spacing w:before="156" w:beforeLines="50" w:after="156" w:afterLines="50"/>
              <w:jc w:val="left"/>
              <w:rPr>
                <w:rFonts w:ascii="宋体"/>
                <w:b/>
                <w:kern w:val="0"/>
                <w:sz w:val="18"/>
                <w:szCs w:val="18"/>
              </w:rPr>
            </w:pPr>
          </w:p>
        </w:tc>
        <w:tc>
          <w:tcPr>
            <w:tcW w:w="10569" w:type="dxa"/>
            <w:gridSpan w:val="4"/>
            <w:tcBorders>
              <w:top w:val="single" w:color="auto" w:sz="4" w:space="0"/>
              <w:bottom w:val="single" w:color="auto" w:sz="4" w:space="0"/>
              <w:right w:val="single" w:color="auto" w:sz="4" w:space="0"/>
            </w:tcBorders>
            <w:vAlign w:val="center"/>
          </w:tcPr>
          <w:p w14:paraId="186A5632">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E04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20F00E29">
            <w:pPr>
              <w:spacing w:before="156" w:beforeLines="50" w:after="156" w:afterLines="50"/>
              <w:jc w:val="center"/>
              <w:rPr>
                <w:rFonts w:ascii="宋体"/>
                <w:b/>
                <w:kern w:val="0"/>
                <w:sz w:val="18"/>
                <w:szCs w:val="18"/>
              </w:rPr>
            </w:pPr>
          </w:p>
        </w:tc>
        <w:tc>
          <w:tcPr>
            <w:tcW w:w="876" w:type="dxa"/>
            <w:vMerge w:val="continue"/>
            <w:vAlign w:val="center"/>
          </w:tcPr>
          <w:p w14:paraId="0D43E7BD">
            <w:pPr>
              <w:spacing w:before="156" w:beforeLines="50" w:after="156" w:afterLines="50"/>
              <w:jc w:val="center"/>
              <w:rPr>
                <w:rFonts w:ascii="宋体"/>
                <w:b/>
                <w:kern w:val="0"/>
                <w:sz w:val="18"/>
                <w:szCs w:val="18"/>
              </w:rPr>
            </w:pPr>
          </w:p>
        </w:tc>
        <w:tc>
          <w:tcPr>
            <w:tcW w:w="1377" w:type="dxa"/>
            <w:vMerge w:val="restart"/>
            <w:vAlign w:val="center"/>
          </w:tcPr>
          <w:p w14:paraId="297131E8">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14:paraId="204E2F65">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14:paraId="3F7DEA4C">
            <w:pPr>
              <w:spacing w:before="156" w:beforeLines="50" w:after="156" w:afterLines="50"/>
              <w:jc w:val="left"/>
              <w:rPr>
                <w:rFonts w:ascii="宋体"/>
                <w:b/>
                <w:kern w:val="0"/>
                <w:sz w:val="18"/>
                <w:szCs w:val="18"/>
              </w:rPr>
            </w:pPr>
          </w:p>
        </w:tc>
        <w:tc>
          <w:tcPr>
            <w:tcW w:w="2410" w:type="dxa"/>
            <w:vMerge w:val="continue"/>
            <w:vAlign w:val="center"/>
          </w:tcPr>
          <w:p w14:paraId="6AB1C6D5">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14:paraId="54A6AFB0">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40" w:type="dxa"/>
            <w:vMerge w:val="restart"/>
            <w:tcBorders>
              <w:top w:val="single" w:color="auto" w:sz="4" w:space="0"/>
              <w:right w:val="single" w:color="auto" w:sz="4" w:space="0"/>
            </w:tcBorders>
            <w:vAlign w:val="center"/>
          </w:tcPr>
          <w:p w14:paraId="3AF889A0">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13B6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14:paraId="12A3888F">
            <w:pPr>
              <w:spacing w:before="156" w:beforeLines="50" w:after="156" w:afterLines="50"/>
              <w:jc w:val="left"/>
              <w:rPr>
                <w:rFonts w:ascii="宋体"/>
                <w:b/>
                <w:kern w:val="0"/>
                <w:sz w:val="18"/>
                <w:szCs w:val="18"/>
              </w:rPr>
            </w:pPr>
          </w:p>
        </w:tc>
        <w:tc>
          <w:tcPr>
            <w:tcW w:w="876" w:type="dxa"/>
            <w:vMerge w:val="continue"/>
            <w:vAlign w:val="center"/>
          </w:tcPr>
          <w:p w14:paraId="688D4733">
            <w:pPr>
              <w:spacing w:before="156" w:beforeLines="50" w:after="156" w:afterLines="50"/>
              <w:jc w:val="left"/>
              <w:rPr>
                <w:rFonts w:ascii="宋体"/>
                <w:b/>
                <w:kern w:val="0"/>
                <w:sz w:val="18"/>
                <w:szCs w:val="18"/>
              </w:rPr>
            </w:pPr>
          </w:p>
        </w:tc>
        <w:tc>
          <w:tcPr>
            <w:tcW w:w="1377" w:type="dxa"/>
            <w:vMerge w:val="continue"/>
            <w:vAlign w:val="center"/>
          </w:tcPr>
          <w:p w14:paraId="3F1DA1D9">
            <w:pPr>
              <w:spacing w:before="156" w:beforeLines="50" w:after="156" w:afterLines="50"/>
              <w:jc w:val="left"/>
              <w:rPr>
                <w:rFonts w:ascii="宋体"/>
                <w:b/>
                <w:kern w:val="0"/>
                <w:sz w:val="18"/>
                <w:szCs w:val="18"/>
              </w:rPr>
            </w:pPr>
          </w:p>
        </w:tc>
        <w:tc>
          <w:tcPr>
            <w:tcW w:w="2243" w:type="dxa"/>
            <w:vMerge w:val="continue"/>
            <w:vAlign w:val="center"/>
          </w:tcPr>
          <w:p w14:paraId="26F1E88C">
            <w:pPr>
              <w:spacing w:before="156" w:beforeLines="50" w:after="156" w:afterLines="50"/>
              <w:jc w:val="left"/>
              <w:rPr>
                <w:rFonts w:ascii="宋体"/>
                <w:b/>
                <w:kern w:val="0"/>
                <w:sz w:val="18"/>
                <w:szCs w:val="18"/>
              </w:rPr>
            </w:pPr>
          </w:p>
        </w:tc>
        <w:tc>
          <w:tcPr>
            <w:tcW w:w="992" w:type="dxa"/>
            <w:vMerge w:val="continue"/>
            <w:vAlign w:val="center"/>
          </w:tcPr>
          <w:p w14:paraId="345EA1FC">
            <w:pPr>
              <w:spacing w:before="156" w:beforeLines="50" w:after="156" w:afterLines="50"/>
              <w:jc w:val="left"/>
              <w:rPr>
                <w:rFonts w:ascii="宋体"/>
                <w:b/>
                <w:kern w:val="0"/>
                <w:sz w:val="18"/>
                <w:szCs w:val="18"/>
              </w:rPr>
            </w:pPr>
          </w:p>
        </w:tc>
        <w:tc>
          <w:tcPr>
            <w:tcW w:w="2410" w:type="dxa"/>
            <w:vMerge w:val="continue"/>
            <w:vAlign w:val="center"/>
          </w:tcPr>
          <w:p w14:paraId="6B39AC1A">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14:paraId="2B1D491A">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14:paraId="41609BF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14:paraId="07D62DD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40" w:type="dxa"/>
            <w:vMerge w:val="continue"/>
            <w:tcBorders>
              <w:right w:val="single" w:color="auto" w:sz="4" w:space="0"/>
            </w:tcBorders>
            <w:vAlign w:val="center"/>
          </w:tcPr>
          <w:p w14:paraId="3A3FBE06">
            <w:pPr>
              <w:spacing w:before="156" w:beforeLines="50" w:after="156" w:afterLines="50"/>
              <w:jc w:val="left"/>
              <w:rPr>
                <w:rFonts w:ascii="宋体"/>
                <w:b/>
                <w:sz w:val="18"/>
                <w:szCs w:val="18"/>
              </w:rPr>
            </w:pPr>
          </w:p>
        </w:tc>
      </w:tr>
      <w:tr w14:paraId="68DD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14:paraId="00DA1905">
            <w:pPr>
              <w:spacing w:before="156" w:beforeLines="50" w:after="156" w:afterLines="50"/>
              <w:jc w:val="center"/>
              <w:rPr>
                <w:rFonts w:ascii="宋体"/>
                <w:kern w:val="0"/>
                <w:sz w:val="18"/>
                <w:szCs w:val="18"/>
              </w:rPr>
            </w:pPr>
            <w:r>
              <w:rPr>
                <w:rFonts w:hint="eastAsia" w:ascii="宋体"/>
                <w:kern w:val="0"/>
                <w:sz w:val="18"/>
                <w:szCs w:val="18"/>
              </w:rPr>
              <w:t>31</w:t>
            </w:r>
          </w:p>
        </w:tc>
        <w:tc>
          <w:tcPr>
            <w:tcW w:w="876" w:type="dxa"/>
            <w:vMerge w:val="restart"/>
            <w:vAlign w:val="center"/>
          </w:tcPr>
          <w:p w14:paraId="5D4722EC">
            <w:pPr>
              <w:widowControl/>
              <w:spacing w:before="156" w:beforeLines="50" w:after="156" w:afterLines="50"/>
              <w:rPr>
                <w:sz w:val="18"/>
                <w:szCs w:val="18"/>
              </w:rPr>
            </w:pPr>
            <w:r>
              <w:rPr>
                <w:rFonts w:hint="eastAsia" w:ascii="宋体"/>
                <w:kern w:val="0"/>
                <w:sz w:val="18"/>
                <w:szCs w:val="18"/>
              </w:rPr>
              <w:t>未按照要求保持正规了望</w:t>
            </w:r>
          </w:p>
        </w:tc>
        <w:tc>
          <w:tcPr>
            <w:tcW w:w="1377" w:type="dxa"/>
            <w:vMerge w:val="restart"/>
            <w:vAlign w:val="center"/>
          </w:tcPr>
          <w:p w14:paraId="57C29AC0">
            <w:pPr>
              <w:widowControl/>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内河交通安全管理条例》第十七条第四款；</w:t>
            </w:r>
          </w:p>
          <w:p w14:paraId="1A2BA15A">
            <w:pPr>
              <w:widowControl/>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w:t>
            </w:r>
            <w:r>
              <w:rPr>
                <w:rFonts w:hint="eastAsia"/>
                <w:sz w:val="18"/>
                <w:szCs w:val="18"/>
              </w:rPr>
              <w:t>中华人民共和国</w:t>
            </w:r>
            <w:r>
              <w:rPr>
                <w:rFonts w:hint="eastAsia" w:ascii="宋体"/>
                <w:sz w:val="18"/>
                <w:szCs w:val="18"/>
              </w:rPr>
              <w:t>内河避碰规则》（</w:t>
            </w:r>
            <w:r>
              <w:rPr>
                <w:rFonts w:ascii="宋体"/>
                <w:sz w:val="18"/>
                <w:szCs w:val="18"/>
              </w:rPr>
              <w:t>2003</w:t>
            </w:r>
            <w:r>
              <w:rPr>
                <w:rFonts w:hint="eastAsia" w:ascii="宋体"/>
                <w:sz w:val="18"/>
                <w:szCs w:val="18"/>
              </w:rPr>
              <w:t>修订本）第六条。</w:t>
            </w:r>
          </w:p>
        </w:tc>
        <w:tc>
          <w:tcPr>
            <w:tcW w:w="2243" w:type="dxa"/>
            <w:vMerge w:val="restart"/>
            <w:vAlign w:val="center"/>
          </w:tcPr>
          <w:p w14:paraId="2D88C340">
            <w:pPr>
              <w:widowControl/>
              <w:spacing w:before="156" w:beforeLines="50" w:after="156" w:afterLines="50"/>
              <w:rPr>
                <w:sz w:val="18"/>
                <w:szCs w:val="18"/>
              </w:rPr>
            </w:pPr>
            <w:r>
              <w:rPr>
                <w:rFonts w:hint="eastAsia"/>
                <w:sz w:val="18"/>
                <w:szCs w:val="18"/>
              </w:rPr>
              <w:t>1.《中华人民共和国内河交通安全管理条例》第八十一条；</w:t>
            </w:r>
          </w:p>
          <w:p w14:paraId="3A056E2B">
            <w:pPr>
              <w:widowControl/>
              <w:spacing w:before="156" w:beforeLines="50" w:after="156" w:afterLines="50"/>
              <w:rPr>
                <w:sz w:val="18"/>
                <w:szCs w:val="18"/>
              </w:rPr>
            </w:pPr>
            <w:r>
              <w:rPr>
                <w:rFonts w:hint="eastAsia"/>
                <w:sz w:val="18"/>
                <w:szCs w:val="18"/>
              </w:rPr>
              <w:t>2.《中华人民共和国内河海事行政处罚规定》第十七条第一款和第二款第（二）项；</w:t>
            </w:r>
          </w:p>
          <w:p w14:paraId="27BB0618">
            <w:pPr>
              <w:widowControl/>
              <w:spacing w:before="156" w:beforeLines="50" w:after="156" w:afterLines="50"/>
              <w:rPr>
                <w:sz w:val="18"/>
                <w:szCs w:val="18"/>
              </w:rPr>
            </w:pPr>
            <w:r>
              <w:rPr>
                <w:rFonts w:hint="eastAsia"/>
                <w:sz w:val="18"/>
                <w:szCs w:val="18"/>
              </w:rPr>
              <w:t>3.《中华人民共和国行政处罚法》第三十二条（从轻）。</w:t>
            </w:r>
          </w:p>
          <w:p w14:paraId="76E51651">
            <w:pPr>
              <w:widowControl/>
              <w:spacing w:before="156" w:beforeLines="50" w:after="156" w:afterLines="50"/>
              <w:rPr>
                <w:sz w:val="18"/>
                <w:szCs w:val="18"/>
              </w:rPr>
            </w:pPr>
          </w:p>
        </w:tc>
        <w:tc>
          <w:tcPr>
            <w:tcW w:w="992" w:type="dxa"/>
            <w:vAlign w:val="center"/>
          </w:tcPr>
          <w:p w14:paraId="4A05D82A">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14:paraId="479CA69D">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14:paraId="49901802">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14:paraId="3D9AC8FB">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14:paraId="12ACCF37">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40" w:type="dxa"/>
            <w:tcBorders>
              <w:right w:val="single" w:color="auto" w:sz="4" w:space="0"/>
            </w:tcBorders>
            <w:vAlign w:val="center"/>
          </w:tcPr>
          <w:p w14:paraId="6D57ADA0">
            <w:pPr>
              <w:widowControl/>
              <w:spacing w:before="156" w:beforeLines="50" w:after="156" w:afterLines="50"/>
              <w:rPr>
                <w:sz w:val="18"/>
                <w:szCs w:val="18"/>
              </w:rPr>
            </w:pPr>
            <w:r>
              <w:rPr>
                <w:rFonts w:hint="eastAsia"/>
                <w:sz w:val="18"/>
                <w:szCs w:val="18"/>
              </w:rPr>
              <w:t>/</w:t>
            </w:r>
          </w:p>
        </w:tc>
      </w:tr>
      <w:tr w14:paraId="7377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14:paraId="1FE53E33">
            <w:pPr>
              <w:spacing w:before="156" w:beforeLines="50" w:after="156" w:afterLines="50"/>
              <w:jc w:val="left"/>
              <w:rPr>
                <w:rFonts w:ascii="宋体"/>
                <w:kern w:val="0"/>
                <w:sz w:val="18"/>
                <w:szCs w:val="18"/>
              </w:rPr>
            </w:pPr>
          </w:p>
        </w:tc>
        <w:tc>
          <w:tcPr>
            <w:tcW w:w="876" w:type="dxa"/>
            <w:vMerge w:val="continue"/>
            <w:vAlign w:val="center"/>
          </w:tcPr>
          <w:p w14:paraId="7E6DD0EB">
            <w:pPr>
              <w:spacing w:before="156" w:beforeLines="50" w:after="156" w:afterLines="50"/>
              <w:jc w:val="left"/>
              <w:rPr>
                <w:rFonts w:ascii="宋体"/>
                <w:kern w:val="0"/>
                <w:sz w:val="18"/>
                <w:szCs w:val="18"/>
              </w:rPr>
            </w:pPr>
          </w:p>
        </w:tc>
        <w:tc>
          <w:tcPr>
            <w:tcW w:w="1377" w:type="dxa"/>
            <w:vMerge w:val="continue"/>
            <w:vAlign w:val="center"/>
          </w:tcPr>
          <w:p w14:paraId="2F6A05E0">
            <w:pPr>
              <w:widowControl/>
              <w:spacing w:before="156" w:beforeLines="50" w:after="156" w:afterLines="50"/>
              <w:jc w:val="left"/>
              <w:rPr>
                <w:rFonts w:ascii="宋体"/>
                <w:kern w:val="0"/>
                <w:sz w:val="18"/>
                <w:szCs w:val="18"/>
              </w:rPr>
            </w:pPr>
          </w:p>
        </w:tc>
        <w:tc>
          <w:tcPr>
            <w:tcW w:w="2243" w:type="dxa"/>
            <w:vMerge w:val="continue"/>
            <w:vAlign w:val="center"/>
          </w:tcPr>
          <w:p w14:paraId="6BCFF35C">
            <w:pPr>
              <w:widowControl/>
              <w:spacing w:before="156" w:beforeLines="50" w:after="156" w:afterLines="50"/>
              <w:rPr>
                <w:sz w:val="18"/>
                <w:szCs w:val="18"/>
              </w:rPr>
            </w:pPr>
          </w:p>
        </w:tc>
        <w:tc>
          <w:tcPr>
            <w:tcW w:w="992" w:type="dxa"/>
            <w:vMerge w:val="restart"/>
            <w:vAlign w:val="center"/>
          </w:tcPr>
          <w:p w14:paraId="2DF54E99">
            <w:pPr>
              <w:widowControl/>
              <w:spacing w:before="156" w:beforeLines="50" w:after="156" w:afterLines="50"/>
              <w:jc w:val="center"/>
              <w:rPr>
                <w:sz w:val="18"/>
                <w:szCs w:val="18"/>
              </w:rPr>
            </w:pPr>
            <w:r>
              <w:rPr>
                <w:rFonts w:hint="eastAsia"/>
                <w:sz w:val="18"/>
                <w:szCs w:val="18"/>
              </w:rPr>
              <w:t>一般</w:t>
            </w:r>
          </w:p>
        </w:tc>
        <w:tc>
          <w:tcPr>
            <w:tcW w:w="2410" w:type="dxa"/>
            <w:vAlign w:val="center"/>
          </w:tcPr>
          <w:p w14:paraId="07ABCC35">
            <w:pPr>
              <w:widowControl/>
              <w:spacing w:before="156" w:beforeLines="50" w:after="156" w:afterLines="50"/>
              <w:rPr>
                <w:sz w:val="18"/>
                <w:szCs w:val="18"/>
              </w:rPr>
            </w:pPr>
            <w:r>
              <w:rPr>
                <w:rFonts w:hint="eastAsia"/>
                <w:sz w:val="18"/>
                <w:szCs w:val="18"/>
              </w:rPr>
              <w:t>未按照要求保持正规了望，未造成险情、事故的。</w:t>
            </w:r>
          </w:p>
        </w:tc>
        <w:tc>
          <w:tcPr>
            <w:tcW w:w="2268" w:type="dxa"/>
            <w:tcBorders>
              <w:right w:val="single" w:color="auto" w:sz="4" w:space="0"/>
            </w:tcBorders>
            <w:vAlign w:val="center"/>
          </w:tcPr>
          <w:p w14:paraId="68A7F701">
            <w:pPr>
              <w:widowControl/>
              <w:spacing w:before="156" w:beforeLines="50" w:after="156" w:afterLines="50"/>
              <w:rPr>
                <w:sz w:val="18"/>
                <w:szCs w:val="18"/>
              </w:rPr>
            </w:pPr>
            <w:r>
              <w:rPr>
                <w:rFonts w:hint="eastAsia"/>
                <w:sz w:val="18"/>
                <w:szCs w:val="18"/>
              </w:rPr>
              <w:t>2000元及以上3000元以下</w:t>
            </w:r>
          </w:p>
        </w:tc>
        <w:tc>
          <w:tcPr>
            <w:tcW w:w="2410" w:type="dxa"/>
            <w:tcBorders>
              <w:right w:val="single" w:color="auto" w:sz="4" w:space="0"/>
            </w:tcBorders>
            <w:vAlign w:val="center"/>
          </w:tcPr>
          <w:p w14:paraId="53A7F2DF">
            <w:pPr>
              <w:widowControl/>
              <w:spacing w:before="156" w:beforeLines="50" w:after="156" w:afterLines="50"/>
              <w:rPr>
                <w:sz w:val="18"/>
                <w:szCs w:val="18"/>
              </w:rPr>
            </w:pPr>
            <w:r>
              <w:rPr>
                <w:rFonts w:hint="eastAsia"/>
                <w:sz w:val="18"/>
                <w:szCs w:val="18"/>
              </w:rPr>
              <w:t>2000元及以上4000元以下</w:t>
            </w:r>
          </w:p>
        </w:tc>
        <w:tc>
          <w:tcPr>
            <w:tcW w:w="2551" w:type="dxa"/>
            <w:tcBorders>
              <w:right w:val="single" w:color="auto" w:sz="4" w:space="0"/>
            </w:tcBorders>
            <w:vAlign w:val="center"/>
          </w:tcPr>
          <w:p w14:paraId="65A47937">
            <w:pPr>
              <w:widowControl/>
              <w:spacing w:before="156" w:beforeLines="50" w:after="156" w:afterLines="50"/>
              <w:rPr>
                <w:sz w:val="18"/>
                <w:szCs w:val="18"/>
              </w:rPr>
            </w:pPr>
            <w:r>
              <w:rPr>
                <w:rFonts w:hint="eastAsia"/>
                <w:sz w:val="18"/>
                <w:szCs w:val="18"/>
              </w:rPr>
              <w:t>2000元及以上5000元以下</w:t>
            </w:r>
          </w:p>
        </w:tc>
        <w:tc>
          <w:tcPr>
            <w:tcW w:w="3340" w:type="dxa"/>
            <w:tcBorders>
              <w:right w:val="single" w:color="auto" w:sz="4" w:space="0"/>
            </w:tcBorders>
            <w:vAlign w:val="center"/>
          </w:tcPr>
          <w:p w14:paraId="319419D3">
            <w:pPr>
              <w:widowControl/>
              <w:spacing w:before="156" w:beforeLines="50" w:after="156" w:afterLines="50"/>
              <w:rPr>
                <w:sz w:val="18"/>
                <w:szCs w:val="18"/>
              </w:rPr>
            </w:pPr>
            <w:r>
              <w:rPr>
                <w:rFonts w:hint="eastAsia"/>
                <w:sz w:val="18"/>
                <w:szCs w:val="18"/>
              </w:rPr>
              <w:t>/</w:t>
            </w:r>
          </w:p>
        </w:tc>
      </w:tr>
      <w:tr w14:paraId="661D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14:paraId="1AC9343A">
            <w:pPr>
              <w:spacing w:before="156" w:beforeLines="50" w:after="156" w:afterLines="50"/>
              <w:jc w:val="left"/>
              <w:rPr>
                <w:rFonts w:ascii="宋体"/>
                <w:kern w:val="0"/>
                <w:sz w:val="18"/>
                <w:szCs w:val="18"/>
              </w:rPr>
            </w:pPr>
          </w:p>
        </w:tc>
        <w:tc>
          <w:tcPr>
            <w:tcW w:w="876" w:type="dxa"/>
            <w:vMerge w:val="continue"/>
            <w:vAlign w:val="center"/>
          </w:tcPr>
          <w:p w14:paraId="5D3E254B">
            <w:pPr>
              <w:spacing w:before="156" w:beforeLines="50" w:after="156" w:afterLines="50"/>
              <w:jc w:val="left"/>
              <w:rPr>
                <w:rFonts w:ascii="宋体"/>
                <w:kern w:val="0"/>
                <w:sz w:val="18"/>
                <w:szCs w:val="18"/>
              </w:rPr>
            </w:pPr>
          </w:p>
        </w:tc>
        <w:tc>
          <w:tcPr>
            <w:tcW w:w="1377" w:type="dxa"/>
            <w:vMerge w:val="continue"/>
            <w:vAlign w:val="center"/>
          </w:tcPr>
          <w:p w14:paraId="4C712E98">
            <w:pPr>
              <w:spacing w:before="156" w:beforeLines="50" w:after="156" w:afterLines="50"/>
              <w:jc w:val="left"/>
              <w:rPr>
                <w:rFonts w:ascii="宋体"/>
                <w:kern w:val="0"/>
                <w:sz w:val="18"/>
                <w:szCs w:val="18"/>
              </w:rPr>
            </w:pPr>
          </w:p>
        </w:tc>
        <w:tc>
          <w:tcPr>
            <w:tcW w:w="2243" w:type="dxa"/>
            <w:vMerge w:val="continue"/>
            <w:vAlign w:val="center"/>
          </w:tcPr>
          <w:p w14:paraId="1DB33A8E">
            <w:pPr>
              <w:widowControl/>
              <w:spacing w:before="156" w:beforeLines="50" w:after="156" w:afterLines="50"/>
              <w:rPr>
                <w:sz w:val="18"/>
                <w:szCs w:val="18"/>
              </w:rPr>
            </w:pPr>
          </w:p>
        </w:tc>
        <w:tc>
          <w:tcPr>
            <w:tcW w:w="992" w:type="dxa"/>
            <w:vMerge w:val="continue"/>
            <w:tcBorders>
              <w:bottom w:val="single" w:color="auto" w:sz="4" w:space="0"/>
            </w:tcBorders>
            <w:vAlign w:val="center"/>
          </w:tcPr>
          <w:p w14:paraId="123A9193">
            <w:pPr>
              <w:widowControl/>
              <w:spacing w:before="156" w:beforeLines="50" w:after="156" w:afterLines="50"/>
              <w:jc w:val="center"/>
              <w:rPr>
                <w:sz w:val="18"/>
                <w:szCs w:val="18"/>
              </w:rPr>
            </w:pPr>
          </w:p>
        </w:tc>
        <w:tc>
          <w:tcPr>
            <w:tcW w:w="2410" w:type="dxa"/>
            <w:tcBorders>
              <w:top w:val="single" w:color="auto" w:sz="4" w:space="0"/>
              <w:bottom w:val="single" w:color="auto" w:sz="4" w:space="0"/>
            </w:tcBorders>
            <w:vAlign w:val="center"/>
          </w:tcPr>
          <w:p w14:paraId="75290A2F">
            <w:pPr>
              <w:widowControl/>
              <w:spacing w:before="156" w:beforeLines="50" w:after="156" w:afterLines="50"/>
              <w:rPr>
                <w:sz w:val="18"/>
                <w:szCs w:val="18"/>
              </w:rPr>
            </w:pPr>
            <w:r>
              <w:rPr>
                <w:rFonts w:hint="eastAsia"/>
                <w:sz w:val="18"/>
                <w:szCs w:val="18"/>
              </w:rPr>
              <w:t>未按照要求保持正规了望，导致发生一般以下水上交通事故的。</w:t>
            </w:r>
          </w:p>
        </w:tc>
        <w:tc>
          <w:tcPr>
            <w:tcW w:w="2268" w:type="dxa"/>
            <w:tcBorders>
              <w:top w:val="single" w:color="auto" w:sz="4" w:space="0"/>
              <w:bottom w:val="single" w:color="auto" w:sz="4" w:space="0"/>
              <w:right w:val="single" w:color="auto" w:sz="4" w:space="0"/>
            </w:tcBorders>
            <w:vAlign w:val="center"/>
          </w:tcPr>
          <w:p w14:paraId="7571FDCD">
            <w:pPr>
              <w:widowControl/>
              <w:spacing w:before="156" w:beforeLines="50" w:after="156" w:afterLines="50"/>
              <w:rPr>
                <w:sz w:val="18"/>
                <w:szCs w:val="18"/>
              </w:rPr>
            </w:pPr>
            <w:r>
              <w:rPr>
                <w:rFonts w:hint="eastAsia"/>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14:paraId="61F0970E">
            <w:pPr>
              <w:widowControl/>
              <w:spacing w:before="156" w:beforeLines="50" w:after="156" w:afterLines="50"/>
              <w:rPr>
                <w:sz w:val="18"/>
                <w:szCs w:val="18"/>
              </w:rPr>
            </w:pPr>
            <w:r>
              <w:rPr>
                <w:rFonts w:hint="eastAsia"/>
                <w:sz w:val="18"/>
                <w:szCs w:val="18"/>
              </w:rPr>
              <w:t>4000元及以上6000元以下</w:t>
            </w:r>
          </w:p>
        </w:tc>
        <w:tc>
          <w:tcPr>
            <w:tcW w:w="2551" w:type="dxa"/>
            <w:tcBorders>
              <w:right w:val="single" w:color="auto" w:sz="4" w:space="0"/>
            </w:tcBorders>
            <w:vAlign w:val="center"/>
          </w:tcPr>
          <w:p w14:paraId="68D096C4">
            <w:pPr>
              <w:widowControl/>
              <w:spacing w:before="156" w:beforeLines="50" w:after="156" w:afterLines="50"/>
              <w:rPr>
                <w:sz w:val="18"/>
                <w:szCs w:val="18"/>
              </w:rPr>
            </w:pPr>
            <w:r>
              <w:rPr>
                <w:rFonts w:hint="eastAsia"/>
                <w:sz w:val="18"/>
                <w:szCs w:val="18"/>
              </w:rPr>
              <w:t>5000元及以上8000元以下</w:t>
            </w:r>
          </w:p>
        </w:tc>
        <w:tc>
          <w:tcPr>
            <w:tcW w:w="3340" w:type="dxa"/>
            <w:tcBorders>
              <w:right w:val="single" w:color="auto" w:sz="4" w:space="0"/>
            </w:tcBorders>
            <w:vAlign w:val="center"/>
          </w:tcPr>
          <w:p w14:paraId="0FB08E23">
            <w:pPr>
              <w:widowControl/>
              <w:spacing w:before="156" w:beforeLines="50" w:after="156" w:afterLines="50"/>
              <w:rPr>
                <w:sz w:val="18"/>
                <w:szCs w:val="18"/>
              </w:rPr>
            </w:pPr>
            <w:r>
              <w:rPr>
                <w:rFonts w:hint="eastAsia"/>
                <w:sz w:val="18"/>
                <w:szCs w:val="18"/>
              </w:rPr>
              <w:t>/</w:t>
            </w:r>
          </w:p>
        </w:tc>
      </w:tr>
      <w:tr w14:paraId="2085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trPr>
        <w:tc>
          <w:tcPr>
            <w:tcW w:w="690" w:type="dxa"/>
            <w:vMerge w:val="continue"/>
            <w:vAlign w:val="center"/>
          </w:tcPr>
          <w:p w14:paraId="64B9523B">
            <w:pPr>
              <w:spacing w:before="156" w:beforeLines="50" w:after="156" w:afterLines="50"/>
              <w:jc w:val="left"/>
              <w:rPr>
                <w:rFonts w:ascii="宋体"/>
                <w:kern w:val="0"/>
                <w:sz w:val="18"/>
                <w:szCs w:val="18"/>
              </w:rPr>
            </w:pPr>
          </w:p>
        </w:tc>
        <w:tc>
          <w:tcPr>
            <w:tcW w:w="876" w:type="dxa"/>
            <w:vMerge w:val="continue"/>
            <w:vAlign w:val="center"/>
          </w:tcPr>
          <w:p w14:paraId="7A4E9C5A">
            <w:pPr>
              <w:spacing w:before="156" w:beforeLines="50" w:after="156" w:afterLines="50"/>
              <w:jc w:val="left"/>
              <w:rPr>
                <w:rFonts w:ascii="宋体"/>
                <w:kern w:val="0"/>
                <w:sz w:val="18"/>
                <w:szCs w:val="18"/>
              </w:rPr>
            </w:pPr>
          </w:p>
        </w:tc>
        <w:tc>
          <w:tcPr>
            <w:tcW w:w="1377" w:type="dxa"/>
            <w:vMerge w:val="continue"/>
            <w:vAlign w:val="center"/>
          </w:tcPr>
          <w:p w14:paraId="127B175A">
            <w:pPr>
              <w:spacing w:before="156" w:beforeLines="50" w:after="156" w:afterLines="50"/>
              <w:jc w:val="left"/>
              <w:rPr>
                <w:rFonts w:ascii="宋体"/>
                <w:kern w:val="0"/>
                <w:sz w:val="18"/>
                <w:szCs w:val="18"/>
              </w:rPr>
            </w:pPr>
          </w:p>
        </w:tc>
        <w:tc>
          <w:tcPr>
            <w:tcW w:w="2243" w:type="dxa"/>
            <w:vMerge w:val="continue"/>
            <w:vAlign w:val="center"/>
          </w:tcPr>
          <w:p w14:paraId="5617DACA">
            <w:pPr>
              <w:widowControl/>
              <w:spacing w:before="156" w:beforeLines="50" w:after="156" w:afterLines="50"/>
              <w:rPr>
                <w:sz w:val="18"/>
                <w:szCs w:val="18"/>
              </w:rPr>
            </w:pPr>
          </w:p>
        </w:tc>
        <w:tc>
          <w:tcPr>
            <w:tcW w:w="992" w:type="dxa"/>
            <w:vMerge w:val="restart"/>
            <w:tcBorders>
              <w:top w:val="single" w:color="auto" w:sz="4" w:space="0"/>
              <w:right w:val="single" w:color="auto" w:sz="4" w:space="0"/>
            </w:tcBorders>
            <w:vAlign w:val="center"/>
          </w:tcPr>
          <w:p w14:paraId="24879EC9">
            <w:pPr>
              <w:widowControl/>
              <w:spacing w:before="156" w:beforeLines="50" w:after="156" w:afterLines="50"/>
              <w:jc w:val="center"/>
              <w:rPr>
                <w:sz w:val="18"/>
                <w:szCs w:val="18"/>
              </w:rPr>
            </w:pPr>
            <w:r>
              <w:rPr>
                <w:rFonts w:hint="eastAsia"/>
                <w:sz w:val="18"/>
                <w:szCs w:val="18"/>
              </w:rPr>
              <w:t>情节</w:t>
            </w:r>
          </w:p>
          <w:p w14:paraId="05A8277C">
            <w:pPr>
              <w:widowControl/>
              <w:spacing w:before="156" w:beforeLines="50" w:after="156" w:afterLines="50"/>
              <w:jc w:val="center"/>
              <w:rPr>
                <w:sz w:val="18"/>
                <w:szCs w:val="18"/>
              </w:rPr>
            </w:pPr>
            <w:r>
              <w:rPr>
                <w:rFonts w:hint="eastAsia"/>
                <w:sz w:val="18"/>
                <w:szCs w:val="18"/>
              </w:rPr>
              <w:t>严重</w:t>
            </w:r>
          </w:p>
        </w:tc>
        <w:tc>
          <w:tcPr>
            <w:tcW w:w="2410" w:type="dxa"/>
            <w:tcBorders>
              <w:top w:val="single" w:color="auto" w:sz="4" w:space="0"/>
              <w:left w:val="single" w:color="auto" w:sz="4" w:space="0"/>
              <w:bottom w:val="single" w:color="auto" w:sz="4" w:space="0"/>
            </w:tcBorders>
            <w:vAlign w:val="center"/>
          </w:tcPr>
          <w:p w14:paraId="64F30B84">
            <w:pPr>
              <w:widowControl/>
              <w:spacing w:before="156" w:beforeLines="50" w:after="156" w:afterLines="50"/>
              <w:rPr>
                <w:sz w:val="18"/>
                <w:szCs w:val="18"/>
              </w:rPr>
            </w:pPr>
            <w:r>
              <w:rPr>
                <w:rFonts w:hint="eastAsia"/>
                <w:sz w:val="18"/>
                <w:szCs w:val="18"/>
              </w:rPr>
              <w:t>未按照要求保持正规了望，导致发生一般及以上水上交通事故的。</w:t>
            </w:r>
          </w:p>
        </w:tc>
        <w:tc>
          <w:tcPr>
            <w:tcW w:w="2268" w:type="dxa"/>
            <w:vMerge w:val="restart"/>
            <w:tcBorders>
              <w:top w:val="single" w:color="auto" w:sz="4" w:space="0"/>
              <w:right w:val="single" w:color="auto" w:sz="4" w:space="0"/>
            </w:tcBorders>
            <w:vAlign w:val="center"/>
          </w:tcPr>
          <w:p w14:paraId="58CDA704">
            <w:pPr>
              <w:widowControl/>
              <w:spacing w:before="156" w:beforeLines="50" w:after="156" w:afterLines="50"/>
              <w:rPr>
                <w:sz w:val="18"/>
                <w:szCs w:val="18"/>
              </w:rPr>
            </w:pPr>
            <w:r>
              <w:rPr>
                <w:rFonts w:hint="eastAsia"/>
                <w:sz w:val="18"/>
                <w:szCs w:val="18"/>
              </w:rPr>
              <w:t>5000元及以上1万元及以下</w:t>
            </w:r>
          </w:p>
        </w:tc>
        <w:tc>
          <w:tcPr>
            <w:tcW w:w="2410" w:type="dxa"/>
            <w:vMerge w:val="restart"/>
            <w:tcBorders>
              <w:top w:val="single" w:color="auto" w:sz="4" w:space="0"/>
              <w:right w:val="single" w:color="auto" w:sz="4" w:space="0"/>
            </w:tcBorders>
            <w:vAlign w:val="center"/>
          </w:tcPr>
          <w:p w14:paraId="71DA1EBC">
            <w:pPr>
              <w:widowControl/>
              <w:spacing w:before="156" w:beforeLines="50" w:after="156" w:afterLines="50"/>
              <w:rPr>
                <w:sz w:val="18"/>
                <w:szCs w:val="18"/>
              </w:rPr>
            </w:pPr>
          </w:p>
          <w:p w14:paraId="7E8A39B5">
            <w:pPr>
              <w:widowControl/>
              <w:spacing w:before="156" w:beforeLines="50" w:after="156" w:afterLines="50"/>
              <w:rPr>
                <w:sz w:val="18"/>
                <w:szCs w:val="18"/>
              </w:rPr>
            </w:pPr>
            <w:r>
              <w:rPr>
                <w:rFonts w:hint="eastAsia"/>
                <w:sz w:val="18"/>
                <w:szCs w:val="18"/>
              </w:rPr>
              <w:t>6000元及以上1万元及以下</w:t>
            </w:r>
          </w:p>
        </w:tc>
        <w:tc>
          <w:tcPr>
            <w:tcW w:w="2551" w:type="dxa"/>
            <w:vMerge w:val="restart"/>
            <w:tcBorders>
              <w:right w:val="single" w:color="auto" w:sz="4" w:space="0"/>
            </w:tcBorders>
            <w:vAlign w:val="center"/>
          </w:tcPr>
          <w:p w14:paraId="6F2F9178">
            <w:pPr>
              <w:widowControl/>
              <w:spacing w:before="156" w:beforeLines="50" w:after="156" w:afterLines="50"/>
              <w:rPr>
                <w:sz w:val="18"/>
                <w:szCs w:val="18"/>
              </w:rPr>
            </w:pPr>
            <w:r>
              <w:rPr>
                <w:rFonts w:hint="eastAsia"/>
                <w:sz w:val="18"/>
                <w:szCs w:val="18"/>
              </w:rPr>
              <w:t>8000元及以上1万元及以下</w:t>
            </w:r>
          </w:p>
        </w:tc>
        <w:tc>
          <w:tcPr>
            <w:tcW w:w="3340" w:type="dxa"/>
            <w:tcBorders>
              <w:bottom w:val="single" w:color="auto" w:sz="4" w:space="0"/>
              <w:right w:val="single" w:color="auto" w:sz="4" w:space="0"/>
            </w:tcBorders>
            <w:vAlign w:val="center"/>
          </w:tcPr>
          <w:p w14:paraId="522D3C51">
            <w:pPr>
              <w:widowControl/>
              <w:spacing w:before="156" w:beforeLines="50" w:after="156" w:afterLines="50"/>
              <w:rPr>
                <w:sz w:val="18"/>
                <w:szCs w:val="18"/>
              </w:rPr>
            </w:pPr>
            <w:r>
              <w:rPr>
                <w:rFonts w:hint="eastAsia"/>
                <w:sz w:val="18"/>
                <w:szCs w:val="18"/>
              </w:rPr>
              <w:t>造成一般及以上等级水上交通事故的，暂扣直至吊销证书处罚的裁量按照 《中华人民共和国内河海事行政处罚规定》第三十二条实施。</w:t>
            </w:r>
          </w:p>
        </w:tc>
      </w:tr>
      <w:tr w14:paraId="633E0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690" w:type="dxa"/>
            <w:vMerge w:val="continue"/>
            <w:vAlign w:val="center"/>
          </w:tcPr>
          <w:p w14:paraId="5D9AEDC2">
            <w:pPr>
              <w:spacing w:before="156" w:beforeLines="50" w:after="156" w:afterLines="50"/>
              <w:jc w:val="left"/>
              <w:rPr>
                <w:rFonts w:ascii="宋体"/>
                <w:kern w:val="0"/>
                <w:sz w:val="18"/>
                <w:szCs w:val="18"/>
              </w:rPr>
            </w:pPr>
          </w:p>
        </w:tc>
        <w:tc>
          <w:tcPr>
            <w:tcW w:w="876" w:type="dxa"/>
            <w:vMerge w:val="continue"/>
            <w:vAlign w:val="center"/>
          </w:tcPr>
          <w:p w14:paraId="55C488A0">
            <w:pPr>
              <w:spacing w:before="156" w:beforeLines="50" w:after="156" w:afterLines="50"/>
              <w:jc w:val="left"/>
              <w:rPr>
                <w:rFonts w:ascii="宋体"/>
                <w:kern w:val="0"/>
                <w:sz w:val="18"/>
                <w:szCs w:val="18"/>
              </w:rPr>
            </w:pPr>
          </w:p>
        </w:tc>
        <w:tc>
          <w:tcPr>
            <w:tcW w:w="1377" w:type="dxa"/>
            <w:vMerge w:val="continue"/>
            <w:vAlign w:val="center"/>
          </w:tcPr>
          <w:p w14:paraId="2D912D35">
            <w:pPr>
              <w:spacing w:before="156" w:beforeLines="50" w:after="156" w:afterLines="50"/>
              <w:jc w:val="left"/>
              <w:rPr>
                <w:rFonts w:ascii="宋体"/>
                <w:kern w:val="0"/>
                <w:sz w:val="18"/>
                <w:szCs w:val="18"/>
              </w:rPr>
            </w:pPr>
          </w:p>
        </w:tc>
        <w:tc>
          <w:tcPr>
            <w:tcW w:w="2243" w:type="dxa"/>
            <w:vMerge w:val="continue"/>
            <w:vAlign w:val="center"/>
          </w:tcPr>
          <w:p w14:paraId="5CFB46B0">
            <w:pPr>
              <w:widowControl/>
              <w:spacing w:before="156" w:beforeLines="50" w:after="156" w:afterLines="50"/>
              <w:rPr>
                <w:sz w:val="18"/>
                <w:szCs w:val="18"/>
              </w:rPr>
            </w:pPr>
          </w:p>
        </w:tc>
        <w:tc>
          <w:tcPr>
            <w:tcW w:w="992" w:type="dxa"/>
            <w:vMerge w:val="continue"/>
            <w:tcBorders>
              <w:bottom w:val="single" w:color="auto" w:sz="4" w:space="0"/>
              <w:right w:val="single" w:color="auto" w:sz="4" w:space="0"/>
            </w:tcBorders>
            <w:vAlign w:val="center"/>
          </w:tcPr>
          <w:p w14:paraId="18A9FD22">
            <w:pPr>
              <w:widowControl/>
              <w:spacing w:before="156" w:beforeLines="50" w:after="156" w:afterLines="50"/>
              <w:rPr>
                <w:sz w:val="18"/>
                <w:szCs w:val="18"/>
              </w:rPr>
            </w:pPr>
          </w:p>
        </w:tc>
        <w:tc>
          <w:tcPr>
            <w:tcW w:w="2410" w:type="dxa"/>
            <w:tcBorders>
              <w:top w:val="single" w:color="auto" w:sz="4" w:space="0"/>
              <w:left w:val="single" w:color="auto" w:sz="4" w:space="0"/>
              <w:bottom w:val="single" w:color="auto" w:sz="4" w:space="0"/>
            </w:tcBorders>
            <w:vAlign w:val="center"/>
          </w:tcPr>
          <w:p w14:paraId="26423CFA">
            <w:pPr>
              <w:widowControl/>
              <w:spacing w:before="156" w:beforeLines="50" w:after="156" w:afterLines="50"/>
              <w:rPr>
                <w:sz w:val="18"/>
                <w:szCs w:val="18"/>
              </w:rPr>
            </w:pPr>
            <w:r>
              <w:rPr>
                <w:rFonts w:hint="eastAsia"/>
                <w:sz w:val="18"/>
                <w:szCs w:val="18"/>
              </w:rPr>
              <w:t>具有其他严重情节的。</w:t>
            </w:r>
          </w:p>
        </w:tc>
        <w:tc>
          <w:tcPr>
            <w:tcW w:w="2268" w:type="dxa"/>
            <w:vMerge w:val="continue"/>
            <w:tcBorders>
              <w:bottom w:val="single" w:color="auto" w:sz="4" w:space="0"/>
              <w:right w:val="single" w:color="auto" w:sz="4" w:space="0"/>
            </w:tcBorders>
            <w:vAlign w:val="center"/>
          </w:tcPr>
          <w:p w14:paraId="323C0AA0">
            <w:pPr>
              <w:widowControl/>
              <w:spacing w:before="156" w:beforeLines="50" w:after="156" w:afterLines="50"/>
              <w:rPr>
                <w:sz w:val="18"/>
                <w:szCs w:val="18"/>
              </w:rPr>
            </w:pPr>
          </w:p>
        </w:tc>
        <w:tc>
          <w:tcPr>
            <w:tcW w:w="2410" w:type="dxa"/>
            <w:vMerge w:val="continue"/>
            <w:tcBorders>
              <w:bottom w:val="single" w:color="auto" w:sz="4" w:space="0"/>
              <w:right w:val="single" w:color="auto" w:sz="4" w:space="0"/>
            </w:tcBorders>
            <w:vAlign w:val="center"/>
          </w:tcPr>
          <w:p w14:paraId="55741927">
            <w:pPr>
              <w:widowControl/>
              <w:spacing w:before="156" w:beforeLines="50" w:after="156" w:afterLines="50"/>
              <w:rPr>
                <w:sz w:val="18"/>
                <w:szCs w:val="18"/>
              </w:rPr>
            </w:pPr>
          </w:p>
        </w:tc>
        <w:tc>
          <w:tcPr>
            <w:tcW w:w="2551" w:type="dxa"/>
            <w:vMerge w:val="continue"/>
            <w:tcBorders>
              <w:bottom w:val="single" w:color="auto" w:sz="4" w:space="0"/>
              <w:right w:val="single" w:color="auto" w:sz="4" w:space="0"/>
            </w:tcBorders>
            <w:vAlign w:val="center"/>
          </w:tcPr>
          <w:p w14:paraId="006A985F">
            <w:pPr>
              <w:widowControl/>
              <w:spacing w:before="156" w:beforeLines="50" w:after="156" w:afterLines="50"/>
              <w:rPr>
                <w:sz w:val="18"/>
                <w:szCs w:val="18"/>
              </w:rPr>
            </w:pPr>
          </w:p>
        </w:tc>
        <w:tc>
          <w:tcPr>
            <w:tcW w:w="3340" w:type="dxa"/>
            <w:tcBorders>
              <w:top w:val="single" w:color="auto" w:sz="4" w:space="0"/>
              <w:bottom w:val="single" w:color="auto" w:sz="4" w:space="0"/>
              <w:right w:val="single" w:color="auto" w:sz="4" w:space="0"/>
            </w:tcBorders>
            <w:vAlign w:val="center"/>
          </w:tcPr>
          <w:p w14:paraId="53817608">
            <w:pPr>
              <w:widowControl/>
              <w:spacing w:before="156" w:beforeLines="50" w:after="156" w:afterLines="50"/>
              <w:rPr>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065DA1EB">
      <w:pPr>
        <w:spacing w:before="156" w:beforeLines="50" w:after="156" w:afterLines="50"/>
        <w:jc w:val="left"/>
        <w:rPr>
          <w:b/>
          <w:sz w:val="18"/>
          <w:szCs w:val="18"/>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409"/>
      </w:tblGrid>
      <w:tr w14:paraId="0490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14:paraId="716C78AF">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2ED00634">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14:paraId="0901547D">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14:paraId="5DB87370">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14:paraId="6CFF5733">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38" w:type="dxa"/>
            <w:gridSpan w:val="4"/>
            <w:tcBorders>
              <w:bottom w:val="single" w:color="auto" w:sz="4" w:space="0"/>
              <w:right w:val="single" w:color="auto" w:sz="4" w:space="0"/>
            </w:tcBorders>
            <w:vAlign w:val="center"/>
          </w:tcPr>
          <w:p w14:paraId="40EFD3B6">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0A35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14:paraId="51CC22F4">
            <w:pPr>
              <w:spacing w:before="156" w:beforeLines="50" w:after="156" w:afterLines="50"/>
              <w:jc w:val="center"/>
              <w:rPr>
                <w:rFonts w:ascii="宋体"/>
                <w:b/>
                <w:kern w:val="0"/>
                <w:sz w:val="18"/>
                <w:szCs w:val="18"/>
              </w:rPr>
            </w:pPr>
          </w:p>
        </w:tc>
        <w:tc>
          <w:tcPr>
            <w:tcW w:w="876" w:type="dxa"/>
            <w:vMerge w:val="continue"/>
            <w:vAlign w:val="center"/>
          </w:tcPr>
          <w:p w14:paraId="6CF03EE5">
            <w:pPr>
              <w:spacing w:before="156" w:beforeLines="50" w:after="156" w:afterLines="50"/>
              <w:jc w:val="center"/>
              <w:rPr>
                <w:rFonts w:ascii="宋体"/>
                <w:b/>
                <w:kern w:val="0"/>
                <w:sz w:val="18"/>
                <w:szCs w:val="18"/>
              </w:rPr>
            </w:pPr>
          </w:p>
        </w:tc>
        <w:tc>
          <w:tcPr>
            <w:tcW w:w="3620" w:type="dxa"/>
            <w:gridSpan w:val="2"/>
            <w:vMerge w:val="continue"/>
            <w:vAlign w:val="center"/>
          </w:tcPr>
          <w:p w14:paraId="764C7B2C">
            <w:pPr>
              <w:spacing w:before="156" w:beforeLines="50" w:after="156" w:afterLines="50"/>
              <w:jc w:val="center"/>
              <w:rPr>
                <w:rFonts w:ascii="宋体"/>
                <w:b/>
                <w:kern w:val="0"/>
                <w:sz w:val="18"/>
                <w:szCs w:val="18"/>
              </w:rPr>
            </w:pPr>
          </w:p>
        </w:tc>
        <w:tc>
          <w:tcPr>
            <w:tcW w:w="992" w:type="dxa"/>
            <w:vMerge w:val="continue"/>
            <w:vAlign w:val="center"/>
          </w:tcPr>
          <w:p w14:paraId="0132E130">
            <w:pPr>
              <w:spacing w:before="156" w:beforeLines="50" w:after="156" w:afterLines="50"/>
              <w:jc w:val="left"/>
              <w:rPr>
                <w:rFonts w:ascii="宋体"/>
                <w:b/>
                <w:kern w:val="0"/>
                <w:sz w:val="18"/>
                <w:szCs w:val="18"/>
              </w:rPr>
            </w:pPr>
          </w:p>
        </w:tc>
        <w:tc>
          <w:tcPr>
            <w:tcW w:w="2410" w:type="dxa"/>
            <w:vMerge w:val="continue"/>
            <w:vAlign w:val="center"/>
          </w:tcPr>
          <w:p w14:paraId="7B45B5C8">
            <w:pPr>
              <w:spacing w:before="156" w:beforeLines="50" w:after="156" w:afterLines="50"/>
              <w:jc w:val="left"/>
              <w:rPr>
                <w:rFonts w:ascii="宋体"/>
                <w:b/>
                <w:kern w:val="0"/>
                <w:sz w:val="18"/>
                <w:szCs w:val="18"/>
              </w:rPr>
            </w:pPr>
          </w:p>
        </w:tc>
        <w:tc>
          <w:tcPr>
            <w:tcW w:w="10638" w:type="dxa"/>
            <w:gridSpan w:val="4"/>
            <w:tcBorders>
              <w:top w:val="single" w:color="auto" w:sz="4" w:space="0"/>
              <w:bottom w:val="single" w:color="auto" w:sz="4" w:space="0"/>
              <w:right w:val="single" w:color="auto" w:sz="4" w:space="0"/>
            </w:tcBorders>
            <w:vAlign w:val="center"/>
          </w:tcPr>
          <w:p w14:paraId="42431B76">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5F130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529760CB">
            <w:pPr>
              <w:spacing w:before="156" w:beforeLines="50" w:after="156" w:afterLines="50"/>
              <w:jc w:val="center"/>
              <w:rPr>
                <w:rFonts w:ascii="宋体"/>
                <w:b/>
                <w:kern w:val="0"/>
                <w:sz w:val="18"/>
                <w:szCs w:val="18"/>
              </w:rPr>
            </w:pPr>
          </w:p>
        </w:tc>
        <w:tc>
          <w:tcPr>
            <w:tcW w:w="876" w:type="dxa"/>
            <w:vMerge w:val="continue"/>
            <w:vAlign w:val="center"/>
          </w:tcPr>
          <w:p w14:paraId="175DB084">
            <w:pPr>
              <w:spacing w:before="156" w:beforeLines="50" w:after="156" w:afterLines="50"/>
              <w:jc w:val="center"/>
              <w:rPr>
                <w:rFonts w:ascii="宋体"/>
                <w:b/>
                <w:kern w:val="0"/>
                <w:sz w:val="18"/>
                <w:szCs w:val="18"/>
              </w:rPr>
            </w:pPr>
          </w:p>
        </w:tc>
        <w:tc>
          <w:tcPr>
            <w:tcW w:w="1377" w:type="dxa"/>
            <w:vMerge w:val="restart"/>
            <w:vAlign w:val="center"/>
          </w:tcPr>
          <w:p w14:paraId="7411B40C">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14:paraId="7038AF40">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14:paraId="0E1F7B35">
            <w:pPr>
              <w:spacing w:before="156" w:beforeLines="50" w:after="156" w:afterLines="50"/>
              <w:jc w:val="left"/>
              <w:rPr>
                <w:rFonts w:ascii="宋体"/>
                <w:b/>
                <w:kern w:val="0"/>
                <w:sz w:val="18"/>
                <w:szCs w:val="18"/>
              </w:rPr>
            </w:pPr>
          </w:p>
        </w:tc>
        <w:tc>
          <w:tcPr>
            <w:tcW w:w="2410" w:type="dxa"/>
            <w:vMerge w:val="continue"/>
            <w:vAlign w:val="center"/>
          </w:tcPr>
          <w:p w14:paraId="3047A621">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14:paraId="7A12561E">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409" w:type="dxa"/>
            <w:vMerge w:val="restart"/>
            <w:tcBorders>
              <w:top w:val="single" w:color="auto" w:sz="4" w:space="0"/>
              <w:right w:val="single" w:color="auto" w:sz="4" w:space="0"/>
            </w:tcBorders>
            <w:vAlign w:val="center"/>
          </w:tcPr>
          <w:p w14:paraId="1DD61DCC">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375C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14:paraId="261E0C2D">
            <w:pPr>
              <w:spacing w:before="156" w:beforeLines="50" w:after="156" w:afterLines="50"/>
              <w:jc w:val="left"/>
              <w:rPr>
                <w:rFonts w:ascii="宋体"/>
                <w:b/>
                <w:kern w:val="0"/>
                <w:sz w:val="18"/>
                <w:szCs w:val="18"/>
              </w:rPr>
            </w:pPr>
          </w:p>
        </w:tc>
        <w:tc>
          <w:tcPr>
            <w:tcW w:w="876" w:type="dxa"/>
            <w:vMerge w:val="continue"/>
            <w:vAlign w:val="center"/>
          </w:tcPr>
          <w:p w14:paraId="29618E34">
            <w:pPr>
              <w:spacing w:before="156" w:beforeLines="50" w:after="156" w:afterLines="50"/>
              <w:jc w:val="left"/>
              <w:rPr>
                <w:rFonts w:ascii="宋体"/>
                <w:b/>
                <w:kern w:val="0"/>
                <w:sz w:val="18"/>
                <w:szCs w:val="18"/>
              </w:rPr>
            </w:pPr>
          </w:p>
        </w:tc>
        <w:tc>
          <w:tcPr>
            <w:tcW w:w="1377" w:type="dxa"/>
            <w:vMerge w:val="continue"/>
            <w:vAlign w:val="center"/>
          </w:tcPr>
          <w:p w14:paraId="7CB592A9">
            <w:pPr>
              <w:spacing w:before="156" w:beforeLines="50" w:after="156" w:afterLines="50"/>
              <w:jc w:val="left"/>
              <w:rPr>
                <w:rFonts w:ascii="宋体"/>
                <w:b/>
                <w:kern w:val="0"/>
                <w:sz w:val="18"/>
                <w:szCs w:val="18"/>
              </w:rPr>
            </w:pPr>
          </w:p>
        </w:tc>
        <w:tc>
          <w:tcPr>
            <w:tcW w:w="2243" w:type="dxa"/>
            <w:vMerge w:val="continue"/>
            <w:vAlign w:val="center"/>
          </w:tcPr>
          <w:p w14:paraId="3800B4F4">
            <w:pPr>
              <w:spacing w:before="156" w:beforeLines="50" w:after="156" w:afterLines="50"/>
              <w:jc w:val="left"/>
              <w:rPr>
                <w:rFonts w:ascii="宋体"/>
                <w:b/>
                <w:kern w:val="0"/>
                <w:sz w:val="18"/>
                <w:szCs w:val="18"/>
              </w:rPr>
            </w:pPr>
          </w:p>
        </w:tc>
        <w:tc>
          <w:tcPr>
            <w:tcW w:w="992" w:type="dxa"/>
            <w:vMerge w:val="continue"/>
            <w:vAlign w:val="center"/>
          </w:tcPr>
          <w:p w14:paraId="3288770C">
            <w:pPr>
              <w:spacing w:before="156" w:beforeLines="50" w:after="156" w:afterLines="50"/>
              <w:jc w:val="left"/>
              <w:rPr>
                <w:rFonts w:ascii="宋体"/>
                <w:b/>
                <w:kern w:val="0"/>
                <w:sz w:val="18"/>
                <w:szCs w:val="18"/>
              </w:rPr>
            </w:pPr>
          </w:p>
        </w:tc>
        <w:tc>
          <w:tcPr>
            <w:tcW w:w="2410" w:type="dxa"/>
            <w:vMerge w:val="continue"/>
            <w:vAlign w:val="center"/>
          </w:tcPr>
          <w:p w14:paraId="57DB02D5">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14:paraId="626AE39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14:paraId="1AC7E4A3">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14:paraId="06205BF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409" w:type="dxa"/>
            <w:vMerge w:val="continue"/>
            <w:tcBorders>
              <w:right w:val="single" w:color="auto" w:sz="4" w:space="0"/>
            </w:tcBorders>
            <w:vAlign w:val="center"/>
          </w:tcPr>
          <w:p w14:paraId="7AADB919">
            <w:pPr>
              <w:spacing w:before="156" w:beforeLines="50" w:after="156" w:afterLines="50"/>
              <w:jc w:val="left"/>
              <w:rPr>
                <w:rFonts w:ascii="宋体"/>
                <w:b/>
                <w:sz w:val="18"/>
                <w:szCs w:val="18"/>
              </w:rPr>
            </w:pPr>
          </w:p>
        </w:tc>
      </w:tr>
      <w:tr w14:paraId="05E97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14:paraId="4AF7BB8D">
            <w:pPr>
              <w:spacing w:before="156" w:beforeLines="50" w:after="156" w:afterLines="50"/>
              <w:jc w:val="center"/>
              <w:rPr>
                <w:rFonts w:ascii="宋体"/>
                <w:kern w:val="0"/>
                <w:sz w:val="18"/>
                <w:szCs w:val="18"/>
              </w:rPr>
            </w:pPr>
            <w:r>
              <w:rPr>
                <w:rFonts w:hint="eastAsia" w:ascii="宋体"/>
                <w:kern w:val="0"/>
                <w:sz w:val="18"/>
                <w:szCs w:val="18"/>
              </w:rPr>
              <w:t>32</w:t>
            </w:r>
          </w:p>
        </w:tc>
        <w:tc>
          <w:tcPr>
            <w:tcW w:w="876" w:type="dxa"/>
            <w:vMerge w:val="restart"/>
            <w:vAlign w:val="center"/>
          </w:tcPr>
          <w:p w14:paraId="0854E738">
            <w:pPr>
              <w:widowControl/>
              <w:spacing w:before="156" w:beforeLines="50" w:after="156" w:afterLines="50"/>
              <w:rPr>
                <w:rFonts w:ascii="宋体"/>
                <w:kern w:val="0"/>
                <w:sz w:val="18"/>
                <w:szCs w:val="18"/>
              </w:rPr>
            </w:pPr>
            <w:r>
              <w:rPr>
                <w:rFonts w:hint="eastAsia" w:ascii="宋体"/>
                <w:kern w:val="0"/>
                <w:sz w:val="18"/>
                <w:szCs w:val="18"/>
              </w:rPr>
              <w:t>不遵守海事管理机构发布的航行通告、航行警告规定</w:t>
            </w:r>
          </w:p>
        </w:tc>
        <w:tc>
          <w:tcPr>
            <w:tcW w:w="1377" w:type="dxa"/>
            <w:vMerge w:val="restart"/>
            <w:vAlign w:val="center"/>
          </w:tcPr>
          <w:p w14:paraId="5E4026AF">
            <w:pPr>
              <w:widowControl/>
              <w:spacing w:before="156" w:beforeLines="50" w:after="156" w:afterLines="50"/>
              <w:rPr>
                <w:rFonts w:ascii="宋体"/>
                <w:sz w:val="18"/>
                <w:szCs w:val="18"/>
              </w:rPr>
            </w:pPr>
            <w:r>
              <w:rPr>
                <w:rFonts w:hint="eastAsia" w:ascii="宋体"/>
                <w:sz w:val="18"/>
                <w:szCs w:val="18"/>
              </w:rPr>
              <w:t>《</w:t>
            </w:r>
            <w:r>
              <w:rPr>
                <w:rFonts w:hint="eastAsia"/>
                <w:sz w:val="18"/>
                <w:szCs w:val="18"/>
              </w:rPr>
              <w:t>中华人民共和国</w:t>
            </w:r>
            <w:r>
              <w:rPr>
                <w:rFonts w:hint="eastAsia" w:ascii="宋体"/>
                <w:sz w:val="18"/>
                <w:szCs w:val="18"/>
              </w:rPr>
              <w:t>内河交通安全管理条例》第十七条第四款及</w:t>
            </w:r>
            <w:r>
              <w:rPr>
                <w:rFonts w:hint="eastAsia" w:ascii="宋体"/>
                <w:kern w:val="0"/>
                <w:sz w:val="18"/>
                <w:szCs w:val="18"/>
              </w:rPr>
              <w:t>海事管理机构发布的航行通告、航行警告</w:t>
            </w:r>
            <w:r>
              <w:rPr>
                <w:rFonts w:hint="eastAsia" w:ascii="宋体"/>
                <w:sz w:val="18"/>
                <w:szCs w:val="18"/>
              </w:rPr>
              <w:t>。</w:t>
            </w:r>
          </w:p>
        </w:tc>
        <w:tc>
          <w:tcPr>
            <w:tcW w:w="2243" w:type="dxa"/>
            <w:vMerge w:val="restart"/>
            <w:vAlign w:val="center"/>
          </w:tcPr>
          <w:p w14:paraId="78B322B8">
            <w:pPr>
              <w:widowControl/>
              <w:spacing w:before="156" w:beforeLines="50" w:after="156" w:afterLines="50"/>
              <w:rPr>
                <w:rFonts w:ascii="宋体"/>
                <w:sz w:val="18"/>
                <w:szCs w:val="18"/>
              </w:rPr>
            </w:pPr>
            <w:r>
              <w:rPr>
                <w:rFonts w:hint="eastAsia" w:ascii="宋体"/>
                <w:sz w:val="18"/>
                <w:szCs w:val="18"/>
              </w:rPr>
              <w:t>1 .《中华人民共和国内河交通安全管理条例》第八十一条；</w:t>
            </w:r>
          </w:p>
          <w:p w14:paraId="212C1572">
            <w:pPr>
              <w:widowControl/>
              <w:spacing w:before="156" w:beforeLines="50" w:after="156" w:afterLines="50"/>
              <w:rPr>
                <w:rFonts w:ascii="宋体"/>
                <w:sz w:val="18"/>
                <w:szCs w:val="18"/>
              </w:rPr>
            </w:pPr>
            <w:r>
              <w:rPr>
                <w:rFonts w:hint="eastAsia" w:ascii="宋体"/>
                <w:sz w:val="18"/>
                <w:szCs w:val="18"/>
              </w:rPr>
              <w:t>2. 《中华人民共和国内河海事行政处罚规定》第十七条第一款和第二款第（十二）项；</w:t>
            </w:r>
          </w:p>
          <w:p w14:paraId="045C9651">
            <w:pPr>
              <w:widowControl/>
              <w:spacing w:before="156" w:beforeLines="50" w:after="156" w:afterLines="50"/>
              <w:rPr>
                <w:rFonts w:ascii="宋体"/>
                <w:sz w:val="18"/>
                <w:szCs w:val="18"/>
              </w:rPr>
            </w:pPr>
            <w:r>
              <w:rPr>
                <w:rFonts w:hint="eastAsia" w:ascii="宋体"/>
                <w:sz w:val="18"/>
                <w:szCs w:val="18"/>
              </w:rPr>
              <w:t>3. 《中华人民共和国行政处罚法》第三十二条（从轻）。</w:t>
            </w:r>
          </w:p>
          <w:p w14:paraId="03C48DB3">
            <w:pPr>
              <w:widowControl/>
              <w:spacing w:before="156" w:beforeLines="50" w:after="156" w:afterLines="50"/>
              <w:rPr>
                <w:rFonts w:ascii="宋体"/>
                <w:sz w:val="18"/>
                <w:szCs w:val="18"/>
              </w:rPr>
            </w:pPr>
          </w:p>
        </w:tc>
        <w:tc>
          <w:tcPr>
            <w:tcW w:w="992" w:type="dxa"/>
            <w:vAlign w:val="center"/>
          </w:tcPr>
          <w:p w14:paraId="7F2D79B4">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14:paraId="1EE127A2">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14:paraId="18291677">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14:paraId="522C0DA8">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14:paraId="3F5BF863">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409" w:type="dxa"/>
            <w:tcBorders>
              <w:right w:val="single" w:color="auto" w:sz="4" w:space="0"/>
            </w:tcBorders>
            <w:vAlign w:val="center"/>
          </w:tcPr>
          <w:p w14:paraId="7D749580">
            <w:pPr>
              <w:widowControl/>
              <w:spacing w:before="156" w:beforeLines="50" w:after="156" w:afterLines="50"/>
              <w:rPr>
                <w:rFonts w:ascii="宋体"/>
                <w:sz w:val="18"/>
                <w:szCs w:val="18"/>
              </w:rPr>
            </w:pPr>
            <w:r>
              <w:rPr>
                <w:rFonts w:hint="eastAsia" w:ascii="宋体"/>
                <w:sz w:val="18"/>
                <w:szCs w:val="18"/>
              </w:rPr>
              <w:t>/</w:t>
            </w:r>
          </w:p>
        </w:tc>
      </w:tr>
      <w:tr w14:paraId="70879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14:paraId="68C13B2D">
            <w:pPr>
              <w:spacing w:before="156" w:beforeLines="50" w:after="156" w:afterLines="50"/>
              <w:jc w:val="left"/>
              <w:rPr>
                <w:rFonts w:ascii="宋体"/>
                <w:kern w:val="0"/>
                <w:sz w:val="18"/>
                <w:szCs w:val="18"/>
              </w:rPr>
            </w:pPr>
          </w:p>
        </w:tc>
        <w:tc>
          <w:tcPr>
            <w:tcW w:w="876" w:type="dxa"/>
            <w:vMerge w:val="continue"/>
            <w:vAlign w:val="center"/>
          </w:tcPr>
          <w:p w14:paraId="61568D8C">
            <w:pPr>
              <w:spacing w:before="156" w:beforeLines="50" w:after="156" w:afterLines="50"/>
              <w:jc w:val="left"/>
              <w:rPr>
                <w:rFonts w:ascii="宋体"/>
                <w:kern w:val="0"/>
                <w:sz w:val="18"/>
                <w:szCs w:val="18"/>
              </w:rPr>
            </w:pPr>
          </w:p>
        </w:tc>
        <w:tc>
          <w:tcPr>
            <w:tcW w:w="1377" w:type="dxa"/>
            <w:vMerge w:val="continue"/>
            <w:vAlign w:val="center"/>
          </w:tcPr>
          <w:p w14:paraId="1F6B0FDB">
            <w:pPr>
              <w:widowControl/>
              <w:spacing w:before="156" w:beforeLines="50" w:after="156" w:afterLines="50"/>
              <w:jc w:val="left"/>
              <w:rPr>
                <w:rFonts w:ascii="宋体"/>
                <w:kern w:val="0"/>
                <w:sz w:val="18"/>
                <w:szCs w:val="18"/>
              </w:rPr>
            </w:pPr>
          </w:p>
        </w:tc>
        <w:tc>
          <w:tcPr>
            <w:tcW w:w="2243" w:type="dxa"/>
            <w:vMerge w:val="continue"/>
            <w:vAlign w:val="center"/>
          </w:tcPr>
          <w:p w14:paraId="4AC207E7">
            <w:pPr>
              <w:widowControl/>
              <w:spacing w:before="156" w:beforeLines="50" w:after="156" w:afterLines="50"/>
              <w:rPr>
                <w:rFonts w:ascii="宋体"/>
                <w:sz w:val="18"/>
                <w:szCs w:val="18"/>
              </w:rPr>
            </w:pPr>
          </w:p>
        </w:tc>
        <w:tc>
          <w:tcPr>
            <w:tcW w:w="992" w:type="dxa"/>
            <w:vMerge w:val="restart"/>
            <w:vAlign w:val="center"/>
          </w:tcPr>
          <w:p w14:paraId="715E001E">
            <w:pPr>
              <w:widowControl/>
              <w:spacing w:before="156" w:beforeLines="50" w:after="156" w:afterLines="50"/>
              <w:jc w:val="center"/>
              <w:rPr>
                <w:rFonts w:ascii="宋体"/>
                <w:sz w:val="18"/>
                <w:szCs w:val="18"/>
              </w:rPr>
            </w:pPr>
            <w:r>
              <w:rPr>
                <w:rFonts w:hint="eastAsia" w:ascii="宋体"/>
                <w:sz w:val="18"/>
                <w:szCs w:val="18"/>
              </w:rPr>
              <w:t>一般</w:t>
            </w:r>
          </w:p>
        </w:tc>
        <w:tc>
          <w:tcPr>
            <w:tcW w:w="2410" w:type="dxa"/>
            <w:vAlign w:val="center"/>
          </w:tcPr>
          <w:p w14:paraId="277CF9CD">
            <w:pPr>
              <w:widowControl/>
              <w:spacing w:before="156" w:beforeLines="50" w:after="156" w:afterLines="50"/>
              <w:rPr>
                <w:rFonts w:ascii="宋体"/>
                <w:sz w:val="18"/>
                <w:szCs w:val="18"/>
              </w:rPr>
            </w:pPr>
            <w:r>
              <w:rPr>
                <w:rFonts w:hint="eastAsia" w:ascii="宋体"/>
                <w:sz w:val="18"/>
                <w:szCs w:val="18"/>
              </w:rPr>
              <w:t>不遵守海事管理机构发布的航行通告、航行警告规定。</w:t>
            </w:r>
          </w:p>
        </w:tc>
        <w:tc>
          <w:tcPr>
            <w:tcW w:w="2268" w:type="dxa"/>
            <w:tcBorders>
              <w:right w:val="single" w:color="auto" w:sz="4" w:space="0"/>
            </w:tcBorders>
            <w:vAlign w:val="center"/>
          </w:tcPr>
          <w:p w14:paraId="40D72259">
            <w:pPr>
              <w:widowControl/>
              <w:spacing w:before="156" w:beforeLines="50" w:after="156" w:afterLines="50"/>
              <w:rPr>
                <w:rFonts w:ascii="宋体"/>
                <w:sz w:val="18"/>
                <w:szCs w:val="18"/>
              </w:rPr>
            </w:pPr>
            <w:r>
              <w:rPr>
                <w:rFonts w:hint="eastAsia" w:ascii="宋体"/>
                <w:sz w:val="18"/>
                <w:szCs w:val="18"/>
              </w:rPr>
              <w:t>2000元及以上3000元以下</w:t>
            </w:r>
          </w:p>
        </w:tc>
        <w:tc>
          <w:tcPr>
            <w:tcW w:w="2410" w:type="dxa"/>
            <w:tcBorders>
              <w:right w:val="single" w:color="auto" w:sz="4" w:space="0"/>
            </w:tcBorders>
            <w:vAlign w:val="center"/>
          </w:tcPr>
          <w:p w14:paraId="6D269A36">
            <w:pPr>
              <w:widowControl/>
              <w:spacing w:before="156" w:beforeLines="50" w:after="156" w:afterLines="50"/>
              <w:rPr>
                <w:rFonts w:ascii="宋体"/>
                <w:sz w:val="18"/>
                <w:szCs w:val="18"/>
              </w:rPr>
            </w:pPr>
            <w:r>
              <w:rPr>
                <w:rFonts w:hint="eastAsia" w:ascii="宋体"/>
                <w:sz w:val="18"/>
                <w:szCs w:val="18"/>
              </w:rPr>
              <w:t>2000元及以上4000元以下</w:t>
            </w:r>
          </w:p>
        </w:tc>
        <w:tc>
          <w:tcPr>
            <w:tcW w:w="2551" w:type="dxa"/>
            <w:tcBorders>
              <w:right w:val="single" w:color="auto" w:sz="4" w:space="0"/>
            </w:tcBorders>
            <w:vAlign w:val="center"/>
          </w:tcPr>
          <w:p w14:paraId="3F64524C">
            <w:pPr>
              <w:widowControl/>
              <w:spacing w:before="156" w:beforeLines="50" w:after="156" w:afterLines="50"/>
              <w:rPr>
                <w:rFonts w:ascii="宋体"/>
                <w:sz w:val="18"/>
                <w:szCs w:val="18"/>
              </w:rPr>
            </w:pPr>
            <w:r>
              <w:rPr>
                <w:rFonts w:hint="eastAsia" w:ascii="宋体"/>
                <w:sz w:val="18"/>
                <w:szCs w:val="18"/>
              </w:rPr>
              <w:t>2000元及以上5000元以下</w:t>
            </w:r>
          </w:p>
        </w:tc>
        <w:tc>
          <w:tcPr>
            <w:tcW w:w="3409" w:type="dxa"/>
            <w:tcBorders>
              <w:right w:val="single" w:color="auto" w:sz="4" w:space="0"/>
            </w:tcBorders>
            <w:vAlign w:val="center"/>
          </w:tcPr>
          <w:p w14:paraId="739523FB">
            <w:pPr>
              <w:widowControl/>
              <w:spacing w:before="156" w:beforeLines="50" w:after="156" w:afterLines="50"/>
              <w:rPr>
                <w:rFonts w:ascii="宋体"/>
                <w:sz w:val="18"/>
                <w:szCs w:val="18"/>
              </w:rPr>
            </w:pPr>
            <w:r>
              <w:rPr>
                <w:rFonts w:hint="eastAsia" w:ascii="宋体"/>
                <w:sz w:val="18"/>
                <w:szCs w:val="18"/>
              </w:rPr>
              <w:t>/</w:t>
            </w:r>
          </w:p>
        </w:tc>
      </w:tr>
      <w:tr w14:paraId="7B17A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14:paraId="16E1299D">
            <w:pPr>
              <w:spacing w:before="156" w:beforeLines="50" w:after="156" w:afterLines="50"/>
              <w:jc w:val="left"/>
              <w:rPr>
                <w:rFonts w:ascii="宋体"/>
                <w:kern w:val="0"/>
                <w:sz w:val="18"/>
                <w:szCs w:val="18"/>
              </w:rPr>
            </w:pPr>
          </w:p>
        </w:tc>
        <w:tc>
          <w:tcPr>
            <w:tcW w:w="876" w:type="dxa"/>
            <w:vMerge w:val="continue"/>
            <w:vAlign w:val="center"/>
          </w:tcPr>
          <w:p w14:paraId="1C224E94">
            <w:pPr>
              <w:spacing w:before="156" w:beforeLines="50" w:after="156" w:afterLines="50"/>
              <w:jc w:val="left"/>
              <w:rPr>
                <w:rFonts w:ascii="宋体"/>
                <w:kern w:val="0"/>
                <w:sz w:val="18"/>
                <w:szCs w:val="18"/>
              </w:rPr>
            </w:pPr>
          </w:p>
        </w:tc>
        <w:tc>
          <w:tcPr>
            <w:tcW w:w="1377" w:type="dxa"/>
            <w:vMerge w:val="continue"/>
            <w:vAlign w:val="center"/>
          </w:tcPr>
          <w:p w14:paraId="3F64C7D7">
            <w:pPr>
              <w:spacing w:before="156" w:beforeLines="50" w:after="156" w:afterLines="50"/>
              <w:jc w:val="left"/>
              <w:rPr>
                <w:rFonts w:ascii="宋体"/>
                <w:kern w:val="0"/>
                <w:sz w:val="18"/>
                <w:szCs w:val="18"/>
              </w:rPr>
            </w:pPr>
          </w:p>
        </w:tc>
        <w:tc>
          <w:tcPr>
            <w:tcW w:w="2243" w:type="dxa"/>
            <w:vMerge w:val="continue"/>
            <w:vAlign w:val="center"/>
          </w:tcPr>
          <w:p w14:paraId="7E053A98">
            <w:pPr>
              <w:widowControl/>
              <w:spacing w:before="156" w:beforeLines="50" w:after="156" w:afterLines="50"/>
              <w:rPr>
                <w:rFonts w:ascii="宋体"/>
                <w:sz w:val="18"/>
                <w:szCs w:val="18"/>
              </w:rPr>
            </w:pPr>
          </w:p>
        </w:tc>
        <w:tc>
          <w:tcPr>
            <w:tcW w:w="992" w:type="dxa"/>
            <w:vMerge w:val="continue"/>
            <w:tcBorders>
              <w:bottom w:val="single" w:color="auto" w:sz="4" w:space="0"/>
            </w:tcBorders>
            <w:vAlign w:val="center"/>
          </w:tcPr>
          <w:p w14:paraId="731A5DB0">
            <w:pPr>
              <w:widowControl/>
              <w:spacing w:before="156" w:beforeLines="50" w:after="156" w:afterLines="50"/>
              <w:jc w:val="center"/>
              <w:rPr>
                <w:rFonts w:ascii="宋体"/>
                <w:sz w:val="18"/>
                <w:szCs w:val="18"/>
              </w:rPr>
            </w:pPr>
          </w:p>
        </w:tc>
        <w:tc>
          <w:tcPr>
            <w:tcW w:w="2410" w:type="dxa"/>
            <w:tcBorders>
              <w:top w:val="single" w:color="auto" w:sz="4" w:space="0"/>
              <w:bottom w:val="single" w:color="auto" w:sz="4" w:space="0"/>
            </w:tcBorders>
            <w:vAlign w:val="center"/>
          </w:tcPr>
          <w:p w14:paraId="6DE56394">
            <w:pPr>
              <w:widowControl/>
              <w:spacing w:before="156" w:beforeLines="50" w:after="156" w:afterLines="50"/>
              <w:rPr>
                <w:rFonts w:ascii="宋体"/>
                <w:sz w:val="18"/>
                <w:szCs w:val="18"/>
              </w:rPr>
            </w:pPr>
            <w:r>
              <w:rPr>
                <w:rFonts w:hint="eastAsia" w:ascii="宋体"/>
                <w:sz w:val="18"/>
                <w:szCs w:val="18"/>
              </w:rPr>
              <w:t>1. 不遵守海事管理机构发布的航行通告、航行警告规定，造成一般以下等级水上交通事故的。</w:t>
            </w:r>
          </w:p>
        </w:tc>
        <w:tc>
          <w:tcPr>
            <w:tcW w:w="2268" w:type="dxa"/>
            <w:tcBorders>
              <w:top w:val="single" w:color="auto" w:sz="4" w:space="0"/>
              <w:bottom w:val="single" w:color="auto" w:sz="4" w:space="0"/>
              <w:right w:val="single" w:color="auto" w:sz="4" w:space="0"/>
            </w:tcBorders>
            <w:vAlign w:val="center"/>
          </w:tcPr>
          <w:p w14:paraId="24E82D43">
            <w:pPr>
              <w:widowControl/>
              <w:spacing w:before="156" w:beforeLines="50" w:after="156" w:afterLines="50"/>
              <w:rPr>
                <w:rFonts w:ascii="宋体"/>
                <w:sz w:val="18"/>
                <w:szCs w:val="18"/>
              </w:rPr>
            </w:pPr>
            <w:r>
              <w:rPr>
                <w:rFonts w:hint="eastAsia" w:ascii="宋体"/>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14:paraId="002DF5C9">
            <w:pPr>
              <w:widowControl/>
              <w:spacing w:before="156" w:beforeLines="50" w:after="156" w:afterLines="50"/>
              <w:rPr>
                <w:rFonts w:ascii="宋体"/>
                <w:sz w:val="18"/>
                <w:szCs w:val="18"/>
              </w:rPr>
            </w:pPr>
            <w:r>
              <w:rPr>
                <w:rFonts w:hint="eastAsia" w:ascii="宋体"/>
                <w:sz w:val="18"/>
                <w:szCs w:val="18"/>
              </w:rPr>
              <w:t>4000元及以上6000元以下</w:t>
            </w:r>
          </w:p>
        </w:tc>
        <w:tc>
          <w:tcPr>
            <w:tcW w:w="2551" w:type="dxa"/>
            <w:tcBorders>
              <w:right w:val="single" w:color="auto" w:sz="4" w:space="0"/>
            </w:tcBorders>
            <w:vAlign w:val="center"/>
          </w:tcPr>
          <w:p w14:paraId="17151A31">
            <w:pPr>
              <w:widowControl/>
              <w:spacing w:before="156" w:beforeLines="50" w:after="156" w:afterLines="50"/>
              <w:rPr>
                <w:rFonts w:ascii="宋体"/>
                <w:sz w:val="18"/>
                <w:szCs w:val="18"/>
              </w:rPr>
            </w:pPr>
            <w:r>
              <w:rPr>
                <w:rFonts w:hint="eastAsia" w:ascii="宋体"/>
                <w:sz w:val="18"/>
                <w:szCs w:val="18"/>
              </w:rPr>
              <w:t>5000元及以上8000元以下</w:t>
            </w:r>
          </w:p>
        </w:tc>
        <w:tc>
          <w:tcPr>
            <w:tcW w:w="3409" w:type="dxa"/>
            <w:tcBorders>
              <w:right w:val="single" w:color="auto" w:sz="4" w:space="0"/>
            </w:tcBorders>
            <w:vAlign w:val="center"/>
          </w:tcPr>
          <w:p w14:paraId="1061EEFB">
            <w:pPr>
              <w:widowControl/>
              <w:spacing w:before="156" w:beforeLines="50" w:after="156" w:afterLines="50"/>
              <w:rPr>
                <w:rFonts w:ascii="宋体"/>
                <w:sz w:val="18"/>
                <w:szCs w:val="18"/>
              </w:rPr>
            </w:pPr>
            <w:r>
              <w:rPr>
                <w:rFonts w:hint="eastAsia" w:ascii="宋体"/>
                <w:sz w:val="18"/>
                <w:szCs w:val="18"/>
              </w:rPr>
              <w:t>/</w:t>
            </w:r>
          </w:p>
        </w:tc>
      </w:tr>
      <w:tr w14:paraId="03A59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trPr>
        <w:tc>
          <w:tcPr>
            <w:tcW w:w="690" w:type="dxa"/>
            <w:vMerge w:val="continue"/>
            <w:vAlign w:val="center"/>
          </w:tcPr>
          <w:p w14:paraId="42E0BA6B">
            <w:pPr>
              <w:spacing w:before="156" w:beforeLines="50" w:after="156" w:afterLines="50"/>
              <w:jc w:val="left"/>
              <w:rPr>
                <w:rFonts w:ascii="宋体"/>
                <w:kern w:val="0"/>
                <w:sz w:val="18"/>
                <w:szCs w:val="18"/>
              </w:rPr>
            </w:pPr>
          </w:p>
        </w:tc>
        <w:tc>
          <w:tcPr>
            <w:tcW w:w="876" w:type="dxa"/>
            <w:vMerge w:val="continue"/>
            <w:vAlign w:val="center"/>
          </w:tcPr>
          <w:p w14:paraId="57A74585">
            <w:pPr>
              <w:spacing w:before="156" w:beforeLines="50" w:after="156" w:afterLines="50"/>
              <w:jc w:val="left"/>
              <w:rPr>
                <w:rFonts w:ascii="宋体"/>
                <w:kern w:val="0"/>
                <w:sz w:val="18"/>
                <w:szCs w:val="18"/>
              </w:rPr>
            </w:pPr>
          </w:p>
        </w:tc>
        <w:tc>
          <w:tcPr>
            <w:tcW w:w="1377" w:type="dxa"/>
            <w:vMerge w:val="continue"/>
            <w:vAlign w:val="center"/>
          </w:tcPr>
          <w:p w14:paraId="41C98D54">
            <w:pPr>
              <w:spacing w:before="156" w:beforeLines="50" w:after="156" w:afterLines="50"/>
              <w:jc w:val="left"/>
              <w:rPr>
                <w:rFonts w:ascii="宋体"/>
                <w:kern w:val="0"/>
                <w:sz w:val="18"/>
                <w:szCs w:val="18"/>
              </w:rPr>
            </w:pPr>
          </w:p>
        </w:tc>
        <w:tc>
          <w:tcPr>
            <w:tcW w:w="2243" w:type="dxa"/>
            <w:vMerge w:val="continue"/>
            <w:vAlign w:val="center"/>
          </w:tcPr>
          <w:p w14:paraId="39864FF3">
            <w:pPr>
              <w:widowControl/>
              <w:spacing w:before="156" w:beforeLines="50" w:after="156" w:afterLines="50"/>
              <w:rPr>
                <w:rFonts w:ascii="宋体"/>
                <w:sz w:val="18"/>
                <w:szCs w:val="18"/>
              </w:rPr>
            </w:pPr>
          </w:p>
        </w:tc>
        <w:tc>
          <w:tcPr>
            <w:tcW w:w="992" w:type="dxa"/>
            <w:vMerge w:val="restart"/>
            <w:tcBorders>
              <w:top w:val="single" w:color="auto" w:sz="4" w:space="0"/>
              <w:right w:val="single" w:color="auto" w:sz="4" w:space="0"/>
            </w:tcBorders>
            <w:vAlign w:val="center"/>
          </w:tcPr>
          <w:p w14:paraId="2E538BC3">
            <w:pPr>
              <w:widowControl/>
              <w:spacing w:before="156" w:beforeLines="50" w:after="156" w:afterLines="50"/>
              <w:jc w:val="center"/>
              <w:rPr>
                <w:rFonts w:ascii="宋体"/>
                <w:sz w:val="18"/>
                <w:szCs w:val="18"/>
              </w:rPr>
            </w:pPr>
            <w:r>
              <w:rPr>
                <w:rFonts w:hint="eastAsia" w:ascii="宋体"/>
                <w:sz w:val="18"/>
                <w:szCs w:val="18"/>
              </w:rPr>
              <w:t>情节</w:t>
            </w:r>
          </w:p>
          <w:p w14:paraId="2D586194">
            <w:pPr>
              <w:widowControl/>
              <w:spacing w:before="156" w:beforeLines="50" w:after="156" w:afterLines="50"/>
              <w:jc w:val="center"/>
              <w:rPr>
                <w:rFonts w:ascii="宋体"/>
                <w:sz w:val="18"/>
                <w:szCs w:val="18"/>
              </w:rPr>
            </w:pPr>
            <w:r>
              <w:rPr>
                <w:rFonts w:hint="eastAsia" w:ascii="宋体"/>
                <w:sz w:val="18"/>
                <w:szCs w:val="18"/>
              </w:rPr>
              <w:t>严重</w:t>
            </w:r>
          </w:p>
        </w:tc>
        <w:tc>
          <w:tcPr>
            <w:tcW w:w="2410" w:type="dxa"/>
            <w:tcBorders>
              <w:top w:val="single" w:color="auto" w:sz="4" w:space="0"/>
              <w:left w:val="single" w:color="auto" w:sz="4" w:space="0"/>
              <w:bottom w:val="single" w:color="auto" w:sz="4" w:space="0"/>
            </w:tcBorders>
            <w:vAlign w:val="center"/>
          </w:tcPr>
          <w:p w14:paraId="48A45DF8">
            <w:pPr>
              <w:widowControl/>
              <w:spacing w:before="156" w:beforeLines="50" w:after="156" w:afterLines="50"/>
              <w:rPr>
                <w:rFonts w:ascii="宋体"/>
                <w:sz w:val="18"/>
                <w:szCs w:val="18"/>
              </w:rPr>
            </w:pPr>
            <w:r>
              <w:rPr>
                <w:rFonts w:hint="eastAsia" w:ascii="宋体"/>
                <w:sz w:val="18"/>
                <w:szCs w:val="18"/>
              </w:rPr>
              <w:t>不遵守海事管理机构发布的航行通告、航行警告规定，造成一般及以上等级水上交通事故的。</w:t>
            </w:r>
          </w:p>
        </w:tc>
        <w:tc>
          <w:tcPr>
            <w:tcW w:w="2268" w:type="dxa"/>
            <w:vMerge w:val="restart"/>
            <w:tcBorders>
              <w:top w:val="single" w:color="auto" w:sz="4" w:space="0"/>
              <w:right w:val="single" w:color="auto" w:sz="4" w:space="0"/>
            </w:tcBorders>
            <w:vAlign w:val="center"/>
          </w:tcPr>
          <w:p w14:paraId="096B3C41">
            <w:pPr>
              <w:widowControl/>
              <w:spacing w:before="156" w:beforeLines="50" w:after="156" w:afterLines="50"/>
              <w:rPr>
                <w:rFonts w:ascii="宋体"/>
                <w:sz w:val="18"/>
                <w:szCs w:val="18"/>
              </w:rPr>
            </w:pPr>
            <w:r>
              <w:rPr>
                <w:rFonts w:hint="eastAsia" w:ascii="宋体"/>
                <w:sz w:val="18"/>
                <w:szCs w:val="18"/>
              </w:rPr>
              <w:t>5000元及以上1万元及以下</w:t>
            </w:r>
          </w:p>
        </w:tc>
        <w:tc>
          <w:tcPr>
            <w:tcW w:w="2410" w:type="dxa"/>
            <w:vMerge w:val="restart"/>
            <w:tcBorders>
              <w:top w:val="single" w:color="auto" w:sz="4" w:space="0"/>
              <w:right w:val="single" w:color="auto" w:sz="4" w:space="0"/>
            </w:tcBorders>
            <w:vAlign w:val="center"/>
          </w:tcPr>
          <w:p w14:paraId="3C0E4A99">
            <w:pPr>
              <w:widowControl/>
              <w:spacing w:before="156" w:beforeLines="50" w:after="156" w:afterLines="50"/>
              <w:rPr>
                <w:rFonts w:ascii="宋体"/>
                <w:sz w:val="18"/>
                <w:szCs w:val="18"/>
              </w:rPr>
            </w:pPr>
            <w:r>
              <w:rPr>
                <w:rFonts w:hint="eastAsia" w:ascii="宋体"/>
                <w:sz w:val="18"/>
                <w:szCs w:val="18"/>
              </w:rPr>
              <w:t>6000元及以上1万元及以下</w:t>
            </w:r>
          </w:p>
        </w:tc>
        <w:tc>
          <w:tcPr>
            <w:tcW w:w="2551" w:type="dxa"/>
            <w:vMerge w:val="restart"/>
            <w:tcBorders>
              <w:right w:val="single" w:color="auto" w:sz="4" w:space="0"/>
            </w:tcBorders>
            <w:vAlign w:val="center"/>
          </w:tcPr>
          <w:p w14:paraId="78D690C1">
            <w:pPr>
              <w:widowControl/>
              <w:spacing w:before="156" w:beforeLines="50" w:after="156" w:afterLines="50"/>
              <w:rPr>
                <w:rFonts w:ascii="宋体"/>
                <w:sz w:val="18"/>
                <w:szCs w:val="18"/>
              </w:rPr>
            </w:pPr>
            <w:r>
              <w:rPr>
                <w:rFonts w:hint="eastAsia" w:ascii="宋体"/>
                <w:sz w:val="18"/>
                <w:szCs w:val="18"/>
              </w:rPr>
              <w:t>8000元及以上1万元及以下</w:t>
            </w:r>
          </w:p>
        </w:tc>
        <w:tc>
          <w:tcPr>
            <w:tcW w:w="3409" w:type="dxa"/>
            <w:tcBorders>
              <w:bottom w:val="single" w:color="auto" w:sz="4" w:space="0"/>
              <w:right w:val="single" w:color="auto" w:sz="4" w:space="0"/>
            </w:tcBorders>
            <w:vAlign w:val="center"/>
          </w:tcPr>
          <w:p w14:paraId="13B23340">
            <w:pPr>
              <w:widowControl/>
              <w:spacing w:before="156" w:beforeLines="50" w:after="156" w:afterLines="50"/>
              <w:rPr>
                <w:rFonts w:ascii="宋体"/>
                <w:sz w:val="18"/>
                <w:szCs w:val="18"/>
              </w:rPr>
            </w:pPr>
            <w:r>
              <w:rPr>
                <w:rFonts w:hint="eastAsia" w:ascii="宋体"/>
                <w:sz w:val="18"/>
                <w:szCs w:val="18"/>
              </w:rPr>
              <w:t>造成一般及以上等级水上交通事故的，暂扣直至吊销证书处罚的裁量按照 《中华人民共和国内河海事行政处罚规定》第三十二条实施。</w:t>
            </w:r>
          </w:p>
        </w:tc>
      </w:tr>
      <w:tr w14:paraId="4A1F3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690" w:type="dxa"/>
            <w:vMerge w:val="continue"/>
            <w:vAlign w:val="center"/>
          </w:tcPr>
          <w:p w14:paraId="298CECDE">
            <w:pPr>
              <w:spacing w:before="156" w:beforeLines="50" w:after="156" w:afterLines="50"/>
              <w:jc w:val="left"/>
              <w:rPr>
                <w:rFonts w:ascii="宋体"/>
                <w:kern w:val="0"/>
                <w:sz w:val="18"/>
                <w:szCs w:val="18"/>
              </w:rPr>
            </w:pPr>
          </w:p>
        </w:tc>
        <w:tc>
          <w:tcPr>
            <w:tcW w:w="876" w:type="dxa"/>
            <w:vMerge w:val="continue"/>
            <w:vAlign w:val="center"/>
          </w:tcPr>
          <w:p w14:paraId="3ECCBAEF">
            <w:pPr>
              <w:spacing w:before="156" w:beforeLines="50" w:after="156" w:afterLines="50"/>
              <w:jc w:val="left"/>
              <w:rPr>
                <w:rFonts w:ascii="宋体"/>
                <w:kern w:val="0"/>
                <w:sz w:val="18"/>
                <w:szCs w:val="18"/>
              </w:rPr>
            </w:pPr>
          </w:p>
        </w:tc>
        <w:tc>
          <w:tcPr>
            <w:tcW w:w="1377" w:type="dxa"/>
            <w:vMerge w:val="continue"/>
            <w:vAlign w:val="center"/>
          </w:tcPr>
          <w:p w14:paraId="72CDF256">
            <w:pPr>
              <w:spacing w:before="156" w:beforeLines="50" w:after="156" w:afterLines="50"/>
              <w:jc w:val="left"/>
              <w:rPr>
                <w:rFonts w:ascii="宋体"/>
                <w:kern w:val="0"/>
                <w:sz w:val="18"/>
                <w:szCs w:val="18"/>
              </w:rPr>
            </w:pPr>
          </w:p>
        </w:tc>
        <w:tc>
          <w:tcPr>
            <w:tcW w:w="2243" w:type="dxa"/>
            <w:vMerge w:val="continue"/>
            <w:vAlign w:val="center"/>
          </w:tcPr>
          <w:p w14:paraId="0D06695E">
            <w:pPr>
              <w:spacing w:before="156" w:beforeLines="50" w:after="156" w:afterLines="50"/>
              <w:jc w:val="left"/>
              <w:rPr>
                <w:rFonts w:ascii="宋体"/>
                <w:kern w:val="0"/>
                <w:sz w:val="18"/>
                <w:szCs w:val="18"/>
              </w:rPr>
            </w:pPr>
          </w:p>
        </w:tc>
        <w:tc>
          <w:tcPr>
            <w:tcW w:w="992" w:type="dxa"/>
            <w:vMerge w:val="continue"/>
            <w:tcBorders>
              <w:bottom w:val="single" w:color="auto" w:sz="4" w:space="0"/>
              <w:right w:val="single" w:color="auto" w:sz="4" w:space="0"/>
            </w:tcBorders>
            <w:vAlign w:val="center"/>
          </w:tcPr>
          <w:p w14:paraId="7C485ED4">
            <w:pPr>
              <w:widowControl/>
              <w:spacing w:before="156" w:beforeLines="50" w:after="156" w:afterLines="50"/>
              <w:rPr>
                <w:rFonts w:ascii="宋体"/>
                <w:sz w:val="18"/>
                <w:szCs w:val="18"/>
              </w:rPr>
            </w:pPr>
          </w:p>
        </w:tc>
        <w:tc>
          <w:tcPr>
            <w:tcW w:w="2410" w:type="dxa"/>
            <w:tcBorders>
              <w:top w:val="single" w:color="auto" w:sz="4" w:space="0"/>
              <w:left w:val="single" w:color="auto" w:sz="4" w:space="0"/>
              <w:bottom w:val="single" w:color="auto" w:sz="4" w:space="0"/>
            </w:tcBorders>
            <w:vAlign w:val="center"/>
          </w:tcPr>
          <w:p w14:paraId="37F680C7">
            <w:pPr>
              <w:widowControl/>
              <w:spacing w:before="156" w:beforeLines="50" w:after="156" w:afterLines="50"/>
              <w:rPr>
                <w:rFonts w:ascii="宋体"/>
                <w:sz w:val="18"/>
                <w:szCs w:val="18"/>
              </w:rPr>
            </w:pPr>
            <w:r>
              <w:rPr>
                <w:rFonts w:hint="eastAsia" w:ascii="宋体"/>
                <w:sz w:val="18"/>
                <w:szCs w:val="18"/>
              </w:rPr>
              <w:t>具有其他严重情节的。</w:t>
            </w:r>
          </w:p>
        </w:tc>
        <w:tc>
          <w:tcPr>
            <w:tcW w:w="2268" w:type="dxa"/>
            <w:vMerge w:val="continue"/>
            <w:tcBorders>
              <w:bottom w:val="single" w:color="auto" w:sz="4" w:space="0"/>
              <w:right w:val="single" w:color="auto" w:sz="4" w:space="0"/>
            </w:tcBorders>
            <w:vAlign w:val="center"/>
          </w:tcPr>
          <w:p w14:paraId="1A920D79">
            <w:pPr>
              <w:widowControl/>
              <w:spacing w:before="156" w:beforeLines="50" w:after="156" w:afterLines="50"/>
              <w:rPr>
                <w:rFonts w:ascii="宋体"/>
                <w:sz w:val="18"/>
                <w:szCs w:val="18"/>
              </w:rPr>
            </w:pPr>
          </w:p>
        </w:tc>
        <w:tc>
          <w:tcPr>
            <w:tcW w:w="2410" w:type="dxa"/>
            <w:vMerge w:val="continue"/>
            <w:tcBorders>
              <w:bottom w:val="single" w:color="auto" w:sz="4" w:space="0"/>
              <w:right w:val="single" w:color="auto" w:sz="4" w:space="0"/>
            </w:tcBorders>
            <w:vAlign w:val="center"/>
          </w:tcPr>
          <w:p w14:paraId="3F71970A">
            <w:pPr>
              <w:widowControl/>
              <w:spacing w:before="156" w:beforeLines="50" w:after="156" w:afterLines="50"/>
              <w:rPr>
                <w:rFonts w:ascii="宋体"/>
                <w:sz w:val="18"/>
                <w:szCs w:val="18"/>
              </w:rPr>
            </w:pPr>
          </w:p>
        </w:tc>
        <w:tc>
          <w:tcPr>
            <w:tcW w:w="2551" w:type="dxa"/>
            <w:vMerge w:val="continue"/>
            <w:tcBorders>
              <w:bottom w:val="single" w:color="auto" w:sz="4" w:space="0"/>
              <w:right w:val="single" w:color="auto" w:sz="4" w:space="0"/>
            </w:tcBorders>
            <w:vAlign w:val="center"/>
          </w:tcPr>
          <w:p w14:paraId="16CF3C20">
            <w:pPr>
              <w:widowControl/>
              <w:spacing w:before="156" w:beforeLines="50" w:after="156" w:afterLines="50"/>
              <w:rPr>
                <w:rFonts w:ascii="宋体"/>
                <w:sz w:val="18"/>
                <w:szCs w:val="18"/>
              </w:rPr>
            </w:pPr>
          </w:p>
        </w:tc>
        <w:tc>
          <w:tcPr>
            <w:tcW w:w="3409" w:type="dxa"/>
            <w:tcBorders>
              <w:top w:val="single" w:color="auto" w:sz="4" w:space="0"/>
              <w:bottom w:val="single" w:color="auto" w:sz="4" w:space="0"/>
              <w:right w:val="single" w:color="auto" w:sz="4" w:space="0"/>
            </w:tcBorders>
            <w:vAlign w:val="center"/>
          </w:tcPr>
          <w:p w14:paraId="6A099F19">
            <w:pPr>
              <w:widowControl/>
              <w:spacing w:before="156" w:beforeLines="50" w:after="156" w:afterLines="50"/>
              <w:rPr>
                <w:rFonts w:ascii="宋体"/>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73A9322F">
      <w:pPr>
        <w:spacing w:before="156" w:beforeLines="50" w:after="156" w:afterLines="50"/>
        <w:jc w:val="left"/>
        <w:rPr>
          <w:b/>
          <w:sz w:val="18"/>
          <w:szCs w:val="18"/>
        </w:rPr>
      </w:pPr>
      <w:r>
        <w:rPr>
          <w:rFonts w:hint="eastAsia"/>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243"/>
        <w:gridCol w:w="992"/>
        <w:gridCol w:w="2410"/>
        <w:gridCol w:w="2268"/>
        <w:gridCol w:w="2410"/>
        <w:gridCol w:w="2551"/>
        <w:gridCol w:w="3306"/>
      </w:tblGrid>
      <w:tr w14:paraId="5DE8B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14:paraId="35F22DA5">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5F8448D9">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20" w:type="dxa"/>
            <w:gridSpan w:val="2"/>
            <w:vMerge w:val="restart"/>
            <w:vAlign w:val="center"/>
          </w:tcPr>
          <w:p w14:paraId="61C758F1">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92" w:type="dxa"/>
            <w:vMerge w:val="restart"/>
            <w:vAlign w:val="center"/>
          </w:tcPr>
          <w:p w14:paraId="318E2A2C">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10" w:type="dxa"/>
            <w:vMerge w:val="restart"/>
            <w:vAlign w:val="center"/>
          </w:tcPr>
          <w:p w14:paraId="4871A70C">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535" w:type="dxa"/>
            <w:gridSpan w:val="4"/>
            <w:tcBorders>
              <w:bottom w:val="single" w:color="auto" w:sz="4" w:space="0"/>
              <w:right w:val="single" w:color="auto" w:sz="4" w:space="0"/>
            </w:tcBorders>
            <w:vAlign w:val="center"/>
          </w:tcPr>
          <w:p w14:paraId="40A5C5B0">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w:t>
            </w:r>
          </w:p>
        </w:tc>
      </w:tr>
      <w:tr w14:paraId="573E9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690" w:type="dxa"/>
            <w:vMerge w:val="continue"/>
            <w:vAlign w:val="center"/>
          </w:tcPr>
          <w:p w14:paraId="2C13910C">
            <w:pPr>
              <w:spacing w:before="156" w:beforeLines="50" w:after="156" w:afterLines="50"/>
              <w:jc w:val="center"/>
              <w:rPr>
                <w:rFonts w:ascii="宋体"/>
                <w:b/>
                <w:kern w:val="0"/>
                <w:sz w:val="18"/>
                <w:szCs w:val="18"/>
              </w:rPr>
            </w:pPr>
          </w:p>
        </w:tc>
        <w:tc>
          <w:tcPr>
            <w:tcW w:w="876" w:type="dxa"/>
            <w:vMerge w:val="continue"/>
            <w:vAlign w:val="center"/>
          </w:tcPr>
          <w:p w14:paraId="1F53A611">
            <w:pPr>
              <w:spacing w:before="156" w:beforeLines="50" w:after="156" w:afterLines="50"/>
              <w:jc w:val="center"/>
              <w:rPr>
                <w:rFonts w:ascii="宋体"/>
                <w:b/>
                <w:kern w:val="0"/>
                <w:sz w:val="18"/>
                <w:szCs w:val="18"/>
              </w:rPr>
            </w:pPr>
          </w:p>
        </w:tc>
        <w:tc>
          <w:tcPr>
            <w:tcW w:w="3620" w:type="dxa"/>
            <w:gridSpan w:val="2"/>
            <w:vMerge w:val="continue"/>
            <w:vAlign w:val="center"/>
          </w:tcPr>
          <w:p w14:paraId="6F90A873">
            <w:pPr>
              <w:spacing w:before="156" w:beforeLines="50" w:after="156" w:afterLines="50"/>
              <w:jc w:val="center"/>
              <w:rPr>
                <w:rFonts w:ascii="宋体"/>
                <w:b/>
                <w:kern w:val="0"/>
                <w:sz w:val="18"/>
                <w:szCs w:val="18"/>
              </w:rPr>
            </w:pPr>
          </w:p>
        </w:tc>
        <w:tc>
          <w:tcPr>
            <w:tcW w:w="992" w:type="dxa"/>
            <w:vMerge w:val="continue"/>
            <w:vAlign w:val="center"/>
          </w:tcPr>
          <w:p w14:paraId="1A31AE3E">
            <w:pPr>
              <w:spacing w:before="156" w:beforeLines="50" w:after="156" w:afterLines="50"/>
              <w:jc w:val="left"/>
              <w:rPr>
                <w:rFonts w:ascii="宋体"/>
                <w:b/>
                <w:kern w:val="0"/>
                <w:sz w:val="18"/>
                <w:szCs w:val="18"/>
              </w:rPr>
            </w:pPr>
          </w:p>
        </w:tc>
        <w:tc>
          <w:tcPr>
            <w:tcW w:w="2410" w:type="dxa"/>
            <w:vMerge w:val="continue"/>
            <w:vAlign w:val="center"/>
          </w:tcPr>
          <w:p w14:paraId="3151903A">
            <w:pPr>
              <w:spacing w:before="156" w:beforeLines="50" w:after="156" w:afterLines="50"/>
              <w:jc w:val="left"/>
              <w:rPr>
                <w:rFonts w:ascii="宋体"/>
                <w:b/>
                <w:kern w:val="0"/>
                <w:sz w:val="18"/>
                <w:szCs w:val="18"/>
              </w:rPr>
            </w:pPr>
          </w:p>
        </w:tc>
        <w:tc>
          <w:tcPr>
            <w:tcW w:w="10535" w:type="dxa"/>
            <w:gridSpan w:val="4"/>
            <w:tcBorders>
              <w:top w:val="single" w:color="auto" w:sz="4" w:space="0"/>
              <w:bottom w:val="single" w:color="auto" w:sz="4" w:space="0"/>
              <w:right w:val="single" w:color="auto" w:sz="4" w:space="0"/>
            </w:tcBorders>
            <w:vAlign w:val="center"/>
          </w:tcPr>
          <w:p w14:paraId="0868C2D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A68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7B2939C7">
            <w:pPr>
              <w:spacing w:before="156" w:beforeLines="50" w:after="156" w:afterLines="50"/>
              <w:jc w:val="center"/>
              <w:rPr>
                <w:rFonts w:ascii="宋体"/>
                <w:b/>
                <w:kern w:val="0"/>
                <w:sz w:val="18"/>
                <w:szCs w:val="18"/>
              </w:rPr>
            </w:pPr>
          </w:p>
        </w:tc>
        <w:tc>
          <w:tcPr>
            <w:tcW w:w="876" w:type="dxa"/>
            <w:vMerge w:val="continue"/>
            <w:vAlign w:val="center"/>
          </w:tcPr>
          <w:p w14:paraId="3D829749">
            <w:pPr>
              <w:spacing w:before="156" w:beforeLines="50" w:after="156" w:afterLines="50"/>
              <w:jc w:val="center"/>
              <w:rPr>
                <w:rFonts w:ascii="宋体"/>
                <w:b/>
                <w:kern w:val="0"/>
                <w:sz w:val="18"/>
                <w:szCs w:val="18"/>
              </w:rPr>
            </w:pPr>
          </w:p>
        </w:tc>
        <w:tc>
          <w:tcPr>
            <w:tcW w:w="1377" w:type="dxa"/>
            <w:vMerge w:val="restart"/>
            <w:vAlign w:val="center"/>
          </w:tcPr>
          <w:p w14:paraId="35D2AF98">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43" w:type="dxa"/>
            <w:vMerge w:val="restart"/>
            <w:vAlign w:val="center"/>
          </w:tcPr>
          <w:p w14:paraId="77809389">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92" w:type="dxa"/>
            <w:vMerge w:val="continue"/>
            <w:vAlign w:val="center"/>
          </w:tcPr>
          <w:p w14:paraId="6EFBC156">
            <w:pPr>
              <w:spacing w:before="156" w:beforeLines="50" w:after="156" w:afterLines="50"/>
              <w:jc w:val="left"/>
              <w:rPr>
                <w:rFonts w:ascii="宋体"/>
                <w:b/>
                <w:kern w:val="0"/>
                <w:sz w:val="18"/>
                <w:szCs w:val="18"/>
              </w:rPr>
            </w:pPr>
          </w:p>
        </w:tc>
        <w:tc>
          <w:tcPr>
            <w:tcW w:w="2410" w:type="dxa"/>
            <w:vMerge w:val="continue"/>
            <w:vAlign w:val="center"/>
          </w:tcPr>
          <w:p w14:paraId="79BDB209">
            <w:pPr>
              <w:spacing w:before="156" w:beforeLines="50" w:after="156" w:afterLines="50"/>
              <w:jc w:val="left"/>
              <w:rPr>
                <w:rFonts w:ascii="宋体"/>
                <w:b/>
                <w:kern w:val="0"/>
                <w:sz w:val="18"/>
                <w:szCs w:val="18"/>
              </w:rPr>
            </w:pPr>
          </w:p>
        </w:tc>
        <w:tc>
          <w:tcPr>
            <w:tcW w:w="7229" w:type="dxa"/>
            <w:gridSpan w:val="3"/>
            <w:tcBorders>
              <w:top w:val="single" w:color="auto" w:sz="4" w:space="0"/>
              <w:bottom w:val="single" w:color="auto" w:sz="4" w:space="0"/>
              <w:right w:val="single" w:color="auto" w:sz="4" w:space="0"/>
            </w:tcBorders>
            <w:vAlign w:val="center"/>
          </w:tcPr>
          <w:p w14:paraId="6A5DA1E8">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306" w:type="dxa"/>
            <w:vMerge w:val="restart"/>
            <w:tcBorders>
              <w:top w:val="single" w:color="auto" w:sz="4" w:space="0"/>
              <w:right w:val="single" w:color="auto" w:sz="4" w:space="0"/>
            </w:tcBorders>
            <w:vAlign w:val="center"/>
          </w:tcPr>
          <w:p w14:paraId="513E58F0">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10367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14:paraId="68C79255">
            <w:pPr>
              <w:spacing w:before="156" w:beforeLines="50" w:after="156" w:afterLines="50"/>
              <w:jc w:val="left"/>
              <w:rPr>
                <w:rFonts w:ascii="宋体"/>
                <w:b/>
                <w:kern w:val="0"/>
                <w:sz w:val="18"/>
                <w:szCs w:val="18"/>
              </w:rPr>
            </w:pPr>
          </w:p>
        </w:tc>
        <w:tc>
          <w:tcPr>
            <w:tcW w:w="876" w:type="dxa"/>
            <w:vMerge w:val="continue"/>
            <w:vAlign w:val="center"/>
          </w:tcPr>
          <w:p w14:paraId="5B31BDBF">
            <w:pPr>
              <w:spacing w:before="156" w:beforeLines="50" w:after="156" w:afterLines="50"/>
              <w:jc w:val="left"/>
              <w:rPr>
                <w:rFonts w:ascii="宋体"/>
                <w:b/>
                <w:kern w:val="0"/>
                <w:sz w:val="18"/>
                <w:szCs w:val="18"/>
              </w:rPr>
            </w:pPr>
          </w:p>
        </w:tc>
        <w:tc>
          <w:tcPr>
            <w:tcW w:w="1377" w:type="dxa"/>
            <w:vMerge w:val="continue"/>
            <w:vAlign w:val="center"/>
          </w:tcPr>
          <w:p w14:paraId="3CE6F4F7">
            <w:pPr>
              <w:spacing w:before="156" w:beforeLines="50" w:after="156" w:afterLines="50"/>
              <w:jc w:val="left"/>
              <w:rPr>
                <w:rFonts w:ascii="宋体"/>
                <w:b/>
                <w:kern w:val="0"/>
                <w:sz w:val="18"/>
                <w:szCs w:val="18"/>
              </w:rPr>
            </w:pPr>
          </w:p>
        </w:tc>
        <w:tc>
          <w:tcPr>
            <w:tcW w:w="2243" w:type="dxa"/>
            <w:vMerge w:val="continue"/>
            <w:vAlign w:val="center"/>
          </w:tcPr>
          <w:p w14:paraId="5BA23F91">
            <w:pPr>
              <w:spacing w:before="156" w:beforeLines="50" w:after="156" w:afterLines="50"/>
              <w:jc w:val="left"/>
              <w:rPr>
                <w:rFonts w:ascii="宋体"/>
                <w:b/>
                <w:kern w:val="0"/>
                <w:sz w:val="18"/>
                <w:szCs w:val="18"/>
              </w:rPr>
            </w:pPr>
          </w:p>
        </w:tc>
        <w:tc>
          <w:tcPr>
            <w:tcW w:w="992" w:type="dxa"/>
            <w:vMerge w:val="continue"/>
            <w:vAlign w:val="center"/>
          </w:tcPr>
          <w:p w14:paraId="467BB081">
            <w:pPr>
              <w:spacing w:before="156" w:beforeLines="50" w:after="156" w:afterLines="50"/>
              <w:jc w:val="left"/>
              <w:rPr>
                <w:rFonts w:ascii="宋体"/>
                <w:b/>
                <w:kern w:val="0"/>
                <w:sz w:val="18"/>
                <w:szCs w:val="18"/>
              </w:rPr>
            </w:pPr>
          </w:p>
        </w:tc>
        <w:tc>
          <w:tcPr>
            <w:tcW w:w="2410" w:type="dxa"/>
            <w:vMerge w:val="continue"/>
            <w:vAlign w:val="center"/>
          </w:tcPr>
          <w:p w14:paraId="05A14602">
            <w:pPr>
              <w:spacing w:before="156" w:beforeLines="50" w:after="156" w:afterLines="50"/>
              <w:jc w:val="left"/>
              <w:rPr>
                <w:rFonts w:ascii="宋体"/>
                <w:b/>
                <w:kern w:val="0"/>
                <w:sz w:val="18"/>
                <w:szCs w:val="18"/>
              </w:rPr>
            </w:pPr>
          </w:p>
        </w:tc>
        <w:tc>
          <w:tcPr>
            <w:tcW w:w="2268" w:type="dxa"/>
            <w:tcBorders>
              <w:top w:val="single" w:color="auto" w:sz="4" w:space="0"/>
              <w:right w:val="single" w:color="auto" w:sz="4" w:space="0"/>
            </w:tcBorders>
            <w:vAlign w:val="center"/>
          </w:tcPr>
          <w:p w14:paraId="75B418E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14:paraId="530D228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551" w:type="dxa"/>
            <w:tcBorders>
              <w:top w:val="single" w:color="auto" w:sz="4" w:space="0"/>
              <w:right w:val="single" w:color="auto" w:sz="4" w:space="0"/>
            </w:tcBorders>
            <w:vAlign w:val="center"/>
          </w:tcPr>
          <w:p w14:paraId="7C09419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306" w:type="dxa"/>
            <w:vMerge w:val="continue"/>
            <w:tcBorders>
              <w:right w:val="single" w:color="auto" w:sz="4" w:space="0"/>
            </w:tcBorders>
            <w:vAlign w:val="center"/>
          </w:tcPr>
          <w:p w14:paraId="596976A7">
            <w:pPr>
              <w:spacing w:before="156" w:beforeLines="50" w:after="156" w:afterLines="50"/>
              <w:jc w:val="left"/>
              <w:rPr>
                <w:rFonts w:ascii="宋体"/>
                <w:b/>
                <w:sz w:val="18"/>
                <w:szCs w:val="18"/>
              </w:rPr>
            </w:pPr>
          </w:p>
        </w:tc>
      </w:tr>
      <w:tr w14:paraId="76D3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14:paraId="125C0091">
            <w:pPr>
              <w:spacing w:before="156" w:beforeLines="50" w:after="156" w:afterLines="50"/>
              <w:jc w:val="center"/>
              <w:rPr>
                <w:rFonts w:ascii="宋体"/>
                <w:kern w:val="0"/>
                <w:sz w:val="18"/>
                <w:szCs w:val="18"/>
              </w:rPr>
            </w:pPr>
            <w:r>
              <w:rPr>
                <w:rFonts w:hint="eastAsia" w:ascii="宋体"/>
                <w:kern w:val="0"/>
                <w:sz w:val="18"/>
                <w:szCs w:val="18"/>
              </w:rPr>
              <w:t>33</w:t>
            </w:r>
          </w:p>
        </w:tc>
        <w:tc>
          <w:tcPr>
            <w:tcW w:w="876" w:type="dxa"/>
            <w:vMerge w:val="restart"/>
            <w:vAlign w:val="center"/>
          </w:tcPr>
          <w:p w14:paraId="4683EB15">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w:t>
            </w:r>
          </w:p>
        </w:tc>
        <w:tc>
          <w:tcPr>
            <w:tcW w:w="1377" w:type="dxa"/>
            <w:vMerge w:val="restart"/>
            <w:vAlign w:val="center"/>
          </w:tcPr>
          <w:p w14:paraId="44535BF5">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1.《中华人民共和国内河交通安全管理条例》第十七条第四款、第二十四条第二款；</w:t>
            </w:r>
          </w:p>
          <w:p w14:paraId="2AA0FBE5">
            <w:pPr>
              <w:widowControl/>
              <w:spacing w:before="156" w:beforeLines="50" w:after="156" w:afterLines="50"/>
              <w:rPr>
                <w:rFonts w:ascii="宋体"/>
                <w:kern w:val="0"/>
                <w:sz w:val="18"/>
                <w:szCs w:val="18"/>
              </w:rPr>
            </w:pPr>
            <w:r>
              <w:rPr>
                <w:rFonts w:hint="eastAsia" w:ascii="宋体"/>
                <w:kern w:val="0"/>
                <w:sz w:val="18"/>
                <w:szCs w:val="18"/>
              </w:rPr>
              <w:t>2.《中华人民共和国内河避碰规则》（2003修订本）第三十六条。</w:t>
            </w:r>
          </w:p>
        </w:tc>
        <w:tc>
          <w:tcPr>
            <w:tcW w:w="2243" w:type="dxa"/>
            <w:vMerge w:val="restart"/>
            <w:vAlign w:val="center"/>
          </w:tcPr>
          <w:p w14:paraId="59AF438E">
            <w:pPr>
              <w:widowControl/>
              <w:spacing w:before="156" w:beforeLines="50" w:after="156" w:afterLines="50"/>
              <w:rPr>
                <w:rFonts w:ascii="宋体"/>
                <w:kern w:val="0"/>
                <w:sz w:val="18"/>
                <w:szCs w:val="18"/>
              </w:rPr>
            </w:pPr>
            <w:r>
              <w:rPr>
                <w:rFonts w:hint="eastAsia" w:ascii="宋体"/>
                <w:kern w:val="0"/>
                <w:sz w:val="18"/>
                <w:szCs w:val="18"/>
              </w:rPr>
              <w:t>1.《中华人民共和国内河交通安全管理条例》第八十一条；</w:t>
            </w:r>
          </w:p>
          <w:p w14:paraId="36258D0E">
            <w:pPr>
              <w:widowControl/>
              <w:spacing w:before="156" w:beforeLines="50" w:after="156" w:afterLines="50"/>
              <w:rPr>
                <w:rFonts w:ascii="宋体"/>
                <w:kern w:val="0"/>
                <w:sz w:val="18"/>
                <w:szCs w:val="18"/>
              </w:rPr>
            </w:pPr>
            <w:r>
              <w:rPr>
                <w:rFonts w:hint="eastAsia" w:ascii="宋体"/>
                <w:kern w:val="0"/>
                <w:sz w:val="18"/>
                <w:szCs w:val="18"/>
              </w:rPr>
              <w:t>2.《中华人民共和国内河海事行政处罚规定》第十七条第一款和第二款第（十三）项；</w:t>
            </w:r>
          </w:p>
          <w:p w14:paraId="157997CD">
            <w:pPr>
              <w:widowControl/>
              <w:spacing w:before="156" w:beforeLines="50" w:after="156" w:afterLines="50"/>
              <w:rPr>
                <w:rFonts w:ascii="宋体"/>
                <w:kern w:val="0"/>
                <w:sz w:val="18"/>
                <w:szCs w:val="18"/>
              </w:rPr>
            </w:pPr>
            <w:r>
              <w:rPr>
                <w:rFonts w:hint="eastAsia" w:ascii="宋体"/>
                <w:kern w:val="0"/>
                <w:sz w:val="18"/>
                <w:szCs w:val="18"/>
              </w:rPr>
              <w:t>3.《中华人民共和国行政处罚法》第三十二条（从轻）。</w:t>
            </w:r>
          </w:p>
          <w:p w14:paraId="68B380A8">
            <w:pPr>
              <w:widowControl/>
              <w:spacing w:before="156" w:beforeLines="50" w:after="156" w:afterLines="50"/>
              <w:rPr>
                <w:rFonts w:ascii="宋体"/>
                <w:kern w:val="0"/>
                <w:sz w:val="18"/>
                <w:szCs w:val="18"/>
              </w:rPr>
            </w:pPr>
          </w:p>
        </w:tc>
        <w:tc>
          <w:tcPr>
            <w:tcW w:w="992" w:type="dxa"/>
            <w:vAlign w:val="center"/>
          </w:tcPr>
          <w:p w14:paraId="2F668325">
            <w:pPr>
              <w:widowControl/>
              <w:spacing w:before="156" w:beforeLines="50" w:after="156" w:afterLines="50"/>
              <w:rPr>
                <w:rFonts w:ascii="宋体"/>
                <w:kern w:val="0"/>
                <w:sz w:val="18"/>
                <w:szCs w:val="18"/>
              </w:rPr>
            </w:pPr>
            <w:r>
              <w:rPr>
                <w:rFonts w:hint="eastAsia" w:ascii="宋体"/>
                <w:kern w:val="0"/>
                <w:sz w:val="18"/>
                <w:szCs w:val="18"/>
              </w:rPr>
              <w:t>从轻</w:t>
            </w:r>
          </w:p>
        </w:tc>
        <w:tc>
          <w:tcPr>
            <w:tcW w:w="2410" w:type="dxa"/>
            <w:vAlign w:val="center"/>
          </w:tcPr>
          <w:p w14:paraId="0BDBDCE6">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tcBorders>
              <w:right w:val="single" w:color="auto" w:sz="4" w:space="0"/>
            </w:tcBorders>
            <w:vAlign w:val="center"/>
          </w:tcPr>
          <w:p w14:paraId="1E5AB794">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410" w:type="dxa"/>
            <w:tcBorders>
              <w:right w:val="single" w:color="auto" w:sz="4" w:space="0"/>
            </w:tcBorders>
            <w:vAlign w:val="center"/>
          </w:tcPr>
          <w:p w14:paraId="33149EC3">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2551" w:type="dxa"/>
            <w:tcBorders>
              <w:right w:val="single" w:color="auto" w:sz="4" w:space="0"/>
            </w:tcBorders>
            <w:vAlign w:val="center"/>
          </w:tcPr>
          <w:p w14:paraId="03F7AC33">
            <w:pPr>
              <w:widowControl/>
              <w:spacing w:before="156" w:beforeLines="50" w:after="156" w:afterLines="50"/>
              <w:rPr>
                <w:rFonts w:ascii="宋体"/>
                <w:kern w:val="0"/>
                <w:sz w:val="18"/>
                <w:szCs w:val="18"/>
              </w:rPr>
            </w:pPr>
            <w:r>
              <w:rPr>
                <w:rFonts w:hint="eastAsia" w:ascii="宋体"/>
                <w:kern w:val="0"/>
                <w:sz w:val="18"/>
                <w:szCs w:val="18"/>
              </w:rPr>
              <w:t>1000元及以上2000元以下</w:t>
            </w:r>
          </w:p>
        </w:tc>
        <w:tc>
          <w:tcPr>
            <w:tcW w:w="3306" w:type="dxa"/>
            <w:tcBorders>
              <w:right w:val="single" w:color="auto" w:sz="4" w:space="0"/>
            </w:tcBorders>
            <w:vAlign w:val="center"/>
          </w:tcPr>
          <w:p w14:paraId="0D54CDB6">
            <w:pPr>
              <w:widowControl/>
              <w:spacing w:before="156" w:beforeLines="50" w:after="156" w:afterLines="50"/>
              <w:rPr>
                <w:rFonts w:ascii="宋体"/>
                <w:kern w:val="0"/>
                <w:sz w:val="18"/>
                <w:szCs w:val="18"/>
              </w:rPr>
            </w:pPr>
            <w:r>
              <w:rPr>
                <w:rFonts w:hint="eastAsia" w:ascii="宋体"/>
                <w:kern w:val="0"/>
                <w:sz w:val="18"/>
                <w:szCs w:val="18"/>
              </w:rPr>
              <w:t>/</w:t>
            </w:r>
          </w:p>
        </w:tc>
      </w:tr>
      <w:tr w14:paraId="1023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14:paraId="0607D0FC">
            <w:pPr>
              <w:spacing w:before="156" w:beforeLines="50" w:after="156" w:afterLines="50"/>
              <w:jc w:val="left"/>
              <w:rPr>
                <w:rFonts w:ascii="宋体"/>
                <w:kern w:val="0"/>
                <w:sz w:val="18"/>
                <w:szCs w:val="18"/>
              </w:rPr>
            </w:pPr>
          </w:p>
        </w:tc>
        <w:tc>
          <w:tcPr>
            <w:tcW w:w="876" w:type="dxa"/>
            <w:vMerge w:val="continue"/>
            <w:vAlign w:val="center"/>
          </w:tcPr>
          <w:p w14:paraId="2E5670EF">
            <w:pPr>
              <w:spacing w:before="156" w:beforeLines="50" w:after="156" w:afterLines="50"/>
              <w:jc w:val="left"/>
              <w:rPr>
                <w:rFonts w:ascii="宋体"/>
                <w:kern w:val="0"/>
                <w:sz w:val="18"/>
                <w:szCs w:val="18"/>
              </w:rPr>
            </w:pPr>
          </w:p>
        </w:tc>
        <w:tc>
          <w:tcPr>
            <w:tcW w:w="1377" w:type="dxa"/>
            <w:vMerge w:val="continue"/>
            <w:vAlign w:val="center"/>
          </w:tcPr>
          <w:p w14:paraId="38595389">
            <w:pPr>
              <w:widowControl/>
              <w:spacing w:before="156" w:beforeLines="50" w:after="156" w:afterLines="50"/>
              <w:rPr>
                <w:rFonts w:ascii="宋体"/>
                <w:kern w:val="0"/>
                <w:sz w:val="18"/>
                <w:szCs w:val="18"/>
              </w:rPr>
            </w:pPr>
          </w:p>
        </w:tc>
        <w:tc>
          <w:tcPr>
            <w:tcW w:w="2243" w:type="dxa"/>
            <w:vMerge w:val="continue"/>
            <w:vAlign w:val="center"/>
          </w:tcPr>
          <w:p w14:paraId="7A48EFC6">
            <w:pPr>
              <w:widowControl/>
              <w:spacing w:before="156" w:beforeLines="50" w:after="156" w:afterLines="50"/>
              <w:rPr>
                <w:rFonts w:ascii="宋体"/>
                <w:kern w:val="0"/>
                <w:sz w:val="18"/>
                <w:szCs w:val="18"/>
              </w:rPr>
            </w:pPr>
          </w:p>
        </w:tc>
        <w:tc>
          <w:tcPr>
            <w:tcW w:w="992" w:type="dxa"/>
            <w:vMerge w:val="restart"/>
            <w:vAlign w:val="center"/>
          </w:tcPr>
          <w:p w14:paraId="3C5EEB45">
            <w:pPr>
              <w:widowControl/>
              <w:spacing w:before="156" w:beforeLines="50" w:after="156" w:afterLines="50"/>
              <w:jc w:val="center"/>
              <w:rPr>
                <w:rFonts w:ascii="宋体"/>
                <w:kern w:val="0"/>
                <w:sz w:val="18"/>
                <w:szCs w:val="18"/>
              </w:rPr>
            </w:pPr>
            <w:r>
              <w:rPr>
                <w:rFonts w:hint="eastAsia" w:ascii="宋体"/>
                <w:kern w:val="0"/>
                <w:sz w:val="18"/>
                <w:szCs w:val="18"/>
              </w:rPr>
              <w:t>一般</w:t>
            </w:r>
          </w:p>
        </w:tc>
        <w:tc>
          <w:tcPr>
            <w:tcW w:w="2410" w:type="dxa"/>
            <w:vAlign w:val="center"/>
          </w:tcPr>
          <w:p w14:paraId="2DCFCB77">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船舶装卸、载运危险货物或者空舱内有可燃气体时，未按规定悬挂或者显示信号的。</w:t>
            </w:r>
          </w:p>
        </w:tc>
        <w:tc>
          <w:tcPr>
            <w:tcW w:w="2268" w:type="dxa"/>
            <w:tcBorders>
              <w:right w:val="single" w:color="auto" w:sz="4" w:space="0"/>
            </w:tcBorders>
            <w:vAlign w:val="center"/>
          </w:tcPr>
          <w:p w14:paraId="221981CA">
            <w:pPr>
              <w:widowControl/>
              <w:spacing w:before="156" w:beforeLines="50" w:after="156" w:afterLines="50"/>
              <w:rPr>
                <w:rFonts w:ascii="宋体"/>
                <w:kern w:val="0"/>
                <w:sz w:val="18"/>
                <w:szCs w:val="18"/>
              </w:rPr>
            </w:pPr>
            <w:r>
              <w:rPr>
                <w:rFonts w:hint="eastAsia" w:ascii="宋体"/>
                <w:kern w:val="0"/>
                <w:sz w:val="18"/>
                <w:szCs w:val="18"/>
              </w:rPr>
              <w:t>2000元及以上3000元以下</w:t>
            </w:r>
          </w:p>
        </w:tc>
        <w:tc>
          <w:tcPr>
            <w:tcW w:w="2410" w:type="dxa"/>
            <w:tcBorders>
              <w:right w:val="single" w:color="auto" w:sz="4" w:space="0"/>
            </w:tcBorders>
            <w:vAlign w:val="center"/>
          </w:tcPr>
          <w:p w14:paraId="4EA796C6">
            <w:pPr>
              <w:widowControl/>
              <w:spacing w:before="156" w:beforeLines="50" w:after="156" w:afterLines="50"/>
              <w:rPr>
                <w:rFonts w:ascii="宋体"/>
                <w:kern w:val="0"/>
                <w:sz w:val="18"/>
                <w:szCs w:val="18"/>
              </w:rPr>
            </w:pPr>
            <w:r>
              <w:rPr>
                <w:rFonts w:hint="eastAsia" w:ascii="宋体"/>
                <w:kern w:val="0"/>
                <w:sz w:val="18"/>
                <w:szCs w:val="18"/>
              </w:rPr>
              <w:t>2000元及以上4000元以下</w:t>
            </w:r>
          </w:p>
        </w:tc>
        <w:tc>
          <w:tcPr>
            <w:tcW w:w="2551" w:type="dxa"/>
            <w:tcBorders>
              <w:right w:val="single" w:color="auto" w:sz="4" w:space="0"/>
            </w:tcBorders>
            <w:vAlign w:val="center"/>
          </w:tcPr>
          <w:p w14:paraId="64E64470">
            <w:pPr>
              <w:widowControl/>
              <w:spacing w:before="156" w:beforeLines="50" w:after="156" w:afterLines="50"/>
              <w:rPr>
                <w:rFonts w:ascii="宋体"/>
                <w:kern w:val="0"/>
                <w:sz w:val="18"/>
                <w:szCs w:val="18"/>
              </w:rPr>
            </w:pPr>
            <w:r>
              <w:rPr>
                <w:rFonts w:hint="eastAsia" w:ascii="宋体"/>
                <w:kern w:val="0"/>
                <w:sz w:val="18"/>
                <w:szCs w:val="18"/>
              </w:rPr>
              <w:t>2000元及以上5000元以下</w:t>
            </w:r>
          </w:p>
        </w:tc>
        <w:tc>
          <w:tcPr>
            <w:tcW w:w="3306" w:type="dxa"/>
            <w:tcBorders>
              <w:right w:val="single" w:color="auto" w:sz="4" w:space="0"/>
            </w:tcBorders>
            <w:vAlign w:val="center"/>
          </w:tcPr>
          <w:p w14:paraId="4BF5A0DD">
            <w:pPr>
              <w:widowControl/>
              <w:spacing w:before="156" w:beforeLines="50" w:after="156" w:afterLines="50"/>
              <w:rPr>
                <w:rFonts w:ascii="宋体"/>
                <w:kern w:val="0"/>
                <w:sz w:val="18"/>
                <w:szCs w:val="18"/>
              </w:rPr>
            </w:pPr>
            <w:r>
              <w:rPr>
                <w:rFonts w:hint="eastAsia" w:ascii="宋体"/>
                <w:kern w:val="0"/>
                <w:sz w:val="18"/>
                <w:szCs w:val="18"/>
              </w:rPr>
              <w:t>/</w:t>
            </w:r>
          </w:p>
        </w:tc>
      </w:tr>
      <w:tr w14:paraId="64EF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690" w:type="dxa"/>
            <w:vMerge w:val="continue"/>
            <w:vAlign w:val="center"/>
          </w:tcPr>
          <w:p w14:paraId="5F9F051E">
            <w:pPr>
              <w:spacing w:before="156" w:beforeLines="50" w:after="156" w:afterLines="50"/>
              <w:jc w:val="left"/>
              <w:rPr>
                <w:rFonts w:ascii="宋体"/>
                <w:kern w:val="0"/>
                <w:sz w:val="18"/>
                <w:szCs w:val="18"/>
              </w:rPr>
            </w:pPr>
          </w:p>
        </w:tc>
        <w:tc>
          <w:tcPr>
            <w:tcW w:w="876" w:type="dxa"/>
            <w:vMerge w:val="continue"/>
            <w:vAlign w:val="center"/>
          </w:tcPr>
          <w:p w14:paraId="59F6D9DC">
            <w:pPr>
              <w:spacing w:before="156" w:beforeLines="50" w:after="156" w:afterLines="50"/>
              <w:jc w:val="left"/>
              <w:rPr>
                <w:rFonts w:ascii="宋体"/>
                <w:kern w:val="0"/>
                <w:sz w:val="18"/>
                <w:szCs w:val="18"/>
              </w:rPr>
            </w:pPr>
          </w:p>
        </w:tc>
        <w:tc>
          <w:tcPr>
            <w:tcW w:w="1377" w:type="dxa"/>
            <w:vMerge w:val="continue"/>
            <w:vAlign w:val="center"/>
          </w:tcPr>
          <w:p w14:paraId="1DDBBE50">
            <w:pPr>
              <w:widowControl/>
              <w:spacing w:before="156" w:beforeLines="50" w:after="156" w:afterLines="50"/>
              <w:rPr>
                <w:rFonts w:ascii="宋体"/>
                <w:kern w:val="0"/>
                <w:sz w:val="18"/>
                <w:szCs w:val="18"/>
              </w:rPr>
            </w:pPr>
          </w:p>
        </w:tc>
        <w:tc>
          <w:tcPr>
            <w:tcW w:w="2243" w:type="dxa"/>
            <w:vMerge w:val="continue"/>
            <w:vAlign w:val="center"/>
          </w:tcPr>
          <w:p w14:paraId="2D62F4D2">
            <w:pPr>
              <w:widowControl/>
              <w:spacing w:before="156" w:beforeLines="50" w:after="156" w:afterLines="50"/>
              <w:rPr>
                <w:rFonts w:ascii="宋体"/>
                <w:kern w:val="0"/>
                <w:sz w:val="18"/>
                <w:szCs w:val="18"/>
              </w:rPr>
            </w:pPr>
          </w:p>
        </w:tc>
        <w:tc>
          <w:tcPr>
            <w:tcW w:w="992" w:type="dxa"/>
            <w:vMerge w:val="continue"/>
            <w:tcBorders>
              <w:bottom w:val="single" w:color="auto" w:sz="4" w:space="0"/>
            </w:tcBorders>
            <w:vAlign w:val="center"/>
          </w:tcPr>
          <w:p w14:paraId="2D369351">
            <w:pPr>
              <w:widowControl/>
              <w:spacing w:before="156" w:beforeLines="50" w:after="156" w:afterLines="50"/>
              <w:jc w:val="center"/>
              <w:rPr>
                <w:rFonts w:ascii="宋体"/>
                <w:kern w:val="0"/>
                <w:sz w:val="18"/>
                <w:szCs w:val="18"/>
              </w:rPr>
            </w:pPr>
          </w:p>
        </w:tc>
        <w:tc>
          <w:tcPr>
            <w:tcW w:w="2410" w:type="dxa"/>
            <w:tcBorders>
              <w:top w:val="single" w:color="auto" w:sz="4" w:space="0"/>
              <w:bottom w:val="single" w:color="auto" w:sz="4" w:space="0"/>
            </w:tcBorders>
            <w:vAlign w:val="center"/>
          </w:tcPr>
          <w:p w14:paraId="0559C235">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船舶装卸、载运危险货物或者空舱内有可燃气体时，未按规定悬挂或者显示信号，导致发生一般以下水上交通事故的。</w:t>
            </w:r>
          </w:p>
        </w:tc>
        <w:tc>
          <w:tcPr>
            <w:tcW w:w="2268" w:type="dxa"/>
            <w:tcBorders>
              <w:top w:val="single" w:color="auto" w:sz="4" w:space="0"/>
              <w:bottom w:val="single" w:color="auto" w:sz="4" w:space="0"/>
              <w:right w:val="single" w:color="auto" w:sz="4" w:space="0"/>
            </w:tcBorders>
            <w:vAlign w:val="center"/>
          </w:tcPr>
          <w:p w14:paraId="241E9563">
            <w:pPr>
              <w:widowControl/>
              <w:spacing w:before="156" w:beforeLines="50" w:after="156" w:afterLines="50"/>
              <w:rPr>
                <w:rFonts w:ascii="宋体"/>
                <w:kern w:val="0"/>
                <w:sz w:val="18"/>
                <w:szCs w:val="18"/>
              </w:rPr>
            </w:pPr>
            <w:r>
              <w:rPr>
                <w:rFonts w:hint="eastAsia" w:ascii="宋体"/>
                <w:kern w:val="0"/>
                <w:sz w:val="18"/>
                <w:szCs w:val="18"/>
              </w:rPr>
              <w:t>3000元及以上5000元以下</w:t>
            </w:r>
          </w:p>
        </w:tc>
        <w:tc>
          <w:tcPr>
            <w:tcW w:w="2410" w:type="dxa"/>
            <w:tcBorders>
              <w:top w:val="single" w:color="auto" w:sz="4" w:space="0"/>
              <w:bottom w:val="single" w:color="auto" w:sz="4" w:space="0"/>
              <w:right w:val="single" w:color="auto" w:sz="4" w:space="0"/>
            </w:tcBorders>
            <w:vAlign w:val="center"/>
          </w:tcPr>
          <w:p w14:paraId="26643C5B">
            <w:pPr>
              <w:widowControl/>
              <w:spacing w:before="156" w:beforeLines="50" w:after="156" w:afterLines="50"/>
              <w:rPr>
                <w:rFonts w:ascii="宋体"/>
                <w:kern w:val="0"/>
                <w:sz w:val="18"/>
                <w:szCs w:val="18"/>
              </w:rPr>
            </w:pPr>
            <w:r>
              <w:rPr>
                <w:rFonts w:hint="eastAsia" w:ascii="宋体"/>
                <w:kern w:val="0"/>
                <w:sz w:val="18"/>
                <w:szCs w:val="18"/>
              </w:rPr>
              <w:t>4000元及以上6000元以下</w:t>
            </w:r>
          </w:p>
        </w:tc>
        <w:tc>
          <w:tcPr>
            <w:tcW w:w="2551" w:type="dxa"/>
            <w:tcBorders>
              <w:right w:val="single" w:color="auto" w:sz="4" w:space="0"/>
            </w:tcBorders>
            <w:vAlign w:val="center"/>
          </w:tcPr>
          <w:p w14:paraId="5E7F4CB7">
            <w:pPr>
              <w:widowControl/>
              <w:spacing w:before="156" w:beforeLines="50" w:after="156" w:afterLines="50"/>
              <w:rPr>
                <w:rFonts w:ascii="宋体"/>
                <w:kern w:val="0"/>
                <w:sz w:val="18"/>
                <w:szCs w:val="18"/>
              </w:rPr>
            </w:pPr>
            <w:r>
              <w:rPr>
                <w:rFonts w:hint="eastAsia" w:ascii="宋体"/>
                <w:kern w:val="0"/>
                <w:sz w:val="18"/>
                <w:szCs w:val="18"/>
              </w:rPr>
              <w:t>5000元及以上8000元以下</w:t>
            </w:r>
          </w:p>
        </w:tc>
        <w:tc>
          <w:tcPr>
            <w:tcW w:w="3306" w:type="dxa"/>
            <w:tcBorders>
              <w:right w:val="single" w:color="auto" w:sz="4" w:space="0"/>
            </w:tcBorders>
            <w:vAlign w:val="center"/>
          </w:tcPr>
          <w:p w14:paraId="58C76B08">
            <w:pPr>
              <w:widowControl/>
              <w:spacing w:before="156" w:beforeLines="50" w:after="156" w:afterLines="50"/>
              <w:rPr>
                <w:rFonts w:ascii="宋体"/>
                <w:kern w:val="0"/>
                <w:sz w:val="18"/>
                <w:szCs w:val="18"/>
              </w:rPr>
            </w:pPr>
            <w:r>
              <w:rPr>
                <w:rFonts w:hint="eastAsia" w:ascii="宋体"/>
                <w:kern w:val="0"/>
                <w:sz w:val="18"/>
                <w:szCs w:val="18"/>
              </w:rPr>
              <w:t>/</w:t>
            </w:r>
          </w:p>
        </w:tc>
      </w:tr>
      <w:tr w14:paraId="7E6E8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trPr>
        <w:tc>
          <w:tcPr>
            <w:tcW w:w="690" w:type="dxa"/>
            <w:vMerge w:val="continue"/>
            <w:vAlign w:val="center"/>
          </w:tcPr>
          <w:p w14:paraId="259A6218">
            <w:pPr>
              <w:spacing w:before="156" w:beforeLines="50" w:after="156" w:afterLines="50"/>
              <w:jc w:val="left"/>
              <w:rPr>
                <w:rFonts w:ascii="宋体"/>
                <w:kern w:val="0"/>
                <w:sz w:val="18"/>
                <w:szCs w:val="18"/>
              </w:rPr>
            </w:pPr>
          </w:p>
        </w:tc>
        <w:tc>
          <w:tcPr>
            <w:tcW w:w="876" w:type="dxa"/>
            <w:vMerge w:val="continue"/>
            <w:vAlign w:val="center"/>
          </w:tcPr>
          <w:p w14:paraId="5231EFDD">
            <w:pPr>
              <w:spacing w:before="156" w:beforeLines="50" w:after="156" w:afterLines="50"/>
              <w:jc w:val="left"/>
              <w:rPr>
                <w:rFonts w:ascii="宋体"/>
                <w:kern w:val="0"/>
                <w:sz w:val="18"/>
                <w:szCs w:val="18"/>
              </w:rPr>
            </w:pPr>
          </w:p>
        </w:tc>
        <w:tc>
          <w:tcPr>
            <w:tcW w:w="1377" w:type="dxa"/>
            <w:vMerge w:val="continue"/>
            <w:vAlign w:val="center"/>
          </w:tcPr>
          <w:p w14:paraId="46D9AE45">
            <w:pPr>
              <w:widowControl/>
              <w:spacing w:before="156" w:beforeLines="50" w:after="156" w:afterLines="50"/>
              <w:rPr>
                <w:rFonts w:ascii="宋体"/>
                <w:kern w:val="0"/>
                <w:sz w:val="18"/>
                <w:szCs w:val="18"/>
              </w:rPr>
            </w:pPr>
          </w:p>
        </w:tc>
        <w:tc>
          <w:tcPr>
            <w:tcW w:w="2243" w:type="dxa"/>
            <w:vMerge w:val="continue"/>
            <w:vAlign w:val="center"/>
          </w:tcPr>
          <w:p w14:paraId="69225113">
            <w:pPr>
              <w:widowControl/>
              <w:spacing w:before="156" w:beforeLines="50" w:after="156" w:afterLines="50"/>
              <w:rPr>
                <w:rFonts w:ascii="宋体"/>
                <w:kern w:val="0"/>
                <w:sz w:val="18"/>
                <w:szCs w:val="18"/>
              </w:rPr>
            </w:pPr>
          </w:p>
        </w:tc>
        <w:tc>
          <w:tcPr>
            <w:tcW w:w="992" w:type="dxa"/>
            <w:vMerge w:val="restart"/>
            <w:tcBorders>
              <w:top w:val="single" w:color="auto" w:sz="4" w:space="0"/>
              <w:right w:val="single" w:color="auto" w:sz="4" w:space="0"/>
            </w:tcBorders>
            <w:vAlign w:val="center"/>
          </w:tcPr>
          <w:p w14:paraId="6584C3FE">
            <w:pPr>
              <w:widowControl/>
              <w:spacing w:before="156" w:beforeLines="50" w:after="156" w:afterLines="50"/>
              <w:jc w:val="center"/>
              <w:rPr>
                <w:rFonts w:ascii="宋体"/>
                <w:kern w:val="0"/>
                <w:sz w:val="18"/>
                <w:szCs w:val="18"/>
              </w:rPr>
            </w:pPr>
            <w:r>
              <w:rPr>
                <w:rFonts w:hint="eastAsia" w:ascii="宋体"/>
                <w:kern w:val="0"/>
                <w:sz w:val="18"/>
                <w:szCs w:val="18"/>
              </w:rPr>
              <w:t>情节</w:t>
            </w:r>
          </w:p>
          <w:p w14:paraId="62A9B8A6">
            <w:pPr>
              <w:widowControl/>
              <w:spacing w:before="156" w:beforeLines="50" w:after="156" w:afterLines="50"/>
              <w:jc w:val="center"/>
              <w:rPr>
                <w:rFonts w:ascii="宋体"/>
                <w:kern w:val="0"/>
                <w:sz w:val="18"/>
                <w:szCs w:val="18"/>
              </w:rPr>
            </w:pPr>
            <w:r>
              <w:rPr>
                <w:rFonts w:hint="eastAsia" w:ascii="宋体"/>
                <w:kern w:val="0"/>
                <w:sz w:val="18"/>
                <w:szCs w:val="18"/>
              </w:rPr>
              <w:t>严重</w:t>
            </w:r>
          </w:p>
        </w:tc>
        <w:tc>
          <w:tcPr>
            <w:tcW w:w="2410" w:type="dxa"/>
            <w:tcBorders>
              <w:top w:val="single" w:color="auto" w:sz="4" w:space="0"/>
              <w:left w:val="single" w:color="auto" w:sz="4" w:space="0"/>
              <w:bottom w:val="single" w:color="auto" w:sz="4" w:space="0"/>
            </w:tcBorders>
            <w:vAlign w:val="center"/>
          </w:tcPr>
          <w:p w14:paraId="704F0F41">
            <w:pPr>
              <w:widowControl/>
              <w:spacing w:before="156" w:beforeLines="50" w:after="156" w:afterLines="50"/>
              <w:rPr>
                <w:rFonts w:ascii="宋体"/>
                <w:kern w:val="0"/>
                <w:sz w:val="18"/>
                <w:szCs w:val="18"/>
              </w:rPr>
            </w:pPr>
            <w:r>
              <w:rPr>
                <w:rFonts w:hint="eastAsia" w:ascii="宋体"/>
                <w:kern w:val="0"/>
                <w:sz w:val="18"/>
                <w:szCs w:val="18"/>
              </w:rPr>
              <w:t>船舶装卸、载运危险货物或者空舱内有可燃气体时，未按规定悬挂或者显示信号，导致发生一般及以上水上交通事故的；</w:t>
            </w:r>
          </w:p>
        </w:tc>
        <w:tc>
          <w:tcPr>
            <w:tcW w:w="2268" w:type="dxa"/>
            <w:vMerge w:val="restart"/>
            <w:tcBorders>
              <w:top w:val="single" w:color="auto" w:sz="4" w:space="0"/>
              <w:right w:val="single" w:color="auto" w:sz="4" w:space="0"/>
            </w:tcBorders>
            <w:vAlign w:val="center"/>
          </w:tcPr>
          <w:p w14:paraId="64361F4D">
            <w:pPr>
              <w:widowControl/>
              <w:spacing w:before="156" w:beforeLines="50" w:after="156" w:afterLines="50"/>
              <w:rPr>
                <w:rFonts w:ascii="宋体"/>
                <w:kern w:val="0"/>
                <w:sz w:val="18"/>
                <w:szCs w:val="18"/>
              </w:rPr>
            </w:pPr>
            <w:r>
              <w:rPr>
                <w:rFonts w:hint="eastAsia" w:ascii="宋体"/>
                <w:kern w:val="0"/>
                <w:sz w:val="18"/>
                <w:szCs w:val="18"/>
              </w:rPr>
              <w:t>5000元及以上1万元及以下</w:t>
            </w:r>
          </w:p>
        </w:tc>
        <w:tc>
          <w:tcPr>
            <w:tcW w:w="2410" w:type="dxa"/>
            <w:vMerge w:val="restart"/>
            <w:tcBorders>
              <w:top w:val="single" w:color="auto" w:sz="4" w:space="0"/>
              <w:right w:val="single" w:color="auto" w:sz="4" w:space="0"/>
            </w:tcBorders>
            <w:vAlign w:val="center"/>
          </w:tcPr>
          <w:p w14:paraId="6E38C70E">
            <w:pPr>
              <w:widowControl/>
              <w:spacing w:before="156" w:beforeLines="50" w:after="156" w:afterLines="50"/>
              <w:rPr>
                <w:rFonts w:ascii="宋体"/>
                <w:kern w:val="0"/>
                <w:sz w:val="18"/>
                <w:szCs w:val="18"/>
              </w:rPr>
            </w:pPr>
            <w:r>
              <w:rPr>
                <w:rFonts w:hint="eastAsia" w:ascii="宋体"/>
                <w:kern w:val="0"/>
                <w:sz w:val="18"/>
                <w:szCs w:val="18"/>
              </w:rPr>
              <w:t>6000元及以上1万元及以下</w:t>
            </w:r>
          </w:p>
        </w:tc>
        <w:tc>
          <w:tcPr>
            <w:tcW w:w="2551" w:type="dxa"/>
            <w:vMerge w:val="restart"/>
            <w:tcBorders>
              <w:right w:val="single" w:color="auto" w:sz="4" w:space="0"/>
            </w:tcBorders>
            <w:vAlign w:val="center"/>
          </w:tcPr>
          <w:p w14:paraId="344E5D37">
            <w:pPr>
              <w:widowControl/>
              <w:spacing w:before="156" w:beforeLines="50" w:after="156" w:afterLines="50"/>
              <w:rPr>
                <w:rFonts w:ascii="宋体"/>
                <w:kern w:val="0"/>
                <w:sz w:val="18"/>
                <w:szCs w:val="18"/>
              </w:rPr>
            </w:pPr>
            <w:r>
              <w:rPr>
                <w:rFonts w:hint="eastAsia" w:ascii="宋体"/>
                <w:kern w:val="0"/>
                <w:sz w:val="18"/>
                <w:szCs w:val="18"/>
              </w:rPr>
              <w:t>8000元及以上1万元及以下</w:t>
            </w:r>
          </w:p>
        </w:tc>
        <w:tc>
          <w:tcPr>
            <w:tcW w:w="3306" w:type="dxa"/>
            <w:tcBorders>
              <w:bottom w:val="single" w:color="auto" w:sz="4" w:space="0"/>
              <w:right w:val="single" w:color="auto" w:sz="4" w:space="0"/>
            </w:tcBorders>
            <w:vAlign w:val="center"/>
          </w:tcPr>
          <w:p w14:paraId="6E015755">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r>
      <w:tr w14:paraId="0580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690" w:type="dxa"/>
            <w:vMerge w:val="continue"/>
            <w:vAlign w:val="center"/>
          </w:tcPr>
          <w:p w14:paraId="394F1EB7">
            <w:pPr>
              <w:spacing w:before="156" w:beforeLines="50" w:after="156" w:afterLines="50"/>
              <w:jc w:val="left"/>
              <w:rPr>
                <w:rFonts w:ascii="宋体"/>
                <w:kern w:val="0"/>
                <w:sz w:val="18"/>
                <w:szCs w:val="18"/>
              </w:rPr>
            </w:pPr>
          </w:p>
        </w:tc>
        <w:tc>
          <w:tcPr>
            <w:tcW w:w="876" w:type="dxa"/>
            <w:vMerge w:val="continue"/>
            <w:vAlign w:val="center"/>
          </w:tcPr>
          <w:p w14:paraId="7B8337DC">
            <w:pPr>
              <w:spacing w:before="156" w:beforeLines="50" w:after="156" w:afterLines="50"/>
              <w:jc w:val="left"/>
              <w:rPr>
                <w:rFonts w:ascii="宋体"/>
                <w:kern w:val="0"/>
                <w:sz w:val="18"/>
                <w:szCs w:val="18"/>
              </w:rPr>
            </w:pPr>
          </w:p>
        </w:tc>
        <w:tc>
          <w:tcPr>
            <w:tcW w:w="1377" w:type="dxa"/>
            <w:vMerge w:val="continue"/>
            <w:vAlign w:val="center"/>
          </w:tcPr>
          <w:p w14:paraId="0E25C158">
            <w:pPr>
              <w:widowControl/>
              <w:spacing w:before="156" w:beforeLines="50" w:after="156" w:afterLines="50"/>
              <w:rPr>
                <w:rFonts w:ascii="宋体"/>
                <w:kern w:val="0"/>
                <w:sz w:val="18"/>
                <w:szCs w:val="18"/>
              </w:rPr>
            </w:pPr>
          </w:p>
        </w:tc>
        <w:tc>
          <w:tcPr>
            <w:tcW w:w="2243" w:type="dxa"/>
            <w:vMerge w:val="continue"/>
            <w:vAlign w:val="center"/>
          </w:tcPr>
          <w:p w14:paraId="42253AA4">
            <w:pPr>
              <w:widowControl/>
              <w:spacing w:before="156" w:beforeLines="50" w:after="156" w:afterLines="50"/>
              <w:rPr>
                <w:rFonts w:ascii="宋体"/>
                <w:kern w:val="0"/>
                <w:sz w:val="18"/>
                <w:szCs w:val="18"/>
              </w:rPr>
            </w:pPr>
          </w:p>
        </w:tc>
        <w:tc>
          <w:tcPr>
            <w:tcW w:w="992" w:type="dxa"/>
            <w:vMerge w:val="continue"/>
            <w:tcBorders>
              <w:bottom w:val="single" w:color="auto" w:sz="4" w:space="0"/>
              <w:right w:val="single" w:color="auto" w:sz="4" w:space="0"/>
            </w:tcBorders>
            <w:vAlign w:val="center"/>
          </w:tcPr>
          <w:p w14:paraId="4030D74E">
            <w:pPr>
              <w:widowControl/>
              <w:spacing w:before="156" w:beforeLines="50" w:after="156" w:afterLines="50"/>
              <w:rPr>
                <w:rFonts w:ascii="宋体"/>
                <w:kern w:val="0"/>
                <w:sz w:val="18"/>
                <w:szCs w:val="18"/>
              </w:rPr>
            </w:pPr>
          </w:p>
        </w:tc>
        <w:tc>
          <w:tcPr>
            <w:tcW w:w="2410" w:type="dxa"/>
            <w:tcBorders>
              <w:top w:val="single" w:color="auto" w:sz="4" w:space="0"/>
              <w:left w:val="single" w:color="auto" w:sz="4" w:space="0"/>
              <w:bottom w:val="single" w:color="auto" w:sz="4" w:space="0"/>
            </w:tcBorders>
            <w:vAlign w:val="center"/>
          </w:tcPr>
          <w:p w14:paraId="2747F295">
            <w:pPr>
              <w:widowControl/>
              <w:spacing w:before="156" w:beforeLines="50" w:after="156" w:afterLines="50"/>
              <w:rPr>
                <w:rFonts w:ascii="宋体"/>
                <w:kern w:val="0"/>
                <w:sz w:val="18"/>
                <w:szCs w:val="18"/>
              </w:rPr>
            </w:pPr>
            <w:r>
              <w:rPr>
                <w:rFonts w:hint="eastAsia" w:ascii="宋体"/>
                <w:kern w:val="0"/>
                <w:sz w:val="18"/>
                <w:szCs w:val="18"/>
              </w:rPr>
              <w:t>具有其他严重情节的。</w:t>
            </w:r>
          </w:p>
        </w:tc>
        <w:tc>
          <w:tcPr>
            <w:tcW w:w="2268" w:type="dxa"/>
            <w:vMerge w:val="continue"/>
            <w:tcBorders>
              <w:bottom w:val="single" w:color="auto" w:sz="4" w:space="0"/>
              <w:right w:val="single" w:color="auto" w:sz="4" w:space="0"/>
            </w:tcBorders>
            <w:vAlign w:val="center"/>
          </w:tcPr>
          <w:p w14:paraId="0F335851">
            <w:pPr>
              <w:widowControl/>
              <w:spacing w:before="156" w:beforeLines="50" w:after="156" w:afterLines="50"/>
              <w:rPr>
                <w:rFonts w:ascii="宋体"/>
                <w:kern w:val="0"/>
                <w:sz w:val="18"/>
                <w:szCs w:val="18"/>
              </w:rPr>
            </w:pPr>
          </w:p>
        </w:tc>
        <w:tc>
          <w:tcPr>
            <w:tcW w:w="2410" w:type="dxa"/>
            <w:vMerge w:val="continue"/>
            <w:tcBorders>
              <w:bottom w:val="single" w:color="auto" w:sz="4" w:space="0"/>
              <w:right w:val="single" w:color="auto" w:sz="4" w:space="0"/>
            </w:tcBorders>
            <w:vAlign w:val="center"/>
          </w:tcPr>
          <w:p w14:paraId="2E5D0426">
            <w:pPr>
              <w:widowControl/>
              <w:spacing w:before="156" w:beforeLines="50" w:after="156" w:afterLines="50"/>
              <w:rPr>
                <w:rFonts w:ascii="宋体"/>
                <w:kern w:val="0"/>
                <w:sz w:val="18"/>
                <w:szCs w:val="18"/>
              </w:rPr>
            </w:pPr>
          </w:p>
        </w:tc>
        <w:tc>
          <w:tcPr>
            <w:tcW w:w="2551" w:type="dxa"/>
            <w:vMerge w:val="continue"/>
            <w:tcBorders>
              <w:bottom w:val="single" w:color="auto" w:sz="4" w:space="0"/>
              <w:right w:val="single" w:color="auto" w:sz="4" w:space="0"/>
            </w:tcBorders>
            <w:vAlign w:val="center"/>
          </w:tcPr>
          <w:p w14:paraId="362DA586">
            <w:pPr>
              <w:widowControl/>
              <w:spacing w:before="156" w:beforeLines="50" w:after="156" w:afterLines="50"/>
              <w:rPr>
                <w:rFonts w:ascii="宋体"/>
                <w:kern w:val="0"/>
                <w:sz w:val="18"/>
                <w:szCs w:val="18"/>
              </w:rPr>
            </w:pPr>
          </w:p>
        </w:tc>
        <w:tc>
          <w:tcPr>
            <w:tcW w:w="3306" w:type="dxa"/>
            <w:tcBorders>
              <w:top w:val="single" w:color="auto" w:sz="4" w:space="0"/>
              <w:bottom w:val="single" w:color="auto" w:sz="4" w:space="0"/>
              <w:right w:val="single" w:color="auto" w:sz="4" w:space="0"/>
            </w:tcBorders>
            <w:vAlign w:val="center"/>
          </w:tcPr>
          <w:p w14:paraId="35C267EC">
            <w:pPr>
              <w:widowControl/>
              <w:spacing w:before="156" w:beforeLines="50" w:after="156" w:afterLines="50"/>
              <w:rPr>
                <w:rFonts w:ascii="宋体"/>
                <w:kern w:val="0"/>
                <w:sz w:val="18"/>
                <w:szCs w:val="18"/>
              </w:rPr>
            </w:pPr>
            <w:r>
              <w:rPr>
                <w:rFonts w:hint="eastAsia" w:ascii="宋体"/>
                <w:kern w:val="0"/>
                <w:sz w:val="18"/>
                <w:szCs w:val="18"/>
              </w:rPr>
              <w:t>情节严重的，对责任船员给予暂扣适任证书或者其他适任证件3个月至6个月直至吊销适任证书或者其他适任证件的处罚。</w:t>
            </w:r>
          </w:p>
        </w:tc>
      </w:tr>
    </w:tbl>
    <w:p w14:paraId="64FBE2F7">
      <w:pPr>
        <w:spacing w:before="156" w:beforeLines="50" w:after="156" w:afterLines="50"/>
        <w:jc w:val="left"/>
        <w:rPr>
          <w:b/>
          <w:sz w:val="18"/>
          <w:szCs w:val="18"/>
        </w:rPr>
      </w:pP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700"/>
        <w:gridCol w:w="908"/>
        <w:gridCol w:w="1236"/>
        <w:gridCol w:w="851"/>
        <w:gridCol w:w="2409"/>
        <w:gridCol w:w="2279"/>
        <w:gridCol w:w="2268"/>
        <w:gridCol w:w="2268"/>
        <w:gridCol w:w="2126"/>
        <w:gridCol w:w="1843"/>
        <w:gridCol w:w="1981"/>
      </w:tblGrid>
      <w:tr w14:paraId="780A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56" w:type="dxa"/>
            <w:vMerge w:val="restart"/>
            <w:vAlign w:val="center"/>
          </w:tcPr>
          <w:p w14:paraId="74814768">
            <w:pPr>
              <w:spacing w:before="156" w:beforeLines="50" w:after="156" w:afterLines="50"/>
              <w:jc w:val="left"/>
              <w:rPr>
                <w:rFonts w:ascii="宋体"/>
                <w:b/>
                <w:kern w:val="0"/>
                <w:sz w:val="18"/>
                <w:szCs w:val="18"/>
              </w:rPr>
            </w:pPr>
            <w:r>
              <w:rPr>
                <w:rFonts w:hint="eastAsia" w:ascii="宋体"/>
                <w:b/>
                <w:kern w:val="0"/>
                <w:sz w:val="18"/>
                <w:szCs w:val="18"/>
              </w:rPr>
              <w:t>序号</w:t>
            </w:r>
          </w:p>
        </w:tc>
        <w:tc>
          <w:tcPr>
            <w:tcW w:w="700" w:type="dxa"/>
            <w:vMerge w:val="restart"/>
            <w:vAlign w:val="center"/>
          </w:tcPr>
          <w:p w14:paraId="24081668">
            <w:pPr>
              <w:spacing w:before="156" w:beforeLines="50" w:after="156" w:afterLines="50"/>
              <w:jc w:val="left"/>
              <w:rPr>
                <w:rFonts w:ascii="宋体"/>
                <w:b/>
                <w:kern w:val="0"/>
                <w:sz w:val="18"/>
                <w:szCs w:val="18"/>
              </w:rPr>
            </w:pPr>
            <w:r>
              <w:rPr>
                <w:rFonts w:hint="eastAsia" w:ascii="宋体"/>
                <w:b/>
                <w:kern w:val="0"/>
                <w:sz w:val="18"/>
                <w:szCs w:val="18"/>
              </w:rPr>
              <w:t>案由</w:t>
            </w:r>
          </w:p>
        </w:tc>
        <w:tc>
          <w:tcPr>
            <w:tcW w:w="2144" w:type="dxa"/>
            <w:gridSpan w:val="2"/>
            <w:vAlign w:val="center"/>
          </w:tcPr>
          <w:p w14:paraId="317F0070">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14:paraId="6C250E86">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09" w:type="dxa"/>
            <w:vMerge w:val="restart"/>
            <w:vAlign w:val="center"/>
          </w:tcPr>
          <w:p w14:paraId="003796EC">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765" w:type="dxa"/>
            <w:gridSpan w:val="6"/>
            <w:tcBorders>
              <w:bottom w:val="single" w:color="auto" w:sz="4" w:space="0"/>
              <w:right w:val="single" w:color="auto" w:sz="4" w:space="0"/>
            </w:tcBorders>
            <w:vAlign w:val="center"/>
          </w:tcPr>
          <w:p w14:paraId="0DDEEBF3">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14:paraId="5EA7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56" w:type="dxa"/>
            <w:vMerge w:val="continue"/>
            <w:vAlign w:val="center"/>
          </w:tcPr>
          <w:p w14:paraId="4DF55EFA">
            <w:pPr>
              <w:spacing w:before="156" w:beforeLines="50" w:after="156" w:afterLines="50"/>
              <w:jc w:val="left"/>
              <w:rPr>
                <w:rFonts w:ascii="宋体"/>
                <w:b/>
                <w:kern w:val="0"/>
                <w:sz w:val="18"/>
                <w:szCs w:val="18"/>
              </w:rPr>
            </w:pPr>
          </w:p>
        </w:tc>
        <w:tc>
          <w:tcPr>
            <w:tcW w:w="700" w:type="dxa"/>
            <w:vMerge w:val="continue"/>
            <w:vAlign w:val="center"/>
          </w:tcPr>
          <w:p w14:paraId="0358E439">
            <w:pPr>
              <w:spacing w:before="156" w:beforeLines="50" w:after="156" w:afterLines="50"/>
              <w:jc w:val="left"/>
              <w:rPr>
                <w:rFonts w:ascii="宋体"/>
                <w:b/>
                <w:kern w:val="0"/>
                <w:sz w:val="18"/>
                <w:szCs w:val="18"/>
              </w:rPr>
            </w:pPr>
          </w:p>
        </w:tc>
        <w:tc>
          <w:tcPr>
            <w:tcW w:w="908" w:type="dxa"/>
            <w:vMerge w:val="restart"/>
            <w:vAlign w:val="center"/>
          </w:tcPr>
          <w:p w14:paraId="577D83CF">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236" w:type="dxa"/>
            <w:vMerge w:val="restart"/>
            <w:vAlign w:val="center"/>
          </w:tcPr>
          <w:p w14:paraId="5F52C77E">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14:paraId="2C1F3370">
            <w:pPr>
              <w:spacing w:before="156" w:beforeLines="50" w:after="156" w:afterLines="50"/>
              <w:jc w:val="left"/>
              <w:rPr>
                <w:rFonts w:ascii="宋体"/>
                <w:b/>
                <w:kern w:val="0"/>
                <w:sz w:val="18"/>
                <w:szCs w:val="18"/>
              </w:rPr>
            </w:pPr>
          </w:p>
        </w:tc>
        <w:tc>
          <w:tcPr>
            <w:tcW w:w="2409" w:type="dxa"/>
            <w:vMerge w:val="continue"/>
            <w:vAlign w:val="center"/>
          </w:tcPr>
          <w:p w14:paraId="789B4245">
            <w:pPr>
              <w:spacing w:before="156" w:beforeLines="50" w:after="156" w:afterLines="50"/>
              <w:jc w:val="left"/>
              <w:rPr>
                <w:rFonts w:ascii="宋体"/>
                <w:b/>
                <w:kern w:val="0"/>
                <w:sz w:val="18"/>
                <w:szCs w:val="18"/>
              </w:rPr>
            </w:pPr>
          </w:p>
        </w:tc>
        <w:tc>
          <w:tcPr>
            <w:tcW w:w="8941" w:type="dxa"/>
            <w:gridSpan w:val="4"/>
            <w:tcBorders>
              <w:top w:val="single" w:color="auto" w:sz="4" w:space="0"/>
              <w:bottom w:val="single" w:color="auto" w:sz="4" w:space="0"/>
            </w:tcBorders>
            <w:vAlign w:val="center"/>
          </w:tcPr>
          <w:p w14:paraId="3EF1D9EE">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824" w:type="dxa"/>
            <w:gridSpan w:val="2"/>
            <w:tcBorders>
              <w:top w:val="single" w:color="auto" w:sz="4" w:space="0"/>
              <w:bottom w:val="single" w:color="auto" w:sz="4" w:space="0"/>
              <w:right w:val="single" w:color="auto" w:sz="4" w:space="0"/>
            </w:tcBorders>
            <w:vAlign w:val="center"/>
          </w:tcPr>
          <w:p w14:paraId="2E991E97">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73A7B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56" w:type="dxa"/>
            <w:vMerge w:val="continue"/>
            <w:vAlign w:val="center"/>
          </w:tcPr>
          <w:p w14:paraId="5EEA3A7D">
            <w:pPr>
              <w:spacing w:before="156" w:beforeLines="50" w:after="156" w:afterLines="50"/>
              <w:jc w:val="left"/>
              <w:rPr>
                <w:rFonts w:ascii="宋体"/>
                <w:b/>
                <w:kern w:val="0"/>
                <w:sz w:val="18"/>
                <w:szCs w:val="18"/>
              </w:rPr>
            </w:pPr>
          </w:p>
        </w:tc>
        <w:tc>
          <w:tcPr>
            <w:tcW w:w="700" w:type="dxa"/>
            <w:vMerge w:val="continue"/>
            <w:vAlign w:val="center"/>
          </w:tcPr>
          <w:p w14:paraId="294C8303">
            <w:pPr>
              <w:spacing w:before="156" w:beforeLines="50" w:after="156" w:afterLines="50"/>
              <w:jc w:val="left"/>
              <w:rPr>
                <w:rFonts w:ascii="宋体"/>
                <w:b/>
                <w:kern w:val="0"/>
                <w:sz w:val="18"/>
                <w:szCs w:val="18"/>
              </w:rPr>
            </w:pPr>
          </w:p>
        </w:tc>
        <w:tc>
          <w:tcPr>
            <w:tcW w:w="908" w:type="dxa"/>
            <w:vMerge w:val="continue"/>
            <w:vAlign w:val="center"/>
          </w:tcPr>
          <w:p w14:paraId="30F28F18">
            <w:pPr>
              <w:spacing w:before="156" w:beforeLines="50" w:after="156" w:afterLines="50"/>
              <w:jc w:val="center"/>
              <w:rPr>
                <w:rFonts w:ascii="宋体"/>
                <w:b/>
                <w:kern w:val="0"/>
                <w:sz w:val="18"/>
                <w:szCs w:val="18"/>
              </w:rPr>
            </w:pPr>
          </w:p>
        </w:tc>
        <w:tc>
          <w:tcPr>
            <w:tcW w:w="1236" w:type="dxa"/>
            <w:vMerge w:val="continue"/>
            <w:vAlign w:val="center"/>
          </w:tcPr>
          <w:p w14:paraId="221ABE38">
            <w:pPr>
              <w:spacing w:before="156" w:beforeLines="50" w:after="156" w:afterLines="50"/>
              <w:jc w:val="center"/>
              <w:rPr>
                <w:rFonts w:ascii="宋体"/>
                <w:b/>
                <w:kern w:val="0"/>
                <w:sz w:val="18"/>
                <w:szCs w:val="18"/>
              </w:rPr>
            </w:pPr>
          </w:p>
        </w:tc>
        <w:tc>
          <w:tcPr>
            <w:tcW w:w="851" w:type="dxa"/>
            <w:vMerge w:val="continue"/>
            <w:vAlign w:val="center"/>
          </w:tcPr>
          <w:p w14:paraId="0CEED780">
            <w:pPr>
              <w:spacing w:before="156" w:beforeLines="50" w:after="156" w:afterLines="50"/>
              <w:jc w:val="left"/>
              <w:rPr>
                <w:rFonts w:ascii="宋体"/>
                <w:b/>
                <w:kern w:val="0"/>
                <w:sz w:val="18"/>
                <w:szCs w:val="18"/>
              </w:rPr>
            </w:pPr>
          </w:p>
        </w:tc>
        <w:tc>
          <w:tcPr>
            <w:tcW w:w="2409" w:type="dxa"/>
            <w:vMerge w:val="continue"/>
            <w:vAlign w:val="center"/>
          </w:tcPr>
          <w:p w14:paraId="21CE3065">
            <w:pPr>
              <w:spacing w:before="156" w:beforeLines="50" w:after="156" w:afterLines="50"/>
              <w:jc w:val="left"/>
              <w:rPr>
                <w:rFonts w:ascii="宋体"/>
                <w:b/>
                <w:kern w:val="0"/>
                <w:sz w:val="18"/>
                <w:szCs w:val="18"/>
              </w:rPr>
            </w:pPr>
          </w:p>
        </w:tc>
        <w:tc>
          <w:tcPr>
            <w:tcW w:w="8941" w:type="dxa"/>
            <w:gridSpan w:val="4"/>
            <w:tcBorders>
              <w:top w:val="single" w:color="auto" w:sz="4" w:space="0"/>
              <w:bottom w:val="single" w:color="auto" w:sz="4" w:space="0"/>
            </w:tcBorders>
            <w:vAlign w:val="center"/>
          </w:tcPr>
          <w:p w14:paraId="7236AA5C">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24" w:type="dxa"/>
            <w:gridSpan w:val="2"/>
            <w:tcBorders>
              <w:top w:val="single" w:color="auto" w:sz="4" w:space="0"/>
              <w:bottom w:val="single" w:color="auto" w:sz="4" w:space="0"/>
              <w:right w:val="single" w:color="auto" w:sz="4" w:space="0"/>
            </w:tcBorders>
            <w:vAlign w:val="center"/>
          </w:tcPr>
          <w:p w14:paraId="6AE2B634">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288F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56" w:type="dxa"/>
            <w:vMerge w:val="continue"/>
            <w:vAlign w:val="center"/>
          </w:tcPr>
          <w:p w14:paraId="32E385EB">
            <w:pPr>
              <w:spacing w:before="156" w:beforeLines="50" w:after="156" w:afterLines="50"/>
              <w:jc w:val="left"/>
              <w:rPr>
                <w:rFonts w:ascii="宋体"/>
                <w:b/>
                <w:kern w:val="0"/>
                <w:sz w:val="18"/>
                <w:szCs w:val="18"/>
              </w:rPr>
            </w:pPr>
          </w:p>
        </w:tc>
        <w:tc>
          <w:tcPr>
            <w:tcW w:w="700" w:type="dxa"/>
            <w:vMerge w:val="continue"/>
            <w:vAlign w:val="center"/>
          </w:tcPr>
          <w:p w14:paraId="3765CAF2">
            <w:pPr>
              <w:spacing w:before="156" w:beforeLines="50" w:after="156" w:afterLines="50"/>
              <w:jc w:val="left"/>
              <w:rPr>
                <w:rFonts w:ascii="宋体"/>
                <w:b/>
                <w:kern w:val="0"/>
                <w:sz w:val="18"/>
                <w:szCs w:val="18"/>
              </w:rPr>
            </w:pPr>
          </w:p>
        </w:tc>
        <w:tc>
          <w:tcPr>
            <w:tcW w:w="908" w:type="dxa"/>
            <w:vMerge w:val="continue"/>
            <w:vAlign w:val="center"/>
          </w:tcPr>
          <w:p w14:paraId="236EFE24">
            <w:pPr>
              <w:spacing w:before="156" w:beforeLines="50" w:after="156" w:afterLines="50"/>
              <w:jc w:val="left"/>
              <w:rPr>
                <w:rFonts w:ascii="宋体"/>
                <w:b/>
                <w:kern w:val="0"/>
                <w:sz w:val="18"/>
                <w:szCs w:val="18"/>
              </w:rPr>
            </w:pPr>
          </w:p>
        </w:tc>
        <w:tc>
          <w:tcPr>
            <w:tcW w:w="1236" w:type="dxa"/>
            <w:vMerge w:val="continue"/>
            <w:vAlign w:val="center"/>
          </w:tcPr>
          <w:p w14:paraId="02E47EF4">
            <w:pPr>
              <w:spacing w:before="156" w:beforeLines="50" w:after="156" w:afterLines="50"/>
              <w:jc w:val="left"/>
              <w:rPr>
                <w:rFonts w:ascii="宋体"/>
                <w:b/>
                <w:kern w:val="0"/>
                <w:sz w:val="18"/>
                <w:szCs w:val="18"/>
              </w:rPr>
            </w:pPr>
          </w:p>
        </w:tc>
        <w:tc>
          <w:tcPr>
            <w:tcW w:w="851" w:type="dxa"/>
            <w:vMerge w:val="continue"/>
            <w:vAlign w:val="center"/>
          </w:tcPr>
          <w:p w14:paraId="60270EA8">
            <w:pPr>
              <w:spacing w:before="156" w:beforeLines="50" w:after="156" w:afterLines="50"/>
              <w:jc w:val="left"/>
              <w:rPr>
                <w:rFonts w:ascii="宋体"/>
                <w:b/>
                <w:kern w:val="0"/>
                <w:sz w:val="18"/>
                <w:szCs w:val="18"/>
              </w:rPr>
            </w:pPr>
          </w:p>
        </w:tc>
        <w:tc>
          <w:tcPr>
            <w:tcW w:w="2409" w:type="dxa"/>
            <w:vMerge w:val="continue"/>
            <w:vAlign w:val="center"/>
          </w:tcPr>
          <w:p w14:paraId="0E5ED8A6">
            <w:pPr>
              <w:spacing w:before="156" w:beforeLines="50" w:after="156" w:afterLines="50"/>
              <w:jc w:val="left"/>
              <w:rPr>
                <w:rFonts w:ascii="宋体"/>
                <w:b/>
                <w:kern w:val="0"/>
                <w:sz w:val="18"/>
                <w:szCs w:val="18"/>
              </w:rPr>
            </w:pPr>
          </w:p>
        </w:tc>
        <w:tc>
          <w:tcPr>
            <w:tcW w:w="2279" w:type="dxa"/>
            <w:tcBorders>
              <w:top w:val="single" w:color="auto" w:sz="4" w:space="0"/>
              <w:right w:val="single" w:color="auto" w:sz="4" w:space="0"/>
            </w:tcBorders>
            <w:vAlign w:val="center"/>
          </w:tcPr>
          <w:p w14:paraId="4591BA1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tcBorders>
              <w:top w:val="single" w:color="auto" w:sz="4" w:space="0"/>
              <w:right w:val="single" w:color="auto" w:sz="4" w:space="0"/>
            </w:tcBorders>
            <w:vAlign w:val="center"/>
          </w:tcPr>
          <w:p w14:paraId="42CE49C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14:paraId="02F8039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126" w:type="dxa"/>
            <w:tcBorders>
              <w:top w:val="single" w:color="auto" w:sz="4" w:space="0"/>
              <w:right w:val="single" w:color="auto" w:sz="4" w:space="0"/>
            </w:tcBorders>
            <w:vAlign w:val="center"/>
          </w:tcPr>
          <w:p w14:paraId="65DAF761">
            <w:pPr>
              <w:spacing w:before="156" w:beforeLines="50" w:after="156" w:afterLines="50"/>
              <w:rPr>
                <w:rFonts w:ascii="宋体"/>
                <w:b/>
                <w:sz w:val="18"/>
                <w:szCs w:val="18"/>
              </w:rPr>
            </w:pPr>
            <w:r>
              <w:rPr>
                <w:rFonts w:hint="eastAsia" w:ascii="宋体"/>
                <w:b/>
                <w:sz w:val="18"/>
                <w:szCs w:val="18"/>
              </w:rPr>
              <w:t>【对象】责任船员</w:t>
            </w:r>
          </w:p>
        </w:tc>
        <w:tc>
          <w:tcPr>
            <w:tcW w:w="1843" w:type="dxa"/>
            <w:tcBorders>
              <w:top w:val="single" w:color="auto" w:sz="4" w:space="0"/>
              <w:left w:val="single" w:color="auto" w:sz="4" w:space="0"/>
              <w:right w:val="single" w:color="auto" w:sz="4" w:space="0"/>
            </w:tcBorders>
            <w:vAlign w:val="center"/>
          </w:tcPr>
          <w:p w14:paraId="1A7F3DC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981" w:type="dxa"/>
            <w:tcBorders>
              <w:top w:val="single" w:color="auto" w:sz="4" w:space="0"/>
              <w:left w:val="single" w:color="auto" w:sz="4" w:space="0"/>
              <w:right w:val="single" w:color="auto" w:sz="4" w:space="0"/>
            </w:tcBorders>
            <w:vAlign w:val="center"/>
          </w:tcPr>
          <w:p w14:paraId="1109D3A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757A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56" w:type="dxa"/>
            <w:vMerge w:val="restart"/>
            <w:vAlign w:val="center"/>
          </w:tcPr>
          <w:p w14:paraId="72D82B4E">
            <w:pPr>
              <w:spacing w:before="156" w:beforeLines="50" w:after="156" w:afterLines="50"/>
              <w:jc w:val="center"/>
              <w:rPr>
                <w:rFonts w:ascii="宋体"/>
                <w:kern w:val="0"/>
                <w:sz w:val="18"/>
                <w:szCs w:val="18"/>
              </w:rPr>
            </w:pPr>
            <w:r>
              <w:rPr>
                <w:rFonts w:hint="eastAsia" w:ascii="宋体"/>
                <w:kern w:val="0"/>
                <w:sz w:val="18"/>
                <w:szCs w:val="18"/>
              </w:rPr>
              <w:t>34</w:t>
            </w:r>
          </w:p>
        </w:tc>
        <w:tc>
          <w:tcPr>
            <w:tcW w:w="700" w:type="dxa"/>
            <w:vMerge w:val="restart"/>
            <w:vAlign w:val="center"/>
          </w:tcPr>
          <w:p w14:paraId="5A35DE94">
            <w:pPr>
              <w:spacing w:before="156" w:beforeLines="50" w:after="156" w:afterLines="50"/>
              <w:rPr>
                <w:sz w:val="18"/>
                <w:szCs w:val="18"/>
              </w:rPr>
            </w:pPr>
            <w:r>
              <w:rPr>
                <w:sz w:val="18"/>
                <w:szCs w:val="18"/>
              </w:rPr>
              <w:t>载运或者拖带超重、超长、超高、</w:t>
            </w:r>
            <w:r>
              <w:rPr>
                <w:rFonts w:hint="eastAsia"/>
                <w:sz w:val="18"/>
                <w:szCs w:val="18"/>
              </w:rPr>
              <w:t>超宽、</w:t>
            </w:r>
            <w:r>
              <w:rPr>
                <w:sz w:val="18"/>
                <w:szCs w:val="18"/>
              </w:rPr>
              <w:t>半潜的物体，未申请或者未按照核定的航路、时间航行</w:t>
            </w:r>
          </w:p>
        </w:tc>
        <w:tc>
          <w:tcPr>
            <w:tcW w:w="908" w:type="dxa"/>
            <w:vMerge w:val="restart"/>
            <w:vAlign w:val="center"/>
          </w:tcPr>
          <w:p w14:paraId="3032CB9E">
            <w:pPr>
              <w:spacing w:before="156" w:beforeLines="50" w:after="156" w:afterLines="50"/>
              <w:rPr>
                <w:sz w:val="18"/>
                <w:szCs w:val="18"/>
              </w:rPr>
            </w:pPr>
            <w:r>
              <w:rPr>
                <w:rFonts w:hint="eastAsia"/>
                <w:sz w:val="18"/>
                <w:szCs w:val="18"/>
              </w:rPr>
              <w:t>《中华人民共和国内河交通安全管理条例》第二十二条</w:t>
            </w:r>
          </w:p>
        </w:tc>
        <w:tc>
          <w:tcPr>
            <w:tcW w:w="1236" w:type="dxa"/>
            <w:vMerge w:val="restart"/>
            <w:vAlign w:val="center"/>
          </w:tcPr>
          <w:p w14:paraId="72583B5E">
            <w:pPr>
              <w:spacing w:before="156" w:beforeLines="50" w:after="156" w:afterLines="50"/>
              <w:rPr>
                <w:sz w:val="18"/>
                <w:szCs w:val="18"/>
              </w:rPr>
            </w:pPr>
            <w:r>
              <w:rPr>
                <w:rFonts w:hint="eastAsia"/>
                <w:sz w:val="18"/>
                <w:szCs w:val="18"/>
              </w:rPr>
              <w:t>1.《中华人民共和国内河交通安全管理条例》第六十八条第（五）项；</w:t>
            </w:r>
          </w:p>
          <w:p w14:paraId="0BDC6388">
            <w:pPr>
              <w:spacing w:before="156" w:beforeLines="50" w:after="156" w:afterLines="50"/>
              <w:rPr>
                <w:sz w:val="18"/>
                <w:szCs w:val="18"/>
              </w:rPr>
            </w:pPr>
            <w:r>
              <w:rPr>
                <w:rFonts w:hint="eastAsia"/>
                <w:sz w:val="18"/>
                <w:szCs w:val="18"/>
              </w:rPr>
              <w:t>2.《中华人民共和国内河海事行政处罚规定》第十六条第（七）项；</w:t>
            </w:r>
          </w:p>
          <w:p w14:paraId="4ADB5B43">
            <w:pPr>
              <w:spacing w:before="156" w:beforeLines="50" w:after="156" w:afterLines="50"/>
              <w:rPr>
                <w:sz w:val="18"/>
                <w:szCs w:val="18"/>
              </w:rPr>
            </w:pPr>
            <w:r>
              <w:rPr>
                <w:rFonts w:hint="eastAsia"/>
                <w:sz w:val="18"/>
                <w:szCs w:val="18"/>
              </w:rPr>
              <w:t>3.《中华人民共和国行政处罚法》第三十二条（从轻）。</w:t>
            </w:r>
          </w:p>
          <w:p w14:paraId="578BAF12">
            <w:pPr>
              <w:spacing w:before="156" w:beforeLines="50" w:after="156" w:afterLines="50"/>
              <w:rPr>
                <w:sz w:val="18"/>
                <w:szCs w:val="18"/>
              </w:rPr>
            </w:pPr>
          </w:p>
        </w:tc>
        <w:tc>
          <w:tcPr>
            <w:tcW w:w="851" w:type="dxa"/>
            <w:vAlign w:val="center"/>
          </w:tcPr>
          <w:p w14:paraId="31432428">
            <w:pPr>
              <w:widowControl/>
              <w:spacing w:before="156" w:beforeLines="50" w:after="156" w:afterLines="50"/>
              <w:rPr>
                <w:rFonts w:ascii="宋体"/>
                <w:kern w:val="0"/>
                <w:sz w:val="18"/>
                <w:szCs w:val="18"/>
              </w:rPr>
            </w:pPr>
            <w:r>
              <w:rPr>
                <w:rFonts w:hint="eastAsia" w:ascii="宋体"/>
                <w:kern w:val="0"/>
                <w:sz w:val="18"/>
                <w:szCs w:val="18"/>
              </w:rPr>
              <w:t>从轻</w:t>
            </w:r>
          </w:p>
        </w:tc>
        <w:tc>
          <w:tcPr>
            <w:tcW w:w="2409" w:type="dxa"/>
            <w:vAlign w:val="center"/>
          </w:tcPr>
          <w:p w14:paraId="05CC5673">
            <w:pPr>
              <w:widowControl/>
              <w:spacing w:before="156" w:beforeLines="50" w:after="156" w:afterLines="50"/>
              <w:rPr>
                <w:rFonts w:ascii="宋体"/>
                <w:kern w:val="0"/>
                <w:sz w:val="18"/>
                <w:szCs w:val="18"/>
              </w:rPr>
            </w:pPr>
            <w:r>
              <w:rPr>
                <w:rFonts w:hint="eastAsia" w:ascii="宋体"/>
                <w:kern w:val="0"/>
                <w:sz w:val="18"/>
                <w:szCs w:val="18"/>
              </w:rPr>
              <w:t>具有法定从轻情节的。</w:t>
            </w:r>
          </w:p>
        </w:tc>
        <w:tc>
          <w:tcPr>
            <w:tcW w:w="2279" w:type="dxa"/>
            <w:tcBorders>
              <w:right w:val="single" w:color="auto" w:sz="4" w:space="0"/>
            </w:tcBorders>
            <w:vAlign w:val="center"/>
          </w:tcPr>
          <w:p w14:paraId="3CB5B505">
            <w:pPr>
              <w:widowControl/>
              <w:spacing w:before="156" w:beforeLines="50" w:after="156" w:afterLines="50"/>
              <w:rPr>
                <w:rFonts w:ascii="宋体"/>
                <w:kern w:val="0"/>
                <w:sz w:val="18"/>
                <w:szCs w:val="18"/>
              </w:rPr>
            </w:pPr>
            <w:r>
              <w:rPr>
                <w:rFonts w:hint="eastAsia" w:ascii="宋体"/>
                <w:kern w:val="0"/>
                <w:sz w:val="18"/>
                <w:szCs w:val="18"/>
              </w:rPr>
              <w:t>5000元及以上</w:t>
            </w:r>
            <w:r>
              <w:rPr>
                <w:rFonts w:ascii="宋体"/>
                <w:kern w:val="0"/>
                <w:sz w:val="18"/>
                <w:szCs w:val="18"/>
              </w:rPr>
              <w:t>8000</w:t>
            </w:r>
            <w:r>
              <w:rPr>
                <w:rFonts w:hint="eastAsia" w:ascii="宋体"/>
                <w:kern w:val="0"/>
                <w:sz w:val="18"/>
                <w:szCs w:val="18"/>
              </w:rPr>
              <w:t>元以下</w:t>
            </w:r>
          </w:p>
        </w:tc>
        <w:tc>
          <w:tcPr>
            <w:tcW w:w="2268" w:type="dxa"/>
            <w:tcBorders>
              <w:right w:val="single" w:color="auto" w:sz="4" w:space="0"/>
            </w:tcBorders>
            <w:vAlign w:val="center"/>
          </w:tcPr>
          <w:p w14:paraId="07915344">
            <w:pPr>
              <w:widowControl/>
              <w:spacing w:before="156" w:beforeLines="50" w:after="156" w:afterLines="50"/>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268" w:type="dxa"/>
            <w:tcBorders>
              <w:right w:val="single" w:color="auto" w:sz="4" w:space="0"/>
            </w:tcBorders>
            <w:vAlign w:val="center"/>
          </w:tcPr>
          <w:p w14:paraId="5D9DB32C">
            <w:pPr>
              <w:widowControl/>
              <w:spacing w:before="156" w:beforeLines="50" w:after="156" w:afterLines="50"/>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2126" w:type="dxa"/>
            <w:tcBorders>
              <w:right w:val="single" w:color="auto" w:sz="4" w:space="0"/>
            </w:tcBorders>
            <w:vAlign w:val="center"/>
          </w:tcPr>
          <w:p w14:paraId="6F2E15A2">
            <w:pPr>
              <w:spacing w:before="156" w:beforeLines="50" w:after="156" w:afterLines="50"/>
              <w:rPr>
                <w:sz w:val="18"/>
                <w:szCs w:val="18"/>
              </w:rPr>
            </w:pPr>
            <w:r>
              <w:rPr>
                <w:sz w:val="18"/>
                <w:szCs w:val="18"/>
              </w:rPr>
              <w:t>/</w:t>
            </w:r>
          </w:p>
        </w:tc>
        <w:tc>
          <w:tcPr>
            <w:tcW w:w="1843" w:type="dxa"/>
            <w:vMerge w:val="restart"/>
            <w:tcBorders>
              <w:left w:val="single" w:color="auto" w:sz="4" w:space="0"/>
              <w:right w:val="single" w:color="auto" w:sz="4" w:space="0"/>
            </w:tcBorders>
            <w:vAlign w:val="center"/>
          </w:tcPr>
          <w:p w14:paraId="2F969321">
            <w:pPr>
              <w:spacing w:before="156" w:beforeLines="50" w:after="156" w:afterLines="50"/>
              <w:rPr>
                <w:rFonts w:ascii="宋体"/>
                <w:kern w:val="0"/>
                <w:sz w:val="18"/>
                <w:szCs w:val="18"/>
              </w:rPr>
            </w:pPr>
            <w:r>
              <w:rPr>
                <w:rFonts w:hint="eastAsia" w:ascii="宋体"/>
                <w:sz w:val="18"/>
                <w:szCs w:val="18"/>
              </w:rPr>
              <w:t>1.未按照核定的航路和时间航行的</w:t>
            </w:r>
            <w:r>
              <w:rPr>
                <w:rFonts w:hint="eastAsia" w:ascii="宋体"/>
                <w:kern w:val="0"/>
                <w:sz w:val="18"/>
                <w:szCs w:val="18"/>
              </w:rPr>
              <w:t>：2</w:t>
            </w:r>
            <w:r>
              <w:rPr>
                <w:rFonts w:ascii="宋体"/>
                <w:kern w:val="0"/>
                <w:sz w:val="18"/>
                <w:szCs w:val="18"/>
              </w:rPr>
              <w:t>000</w:t>
            </w:r>
            <w:r>
              <w:rPr>
                <w:rFonts w:hint="eastAsia" w:ascii="宋体"/>
                <w:kern w:val="0"/>
                <w:sz w:val="18"/>
                <w:szCs w:val="18"/>
              </w:rPr>
              <w:t>元及以上</w:t>
            </w:r>
            <w:r>
              <w:rPr>
                <w:rFonts w:ascii="宋体"/>
                <w:kern w:val="0"/>
                <w:sz w:val="18"/>
                <w:szCs w:val="18"/>
              </w:rPr>
              <w:t>3</w:t>
            </w:r>
            <w:r>
              <w:rPr>
                <w:rFonts w:hint="eastAsia" w:ascii="宋体"/>
                <w:kern w:val="0"/>
                <w:sz w:val="18"/>
                <w:szCs w:val="18"/>
              </w:rPr>
              <w:t>0</w:t>
            </w:r>
            <w:r>
              <w:rPr>
                <w:rFonts w:ascii="宋体"/>
                <w:kern w:val="0"/>
                <w:sz w:val="18"/>
                <w:szCs w:val="18"/>
              </w:rPr>
              <w:t>00</w:t>
            </w:r>
            <w:r>
              <w:rPr>
                <w:rFonts w:hint="eastAsia" w:ascii="宋体"/>
                <w:kern w:val="0"/>
                <w:sz w:val="18"/>
                <w:szCs w:val="18"/>
              </w:rPr>
              <w:t>元以下；</w:t>
            </w:r>
          </w:p>
          <w:p w14:paraId="4D8B8CBF">
            <w:pPr>
              <w:spacing w:before="156" w:beforeLines="50" w:after="156" w:afterLines="50"/>
              <w:rPr>
                <w:rFonts w:ascii="宋体"/>
                <w:kern w:val="0"/>
                <w:sz w:val="18"/>
                <w:szCs w:val="18"/>
              </w:rPr>
            </w:pPr>
            <w:r>
              <w:rPr>
                <w:rFonts w:hint="eastAsia" w:ascii="宋体"/>
                <w:sz w:val="18"/>
                <w:szCs w:val="18"/>
              </w:rPr>
              <w:t>2.未向海事管理机构申请核定的：</w:t>
            </w:r>
            <w:r>
              <w:rPr>
                <w:rFonts w:ascii="宋体"/>
                <w:sz w:val="18"/>
                <w:szCs w:val="18"/>
              </w:rPr>
              <w:t>3</w:t>
            </w:r>
            <w:r>
              <w:rPr>
                <w:rFonts w:hint="eastAsia" w:ascii="宋体"/>
                <w:sz w:val="18"/>
                <w:szCs w:val="18"/>
              </w:rPr>
              <w:t>0</w:t>
            </w:r>
            <w:r>
              <w:rPr>
                <w:rFonts w:ascii="宋体"/>
                <w:sz w:val="18"/>
                <w:szCs w:val="18"/>
              </w:rPr>
              <w:t>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1981" w:type="dxa"/>
            <w:vMerge w:val="restart"/>
            <w:tcBorders>
              <w:left w:val="single" w:color="auto" w:sz="4" w:space="0"/>
              <w:right w:val="single" w:color="auto" w:sz="4" w:space="0"/>
            </w:tcBorders>
            <w:vAlign w:val="center"/>
          </w:tcPr>
          <w:p w14:paraId="69AFF710">
            <w:pPr>
              <w:spacing w:before="156" w:beforeLines="50" w:after="156" w:afterLines="50"/>
              <w:rPr>
                <w:rFonts w:ascii="宋体"/>
                <w:kern w:val="0"/>
                <w:sz w:val="18"/>
                <w:szCs w:val="18"/>
              </w:rPr>
            </w:pPr>
            <w:r>
              <w:rPr>
                <w:rFonts w:hint="eastAsia" w:ascii="宋体"/>
                <w:sz w:val="18"/>
                <w:szCs w:val="18"/>
              </w:rPr>
              <w:t>1.未按照核定的航路和时间航行的</w:t>
            </w:r>
            <w:r>
              <w:rPr>
                <w:rFonts w:hint="eastAsia" w:ascii="宋体"/>
                <w:kern w:val="0"/>
                <w:sz w:val="18"/>
                <w:szCs w:val="18"/>
              </w:rPr>
              <w:t>：3</w:t>
            </w:r>
            <w:r>
              <w:rPr>
                <w:rFonts w:ascii="宋体"/>
                <w:kern w:val="0"/>
                <w:sz w:val="18"/>
                <w:szCs w:val="18"/>
              </w:rPr>
              <w:t>000</w:t>
            </w:r>
            <w:r>
              <w:rPr>
                <w:rFonts w:hint="eastAsia" w:ascii="宋体"/>
                <w:kern w:val="0"/>
                <w:sz w:val="18"/>
                <w:szCs w:val="18"/>
              </w:rPr>
              <w:t>元及以上</w:t>
            </w:r>
            <w:r>
              <w:rPr>
                <w:rFonts w:ascii="宋体"/>
                <w:kern w:val="0"/>
                <w:sz w:val="18"/>
                <w:szCs w:val="18"/>
              </w:rPr>
              <w:t>4</w:t>
            </w:r>
            <w:r>
              <w:rPr>
                <w:rFonts w:hint="eastAsia" w:ascii="宋体"/>
                <w:kern w:val="0"/>
                <w:sz w:val="18"/>
                <w:szCs w:val="18"/>
              </w:rPr>
              <w:t>0</w:t>
            </w:r>
            <w:r>
              <w:rPr>
                <w:rFonts w:ascii="宋体"/>
                <w:kern w:val="0"/>
                <w:sz w:val="18"/>
                <w:szCs w:val="18"/>
              </w:rPr>
              <w:t>00</w:t>
            </w:r>
            <w:r>
              <w:rPr>
                <w:rFonts w:hint="eastAsia" w:ascii="宋体"/>
                <w:kern w:val="0"/>
                <w:sz w:val="18"/>
                <w:szCs w:val="18"/>
              </w:rPr>
              <w:t>元以下；</w:t>
            </w:r>
          </w:p>
          <w:p w14:paraId="044699E4">
            <w:pPr>
              <w:spacing w:before="156" w:beforeLines="50" w:after="156" w:afterLines="50"/>
              <w:rPr>
                <w:rFonts w:ascii="宋体"/>
                <w:kern w:val="0"/>
                <w:sz w:val="18"/>
                <w:szCs w:val="18"/>
              </w:rPr>
            </w:pPr>
            <w:r>
              <w:rPr>
                <w:rFonts w:hint="eastAsia" w:ascii="宋体"/>
                <w:sz w:val="18"/>
                <w:szCs w:val="18"/>
              </w:rPr>
              <w:t>2.未向海事管理机构申请核定的：</w:t>
            </w:r>
            <w:r>
              <w:rPr>
                <w:rFonts w:ascii="宋体"/>
                <w:sz w:val="18"/>
                <w:szCs w:val="18"/>
              </w:rPr>
              <w:t>4</w:t>
            </w:r>
            <w:r>
              <w:rPr>
                <w:rFonts w:hint="eastAsia" w:ascii="宋体"/>
                <w:sz w:val="18"/>
                <w:szCs w:val="18"/>
              </w:rPr>
              <w:t>0</w:t>
            </w:r>
            <w:r>
              <w:rPr>
                <w:rFonts w:ascii="宋体"/>
                <w:sz w:val="18"/>
                <w:szCs w:val="18"/>
              </w:rPr>
              <w:t>00</w:t>
            </w:r>
            <w:r>
              <w:rPr>
                <w:rFonts w:hint="eastAsia" w:ascii="宋体"/>
                <w:sz w:val="18"/>
                <w:szCs w:val="18"/>
              </w:rPr>
              <w:t>元及以上</w:t>
            </w:r>
            <w:r>
              <w:rPr>
                <w:rFonts w:ascii="宋体"/>
                <w:sz w:val="18"/>
                <w:szCs w:val="18"/>
              </w:rPr>
              <w:t>5000</w:t>
            </w:r>
            <w:r>
              <w:rPr>
                <w:rFonts w:hint="eastAsia" w:ascii="宋体"/>
                <w:sz w:val="18"/>
                <w:szCs w:val="18"/>
              </w:rPr>
              <w:t>元以下。</w:t>
            </w:r>
          </w:p>
        </w:tc>
      </w:tr>
      <w:tr w14:paraId="7C746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656" w:type="dxa"/>
            <w:vMerge w:val="continue"/>
            <w:vAlign w:val="center"/>
          </w:tcPr>
          <w:p w14:paraId="4D6AA30F">
            <w:pPr>
              <w:spacing w:before="156" w:beforeLines="50" w:after="156" w:afterLines="50"/>
              <w:jc w:val="left"/>
              <w:rPr>
                <w:rFonts w:ascii="宋体"/>
                <w:kern w:val="0"/>
                <w:sz w:val="18"/>
                <w:szCs w:val="18"/>
              </w:rPr>
            </w:pPr>
          </w:p>
        </w:tc>
        <w:tc>
          <w:tcPr>
            <w:tcW w:w="700" w:type="dxa"/>
            <w:vMerge w:val="continue"/>
            <w:vAlign w:val="center"/>
          </w:tcPr>
          <w:p w14:paraId="1AD53F07">
            <w:pPr>
              <w:spacing w:before="156" w:beforeLines="50" w:after="156" w:afterLines="50"/>
              <w:jc w:val="left"/>
              <w:rPr>
                <w:rFonts w:ascii="宋体"/>
                <w:kern w:val="0"/>
                <w:sz w:val="18"/>
                <w:szCs w:val="18"/>
              </w:rPr>
            </w:pPr>
          </w:p>
        </w:tc>
        <w:tc>
          <w:tcPr>
            <w:tcW w:w="908" w:type="dxa"/>
            <w:vMerge w:val="continue"/>
            <w:vAlign w:val="center"/>
          </w:tcPr>
          <w:p w14:paraId="742544E9">
            <w:pPr>
              <w:widowControl/>
              <w:spacing w:before="156" w:beforeLines="50" w:after="156" w:afterLines="50"/>
              <w:jc w:val="left"/>
              <w:rPr>
                <w:rFonts w:ascii="宋体"/>
                <w:kern w:val="0"/>
                <w:sz w:val="18"/>
                <w:szCs w:val="18"/>
              </w:rPr>
            </w:pPr>
          </w:p>
        </w:tc>
        <w:tc>
          <w:tcPr>
            <w:tcW w:w="1236" w:type="dxa"/>
            <w:vMerge w:val="continue"/>
            <w:vAlign w:val="center"/>
          </w:tcPr>
          <w:p w14:paraId="22FB57A5">
            <w:pPr>
              <w:spacing w:before="156" w:beforeLines="50" w:after="156" w:afterLines="50"/>
              <w:rPr>
                <w:sz w:val="18"/>
                <w:szCs w:val="18"/>
              </w:rPr>
            </w:pPr>
          </w:p>
        </w:tc>
        <w:tc>
          <w:tcPr>
            <w:tcW w:w="851" w:type="dxa"/>
            <w:vMerge w:val="restart"/>
            <w:vAlign w:val="center"/>
          </w:tcPr>
          <w:p w14:paraId="77255E3D">
            <w:pPr>
              <w:spacing w:before="156" w:beforeLines="50" w:after="156" w:afterLines="50"/>
              <w:jc w:val="center"/>
              <w:rPr>
                <w:sz w:val="18"/>
                <w:szCs w:val="18"/>
              </w:rPr>
            </w:pPr>
            <w:r>
              <w:rPr>
                <w:rFonts w:hint="eastAsia"/>
                <w:sz w:val="18"/>
                <w:szCs w:val="18"/>
              </w:rPr>
              <w:t>一般</w:t>
            </w:r>
          </w:p>
        </w:tc>
        <w:tc>
          <w:tcPr>
            <w:tcW w:w="2409" w:type="dxa"/>
            <w:vAlign w:val="center"/>
          </w:tcPr>
          <w:p w14:paraId="5B1DFFC8">
            <w:pPr>
              <w:spacing w:before="156" w:beforeLines="50" w:after="156" w:afterLines="50"/>
              <w:rPr>
                <w:sz w:val="18"/>
                <w:szCs w:val="18"/>
              </w:rPr>
            </w:pPr>
            <w:r>
              <w:rPr>
                <w:rFonts w:hint="eastAsia"/>
                <w:sz w:val="18"/>
                <w:szCs w:val="18"/>
              </w:rPr>
              <w:t>未按照核定的航路和时间航行的。</w:t>
            </w:r>
          </w:p>
        </w:tc>
        <w:tc>
          <w:tcPr>
            <w:tcW w:w="2279" w:type="dxa"/>
            <w:tcBorders>
              <w:right w:val="single" w:color="auto" w:sz="4" w:space="0"/>
            </w:tcBorders>
            <w:vAlign w:val="center"/>
          </w:tcPr>
          <w:p w14:paraId="431C347D">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w:t>
            </w:r>
            <w:r>
              <w:rPr>
                <w:sz w:val="18"/>
                <w:szCs w:val="18"/>
              </w:rPr>
              <w:t>1</w:t>
            </w:r>
            <w:r>
              <w:rPr>
                <w:rFonts w:hint="eastAsia"/>
                <w:sz w:val="18"/>
                <w:szCs w:val="18"/>
              </w:rPr>
              <w:t>万元以下</w:t>
            </w:r>
          </w:p>
        </w:tc>
        <w:tc>
          <w:tcPr>
            <w:tcW w:w="2268" w:type="dxa"/>
            <w:tcBorders>
              <w:right w:val="single" w:color="auto" w:sz="4" w:space="0"/>
            </w:tcBorders>
            <w:vAlign w:val="center"/>
          </w:tcPr>
          <w:p w14:paraId="67FB648E">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w:t>
            </w:r>
            <w:r>
              <w:rPr>
                <w:sz w:val="18"/>
                <w:szCs w:val="18"/>
              </w:rPr>
              <w:t>1</w:t>
            </w:r>
            <w:r>
              <w:rPr>
                <w:rFonts w:hint="eastAsia"/>
                <w:sz w:val="18"/>
                <w:szCs w:val="18"/>
              </w:rPr>
              <w:t>.5万元以下</w:t>
            </w:r>
          </w:p>
        </w:tc>
        <w:tc>
          <w:tcPr>
            <w:tcW w:w="2268" w:type="dxa"/>
            <w:tcBorders>
              <w:right w:val="single" w:color="auto" w:sz="4" w:space="0"/>
            </w:tcBorders>
            <w:vAlign w:val="center"/>
          </w:tcPr>
          <w:p w14:paraId="39255A0B">
            <w:pPr>
              <w:spacing w:before="156" w:beforeLines="50" w:after="156" w:afterLines="50"/>
              <w:rPr>
                <w:sz w:val="18"/>
                <w:szCs w:val="18"/>
              </w:rPr>
            </w:pPr>
            <w:r>
              <w:rPr>
                <w:rFonts w:hint="eastAsia"/>
                <w:sz w:val="18"/>
                <w:szCs w:val="18"/>
              </w:rPr>
              <w:t>8</w:t>
            </w:r>
            <w:r>
              <w:rPr>
                <w:sz w:val="18"/>
                <w:szCs w:val="18"/>
              </w:rPr>
              <w:t>000</w:t>
            </w:r>
            <w:r>
              <w:rPr>
                <w:rFonts w:hint="eastAsia"/>
                <w:sz w:val="18"/>
                <w:szCs w:val="18"/>
              </w:rPr>
              <w:t>元及以上2万元以下</w:t>
            </w:r>
          </w:p>
        </w:tc>
        <w:tc>
          <w:tcPr>
            <w:tcW w:w="2126" w:type="dxa"/>
            <w:tcBorders>
              <w:right w:val="single" w:color="auto" w:sz="4" w:space="0"/>
            </w:tcBorders>
            <w:vAlign w:val="center"/>
          </w:tcPr>
          <w:p w14:paraId="2CCE845B">
            <w:pPr>
              <w:spacing w:before="156" w:beforeLines="50" w:after="156" w:afterLines="50"/>
              <w:rPr>
                <w:sz w:val="18"/>
                <w:szCs w:val="18"/>
              </w:rPr>
            </w:pPr>
            <w:r>
              <w:rPr>
                <w:sz w:val="18"/>
                <w:szCs w:val="18"/>
              </w:rPr>
              <w:t>/</w:t>
            </w:r>
          </w:p>
        </w:tc>
        <w:tc>
          <w:tcPr>
            <w:tcW w:w="1843" w:type="dxa"/>
            <w:vMerge w:val="continue"/>
            <w:tcBorders>
              <w:left w:val="single" w:color="auto" w:sz="4" w:space="0"/>
              <w:right w:val="single" w:color="auto" w:sz="4" w:space="0"/>
            </w:tcBorders>
            <w:vAlign w:val="center"/>
          </w:tcPr>
          <w:p w14:paraId="64D84E72">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14:paraId="3176E095">
            <w:pPr>
              <w:spacing w:before="156" w:beforeLines="50" w:after="156" w:afterLines="50"/>
              <w:jc w:val="left"/>
              <w:rPr>
                <w:rFonts w:ascii="宋体"/>
                <w:kern w:val="0"/>
                <w:sz w:val="18"/>
                <w:szCs w:val="18"/>
              </w:rPr>
            </w:pPr>
          </w:p>
        </w:tc>
      </w:tr>
      <w:tr w14:paraId="0212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56" w:type="dxa"/>
            <w:vMerge w:val="continue"/>
            <w:vAlign w:val="center"/>
          </w:tcPr>
          <w:p w14:paraId="27961E94">
            <w:pPr>
              <w:spacing w:before="156" w:beforeLines="50" w:after="156" w:afterLines="50"/>
              <w:jc w:val="left"/>
              <w:rPr>
                <w:rFonts w:ascii="宋体"/>
                <w:kern w:val="0"/>
                <w:sz w:val="18"/>
                <w:szCs w:val="18"/>
              </w:rPr>
            </w:pPr>
          </w:p>
        </w:tc>
        <w:tc>
          <w:tcPr>
            <w:tcW w:w="700" w:type="dxa"/>
            <w:vMerge w:val="continue"/>
            <w:vAlign w:val="center"/>
          </w:tcPr>
          <w:p w14:paraId="487C2F1C">
            <w:pPr>
              <w:spacing w:before="156" w:beforeLines="50" w:after="156" w:afterLines="50"/>
              <w:jc w:val="left"/>
              <w:rPr>
                <w:rFonts w:ascii="宋体"/>
                <w:kern w:val="0"/>
                <w:sz w:val="18"/>
                <w:szCs w:val="18"/>
              </w:rPr>
            </w:pPr>
          </w:p>
        </w:tc>
        <w:tc>
          <w:tcPr>
            <w:tcW w:w="908" w:type="dxa"/>
            <w:vMerge w:val="continue"/>
            <w:vAlign w:val="center"/>
          </w:tcPr>
          <w:p w14:paraId="6BAC56F4">
            <w:pPr>
              <w:spacing w:before="156" w:beforeLines="50" w:after="156" w:afterLines="50"/>
              <w:jc w:val="left"/>
              <w:rPr>
                <w:rFonts w:ascii="宋体"/>
                <w:kern w:val="0"/>
                <w:sz w:val="18"/>
                <w:szCs w:val="18"/>
              </w:rPr>
            </w:pPr>
          </w:p>
        </w:tc>
        <w:tc>
          <w:tcPr>
            <w:tcW w:w="1236" w:type="dxa"/>
            <w:vMerge w:val="continue"/>
            <w:vAlign w:val="center"/>
          </w:tcPr>
          <w:p w14:paraId="05B4939F">
            <w:pPr>
              <w:spacing w:before="156" w:beforeLines="50" w:after="156" w:afterLines="50"/>
              <w:rPr>
                <w:sz w:val="18"/>
                <w:szCs w:val="18"/>
              </w:rPr>
            </w:pPr>
          </w:p>
        </w:tc>
        <w:tc>
          <w:tcPr>
            <w:tcW w:w="851" w:type="dxa"/>
            <w:vMerge w:val="continue"/>
            <w:vAlign w:val="center"/>
          </w:tcPr>
          <w:p w14:paraId="56479FF9">
            <w:pPr>
              <w:spacing w:before="156" w:beforeLines="50" w:after="156" w:afterLines="50"/>
              <w:jc w:val="center"/>
              <w:rPr>
                <w:sz w:val="18"/>
                <w:szCs w:val="18"/>
              </w:rPr>
            </w:pPr>
          </w:p>
        </w:tc>
        <w:tc>
          <w:tcPr>
            <w:tcW w:w="2409" w:type="dxa"/>
            <w:tcBorders>
              <w:top w:val="single" w:color="auto" w:sz="4" w:space="0"/>
              <w:bottom w:val="single" w:color="auto" w:sz="4" w:space="0"/>
            </w:tcBorders>
            <w:vAlign w:val="center"/>
          </w:tcPr>
          <w:p w14:paraId="72CEB3AA">
            <w:pPr>
              <w:spacing w:before="156" w:beforeLines="50" w:after="156" w:afterLines="50"/>
              <w:rPr>
                <w:sz w:val="18"/>
                <w:szCs w:val="18"/>
              </w:rPr>
            </w:pPr>
            <w:r>
              <w:rPr>
                <w:rFonts w:hint="eastAsia"/>
                <w:sz w:val="18"/>
                <w:szCs w:val="18"/>
              </w:rPr>
              <w:t>未向海事管理机构申请核定的。</w:t>
            </w:r>
          </w:p>
        </w:tc>
        <w:tc>
          <w:tcPr>
            <w:tcW w:w="2279" w:type="dxa"/>
            <w:tcBorders>
              <w:top w:val="single" w:color="auto" w:sz="4" w:space="0"/>
              <w:right w:val="single" w:color="auto" w:sz="4" w:space="0"/>
            </w:tcBorders>
            <w:vAlign w:val="center"/>
          </w:tcPr>
          <w:p w14:paraId="2A9CAC85">
            <w:pPr>
              <w:spacing w:before="156" w:beforeLines="50" w:after="156" w:afterLines="50"/>
              <w:rPr>
                <w:sz w:val="18"/>
                <w:szCs w:val="18"/>
              </w:rPr>
            </w:pPr>
            <w:r>
              <w:rPr>
                <w:sz w:val="18"/>
                <w:szCs w:val="18"/>
              </w:rPr>
              <w:t>1</w:t>
            </w:r>
            <w:r>
              <w:rPr>
                <w:rFonts w:hint="eastAsia"/>
                <w:sz w:val="18"/>
                <w:szCs w:val="18"/>
              </w:rPr>
              <w:t>万元及以上</w:t>
            </w:r>
            <w:r>
              <w:rPr>
                <w:sz w:val="18"/>
                <w:szCs w:val="18"/>
              </w:rPr>
              <w:t>1.5</w:t>
            </w:r>
            <w:r>
              <w:rPr>
                <w:rFonts w:hint="eastAsia"/>
                <w:sz w:val="18"/>
                <w:szCs w:val="18"/>
              </w:rPr>
              <w:t>万元以下</w:t>
            </w:r>
          </w:p>
        </w:tc>
        <w:tc>
          <w:tcPr>
            <w:tcW w:w="2268" w:type="dxa"/>
            <w:tcBorders>
              <w:top w:val="single" w:color="auto" w:sz="4" w:space="0"/>
              <w:right w:val="single" w:color="auto" w:sz="4" w:space="0"/>
            </w:tcBorders>
            <w:vAlign w:val="center"/>
          </w:tcPr>
          <w:p w14:paraId="1902F99C">
            <w:pPr>
              <w:spacing w:before="156" w:beforeLines="50" w:after="156" w:afterLines="50"/>
              <w:rPr>
                <w:sz w:val="18"/>
                <w:szCs w:val="18"/>
              </w:rPr>
            </w:pPr>
            <w:r>
              <w:rPr>
                <w:sz w:val="18"/>
                <w:szCs w:val="18"/>
              </w:rPr>
              <w:t>1.5</w:t>
            </w:r>
            <w:r>
              <w:rPr>
                <w:rFonts w:hint="eastAsia"/>
                <w:sz w:val="18"/>
                <w:szCs w:val="18"/>
              </w:rPr>
              <w:t>万元及以上</w:t>
            </w:r>
            <w:r>
              <w:rPr>
                <w:sz w:val="18"/>
                <w:szCs w:val="18"/>
              </w:rPr>
              <w:t>2</w:t>
            </w:r>
            <w:r>
              <w:rPr>
                <w:rFonts w:hint="eastAsia"/>
                <w:sz w:val="18"/>
                <w:szCs w:val="18"/>
              </w:rPr>
              <w:t>万元以下</w:t>
            </w:r>
          </w:p>
        </w:tc>
        <w:tc>
          <w:tcPr>
            <w:tcW w:w="2268" w:type="dxa"/>
            <w:tcBorders>
              <w:top w:val="single" w:color="auto" w:sz="4" w:space="0"/>
              <w:right w:val="single" w:color="auto" w:sz="4" w:space="0"/>
            </w:tcBorders>
            <w:vAlign w:val="center"/>
          </w:tcPr>
          <w:p w14:paraId="3D34E385">
            <w:pPr>
              <w:spacing w:before="156" w:beforeLines="50" w:after="156" w:afterLines="50"/>
              <w:rPr>
                <w:sz w:val="18"/>
                <w:szCs w:val="18"/>
              </w:rPr>
            </w:pPr>
            <w:r>
              <w:rPr>
                <w:sz w:val="18"/>
                <w:szCs w:val="18"/>
              </w:rPr>
              <w:t>2</w:t>
            </w:r>
            <w:r>
              <w:rPr>
                <w:rFonts w:hint="eastAsia"/>
                <w:sz w:val="18"/>
                <w:szCs w:val="18"/>
              </w:rPr>
              <w:t>万元及以上</w:t>
            </w:r>
            <w:r>
              <w:rPr>
                <w:sz w:val="18"/>
                <w:szCs w:val="18"/>
              </w:rPr>
              <w:t>3</w:t>
            </w:r>
            <w:r>
              <w:rPr>
                <w:rFonts w:hint="eastAsia"/>
                <w:sz w:val="18"/>
                <w:szCs w:val="18"/>
              </w:rPr>
              <w:t>万元以下</w:t>
            </w:r>
          </w:p>
        </w:tc>
        <w:tc>
          <w:tcPr>
            <w:tcW w:w="2126" w:type="dxa"/>
            <w:vMerge w:val="restart"/>
            <w:tcBorders>
              <w:right w:val="single" w:color="auto" w:sz="4" w:space="0"/>
            </w:tcBorders>
            <w:vAlign w:val="center"/>
          </w:tcPr>
          <w:p w14:paraId="4002BBC5">
            <w:pPr>
              <w:spacing w:before="156" w:beforeLines="50" w:after="156" w:afterLines="50"/>
              <w:rPr>
                <w:sz w:val="18"/>
                <w:szCs w:val="18"/>
              </w:rPr>
            </w:pPr>
            <w:r>
              <w:rPr>
                <w:sz w:val="18"/>
                <w:szCs w:val="18"/>
              </w:rPr>
              <w:t>/</w:t>
            </w:r>
          </w:p>
        </w:tc>
        <w:tc>
          <w:tcPr>
            <w:tcW w:w="1843" w:type="dxa"/>
            <w:vMerge w:val="continue"/>
            <w:tcBorders>
              <w:left w:val="single" w:color="auto" w:sz="4" w:space="0"/>
              <w:right w:val="single" w:color="auto" w:sz="4" w:space="0"/>
            </w:tcBorders>
            <w:vAlign w:val="center"/>
          </w:tcPr>
          <w:p w14:paraId="034AF48A">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14:paraId="6A680A99">
            <w:pPr>
              <w:spacing w:before="156" w:beforeLines="50" w:after="156" w:afterLines="50"/>
              <w:jc w:val="left"/>
              <w:rPr>
                <w:rFonts w:ascii="宋体"/>
                <w:kern w:val="0"/>
                <w:sz w:val="18"/>
                <w:szCs w:val="18"/>
              </w:rPr>
            </w:pPr>
          </w:p>
        </w:tc>
      </w:tr>
      <w:tr w14:paraId="17C6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56" w:type="dxa"/>
            <w:vMerge w:val="continue"/>
            <w:vAlign w:val="center"/>
          </w:tcPr>
          <w:p w14:paraId="77046878">
            <w:pPr>
              <w:spacing w:before="156" w:beforeLines="50" w:after="156" w:afterLines="50"/>
              <w:jc w:val="left"/>
              <w:rPr>
                <w:rFonts w:ascii="宋体"/>
                <w:kern w:val="0"/>
                <w:sz w:val="18"/>
                <w:szCs w:val="18"/>
              </w:rPr>
            </w:pPr>
          </w:p>
        </w:tc>
        <w:tc>
          <w:tcPr>
            <w:tcW w:w="700" w:type="dxa"/>
            <w:vMerge w:val="continue"/>
            <w:vAlign w:val="center"/>
          </w:tcPr>
          <w:p w14:paraId="09A84B57">
            <w:pPr>
              <w:spacing w:before="156" w:beforeLines="50" w:after="156" w:afterLines="50"/>
              <w:jc w:val="left"/>
              <w:rPr>
                <w:rFonts w:ascii="宋体"/>
                <w:kern w:val="0"/>
                <w:sz w:val="18"/>
                <w:szCs w:val="18"/>
              </w:rPr>
            </w:pPr>
          </w:p>
        </w:tc>
        <w:tc>
          <w:tcPr>
            <w:tcW w:w="908" w:type="dxa"/>
            <w:vMerge w:val="continue"/>
            <w:vAlign w:val="center"/>
          </w:tcPr>
          <w:p w14:paraId="10E2BFAD">
            <w:pPr>
              <w:spacing w:before="156" w:beforeLines="50" w:after="156" w:afterLines="50"/>
              <w:jc w:val="left"/>
              <w:rPr>
                <w:rFonts w:ascii="宋体"/>
                <w:kern w:val="0"/>
                <w:sz w:val="18"/>
                <w:szCs w:val="18"/>
              </w:rPr>
            </w:pPr>
          </w:p>
        </w:tc>
        <w:tc>
          <w:tcPr>
            <w:tcW w:w="1236" w:type="dxa"/>
            <w:vMerge w:val="continue"/>
            <w:vAlign w:val="center"/>
          </w:tcPr>
          <w:p w14:paraId="751C50A7">
            <w:pPr>
              <w:spacing w:before="156" w:beforeLines="50" w:after="156" w:afterLines="50"/>
              <w:rPr>
                <w:sz w:val="18"/>
                <w:szCs w:val="18"/>
              </w:rPr>
            </w:pPr>
          </w:p>
        </w:tc>
        <w:tc>
          <w:tcPr>
            <w:tcW w:w="851" w:type="dxa"/>
            <w:vMerge w:val="continue"/>
            <w:tcBorders>
              <w:bottom w:val="single" w:color="auto" w:sz="4" w:space="0"/>
            </w:tcBorders>
            <w:vAlign w:val="center"/>
          </w:tcPr>
          <w:p w14:paraId="13C941A9">
            <w:pPr>
              <w:spacing w:before="156" w:beforeLines="50" w:after="156" w:afterLines="50"/>
              <w:jc w:val="center"/>
              <w:rPr>
                <w:sz w:val="18"/>
                <w:szCs w:val="18"/>
              </w:rPr>
            </w:pPr>
          </w:p>
        </w:tc>
        <w:tc>
          <w:tcPr>
            <w:tcW w:w="2409" w:type="dxa"/>
            <w:tcBorders>
              <w:top w:val="single" w:color="auto" w:sz="4" w:space="0"/>
              <w:bottom w:val="single" w:color="auto" w:sz="4" w:space="0"/>
            </w:tcBorders>
            <w:vAlign w:val="center"/>
          </w:tcPr>
          <w:p w14:paraId="2D39F27E">
            <w:pPr>
              <w:spacing w:line="320" w:lineRule="exact"/>
              <w:rPr>
                <w:sz w:val="18"/>
                <w:szCs w:val="18"/>
              </w:rPr>
            </w:pPr>
            <w:r>
              <w:rPr>
                <w:rFonts w:hint="eastAsia"/>
                <w:sz w:val="18"/>
                <w:szCs w:val="18"/>
              </w:rPr>
              <w:t>载运或者拖带超重、超长、超高、超宽、半潜的物体，未申请或者未按照核定的航路、时间航行，导致发生一般以下水上交通事故，或者4小时以下碍航、阻航事件的。</w:t>
            </w:r>
          </w:p>
        </w:tc>
        <w:tc>
          <w:tcPr>
            <w:tcW w:w="2279" w:type="dxa"/>
            <w:tcBorders>
              <w:bottom w:val="single" w:color="auto" w:sz="4" w:space="0"/>
              <w:right w:val="single" w:color="auto" w:sz="4" w:space="0"/>
            </w:tcBorders>
            <w:vAlign w:val="center"/>
          </w:tcPr>
          <w:p w14:paraId="4CF1D194">
            <w:pPr>
              <w:spacing w:before="156" w:beforeLines="50" w:after="156" w:afterLines="50"/>
              <w:rPr>
                <w:sz w:val="18"/>
                <w:szCs w:val="18"/>
              </w:rPr>
            </w:pPr>
            <w:r>
              <w:rPr>
                <w:sz w:val="18"/>
                <w:szCs w:val="18"/>
              </w:rPr>
              <w:t>1.5</w:t>
            </w:r>
            <w:r>
              <w:rPr>
                <w:rFonts w:hint="eastAsia"/>
                <w:sz w:val="18"/>
                <w:szCs w:val="18"/>
              </w:rPr>
              <w:t>万元及以上2万元以下</w:t>
            </w:r>
          </w:p>
        </w:tc>
        <w:tc>
          <w:tcPr>
            <w:tcW w:w="2268" w:type="dxa"/>
            <w:tcBorders>
              <w:bottom w:val="single" w:color="auto" w:sz="4" w:space="0"/>
              <w:right w:val="single" w:color="auto" w:sz="4" w:space="0"/>
            </w:tcBorders>
            <w:vAlign w:val="center"/>
          </w:tcPr>
          <w:p w14:paraId="763A1DF9">
            <w:pPr>
              <w:spacing w:before="156" w:beforeLines="50" w:after="156" w:afterLines="50"/>
              <w:rPr>
                <w:sz w:val="18"/>
                <w:szCs w:val="18"/>
              </w:rPr>
            </w:pPr>
            <w:r>
              <w:rPr>
                <w:rFonts w:hint="eastAsia"/>
                <w:sz w:val="18"/>
                <w:szCs w:val="18"/>
              </w:rPr>
              <w:t>2万元及以上</w:t>
            </w:r>
            <w:r>
              <w:rPr>
                <w:sz w:val="18"/>
                <w:szCs w:val="18"/>
              </w:rPr>
              <w:t>2</w:t>
            </w:r>
            <w:r>
              <w:rPr>
                <w:rFonts w:hint="eastAsia"/>
                <w:sz w:val="18"/>
                <w:szCs w:val="18"/>
              </w:rPr>
              <w:t>.5万元以下</w:t>
            </w:r>
          </w:p>
        </w:tc>
        <w:tc>
          <w:tcPr>
            <w:tcW w:w="2268" w:type="dxa"/>
            <w:tcBorders>
              <w:bottom w:val="single" w:color="auto" w:sz="4" w:space="0"/>
              <w:right w:val="single" w:color="auto" w:sz="4" w:space="0"/>
            </w:tcBorders>
            <w:vAlign w:val="center"/>
          </w:tcPr>
          <w:p w14:paraId="1CB15A30">
            <w:pPr>
              <w:spacing w:before="156" w:beforeLines="50" w:after="156" w:afterLines="50"/>
              <w:rPr>
                <w:sz w:val="18"/>
                <w:szCs w:val="18"/>
              </w:rPr>
            </w:pPr>
            <w:r>
              <w:rPr>
                <w:rFonts w:hint="eastAsia"/>
                <w:sz w:val="18"/>
                <w:szCs w:val="18"/>
              </w:rPr>
              <w:t>3万元及以上</w:t>
            </w:r>
            <w:r>
              <w:rPr>
                <w:sz w:val="18"/>
                <w:szCs w:val="18"/>
              </w:rPr>
              <w:t>3</w:t>
            </w:r>
            <w:r>
              <w:rPr>
                <w:rFonts w:hint="eastAsia"/>
                <w:sz w:val="18"/>
                <w:szCs w:val="18"/>
              </w:rPr>
              <w:t>.5万元以下</w:t>
            </w:r>
          </w:p>
        </w:tc>
        <w:tc>
          <w:tcPr>
            <w:tcW w:w="2126" w:type="dxa"/>
            <w:vMerge w:val="continue"/>
            <w:tcBorders>
              <w:right w:val="single" w:color="auto" w:sz="4" w:space="0"/>
            </w:tcBorders>
            <w:vAlign w:val="center"/>
          </w:tcPr>
          <w:p w14:paraId="11B71A01">
            <w:pPr>
              <w:spacing w:before="156" w:beforeLines="50" w:after="156" w:afterLines="50"/>
              <w:rPr>
                <w:sz w:val="18"/>
                <w:szCs w:val="18"/>
              </w:rPr>
            </w:pPr>
          </w:p>
        </w:tc>
        <w:tc>
          <w:tcPr>
            <w:tcW w:w="1843" w:type="dxa"/>
            <w:vMerge w:val="continue"/>
            <w:tcBorders>
              <w:left w:val="single" w:color="auto" w:sz="4" w:space="0"/>
              <w:right w:val="single" w:color="auto" w:sz="4" w:space="0"/>
            </w:tcBorders>
            <w:vAlign w:val="center"/>
          </w:tcPr>
          <w:p w14:paraId="47E6F6D9">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14:paraId="71F1FE86">
            <w:pPr>
              <w:spacing w:before="156" w:beforeLines="50" w:after="156" w:afterLines="50"/>
              <w:jc w:val="left"/>
              <w:rPr>
                <w:rFonts w:ascii="宋体"/>
                <w:kern w:val="0"/>
                <w:sz w:val="18"/>
                <w:szCs w:val="18"/>
              </w:rPr>
            </w:pPr>
          </w:p>
        </w:tc>
      </w:tr>
      <w:tr w14:paraId="540C1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656" w:type="dxa"/>
            <w:vMerge w:val="continue"/>
            <w:vAlign w:val="center"/>
          </w:tcPr>
          <w:p w14:paraId="3B6C09A5">
            <w:pPr>
              <w:spacing w:before="156" w:beforeLines="50" w:after="156" w:afterLines="50"/>
              <w:jc w:val="left"/>
              <w:rPr>
                <w:rFonts w:ascii="宋体"/>
                <w:kern w:val="0"/>
                <w:sz w:val="18"/>
                <w:szCs w:val="18"/>
              </w:rPr>
            </w:pPr>
          </w:p>
        </w:tc>
        <w:tc>
          <w:tcPr>
            <w:tcW w:w="700" w:type="dxa"/>
            <w:vMerge w:val="continue"/>
            <w:vAlign w:val="center"/>
          </w:tcPr>
          <w:p w14:paraId="3B2A8075">
            <w:pPr>
              <w:spacing w:before="156" w:beforeLines="50" w:after="156" w:afterLines="50"/>
              <w:jc w:val="left"/>
              <w:rPr>
                <w:rFonts w:ascii="宋体"/>
                <w:kern w:val="0"/>
                <w:sz w:val="18"/>
                <w:szCs w:val="18"/>
              </w:rPr>
            </w:pPr>
          </w:p>
        </w:tc>
        <w:tc>
          <w:tcPr>
            <w:tcW w:w="908" w:type="dxa"/>
            <w:vMerge w:val="continue"/>
            <w:vAlign w:val="center"/>
          </w:tcPr>
          <w:p w14:paraId="164701C2">
            <w:pPr>
              <w:spacing w:before="156" w:beforeLines="50" w:after="156" w:afterLines="50"/>
              <w:jc w:val="left"/>
              <w:rPr>
                <w:rFonts w:ascii="宋体"/>
                <w:kern w:val="0"/>
                <w:sz w:val="18"/>
                <w:szCs w:val="18"/>
              </w:rPr>
            </w:pPr>
          </w:p>
        </w:tc>
        <w:tc>
          <w:tcPr>
            <w:tcW w:w="1236" w:type="dxa"/>
            <w:vMerge w:val="continue"/>
            <w:vAlign w:val="center"/>
          </w:tcPr>
          <w:p w14:paraId="64C0E0BE">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14:paraId="644D21AA">
            <w:pPr>
              <w:spacing w:before="156" w:beforeLines="50" w:after="156" w:afterLines="50"/>
              <w:jc w:val="center"/>
              <w:rPr>
                <w:sz w:val="18"/>
                <w:szCs w:val="18"/>
              </w:rPr>
            </w:pPr>
            <w:r>
              <w:rPr>
                <w:rFonts w:hint="eastAsia"/>
                <w:sz w:val="18"/>
                <w:szCs w:val="18"/>
              </w:rPr>
              <w:t>情节</w:t>
            </w:r>
          </w:p>
          <w:p w14:paraId="73630473">
            <w:pPr>
              <w:spacing w:before="156" w:beforeLines="50" w:after="156" w:afterLines="50"/>
              <w:jc w:val="center"/>
              <w:rPr>
                <w:sz w:val="18"/>
                <w:szCs w:val="18"/>
              </w:rPr>
            </w:pPr>
            <w:r>
              <w:rPr>
                <w:rFonts w:hint="eastAsia"/>
                <w:sz w:val="18"/>
                <w:szCs w:val="18"/>
              </w:rPr>
              <w:t>严重</w:t>
            </w:r>
          </w:p>
        </w:tc>
        <w:tc>
          <w:tcPr>
            <w:tcW w:w="2409" w:type="dxa"/>
            <w:tcBorders>
              <w:top w:val="single" w:color="auto" w:sz="4" w:space="0"/>
              <w:left w:val="single" w:color="auto" w:sz="4" w:space="0"/>
              <w:bottom w:val="single" w:color="auto" w:sz="4" w:space="0"/>
            </w:tcBorders>
            <w:vAlign w:val="center"/>
          </w:tcPr>
          <w:p w14:paraId="52247A77">
            <w:pPr>
              <w:spacing w:line="320" w:lineRule="exact"/>
              <w:rPr>
                <w:sz w:val="18"/>
                <w:szCs w:val="18"/>
              </w:rPr>
            </w:pPr>
            <w:r>
              <w:rPr>
                <w:rFonts w:hint="eastAsia"/>
                <w:sz w:val="18"/>
                <w:szCs w:val="18"/>
              </w:rPr>
              <w:t>载运或者拖带超重、超长、超高、超宽、半潜的物体，未申请或未按照核定的航路、时间航行，导致发生一般及以上水上交通事故，或者4小时及以上碍航、阻航事件的。</w:t>
            </w:r>
          </w:p>
        </w:tc>
        <w:tc>
          <w:tcPr>
            <w:tcW w:w="2279" w:type="dxa"/>
            <w:vMerge w:val="restart"/>
            <w:tcBorders>
              <w:top w:val="single" w:color="auto" w:sz="4" w:space="0"/>
              <w:right w:val="single" w:color="auto" w:sz="4" w:space="0"/>
            </w:tcBorders>
            <w:vAlign w:val="center"/>
          </w:tcPr>
          <w:p w14:paraId="057AB6B5">
            <w:pPr>
              <w:spacing w:before="156" w:beforeLines="50" w:after="156" w:afterLines="50"/>
              <w:rPr>
                <w:sz w:val="18"/>
                <w:szCs w:val="18"/>
              </w:rPr>
            </w:pPr>
            <w:r>
              <w:rPr>
                <w:rFonts w:hint="eastAsia"/>
                <w:sz w:val="18"/>
                <w:szCs w:val="18"/>
              </w:rPr>
              <w:t>2万元及以上</w:t>
            </w:r>
            <w:r>
              <w:rPr>
                <w:sz w:val="18"/>
                <w:szCs w:val="18"/>
              </w:rPr>
              <w:t>5</w:t>
            </w:r>
            <w:r>
              <w:rPr>
                <w:rFonts w:hint="eastAsia"/>
                <w:sz w:val="18"/>
                <w:szCs w:val="18"/>
              </w:rPr>
              <w:t>万元及以下</w:t>
            </w:r>
          </w:p>
        </w:tc>
        <w:tc>
          <w:tcPr>
            <w:tcW w:w="2268" w:type="dxa"/>
            <w:vMerge w:val="restart"/>
            <w:tcBorders>
              <w:top w:val="single" w:color="auto" w:sz="4" w:space="0"/>
              <w:right w:val="single" w:color="auto" w:sz="4" w:space="0"/>
            </w:tcBorders>
            <w:vAlign w:val="center"/>
          </w:tcPr>
          <w:p w14:paraId="1BECF40C">
            <w:pPr>
              <w:spacing w:before="156" w:beforeLines="50" w:after="156" w:afterLines="50"/>
              <w:rPr>
                <w:sz w:val="18"/>
                <w:szCs w:val="18"/>
              </w:rPr>
            </w:pPr>
            <w:r>
              <w:rPr>
                <w:sz w:val="18"/>
                <w:szCs w:val="18"/>
              </w:rPr>
              <w:t>2</w:t>
            </w:r>
            <w:r>
              <w:rPr>
                <w:rFonts w:hint="eastAsia"/>
                <w:sz w:val="18"/>
                <w:szCs w:val="18"/>
              </w:rPr>
              <w:t>.5万元及以上</w:t>
            </w:r>
            <w:r>
              <w:rPr>
                <w:sz w:val="18"/>
                <w:szCs w:val="18"/>
              </w:rPr>
              <w:t>5</w:t>
            </w:r>
            <w:r>
              <w:rPr>
                <w:rFonts w:hint="eastAsia"/>
                <w:sz w:val="18"/>
                <w:szCs w:val="18"/>
              </w:rPr>
              <w:t>万元及以下</w:t>
            </w:r>
          </w:p>
        </w:tc>
        <w:tc>
          <w:tcPr>
            <w:tcW w:w="2268" w:type="dxa"/>
            <w:vMerge w:val="restart"/>
            <w:tcBorders>
              <w:top w:val="single" w:color="auto" w:sz="4" w:space="0"/>
              <w:right w:val="single" w:color="auto" w:sz="4" w:space="0"/>
            </w:tcBorders>
            <w:vAlign w:val="center"/>
          </w:tcPr>
          <w:p w14:paraId="5C30BABD">
            <w:pPr>
              <w:spacing w:before="156" w:beforeLines="50" w:after="156" w:afterLines="50"/>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万元及以下</w:t>
            </w:r>
          </w:p>
        </w:tc>
        <w:tc>
          <w:tcPr>
            <w:tcW w:w="2126" w:type="dxa"/>
            <w:tcBorders>
              <w:bottom w:val="single" w:color="auto" w:sz="4" w:space="0"/>
              <w:right w:val="single" w:color="auto" w:sz="4" w:space="0"/>
            </w:tcBorders>
            <w:vAlign w:val="center"/>
          </w:tcPr>
          <w:p w14:paraId="5F35F56C">
            <w:pPr>
              <w:widowControl/>
              <w:spacing w:before="156" w:beforeLines="50" w:after="156" w:afterLines="50"/>
              <w:rPr>
                <w:sz w:val="18"/>
                <w:szCs w:val="18"/>
              </w:rPr>
            </w:pP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《中华人民共和国内河海事行政处罚规定》第三十二条实施。</w:t>
            </w:r>
          </w:p>
        </w:tc>
        <w:tc>
          <w:tcPr>
            <w:tcW w:w="1843" w:type="dxa"/>
            <w:vMerge w:val="continue"/>
            <w:tcBorders>
              <w:left w:val="single" w:color="auto" w:sz="4" w:space="0"/>
              <w:right w:val="single" w:color="auto" w:sz="4" w:space="0"/>
            </w:tcBorders>
            <w:vAlign w:val="center"/>
          </w:tcPr>
          <w:p w14:paraId="3F33A02E">
            <w:pPr>
              <w:spacing w:before="156" w:beforeLines="50" w:after="156" w:afterLines="50"/>
              <w:jc w:val="left"/>
              <w:rPr>
                <w:rFonts w:ascii="宋体"/>
                <w:kern w:val="0"/>
                <w:sz w:val="18"/>
                <w:szCs w:val="18"/>
              </w:rPr>
            </w:pPr>
          </w:p>
        </w:tc>
        <w:tc>
          <w:tcPr>
            <w:tcW w:w="1981" w:type="dxa"/>
            <w:vMerge w:val="continue"/>
            <w:tcBorders>
              <w:left w:val="single" w:color="auto" w:sz="4" w:space="0"/>
              <w:right w:val="single" w:color="auto" w:sz="4" w:space="0"/>
            </w:tcBorders>
            <w:vAlign w:val="center"/>
          </w:tcPr>
          <w:p w14:paraId="63198482">
            <w:pPr>
              <w:spacing w:before="156" w:beforeLines="50" w:after="156" w:afterLines="50"/>
              <w:jc w:val="left"/>
              <w:rPr>
                <w:rFonts w:ascii="宋体"/>
                <w:kern w:val="0"/>
                <w:sz w:val="18"/>
                <w:szCs w:val="18"/>
              </w:rPr>
            </w:pPr>
          </w:p>
        </w:tc>
      </w:tr>
      <w:tr w14:paraId="7C70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656" w:type="dxa"/>
            <w:vMerge w:val="continue"/>
            <w:tcBorders>
              <w:bottom w:val="single" w:color="000000" w:sz="4" w:space="0"/>
            </w:tcBorders>
            <w:vAlign w:val="center"/>
          </w:tcPr>
          <w:p w14:paraId="734B7D36">
            <w:pPr>
              <w:spacing w:before="156" w:beforeLines="50" w:after="156" w:afterLines="50"/>
              <w:jc w:val="left"/>
              <w:rPr>
                <w:rFonts w:ascii="宋体"/>
                <w:kern w:val="0"/>
                <w:sz w:val="18"/>
                <w:szCs w:val="18"/>
              </w:rPr>
            </w:pPr>
          </w:p>
        </w:tc>
        <w:tc>
          <w:tcPr>
            <w:tcW w:w="700" w:type="dxa"/>
            <w:vMerge w:val="continue"/>
            <w:tcBorders>
              <w:bottom w:val="single" w:color="000000" w:sz="4" w:space="0"/>
            </w:tcBorders>
            <w:vAlign w:val="center"/>
          </w:tcPr>
          <w:p w14:paraId="2824FBFF">
            <w:pPr>
              <w:spacing w:before="156" w:beforeLines="50" w:after="156" w:afterLines="50"/>
              <w:jc w:val="left"/>
              <w:rPr>
                <w:rFonts w:ascii="宋体"/>
                <w:kern w:val="0"/>
                <w:sz w:val="18"/>
                <w:szCs w:val="18"/>
              </w:rPr>
            </w:pPr>
          </w:p>
        </w:tc>
        <w:tc>
          <w:tcPr>
            <w:tcW w:w="908" w:type="dxa"/>
            <w:vMerge w:val="continue"/>
            <w:tcBorders>
              <w:bottom w:val="single" w:color="000000" w:sz="4" w:space="0"/>
            </w:tcBorders>
            <w:vAlign w:val="center"/>
          </w:tcPr>
          <w:p w14:paraId="7A00F482">
            <w:pPr>
              <w:spacing w:before="156" w:beforeLines="50" w:after="156" w:afterLines="50"/>
              <w:jc w:val="left"/>
              <w:rPr>
                <w:rFonts w:ascii="宋体"/>
                <w:kern w:val="0"/>
                <w:sz w:val="18"/>
                <w:szCs w:val="18"/>
              </w:rPr>
            </w:pPr>
          </w:p>
        </w:tc>
        <w:tc>
          <w:tcPr>
            <w:tcW w:w="1236" w:type="dxa"/>
            <w:vMerge w:val="continue"/>
            <w:tcBorders>
              <w:bottom w:val="single" w:color="000000" w:sz="4" w:space="0"/>
            </w:tcBorders>
            <w:vAlign w:val="center"/>
          </w:tcPr>
          <w:p w14:paraId="2AA6AB7A">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14:paraId="22E30524">
            <w:pPr>
              <w:spacing w:before="156" w:beforeLines="50" w:after="156" w:afterLines="50"/>
              <w:rPr>
                <w:sz w:val="18"/>
                <w:szCs w:val="18"/>
              </w:rPr>
            </w:pPr>
          </w:p>
        </w:tc>
        <w:tc>
          <w:tcPr>
            <w:tcW w:w="2409" w:type="dxa"/>
            <w:tcBorders>
              <w:top w:val="single" w:color="auto" w:sz="4" w:space="0"/>
              <w:left w:val="single" w:color="auto" w:sz="4" w:space="0"/>
              <w:bottom w:val="single" w:color="000000" w:sz="4" w:space="0"/>
            </w:tcBorders>
            <w:vAlign w:val="center"/>
          </w:tcPr>
          <w:p w14:paraId="6285507D">
            <w:pPr>
              <w:spacing w:before="156" w:beforeLines="50" w:after="156" w:afterLines="50"/>
              <w:rPr>
                <w:sz w:val="18"/>
                <w:szCs w:val="18"/>
              </w:rPr>
            </w:pPr>
            <w:r>
              <w:rPr>
                <w:rFonts w:hint="eastAsia"/>
                <w:sz w:val="18"/>
                <w:szCs w:val="18"/>
              </w:rPr>
              <w:t>具有其他严重情节的。</w:t>
            </w:r>
          </w:p>
        </w:tc>
        <w:tc>
          <w:tcPr>
            <w:tcW w:w="2279" w:type="dxa"/>
            <w:vMerge w:val="continue"/>
            <w:tcBorders>
              <w:bottom w:val="single" w:color="000000" w:sz="4" w:space="0"/>
              <w:right w:val="single" w:color="auto" w:sz="4" w:space="0"/>
            </w:tcBorders>
            <w:vAlign w:val="center"/>
          </w:tcPr>
          <w:p w14:paraId="46468E61">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14:paraId="7CAE30C5">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14:paraId="6993B6E1">
            <w:pPr>
              <w:spacing w:before="156" w:beforeLines="50" w:after="156" w:afterLines="50"/>
              <w:rPr>
                <w:sz w:val="18"/>
                <w:szCs w:val="18"/>
              </w:rPr>
            </w:pPr>
          </w:p>
        </w:tc>
        <w:tc>
          <w:tcPr>
            <w:tcW w:w="2126" w:type="dxa"/>
            <w:tcBorders>
              <w:top w:val="single" w:color="auto" w:sz="4" w:space="0"/>
              <w:bottom w:val="single" w:color="000000" w:sz="4" w:space="0"/>
              <w:right w:val="single" w:color="auto" w:sz="4" w:space="0"/>
            </w:tcBorders>
            <w:vAlign w:val="center"/>
          </w:tcPr>
          <w:p w14:paraId="7D2F8B23">
            <w:pPr>
              <w:widowControl/>
              <w:spacing w:before="156" w:beforeLines="50" w:after="156" w:afterLines="50"/>
              <w:rPr>
                <w:sz w:val="18"/>
                <w:szCs w:val="18"/>
              </w:rPr>
            </w:pPr>
            <w:r>
              <w:rPr>
                <w:rFonts w:hint="eastAsia" w:ascii="宋体"/>
                <w:kern w:val="0"/>
                <w:sz w:val="18"/>
                <w:szCs w:val="18"/>
              </w:rPr>
              <w:t>情节严重的，并可以对责任船员给予暂扣适任证书或者其他适任证件3个月至6个月的处罚。</w:t>
            </w:r>
          </w:p>
        </w:tc>
        <w:tc>
          <w:tcPr>
            <w:tcW w:w="1843" w:type="dxa"/>
            <w:vMerge w:val="continue"/>
            <w:tcBorders>
              <w:left w:val="single" w:color="auto" w:sz="4" w:space="0"/>
              <w:bottom w:val="single" w:color="000000" w:sz="4" w:space="0"/>
              <w:right w:val="single" w:color="auto" w:sz="4" w:space="0"/>
            </w:tcBorders>
            <w:vAlign w:val="center"/>
          </w:tcPr>
          <w:p w14:paraId="1FB59F91">
            <w:pPr>
              <w:spacing w:before="156" w:beforeLines="50" w:after="156" w:afterLines="50"/>
              <w:jc w:val="left"/>
              <w:rPr>
                <w:rFonts w:ascii="宋体"/>
                <w:kern w:val="0"/>
                <w:sz w:val="18"/>
                <w:szCs w:val="18"/>
              </w:rPr>
            </w:pPr>
          </w:p>
        </w:tc>
        <w:tc>
          <w:tcPr>
            <w:tcW w:w="1981" w:type="dxa"/>
            <w:vMerge w:val="continue"/>
            <w:tcBorders>
              <w:left w:val="single" w:color="auto" w:sz="4" w:space="0"/>
              <w:bottom w:val="single" w:color="000000" w:sz="4" w:space="0"/>
              <w:right w:val="single" w:color="auto" w:sz="4" w:space="0"/>
            </w:tcBorders>
            <w:vAlign w:val="center"/>
          </w:tcPr>
          <w:p w14:paraId="3A453818">
            <w:pPr>
              <w:spacing w:before="156" w:beforeLines="50" w:after="156" w:afterLines="50"/>
              <w:jc w:val="left"/>
              <w:rPr>
                <w:rFonts w:ascii="宋体"/>
                <w:kern w:val="0"/>
                <w:sz w:val="18"/>
                <w:szCs w:val="18"/>
              </w:rPr>
            </w:pPr>
          </w:p>
        </w:tc>
      </w:tr>
    </w:tbl>
    <w:p w14:paraId="05175001">
      <w:pPr>
        <w:spacing w:before="156" w:beforeLines="50" w:after="156" w:afterLines="50"/>
        <w:jc w:val="left"/>
        <w:rPr>
          <w:b/>
          <w:sz w:val="18"/>
          <w:szCs w:val="18"/>
        </w:rPr>
      </w:pPr>
      <w:r>
        <w:rPr>
          <w:rFonts w:hint="eastAsia"/>
          <w:b/>
          <w:sz w:val="18"/>
          <w:szCs w:val="18"/>
        </w:rPr>
        <w:br w:type="page"/>
      </w: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640"/>
        <w:gridCol w:w="800"/>
        <w:gridCol w:w="1717"/>
        <w:gridCol w:w="851"/>
        <w:gridCol w:w="2126"/>
        <w:gridCol w:w="2289"/>
        <w:gridCol w:w="2409"/>
        <w:gridCol w:w="2268"/>
        <w:gridCol w:w="1822"/>
        <w:gridCol w:w="1985"/>
        <w:gridCol w:w="2398"/>
      </w:tblGrid>
      <w:tr w14:paraId="32FE8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16" w:type="dxa"/>
            <w:vMerge w:val="restart"/>
            <w:vAlign w:val="center"/>
          </w:tcPr>
          <w:p w14:paraId="2179B77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640" w:type="dxa"/>
            <w:vMerge w:val="restart"/>
            <w:vAlign w:val="center"/>
          </w:tcPr>
          <w:p w14:paraId="5BE67799">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2517" w:type="dxa"/>
            <w:gridSpan w:val="2"/>
            <w:vAlign w:val="center"/>
          </w:tcPr>
          <w:p w14:paraId="7E1E79C3">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14:paraId="6EF33954">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14:paraId="63A70D5B">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3171" w:type="dxa"/>
            <w:gridSpan w:val="6"/>
            <w:tcBorders>
              <w:bottom w:val="single" w:color="auto" w:sz="4" w:space="0"/>
              <w:right w:val="single" w:color="auto" w:sz="4" w:space="0"/>
            </w:tcBorders>
            <w:vAlign w:val="center"/>
          </w:tcPr>
          <w:p w14:paraId="54F518CA">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14:paraId="4B65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16" w:type="dxa"/>
            <w:vMerge w:val="continue"/>
            <w:vAlign w:val="center"/>
          </w:tcPr>
          <w:p w14:paraId="20AB7CF7">
            <w:pPr>
              <w:spacing w:before="156" w:beforeLines="50" w:after="156" w:afterLines="50"/>
              <w:jc w:val="center"/>
              <w:rPr>
                <w:rFonts w:ascii="宋体"/>
                <w:b/>
                <w:kern w:val="0"/>
                <w:sz w:val="18"/>
                <w:szCs w:val="18"/>
              </w:rPr>
            </w:pPr>
          </w:p>
        </w:tc>
        <w:tc>
          <w:tcPr>
            <w:tcW w:w="640" w:type="dxa"/>
            <w:vMerge w:val="continue"/>
            <w:vAlign w:val="center"/>
          </w:tcPr>
          <w:p w14:paraId="11F9EF68">
            <w:pPr>
              <w:spacing w:before="156" w:beforeLines="50" w:after="156" w:afterLines="50"/>
              <w:jc w:val="center"/>
              <w:rPr>
                <w:rFonts w:ascii="宋体"/>
                <w:b/>
                <w:kern w:val="0"/>
                <w:sz w:val="18"/>
                <w:szCs w:val="18"/>
              </w:rPr>
            </w:pPr>
          </w:p>
        </w:tc>
        <w:tc>
          <w:tcPr>
            <w:tcW w:w="800" w:type="dxa"/>
            <w:vMerge w:val="restart"/>
            <w:vAlign w:val="center"/>
          </w:tcPr>
          <w:p w14:paraId="7DA59912">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717" w:type="dxa"/>
            <w:vMerge w:val="restart"/>
            <w:vAlign w:val="center"/>
          </w:tcPr>
          <w:p w14:paraId="38643475">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14:paraId="03655580">
            <w:pPr>
              <w:spacing w:before="156" w:beforeLines="50" w:after="156" w:afterLines="50"/>
              <w:jc w:val="left"/>
              <w:rPr>
                <w:rFonts w:ascii="宋体"/>
                <w:b/>
                <w:kern w:val="0"/>
                <w:sz w:val="18"/>
                <w:szCs w:val="18"/>
              </w:rPr>
            </w:pPr>
          </w:p>
        </w:tc>
        <w:tc>
          <w:tcPr>
            <w:tcW w:w="2126" w:type="dxa"/>
            <w:vMerge w:val="continue"/>
            <w:vAlign w:val="center"/>
          </w:tcPr>
          <w:p w14:paraId="326A436E">
            <w:pPr>
              <w:spacing w:before="156" w:beforeLines="50" w:after="156" w:afterLines="50"/>
              <w:jc w:val="left"/>
              <w:rPr>
                <w:rFonts w:ascii="宋体"/>
                <w:b/>
                <w:kern w:val="0"/>
                <w:sz w:val="18"/>
                <w:szCs w:val="18"/>
              </w:rPr>
            </w:pPr>
          </w:p>
        </w:tc>
        <w:tc>
          <w:tcPr>
            <w:tcW w:w="8788" w:type="dxa"/>
            <w:gridSpan w:val="4"/>
            <w:tcBorders>
              <w:top w:val="single" w:color="auto" w:sz="4" w:space="0"/>
              <w:bottom w:val="single" w:color="auto" w:sz="4" w:space="0"/>
            </w:tcBorders>
            <w:vAlign w:val="center"/>
          </w:tcPr>
          <w:p w14:paraId="46FB46E7">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383" w:type="dxa"/>
            <w:gridSpan w:val="2"/>
            <w:tcBorders>
              <w:top w:val="single" w:color="auto" w:sz="4" w:space="0"/>
              <w:bottom w:val="single" w:color="auto" w:sz="4" w:space="0"/>
              <w:right w:val="single" w:color="auto" w:sz="4" w:space="0"/>
            </w:tcBorders>
            <w:vAlign w:val="center"/>
          </w:tcPr>
          <w:p w14:paraId="5FEB1EA7">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78341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16" w:type="dxa"/>
            <w:vMerge w:val="continue"/>
            <w:vAlign w:val="center"/>
          </w:tcPr>
          <w:p w14:paraId="4C803318">
            <w:pPr>
              <w:spacing w:before="156" w:beforeLines="50" w:after="156" w:afterLines="50"/>
              <w:jc w:val="left"/>
              <w:rPr>
                <w:rFonts w:ascii="宋体"/>
                <w:b/>
                <w:kern w:val="0"/>
                <w:sz w:val="18"/>
                <w:szCs w:val="18"/>
              </w:rPr>
            </w:pPr>
          </w:p>
        </w:tc>
        <w:tc>
          <w:tcPr>
            <w:tcW w:w="640" w:type="dxa"/>
            <w:vMerge w:val="continue"/>
            <w:vAlign w:val="center"/>
          </w:tcPr>
          <w:p w14:paraId="69056159">
            <w:pPr>
              <w:spacing w:before="156" w:beforeLines="50" w:after="156" w:afterLines="50"/>
              <w:jc w:val="left"/>
              <w:rPr>
                <w:rFonts w:ascii="宋体"/>
                <w:b/>
                <w:kern w:val="0"/>
                <w:sz w:val="18"/>
                <w:szCs w:val="18"/>
              </w:rPr>
            </w:pPr>
          </w:p>
        </w:tc>
        <w:tc>
          <w:tcPr>
            <w:tcW w:w="800" w:type="dxa"/>
            <w:vMerge w:val="continue"/>
            <w:vAlign w:val="center"/>
          </w:tcPr>
          <w:p w14:paraId="3441A2D8">
            <w:pPr>
              <w:spacing w:before="156" w:beforeLines="50" w:after="156" w:afterLines="50"/>
              <w:jc w:val="left"/>
              <w:rPr>
                <w:rFonts w:ascii="宋体"/>
                <w:b/>
                <w:kern w:val="0"/>
                <w:sz w:val="18"/>
                <w:szCs w:val="18"/>
              </w:rPr>
            </w:pPr>
          </w:p>
        </w:tc>
        <w:tc>
          <w:tcPr>
            <w:tcW w:w="1717" w:type="dxa"/>
            <w:vMerge w:val="continue"/>
            <w:vAlign w:val="center"/>
          </w:tcPr>
          <w:p w14:paraId="52AE9610">
            <w:pPr>
              <w:spacing w:before="156" w:beforeLines="50" w:after="156" w:afterLines="50"/>
              <w:jc w:val="left"/>
              <w:rPr>
                <w:rFonts w:ascii="宋体"/>
                <w:b/>
                <w:kern w:val="0"/>
                <w:sz w:val="18"/>
                <w:szCs w:val="18"/>
              </w:rPr>
            </w:pPr>
          </w:p>
        </w:tc>
        <w:tc>
          <w:tcPr>
            <w:tcW w:w="851" w:type="dxa"/>
            <w:vMerge w:val="continue"/>
            <w:vAlign w:val="center"/>
          </w:tcPr>
          <w:p w14:paraId="36B40838">
            <w:pPr>
              <w:spacing w:before="156" w:beforeLines="50" w:after="156" w:afterLines="50"/>
              <w:jc w:val="left"/>
              <w:rPr>
                <w:rFonts w:ascii="宋体"/>
                <w:b/>
                <w:kern w:val="0"/>
                <w:sz w:val="18"/>
                <w:szCs w:val="18"/>
              </w:rPr>
            </w:pPr>
          </w:p>
        </w:tc>
        <w:tc>
          <w:tcPr>
            <w:tcW w:w="2126" w:type="dxa"/>
            <w:vMerge w:val="continue"/>
            <w:vAlign w:val="center"/>
          </w:tcPr>
          <w:p w14:paraId="61A00560">
            <w:pPr>
              <w:spacing w:before="156" w:beforeLines="50" w:after="156" w:afterLines="50"/>
              <w:jc w:val="left"/>
              <w:rPr>
                <w:rFonts w:ascii="宋体"/>
                <w:b/>
                <w:kern w:val="0"/>
                <w:sz w:val="18"/>
                <w:szCs w:val="18"/>
              </w:rPr>
            </w:pPr>
          </w:p>
        </w:tc>
        <w:tc>
          <w:tcPr>
            <w:tcW w:w="8788" w:type="dxa"/>
            <w:gridSpan w:val="4"/>
            <w:tcBorders>
              <w:top w:val="single" w:color="auto" w:sz="4" w:space="0"/>
              <w:bottom w:val="single" w:color="auto" w:sz="4" w:space="0"/>
            </w:tcBorders>
            <w:vAlign w:val="center"/>
          </w:tcPr>
          <w:p w14:paraId="126DEEE7">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383" w:type="dxa"/>
            <w:gridSpan w:val="2"/>
            <w:tcBorders>
              <w:top w:val="single" w:color="auto" w:sz="4" w:space="0"/>
              <w:bottom w:val="single" w:color="auto" w:sz="4" w:space="0"/>
              <w:right w:val="single" w:color="auto" w:sz="4" w:space="0"/>
            </w:tcBorders>
            <w:vAlign w:val="center"/>
          </w:tcPr>
          <w:p w14:paraId="5C676F8F">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4847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16" w:type="dxa"/>
            <w:vMerge w:val="continue"/>
            <w:vAlign w:val="center"/>
          </w:tcPr>
          <w:p w14:paraId="31BC292E">
            <w:pPr>
              <w:spacing w:before="156" w:beforeLines="50" w:after="156" w:afterLines="50"/>
              <w:jc w:val="left"/>
              <w:rPr>
                <w:rFonts w:ascii="宋体"/>
                <w:b/>
                <w:kern w:val="0"/>
                <w:sz w:val="18"/>
                <w:szCs w:val="18"/>
              </w:rPr>
            </w:pPr>
          </w:p>
        </w:tc>
        <w:tc>
          <w:tcPr>
            <w:tcW w:w="640" w:type="dxa"/>
            <w:vMerge w:val="continue"/>
            <w:vAlign w:val="center"/>
          </w:tcPr>
          <w:p w14:paraId="3A517F3D">
            <w:pPr>
              <w:spacing w:before="156" w:beforeLines="50" w:after="156" w:afterLines="50"/>
              <w:jc w:val="left"/>
              <w:rPr>
                <w:rFonts w:ascii="宋体"/>
                <w:b/>
                <w:kern w:val="0"/>
                <w:sz w:val="18"/>
                <w:szCs w:val="18"/>
              </w:rPr>
            </w:pPr>
          </w:p>
        </w:tc>
        <w:tc>
          <w:tcPr>
            <w:tcW w:w="800" w:type="dxa"/>
            <w:vMerge w:val="continue"/>
            <w:vAlign w:val="center"/>
          </w:tcPr>
          <w:p w14:paraId="139F593F">
            <w:pPr>
              <w:spacing w:before="156" w:beforeLines="50" w:after="156" w:afterLines="50"/>
              <w:jc w:val="left"/>
              <w:rPr>
                <w:rFonts w:ascii="宋体"/>
                <w:b/>
                <w:kern w:val="0"/>
                <w:sz w:val="18"/>
                <w:szCs w:val="18"/>
              </w:rPr>
            </w:pPr>
          </w:p>
        </w:tc>
        <w:tc>
          <w:tcPr>
            <w:tcW w:w="1717" w:type="dxa"/>
            <w:vMerge w:val="continue"/>
            <w:vAlign w:val="center"/>
          </w:tcPr>
          <w:p w14:paraId="18F3EA20">
            <w:pPr>
              <w:spacing w:before="156" w:beforeLines="50" w:after="156" w:afterLines="50"/>
              <w:jc w:val="left"/>
              <w:rPr>
                <w:rFonts w:ascii="宋体"/>
                <w:b/>
                <w:kern w:val="0"/>
                <w:sz w:val="18"/>
                <w:szCs w:val="18"/>
              </w:rPr>
            </w:pPr>
          </w:p>
        </w:tc>
        <w:tc>
          <w:tcPr>
            <w:tcW w:w="851" w:type="dxa"/>
            <w:vMerge w:val="continue"/>
            <w:vAlign w:val="center"/>
          </w:tcPr>
          <w:p w14:paraId="0A58D6AF">
            <w:pPr>
              <w:spacing w:before="156" w:beforeLines="50" w:after="156" w:afterLines="50"/>
              <w:jc w:val="left"/>
              <w:rPr>
                <w:rFonts w:ascii="宋体"/>
                <w:b/>
                <w:kern w:val="0"/>
                <w:sz w:val="18"/>
                <w:szCs w:val="18"/>
              </w:rPr>
            </w:pPr>
          </w:p>
        </w:tc>
        <w:tc>
          <w:tcPr>
            <w:tcW w:w="2126" w:type="dxa"/>
            <w:vMerge w:val="continue"/>
            <w:vAlign w:val="center"/>
          </w:tcPr>
          <w:p w14:paraId="44479CF6">
            <w:pPr>
              <w:spacing w:before="156" w:beforeLines="50" w:after="156" w:afterLines="50"/>
              <w:jc w:val="left"/>
              <w:rPr>
                <w:rFonts w:ascii="宋体"/>
                <w:b/>
                <w:kern w:val="0"/>
                <w:sz w:val="18"/>
                <w:szCs w:val="18"/>
              </w:rPr>
            </w:pPr>
          </w:p>
        </w:tc>
        <w:tc>
          <w:tcPr>
            <w:tcW w:w="2289" w:type="dxa"/>
            <w:tcBorders>
              <w:top w:val="single" w:color="auto" w:sz="4" w:space="0"/>
              <w:right w:val="single" w:color="auto" w:sz="4" w:space="0"/>
            </w:tcBorders>
            <w:vAlign w:val="center"/>
          </w:tcPr>
          <w:p w14:paraId="3E64515C">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09" w:type="dxa"/>
            <w:tcBorders>
              <w:top w:val="single" w:color="auto" w:sz="4" w:space="0"/>
              <w:right w:val="single" w:color="auto" w:sz="4" w:space="0"/>
            </w:tcBorders>
            <w:vAlign w:val="center"/>
          </w:tcPr>
          <w:p w14:paraId="1DBA9DB1">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14:paraId="1B20A824">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22" w:type="dxa"/>
            <w:tcBorders>
              <w:top w:val="single" w:color="auto" w:sz="4" w:space="0"/>
              <w:right w:val="single" w:color="auto" w:sz="4" w:space="0"/>
            </w:tcBorders>
            <w:vAlign w:val="center"/>
          </w:tcPr>
          <w:p w14:paraId="60A08F67">
            <w:pPr>
              <w:rPr>
                <w:rFonts w:ascii="宋体"/>
                <w:b/>
                <w:sz w:val="18"/>
                <w:szCs w:val="18"/>
              </w:rPr>
            </w:pPr>
            <w:r>
              <w:rPr>
                <w:rFonts w:hint="eastAsia" w:ascii="宋体"/>
                <w:b/>
                <w:sz w:val="18"/>
                <w:szCs w:val="18"/>
              </w:rPr>
              <w:t>【对象】责任船员</w:t>
            </w:r>
          </w:p>
        </w:tc>
        <w:tc>
          <w:tcPr>
            <w:tcW w:w="1985" w:type="dxa"/>
            <w:tcBorders>
              <w:top w:val="single" w:color="auto" w:sz="4" w:space="0"/>
              <w:left w:val="single" w:color="auto" w:sz="4" w:space="0"/>
              <w:right w:val="single" w:color="auto" w:sz="4" w:space="0"/>
            </w:tcBorders>
            <w:vAlign w:val="center"/>
          </w:tcPr>
          <w:p w14:paraId="69E4B787">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398" w:type="dxa"/>
            <w:tcBorders>
              <w:top w:val="single" w:color="auto" w:sz="4" w:space="0"/>
              <w:left w:val="single" w:color="auto" w:sz="4" w:space="0"/>
              <w:right w:val="single" w:color="auto" w:sz="4" w:space="0"/>
            </w:tcBorders>
            <w:vAlign w:val="center"/>
          </w:tcPr>
          <w:p w14:paraId="3F053CF2">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7B091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16" w:type="dxa"/>
            <w:vMerge w:val="restart"/>
            <w:vAlign w:val="center"/>
          </w:tcPr>
          <w:p w14:paraId="07B64372">
            <w:pPr>
              <w:spacing w:before="156" w:beforeLines="50" w:after="156" w:afterLines="50"/>
              <w:jc w:val="center"/>
              <w:rPr>
                <w:rFonts w:ascii="宋体"/>
                <w:kern w:val="0"/>
                <w:sz w:val="18"/>
                <w:szCs w:val="18"/>
              </w:rPr>
            </w:pPr>
            <w:r>
              <w:rPr>
                <w:rFonts w:hint="eastAsia" w:ascii="宋体"/>
                <w:kern w:val="0"/>
                <w:sz w:val="18"/>
                <w:szCs w:val="18"/>
              </w:rPr>
              <w:t>35</w:t>
            </w:r>
          </w:p>
        </w:tc>
        <w:tc>
          <w:tcPr>
            <w:tcW w:w="640" w:type="dxa"/>
            <w:vMerge w:val="restart"/>
            <w:vAlign w:val="center"/>
          </w:tcPr>
          <w:p w14:paraId="37EE236E">
            <w:pPr>
              <w:spacing w:before="156" w:beforeLines="50" w:after="156" w:afterLines="50"/>
              <w:rPr>
                <w:sz w:val="18"/>
                <w:szCs w:val="18"/>
              </w:rPr>
            </w:pPr>
            <w:r>
              <w:rPr>
                <w:rFonts w:hint="eastAsia"/>
                <w:sz w:val="18"/>
                <w:szCs w:val="18"/>
              </w:rPr>
              <w:t>未按照规定申请引航</w:t>
            </w:r>
          </w:p>
        </w:tc>
        <w:tc>
          <w:tcPr>
            <w:tcW w:w="800" w:type="dxa"/>
            <w:vMerge w:val="restart"/>
            <w:vAlign w:val="center"/>
          </w:tcPr>
          <w:p w14:paraId="501958D7">
            <w:pPr>
              <w:spacing w:before="156" w:beforeLines="50" w:after="156" w:afterLines="50"/>
              <w:rPr>
                <w:sz w:val="18"/>
                <w:szCs w:val="18"/>
              </w:rPr>
            </w:pPr>
            <w:r>
              <w:rPr>
                <w:rFonts w:hint="eastAsia"/>
                <w:sz w:val="18"/>
                <w:szCs w:val="18"/>
              </w:rPr>
              <w:t>《中华人民共和国内河交通安全管理条例》第十九条</w:t>
            </w:r>
          </w:p>
        </w:tc>
        <w:tc>
          <w:tcPr>
            <w:tcW w:w="1717" w:type="dxa"/>
            <w:vMerge w:val="restart"/>
            <w:vAlign w:val="center"/>
          </w:tcPr>
          <w:p w14:paraId="0AD5326F">
            <w:pPr>
              <w:spacing w:before="156" w:beforeLines="50" w:after="156" w:afterLines="50"/>
              <w:rPr>
                <w:sz w:val="18"/>
                <w:szCs w:val="18"/>
              </w:rPr>
            </w:pPr>
            <w:r>
              <w:rPr>
                <w:rFonts w:hint="eastAsia"/>
                <w:sz w:val="18"/>
                <w:szCs w:val="18"/>
              </w:rPr>
              <w:t>1.《中华人民共和国内河交通安全管理条例》第六十八条第（三）项；</w:t>
            </w:r>
          </w:p>
          <w:p w14:paraId="7C715E81">
            <w:pPr>
              <w:spacing w:before="156" w:beforeLines="50" w:after="156" w:afterLines="50"/>
              <w:rPr>
                <w:sz w:val="18"/>
                <w:szCs w:val="18"/>
              </w:rPr>
            </w:pPr>
            <w:r>
              <w:rPr>
                <w:rFonts w:hint="eastAsia"/>
                <w:sz w:val="18"/>
                <w:szCs w:val="18"/>
              </w:rPr>
              <w:t>2.《中华人民共和国内河海事行政处罚规定》第十六条第（四）项；</w:t>
            </w:r>
          </w:p>
          <w:p w14:paraId="0D8252B6">
            <w:pPr>
              <w:spacing w:before="156" w:beforeLines="50" w:after="156" w:afterLines="50"/>
              <w:rPr>
                <w:sz w:val="18"/>
                <w:szCs w:val="18"/>
              </w:rPr>
            </w:pPr>
            <w:r>
              <w:rPr>
                <w:rFonts w:hint="eastAsia"/>
                <w:sz w:val="18"/>
                <w:szCs w:val="18"/>
              </w:rPr>
              <w:t>3.《中华人民共和国行政处罚法》第三十二条（从轻）。</w:t>
            </w:r>
          </w:p>
          <w:p w14:paraId="5E89C966">
            <w:pPr>
              <w:spacing w:before="156" w:beforeLines="50" w:after="156" w:afterLines="50"/>
              <w:rPr>
                <w:sz w:val="18"/>
                <w:szCs w:val="18"/>
              </w:rPr>
            </w:pPr>
          </w:p>
        </w:tc>
        <w:tc>
          <w:tcPr>
            <w:tcW w:w="851" w:type="dxa"/>
            <w:vAlign w:val="center"/>
          </w:tcPr>
          <w:p w14:paraId="429EAE76">
            <w:pPr>
              <w:spacing w:before="156" w:beforeLines="50" w:after="156" w:afterLines="50"/>
              <w:jc w:val="center"/>
              <w:rPr>
                <w:sz w:val="18"/>
                <w:szCs w:val="18"/>
              </w:rPr>
            </w:pPr>
            <w:r>
              <w:rPr>
                <w:rFonts w:hint="eastAsia"/>
                <w:sz w:val="18"/>
                <w:szCs w:val="18"/>
              </w:rPr>
              <w:t>从轻</w:t>
            </w:r>
          </w:p>
        </w:tc>
        <w:tc>
          <w:tcPr>
            <w:tcW w:w="2126" w:type="dxa"/>
            <w:vAlign w:val="center"/>
          </w:tcPr>
          <w:p w14:paraId="57859393">
            <w:pPr>
              <w:spacing w:before="156" w:beforeLines="50" w:after="156" w:afterLines="50"/>
              <w:rPr>
                <w:sz w:val="18"/>
                <w:szCs w:val="18"/>
              </w:rPr>
            </w:pPr>
            <w:r>
              <w:rPr>
                <w:rFonts w:hint="eastAsia"/>
                <w:sz w:val="18"/>
                <w:szCs w:val="18"/>
              </w:rPr>
              <w:t>具有法定从轻情节的。</w:t>
            </w:r>
          </w:p>
        </w:tc>
        <w:tc>
          <w:tcPr>
            <w:tcW w:w="2289" w:type="dxa"/>
            <w:tcBorders>
              <w:right w:val="single" w:color="auto" w:sz="4" w:space="0"/>
            </w:tcBorders>
            <w:vAlign w:val="center"/>
          </w:tcPr>
          <w:p w14:paraId="65C03B5B">
            <w:pPr>
              <w:spacing w:before="156" w:beforeLines="50" w:after="156" w:afterLines="50"/>
              <w:rPr>
                <w:sz w:val="18"/>
                <w:szCs w:val="18"/>
              </w:rPr>
            </w:pPr>
            <w:r>
              <w:rPr>
                <w:rFonts w:hint="eastAsia"/>
                <w:sz w:val="18"/>
                <w:szCs w:val="18"/>
              </w:rPr>
              <w:t>5000元及以上6000元以下</w:t>
            </w:r>
          </w:p>
        </w:tc>
        <w:tc>
          <w:tcPr>
            <w:tcW w:w="2409" w:type="dxa"/>
            <w:tcBorders>
              <w:right w:val="single" w:color="auto" w:sz="4" w:space="0"/>
            </w:tcBorders>
            <w:vAlign w:val="center"/>
          </w:tcPr>
          <w:p w14:paraId="43262C07">
            <w:pPr>
              <w:spacing w:before="156" w:beforeLines="50" w:after="156" w:afterLines="50"/>
              <w:rPr>
                <w:sz w:val="18"/>
                <w:szCs w:val="18"/>
              </w:rPr>
            </w:pPr>
            <w:r>
              <w:rPr>
                <w:rFonts w:hint="eastAsia"/>
                <w:sz w:val="18"/>
                <w:szCs w:val="18"/>
              </w:rPr>
              <w:t>5000元及以上6000元以下</w:t>
            </w:r>
          </w:p>
        </w:tc>
        <w:tc>
          <w:tcPr>
            <w:tcW w:w="2268" w:type="dxa"/>
            <w:tcBorders>
              <w:right w:val="single" w:color="auto" w:sz="4" w:space="0"/>
            </w:tcBorders>
            <w:vAlign w:val="center"/>
          </w:tcPr>
          <w:p w14:paraId="0071CB12">
            <w:pPr>
              <w:spacing w:before="156" w:beforeLines="50" w:after="156" w:afterLines="50"/>
              <w:rPr>
                <w:sz w:val="18"/>
                <w:szCs w:val="18"/>
              </w:rPr>
            </w:pPr>
            <w:r>
              <w:rPr>
                <w:rFonts w:hint="eastAsia"/>
                <w:sz w:val="18"/>
                <w:szCs w:val="18"/>
              </w:rPr>
              <w:t>5000元及以上6000元以下</w:t>
            </w:r>
          </w:p>
        </w:tc>
        <w:tc>
          <w:tcPr>
            <w:tcW w:w="1822" w:type="dxa"/>
            <w:tcBorders>
              <w:right w:val="single" w:color="auto" w:sz="4" w:space="0"/>
            </w:tcBorders>
            <w:vAlign w:val="center"/>
          </w:tcPr>
          <w:p w14:paraId="3DD027EF">
            <w:pPr>
              <w:spacing w:before="156" w:beforeLines="50" w:after="156" w:afterLines="50"/>
              <w:rPr>
                <w:sz w:val="18"/>
                <w:szCs w:val="18"/>
              </w:rPr>
            </w:pPr>
            <w:r>
              <w:rPr>
                <w:rFonts w:hint="eastAsia"/>
                <w:sz w:val="18"/>
                <w:szCs w:val="18"/>
              </w:rPr>
              <w:t>/</w:t>
            </w:r>
          </w:p>
        </w:tc>
        <w:tc>
          <w:tcPr>
            <w:tcW w:w="1985" w:type="dxa"/>
            <w:vMerge w:val="restart"/>
            <w:tcBorders>
              <w:left w:val="single" w:color="auto" w:sz="4" w:space="0"/>
              <w:right w:val="single" w:color="auto" w:sz="4" w:space="0"/>
            </w:tcBorders>
            <w:vAlign w:val="center"/>
          </w:tcPr>
          <w:p w14:paraId="4FBBD011">
            <w:pPr>
              <w:widowControl/>
              <w:spacing w:before="156" w:beforeLines="50" w:after="156" w:afterLines="50"/>
              <w:rPr>
                <w:sz w:val="18"/>
                <w:szCs w:val="18"/>
                <w:shd w:val="clear" w:color="auto" w:fill="FFFFFF"/>
              </w:rPr>
            </w:pPr>
            <w:r>
              <w:rPr>
                <w:rFonts w:hint="eastAsia"/>
                <w:sz w:val="18"/>
                <w:szCs w:val="18"/>
              </w:rPr>
              <w:t>未向相应的引航机构</w:t>
            </w:r>
            <w:r>
              <w:rPr>
                <w:rFonts w:hint="eastAsia"/>
                <w:sz w:val="18"/>
                <w:szCs w:val="18"/>
                <w:shd w:val="clear" w:color="auto" w:fill="FFFFFF"/>
              </w:rPr>
              <w:t>提出引航申请或者直接聘请引航员或者聘请非引航员登船引航的：</w:t>
            </w:r>
          </w:p>
          <w:p w14:paraId="5EE91D9C">
            <w:pPr>
              <w:widowControl/>
              <w:spacing w:before="156" w:beforeLines="50" w:after="156" w:afterLines="50"/>
              <w:rPr>
                <w:sz w:val="18"/>
                <w:szCs w:val="18"/>
              </w:rPr>
            </w:pPr>
            <w:r>
              <w:rPr>
                <w:rFonts w:hint="eastAsia"/>
                <w:sz w:val="18"/>
                <w:szCs w:val="18"/>
                <w:shd w:val="clear" w:color="auto" w:fill="FFFFFF"/>
              </w:rPr>
              <w:t>2000元及以上3000元以下</w:t>
            </w:r>
          </w:p>
        </w:tc>
        <w:tc>
          <w:tcPr>
            <w:tcW w:w="2398" w:type="dxa"/>
            <w:vMerge w:val="restart"/>
            <w:tcBorders>
              <w:left w:val="single" w:color="auto" w:sz="4" w:space="0"/>
              <w:right w:val="single" w:color="auto" w:sz="4" w:space="0"/>
            </w:tcBorders>
            <w:vAlign w:val="center"/>
          </w:tcPr>
          <w:p w14:paraId="40B5928B">
            <w:pPr>
              <w:widowControl/>
              <w:spacing w:before="156" w:beforeLines="50" w:after="156" w:afterLines="50"/>
              <w:rPr>
                <w:sz w:val="18"/>
                <w:szCs w:val="18"/>
                <w:shd w:val="clear" w:color="auto" w:fill="FFFFFF"/>
              </w:rPr>
            </w:pPr>
            <w:r>
              <w:rPr>
                <w:rFonts w:hint="eastAsia"/>
                <w:sz w:val="18"/>
                <w:szCs w:val="18"/>
              </w:rPr>
              <w:t>未向相应的引航机构</w:t>
            </w:r>
            <w:r>
              <w:rPr>
                <w:rFonts w:hint="eastAsia"/>
                <w:sz w:val="18"/>
                <w:szCs w:val="18"/>
                <w:shd w:val="clear" w:color="auto" w:fill="FFFFFF"/>
              </w:rPr>
              <w:t>提出引航申请或者直接聘请引航员或者聘请非引航员登船引航的：</w:t>
            </w:r>
          </w:p>
          <w:p w14:paraId="28FD4545">
            <w:pPr>
              <w:widowControl/>
              <w:spacing w:before="156" w:beforeLines="50" w:after="156" w:afterLines="50"/>
              <w:rPr>
                <w:sz w:val="18"/>
                <w:szCs w:val="18"/>
              </w:rPr>
            </w:pPr>
            <w:r>
              <w:rPr>
                <w:rFonts w:hint="eastAsia"/>
                <w:sz w:val="18"/>
                <w:szCs w:val="18"/>
                <w:shd w:val="clear" w:color="auto" w:fill="FFFFFF"/>
              </w:rPr>
              <w:t>3000元及以上5000元以下</w:t>
            </w:r>
          </w:p>
        </w:tc>
      </w:tr>
      <w:tr w14:paraId="130A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16" w:type="dxa"/>
            <w:vMerge w:val="continue"/>
            <w:vAlign w:val="center"/>
          </w:tcPr>
          <w:p w14:paraId="71396554">
            <w:pPr>
              <w:spacing w:before="156" w:beforeLines="50" w:after="156" w:afterLines="50"/>
              <w:jc w:val="left"/>
              <w:rPr>
                <w:rFonts w:ascii="宋体"/>
                <w:kern w:val="0"/>
                <w:sz w:val="18"/>
                <w:szCs w:val="18"/>
              </w:rPr>
            </w:pPr>
          </w:p>
        </w:tc>
        <w:tc>
          <w:tcPr>
            <w:tcW w:w="640" w:type="dxa"/>
            <w:vMerge w:val="continue"/>
            <w:vAlign w:val="center"/>
          </w:tcPr>
          <w:p w14:paraId="60FB5BDF">
            <w:pPr>
              <w:spacing w:before="156" w:beforeLines="50" w:after="156" w:afterLines="50"/>
              <w:jc w:val="left"/>
              <w:rPr>
                <w:rFonts w:ascii="宋体"/>
                <w:kern w:val="0"/>
                <w:sz w:val="18"/>
                <w:szCs w:val="18"/>
              </w:rPr>
            </w:pPr>
          </w:p>
        </w:tc>
        <w:tc>
          <w:tcPr>
            <w:tcW w:w="800" w:type="dxa"/>
            <w:vMerge w:val="continue"/>
            <w:vAlign w:val="center"/>
          </w:tcPr>
          <w:p w14:paraId="02A19742">
            <w:pPr>
              <w:widowControl/>
              <w:spacing w:before="156" w:beforeLines="50" w:after="156" w:afterLines="50"/>
              <w:jc w:val="left"/>
              <w:rPr>
                <w:rFonts w:ascii="宋体"/>
                <w:kern w:val="0"/>
                <w:sz w:val="18"/>
                <w:szCs w:val="18"/>
              </w:rPr>
            </w:pPr>
          </w:p>
        </w:tc>
        <w:tc>
          <w:tcPr>
            <w:tcW w:w="1717" w:type="dxa"/>
            <w:vMerge w:val="continue"/>
            <w:vAlign w:val="center"/>
          </w:tcPr>
          <w:p w14:paraId="0B3D56B3">
            <w:pPr>
              <w:spacing w:before="156" w:beforeLines="50" w:after="156" w:afterLines="50"/>
              <w:rPr>
                <w:sz w:val="18"/>
                <w:szCs w:val="18"/>
              </w:rPr>
            </w:pPr>
          </w:p>
        </w:tc>
        <w:tc>
          <w:tcPr>
            <w:tcW w:w="851" w:type="dxa"/>
            <w:vMerge w:val="restart"/>
            <w:vAlign w:val="center"/>
          </w:tcPr>
          <w:p w14:paraId="453ED993">
            <w:pPr>
              <w:spacing w:before="156" w:beforeLines="50" w:after="156" w:afterLines="50"/>
              <w:jc w:val="center"/>
              <w:rPr>
                <w:sz w:val="18"/>
                <w:szCs w:val="18"/>
              </w:rPr>
            </w:pPr>
            <w:r>
              <w:rPr>
                <w:rFonts w:hint="eastAsia"/>
                <w:sz w:val="18"/>
                <w:szCs w:val="18"/>
              </w:rPr>
              <w:t>一般</w:t>
            </w:r>
          </w:p>
        </w:tc>
        <w:tc>
          <w:tcPr>
            <w:tcW w:w="2126" w:type="dxa"/>
            <w:vAlign w:val="center"/>
          </w:tcPr>
          <w:p w14:paraId="3A634BAC">
            <w:pPr>
              <w:rPr>
                <w:sz w:val="18"/>
                <w:szCs w:val="18"/>
              </w:rPr>
            </w:pPr>
            <w:r>
              <w:rPr>
                <w:rFonts w:hint="eastAsia"/>
                <w:sz w:val="18"/>
                <w:szCs w:val="18"/>
              </w:rPr>
              <w:t>1.没有引航员开航的；</w:t>
            </w:r>
          </w:p>
          <w:p w14:paraId="1CADC499">
            <w:pPr>
              <w:rPr>
                <w:sz w:val="18"/>
                <w:szCs w:val="18"/>
              </w:rPr>
            </w:pPr>
            <w:r>
              <w:rPr>
                <w:rFonts w:hint="eastAsia"/>
                <w:sz w:val="18"/>
                <w:szCs w:val="18"/>
              </w:rPr>
              <w:t>2.引航员不具备相应资质的。</w:t>
            </w:r>
          </w:p>
        </w:tc>
        <w:tc>
          <w:tcPr>
            <w:tcW w:w="2289" w:type="dxa"/>
            <w:tcBorders>
              <w:right w:val="single" w:color="auto" w:sz="4" w:space="0"/>
            </w:tcBorders>
            <w:vAlign w:val="center"/>
          </w:tcPr>
          <w:p w14:paraId="4FA1940E">
            <w:pPr>
              <w:spacing w:before="156" w:beforeLines="50" w:after="156" w:afterLines="50"/>
              <w:rPr>
                <w:sz w:val="18"/>
                <w:szCs w:val="18"/>
              </w:rPr>
            </w:pPr>
            <w:r>
              <w:rPr>
                <w:rFonts w:hint="eastAsia"/>
                <w:sz w:val="18"/>
                <w:szCs w:val="18"/>
              </w:rPr>
              <w:t>6000元及以上1万元以下</w:t>
            </w:r>
          </w:p>
        </w:tc>
        <w:tc>
          <w:tcPr>
            <w:tcW w:w="2409" w:type="dxa"/>
            <w:tcBorders>
              <w:right w:val="single" w:color="auto" w:sz="4" w:space="0"/>
            </w:tcBorders>
            <w:vAlign w:val="center"/>
          </w:tcPr>
          <w:p w14:paraId="00A00170">
            <w:pPr>
              <w:spacing w:before="156" w:beforeLines="50" w:after="156" w:afterLines="50"/>
              <w:rPr>
                <w:sz w:val="18"/>
                <w:szCs w:val="18"/>
              </w:rPr>
            </w:pPr>
            <w:r>
              <w:rPr>
                <w:rFonts w:hint="eastAsia"/>
                <w:sz w:val="18"/>
                <w:szCs w:val="18"/>
              </w:rPr>
              <w:t>6000元及以上1.5万元以下</w:t>
            </w:r>
          </w:p>
        </w:tc>
        <w:tc>
          <w:tcPr>
            <w:tcW w:w="2268" w:type="dxa"/>
            <w:tcBorders>
              <w:right w:val="single" w:color="auto" w:sz="4" w:space="0"/>
            </w:tcBorders>
            <w:vAlign w:val="center"/>
          </w:tcPr>
          <w:p w14:paraId="04DC3B24">
            <w:pPr>
              <w:spacing w:before="156" w:beforeLines="50" w:after="156" w:afterLines="50"/>
              <w:rPr>
                <w:sz w:val="18"/>
                <w:szCs w:val="18"/>
              </w:rPr>
            </w:pPr>
            <w:r>
              <w:rPr>
                <w:rFonts w:hint="eastAsia"/>
                <w:sz w:val="18"/>
                <w:szCs w:val="18"/>
              </w:rPr>
              <w:t>6000元及以上2万元以下</w:t>
            </w:r>
          </w:p>
        </w:tc>
        <w:tc>
          <w:tcPr>
            <w:tcW w:w="1822" w:type="dxa"/>
            <w:tcBorders>
              <w:right w:val="single" w:color="auto" w:sz="4" w:space="0"/>
            </w:tcBorders>
            <w:vAlign w:val="center"/>
          </w:tcPr>
          <w:p w14:paraId="3C59EEAD">
            <w:pPr>
              <w:spacing w:before="156" w:beforeLines="50" w:after="156" w:afterLines="50"/>
              <w:rPr>
                <w:sz w:val="18"/>
                <w:szCs w:val="18"/>
              </w:rPr>
            </w:pPr>
            <w:r>
              <w:rPr>
                <w:rFonts w:hint="eastAsia"/>
                <w:sz w:val="18"/>
                <w:szCs w:val="18"/>
              </w:rPr>
              <w:t>/</w:t>
            </w:r>
          </w:p>
        </w:tc>
        <w:tc>
          <w:tcPr>
            <w:tcW w:w="1985" w:type="dxa"/>
            <w:vMerge w:val="continue"/>
            <w:tcBorders>
              <w:left w:val="single" w:color="auto" w:sz="4" w:space="0"/>
              <w:right w:val="single" w:color="auto" w:sz="4" w:space="0"/>
            </w:tcBorders>
            <w:vAlign w:val="center"/>
          </w:tcPr>
          <w:p w14:paraId="66148E32">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14:paraId="7B21970A">
            <w:pPr>
              <w:widowControl/>
              <w:spacing w:before="156" w:beforeLines="50" w:after="156" w:afterLines="50"/>
              <w:jc w:val="left"/>
              <w:rPr>
                <w:sz w:val="18"/>
                <w:szCs w:val="18"/>
              </w:rPr>
            </w:pPr>
          </w:p>
        </w:tc>
      </w:tr>
      <w:tr w14:paraId="0212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16" w:type="dxa"/>
            <w:vMerge w:val="continue"/>
            <w:vAlign w:val="center"/>
          </w:tcPr>
          <w:p w14:paraId="3676E4D0">
            <w:pPr>
              <w:spacing w:before="156" w:beforeLines="50" w:after="156" w:afterLines="50"/>
              <w:jc w:val="left"/>
              <w:rPr>
                <w:rFonts w:ascii="宋体"/>
                <w:kern w:val="0"/>
                <w:sz w:val="18"/>
                <w:szCs w:val="18"/>
              </w:rPr>
            </w:pPr>
          </w:p>
        </w:tc>
        <w:tc>
          <w:tcPr>
            <w:tcW w:w="640" w:type="dxa"/>
            <w:vMerge w:val="continue"/>
            <w:vAlign w:val="center"/>
          </w:tcPr>
          <w:p w14:paraId="27FCEFC4">
            <w:pPr>
              <w:spacing w:before="156" w:beforeLines="50" w:after="156" w:afterLines="50"/>
              <w:jc w:val="left"/>
              <w:rPr>
                <w:rFonts w:ascii="宋体"/>
                <w:kern w:val="0"/>
                <w:sz w:val="18"/>
                <w:szCs w:val="18"/>
              </w:rPr>
            </w:pPr>
          </w:p>
        </w:tc>
        <w:tc>
          <w:tcPr>
            <w:tcW w:w="800" w:type="dxa"/>
            <w:vMerge w:val="continue"/>
            <w:vAlign w:val="center"/>
          </w:tcPr>
          <w:p w14:paraId="4F496365">
            <w:pPr>
              <w:spacing w:before="156" w:beforeLines="50" w:after="156" w:afterLines="50"/>
              <w:jc w:val="left"/>
              <w:rPr>
                <w:rFonts w:ascii="宋体"/>
                <w:kern w:val="0"/>
                <w:sz w:val="18"/>
                <w:szCs w:val="18"/>
              </w:rPr>
            </w:pPr>
          </w:p>
        </w:tc>
        <w:tc>
          <w:tcPr>
            <w:tcW w:w="1717" w:type="dxa"/>
            <w:vMerge w:val="continue"/>
            <w:vAlign w:val="center"/>
          </w:tcPr>
          <w:p w14:paraId="41D62FC6">
            <w:pPr>
              <w:spacing w:before="156" w:beforeLines="50" w:after="156" w:afterLines="50"/>
              <w:rPr>
                <w:sz w:val="18"/>
                <w:szCs w:val="18"/>
              </w:rPr>
            </w:pPr>
          </w:p>
        </w:tc>
        <w:tc>
          <w:tcPr>
            <w:tcW w:w="851" w:type="dxa"/>
            <w:vMerge w:val="continue"/>
            <w:tcBorders>
              <w:bottom w:val="single" w:color="auto" w:sz="4" w:space="0"/>
            </w:tcBorders>
            <w:vAlign w:val="center"/>
          </w:tcPr>
          <w:p w14:paraId="3D4028FC">
            <w:pPr>
              <w:spacing w:before="156" w:beforeLines="50" w:after="156" w:afterLines="50"/>
              <w:jc w:val="center"/>
              <w:rPr>
                <w:sz w:val="18"/>
                <w:szCs w:val="18"/>
              </w:rPr>
            </w:pPr>
          </w:p>
        </w:tc>
        <w:tc>
          <w:tcPr>
            <w:tcW w:w="2126" w:type="dxa"/>
            <w:tcBorders>
              <w:top w:val="single" w:color="auto" w:sz="4" w:space="0"/>
              <w:bottom w:val="single" w:color="auto" w:sz="4" w:space="0"/>
            </w:tcBorders>
            <w:vAlign w:val="center"/>
          </w:tcPr>
          <w:p w14:paraId="787B5518">
            <w:pPr>
              <w:widowControl/>
              <w:spacing w:before="156" w:beforeLines="50" w:after="156" w:afterLines="50"/>
              <w:rPr>
                <w:sz w:val="18"/>
                <w:szCs w:val="18"/>
              </w:rPr>
            </w:pPr>
            <w:r>
              <w:rPr>
                <w:rFonts w:hint="eastAsia" w:ascii="宋体"/>
                <w:kern w:val="0"/>
                <w:sz w:val="18"/>
                <w:szCs w:val="18"/>
              </w:rPr>
              <w:t>未按照规定申请引航，导致发生一般以下水上交通事故的。</w:t>
            </w:r>
          </w:p>
        </w:tc>
        <w:tc>
          <w:tcPr>
            <w:tcW w:w="2289" w:type="dxa"/>
            <w:tcBorders>
              <w:bottom w:val="single" w:color="auto" w:sz="4" w:space="0"/>
              <w:right w:val="single" w:color="auto" w:sz="4" w:space="0"/>
            </w:tcBorders>
            <w:vAlign w:val="center"/>
          </w:tcPr>
          <w:p w14:paraId="47C860EB">
            <w:pPr>
              <w:spacing w:before="156" w:beforeLines="50" w:after="156" w:afterLines="50"/>
              <w:rPr>
                <w:sz w:val="18"/>
                <w:szCs w:val="18"/>
              </w:rPr>
            </w:pPr>
            <w:r>
              <w:rPr>
                <w:rFonts w:hint="eastAsia"/>
                <w:sz w:val="18"/>
                <w:szCs w:val="18"/>
              </w:rPr>
              <w:t>1万元及以上1.5万元以下</w:t>
            </w:r>
          </w:p>
        </w:tc>
        <w:tc>
          <w:tcPr>
            <w:tcW w:w="2409" w:type="dxa"/>
            <w:tcBorders>
              <w:bottom w:val="single" w:color="auto" w:sz="4" w:space="0"/>
              <w:right w:val="single" w:color="auto" w:sz="4" w:space="0"/>
            </w:tcBorders>
            <w:vAlign w:val="center"/>
          </w:tcPr>
          <w:p w14:paraId="0C1D5A31">
            <w:pPr>
              <w:spacing w:before="156" w:beforeLines="50" w:after="156" w:afterLines="50"/>
              <w:rPr>
                <w:sz w:val="18"/>
                <w:szCs w:val="18"/>
              </w:rPr>
            </w:pPr>
            <w:r>
              <w:rPr>
                <w:rFonts w:hint="eastAsia"/>
                <w:sz w:val="18"/>
                <w:szCs w:val="18"/>
              </w:rPr>
              <w:t>1.5万元及以上2万元以下</w:t>
            </w:r>
          </w:p>
        </w:tc>
        <w:tc>
          <w:tcPr>
            <w:tcW w:w="2268" w:type="dxa"/>
            <w:tcBorders>
              <w:bottom w:val="single" w:color="auto" w:sz="4" w:space="0"/>
              <w:right w:val="single" w:color="auto" w:sz="4" w:space="0"/>
            </w:tcBorders>
            <w:vAlign w:val="center"/>
          </w:tcPr>
          <w:p w14:paraId="10D8429A">
            <w:pPr>
              <w:spacing w:before="156" w:beforeLines="50" w:after="156" w:afterLines="50"/>
              <w:rPr>
                <w:sz w:val="18"/>
                <w:szCs w:val="18"/>
              </w:rPr>
            </w:pPr>
            <w:r>
              <w:rPr>
                <w:rFonts w:hint="eastAsia"/>
                <w:sz w:val="18"/>
                <w:szCs w:val="18"/>
              </w:rPr>
              <w:t>2万元及以上3万元以下</w:t>
            </w:r>
          </w:p>
        </w:tc>
        <w:tc>
          <w:tcPr>
            <w:tcW w:w="1822" w:type="dxa"/>
            <w:tcBorders>
              <w:right w:val="single" w:color="auto" w:sz="4" w:space="0"/>
            </w:tcBorders>
            <w:vAlign w:val="center"/>
          </w:tcPr>
          <w:p w14:paraId="6ACFC9D0">
            <w:pPr>
              <w:spacing w:before="156" w:beforeLines="50" w:after="156" w:afterLines="50"/>
              <w:rPr>
                <w:sz w:val="18"/>
                <w:szCs w:val="18"/>
              </w:rPr>
            </w:pPr>
            <w:r>
              <w:rPr>
                <w:rFonts w:hint="eastAsia"/>
                <w:sz w:val="18"/>
                <w:szCs w:val="18"/>
              </w:rPr>
              <w:t>/</w:t>
            </w:r>
          </w:p>
        </w:tc>
        <w:tc>
          <w:tcPr>
            <w:tcW w:w="1985" w:type="dxa"/>
            <w:vMerge w:val="continue"/>
            <w:tcBorders>
              <w:left w:val="single" w:color="auto" w:sz="4" w:space="0"/>
              <w:right w:val="single" w:color="auto" w:sz="4" w:space="0"/>
            </w:tcBorders>
            <w:vAlign w:val="center"/>
          </w:tcPr>
          <w:p w14:paraId="345BE803">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14:paraId="01A5B608">
            <w:pPr>
              <w:widowControl/>
              <w:spacing w:before="156" w:beforeLines="50" w:after="156" w:afterLines="50"/>
              <w:jc w:val="left"/>
              <w:rPr>
                <w:sz w:val="18"/>
                <w:szCs w:val="18"/>
              </w:rPr>
            </w:pPr>
          </w:p>
        </w:tc>
      </w:tr>
      <w:tr w14:paraId="3481F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616" w:type="dxa"/>
            <w:vMerge w:val="continue"/>
            <w:vAlign w:val="center"/>
          </w:tcPr>
          <w:p w14:paraId="2F4E2AD7">
            <w:pPr>
              <w:spacing w:before="156" w:beforeLines="50" w:after="156" w:afterLines="50"/>
              <w:jc w:val="left"/>
              <w:rPr>
                <w:rFonts w:ascii="宋体"/>
                <w:kern w:val="0"/>
                <w:sz w:val="18"/>
                <w:szCs w:val="18"/>
              </w:rPr>
            </w:pPr>
          </w:p>
        </w:tc>
        <w:tc>
          <w:tcPr>
            <w:tcW w:w="640" w:type="dxa"/>
            <w:vMerge w:val="continue"/>
            <w:vAlign w:val="center"/>
          </w:tcPr>
          <w:p w14:paraId="134DBE79">
            <w:pPr>
              <w:spacing w:before="156" w:beforeLines="50" w:after="156" w:afterLines="50"/>
              <w:jc w:val="left"/>
              <w:rPr>
                <w:rFonts w:ascii="宋体"/>
                <w:kern w:val="0"/>
                <w:sz w:val="18"/>
                <w:szCs w:val="18"/>
              </w:rPr>
            </w:pPr>
          </w:p>
        </w:tc>
        <w:tc>
          <w:tcPr>
            <w:tcW w:w="800" w:type="dxa"/>
            <w:vMerge w:val="continue"/>
            <w:vAlign w:val="center"/>
          </w:tcPr>
          <w:p w14:paraId="466BF537">
            <w:pPr>
              <w:spacing w:before="156" w:beforeLines="50" w:after="156" w:afterLines="50"/>
              <w:jc w:val="left"/>
              <w:rPr>
                <w:rFonts w:ascii="宋体"/>
                <w:kern w:val="0"/>
                <w:sz w:val="18"/>
                <w:szCs w:val="18"/>
              </w:rPr>
            </w:pPr>
          </w:p>
        </w:tc>
        <w:tc>
          <w:tcPr>
            <w:tcW w:w="1717" w:type="dxa"/>
            <w:vMerge w:val="continue"/>
            <w:vAlign w:val="center"/>
          </w:tcPr>
          <w:p w14:paraId="011AB9E5">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14:paraId="7B3DEF84">
            <w:pPr>
              <w:spacing w:before="156" w:beforeLines="50" w:after="156" w:afterLines="50"/>
              <w:jc w:val="center"/>
              <w:rPr>
                <w:sz w:val="18"/>
                <w:szCs w:val="18"/>
              </w:rPr>
            </w:pPr>
            <w:r>
              <w:rPr>
                <w:rFonts w:hint="eastAsia"/>
                <w:sz w:val="18"/>
                <w:szCs w:val="18"/>
              </w:rPr>
              <w:t>情节</w:t>
            </w:r>
          </w:p>
          <w:p w14:paraId="03EC304F">
            <w:pPr>
              <w:spacing w:before="156" w:beforeLines="50" w:after="156" w:afterLines="50"/>
              <w:jc w:val="center"/>
              <w:rPr>
                <w:sz w:val="18"/>
                <w:szCs w:val="18"/>
              </w:rPr>
            </w:pPr>
            <w:r>
              <w:rPr>
                <w:rFonts w:hint="eastAsia"/>
                <w:sz w:val="18"/>
                <w:szCs w:val="18"/>
              </w:rPr>
              <w:t>严重</w:t>
            </w:r>
          </w:p>
        </w:tc>
        <w:tc>
          <w:tcPr>
            <w:tcW w:w="2126" w:type="dxa"/>
            <w:tcBorders>
              <w:top w:val="single" w:color="auto" w:sz="4" w:space="0"/>
              <w:left w:val="single" w:color="auto" w:sz="4" w:space="0"/>
              <w:bottom w:val="single" w:color="auto" w:sz="4" w:space="0"/>
            </w:tcBorders>
            <w:vAlign w:val="center"/>
          </w:tcPr>
          <w:p w14:paraId="321FFCEA">
            <w:pPr>
              <w:spacing w:before="156" w:beforeLines="50" w:after="156" w:afterLines="50"/>
              <w:rPr>
                <w:sz w:val="18"/>
                <w:szCs w:val="18"/>
              </w:rPr>
            </w:pPr>
            <w:r>
              <w:rPr>
                <w:rFonts w:hint="eastAsia"/>
                <w:sz w:val="18"/>
                <w:szCs w:val="18"/>
              </w:rPr>
              <w:t>未按照规定申请引航，导致发生一般及以上水上交通事故的。</w:t>
            </w:r>
          </w:p>
        </w:tc>
        <w:tc>
          <w:tcPr>
            <w:tcW w:w="2289" w:type="dxa"/>
            <w:vMerge w:val="restart"/>
            <w:tcBorders>
              <w:top w:val="single" w:color="auto" w:sz="4" w:space="0"/>
              <w:right w:val="single" w:color="auto" w:sz="4" w:space="0"/>
            </w:tcBorders>
            <w:vAlign w:val="center"/>
          </w:tcPr>
          <w:p w14:paraId="08F6940B">
            <w:pPr>
              <w:spacing w:before="156" w:beforeLines="50" w:after="156" w:afterLines="50"/>
              <w:rPr>
                <w:sz w:val="18"/>
                <w:szCs w:val="18"/>
              </w:rPr>
            </w:pPr>
            <w:r>
              <w:rPr>
                <w:rFonts w:hint="eastAsia"/>
                <w:sz w:val="18"/>
                <w:szCs w:val="18"/>
              </w:rPr>
              <w:t>1.5万元及以上5万元及以下</w:t>
            </w:r>
          </w:p>
        </w:tc>
        <w:tc>
          <w:tcPr>
            <w:tcW w:w="2409" w:type="dxa"/>
            <w:vMerge w:val="restart"/>
            <w:tcBorders>
              <w:top w:val="single" w:color="auto" w:sz="4" w:space="0"/>
              <w:right w:val="single" w:color="auto" w:sz="4" w:space="0"/>
            </w:tcBorders>
            <w:vAlign w:val="center"/>
          </w:tcPr>
          <w:p w14:paraId="5D7E1A66">
            <w:pPr>
              <w:spacing w:before="156" w:beforeLines="50" w:after="156" w:afterLines="50"/>
              <w:rPr>
                <w:sz w:val="18"/>
                <w:szCs w:val="18"/>
              </w:rPr>
            </w:pPr>
            <w:r>
              <w:rPr>
                <w:rFonts w:hint="eastAsia"/>
                <w:sz w:val="18"/>
                <w:szCs w:val="18"/>
              </w:rPr>
              <w:t>2万元及以上5万元及以下</w:t>
            </w:r>
          </w:p>
        </w:tc>
        <w:tc>
          <w:tcPr>
            <w:tcW w:w="2268" w:type="dxa"/>
            <w:vMerge w:val="restart"/>
            <w:tcBorders>
              <w:top w:val="single" w:color="auto" w:sz="4" w:space="0"/>
              <w:right w:val="single" w:color="auto" w:sz="4" w:space="0"/>
            </w:tcBorders>
            <w:vAlign w:val="center"/>
          </w:tcPr>
          <w:p w14:paraId="6DD89A20">
            <w:pPr>
              <w:spacing w:before="156" w:beforeLines="50" w:after="156" w:afterLines="50"/>
              <w:rPr>
                <w:sz w:val="18"/>
                <w:szCs w:val="18"/>
              </w:rPr>
            </w:pPr>
            <w:r>
              <w:rPr>
                <w:rFonts w:hint="eastAsia"/>
                <w:sz w:val="18"/>
                <w:szCs w:val="18"/>
              </w:rPr>
              <w:t>3万元及以上5万元及以下</w:t>
            </w:r>
          </w:p>
        </w:tc>
        <w:tc>
          <w:tcPr>
            <w:tcW w:w="1822" w:type="dxa"/>
            <w:tcBorders>
              <w:bottom w:val="single" w:color="auto" w:sz="4" w:space="0"/>
              <w:right w:val="single" w:color="auto" w:sz="4" w:space="0"/>
            </w:tcBorders>
            <w:vAlign w:val="center"/>
          </w:tcPr>
          <w:p w14:paraId="4E6C9CA0">
            <w:pPr>
              <w:widowControl/>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c>
          <w:tcPr>
            <w:tcW w:w="1985" w:type="dxa"/>
            <w:vMerge w:val="continue"/>
            <w:tcBorders>
              <w:left w:val="single" w:color="auto" w:sz="4" w:space="0"/>
              <w:right w:val="single" w:color="auto" w:sz="4" w:space="0"/>
            </w:tcBorders>
            <w:vAlign w:val="center"/>
          </w:tcPr>
          <w:p w14:paraId="37003428">
            <w:pPr>
              <w:widowControl/>
              <w:spacing w:before="156" w:beforeLines="50" w:after="156" w:afterLines="50"/>
              <w:jc w:val="left"/>
              <w:rPr>
                <w:sz w:val="18"/>
                <w:szCs w:val="18"/>
              </w:rPr>
            </w:pPr>
          </w:p>
        </w:tc>
        <w:tc>
          <w:tcPr>
            <w:tcW w:w="2398" w:type="dxa"/>
            <w:vMerge w:val="continue"/>
            <w:tcBorders>
              <w:left w:val="single" w:color="auto" w:sz="4" w:space="0"/>
              <w:right w:val="single" w:color="auto" w:sz="4" w:space="0"/>
            </w:tcBorders>
            <w:vAlign w:val="center"/>
          </w:tcPr>
          <w:p w14:paraId="1C91BB97">
            <w:pPr>
              <w:widowControl/>
              <w:spacing w:before="156" w:beforeLines="50" w:after="156" w:afterLines="50"/>
              <w:jc w:val="left"/>
              <w:rPr>
                <w:sz w:val="18"/>
                <w:szCs w:val="18"/>
              </w:rPr>
            </w:pPr>
          </w:p>
        </w:tc>
      </w:tr>
      <w:tr w14:paraId="5ED9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616" w:type="dxa"/>
            <w:vMerge w:val="continue"/>
            <w:tcBorders>
              <w:bottom w:val="single" w:color="000000" w:sz="4" w:space="0"/>
            </w:tcBorders>
            <w:vAlign w:val="center"/>
          </w:tcPr>
          <w:p w14:paraId="099A31E6">
            <w:pPr>
              <w:spacing w:before="156" w:beforeLines="50" w:after="156" w:afterLines="50"/>
              <w:jc w:val="left"/>
              <w:rPr>
                <w:rFonts w:ascii="宋体"/>
                <w:kern w:val="0"/>
                <w:sz w:val="18"/>
                <w:szCs w:val="18"/>
              </w:rPr>
            </w:pPr>
          </w:p>
        </w:tc>
        <w:tc>
          <w:tcPr>
            <w:tcW w:w="640" w:type="dxa"/>
            <w:vMerge w:val="continue"/>
            <w:tcBorders>
              <w:bottom w:val="single" w:color="000000" w:sz="4" w:space="0"/>
            </w:tcBorders>
            <w:vAlign w:val="center"/>
          </w:tcPr>
          <w:p w14:paraId="58893604">
            <w:pPr>
              <w:spacing w:before="156" w:beforeLines="50" w:after="156" w:afterLines="50"/>
              <w:jc w:val="left"/>
              <w:rPr>
                <w:rFonts w:ascii="宋体"/>
                <w:kern w:val="0"/>
                <w:sz w:val="18"/>
                <w:szCs w:val="18"/>
              </w:rPr>
            </w:pPr>
          </w:p>
        </w:tc>
        <w:tc>
          <w:tcPr>
            <w:tcW w:w="800" w:type="dxa"/>
            <w:vMerge w:val="continue"/>
            <w:tcBorders>
              <w:bottom w:val="single" w:color="000000" w:sz="4" w:space="0"/>
            </w:tcBorders>
            <w:vAlign w:val="center"/>
          </w:tcPr>
          <w:p w14:paraId="2308F0EF">
            <w:pPr>
              <w:spacing w:before="156" w:beforeLines="50" w:after="156" w:afterLines="50"/>
              <w:jc w:val="left"/>
              <w:rPr>
                <w:rFonts w:ascii="宋体"/>
                <w:kern w:val="0"/>
                <w:sz w:val="18"/>
                <w:szCs w:val="18"/>
              </w:rPr>
            </w:pPr>
          </w:p>
        </w:tc>
        <w:tc>
          <w:tcPr>
            <w:tcW w:w="1717" w:type="dxa"/>
            <w:vMerge w:val="continue"/>
            <w:tcBorders>
              <w:bottom w:val="single" w:color="000000" w:sz="4" w:space="0"/>
            </w:tcBorders>
            <w:vAlign w:val="center"/>
          </w:tcPr>
          <w:p w14:paraId="65A0E9B6">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14:paraId="0E4B5C73">
            <w:pPr>
              <w:spacing w:before="156" w:beforeLines="50" w:after="156" w:afterLines="50"/>
              <w:rPr>
                <w:sz w:val="18"/>
                <w:szCs w:val="18"/>
              </w:rPr>
            </w:pPr>
          </w:p>
        </w:tc>
        <w:tc>
          <w:tcPr>
            <w:tcW w:w="2126" w:type="dxa"/>
            <w:tcBorders>
              <w:top w:val="single" w:color="auto" w:sz="4" w:space="0"/>
              <w:left w:val="single" w:color="auto" w:sz="4" w:space="0"/>
              <w:bottom w:val="single" w:color="000000" w:sz="4" w:space="0"/>
            </w:tcBorders>
            <w:vAlign w:val="center"/>
          </w:tcPr>
          <w:p w14:paraId="027E49E9">
            <w:pPr>
              <w:spacing w:before="156" w:beforeLines="50" w:after="156" w:afterLines="50"/>
              <w:rPr>
                <w:sz w:val="18"/>
                <w:szCs w:val="18"/>
              </w:rPr>
            </w:pPr>
            <w:r>
              <w:rPr>
                <w:rFonts w:hint="eastAsia"/>
                <w:sz w:val="18"/>
                <w:szCs w:val="18"/>
              </w:rPr>
              <w:t>具有其他严重情节的。</w:t>
            </w:r>
          </w:p>
        </w:tc>
        <w:tc>
          <w:tcPr>
            <w:tcW w:w="2289" w:type="dxa"/>
            <w:vMerge w:val="continue"/>
            <w:tcBorders>
              <w:bottom w:val="single" w:color="000000" w:sz="4" w:space="0"/>
              <w:right w:val="single" w:color="auto" w:sz="4" w:space="0"/>
            </w:tcBorders>
            <w:vAlign w:val="center"/>
          </w:tcPr>
          <w:p w14:paraId="03A8C97A">
            <w:pPr>
              <w:spacing w:before="156" w:beforeLines="50" w:after="156" w:afterLines="50"/>
              <w:rPr>
                <w:sz w:val="18"/>
                <w:szCs w:val="18"/>
              </w:rPr>
            </w:pPr>
          </w:p>
        </w:tc>
        <w:tc>
          <w:tcPr>
            <w:tcW w:w="2409" w:type="dxa"/>
            <w:vMerge w:val="continue"/>
            <w:tcBorders>
              <w:bottom w:val="single" w:color="000000" w:sz="4" w:space="0"/>
              <w:right w:val="single" w:color="auto" w:sz="4" w:space="0"/>
            </w:tcBorders>
            <w:vAlign w:val="center"/>
          </w:tcPr>
          <w:p w14:paraId="1180389A">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14:paraId="52790159">
            <w:pPr>
              <w:spacing w:before="156" w:beforeLines="50" w:after="156" w:afterLines="50"/>
              <w:rPr>
                <w:sz w:val="18"/>
                <w:szCs w:val="18"/>
              </w:rPr>
            </w:pPr>
          </w:p>
        </w:tc>
        <w:tc>
          <w:tcPr>
            <w:tcW w:w="1822" w:type="dxa"/>
            <w:tcBorders>
              <w:top w:val="single" w:color="auto" w:sz="4" w:space="0"/>
              <w:bottom w:val="single" w:color="000000" w:sz="4" w:space="0"/>
              <w:right w:val="single" w:color="auto" w:sz="4" w:space="0"/>
            </w:tcBorders>
            <w:vAlign w:val="center"/>
          </w:tcPr>
          <w:p w14:paraId="26B6F47F">
            <w:pPr>
              <w:widowControl/>
              <w:spacing w:before="156" w:beforeLines="50" w:after="156" w:afterLines="50"/>
              <w:rPr>
                <w:rFonts w:ascii="宋体"/>
                <w:kern w:val="0"/>
                <w:sz w:val="18"/>
                <w:szCs w:val="18"/>
              </w:rPr>
            </w:pPr>
            <w:r>
              <w:rPr>
                <w:rFonts w:hint="eastAsia" w:ascii="宋体"/>
                <w:kern w:val="0"/>
                <w:sz w:val="18"/>
                <w:szCs w:val="18"/>
              </w:rPr>
              <w:t>情节严重的，并可以对责任船员给予暂扣适任证书或者其他适任证件3个月至6个月的处罚。</w:t>
            </w:r>
          </w:p>
        </w:tc>
        <w:tc>
          <w:tcPr>
            <w:tcW w:w="1985" w:type="dxa"/>
            <w:vMerge w:val="continue"/>
            <w:tcBorders>
              <w:left w:val="single" w:color="auto" w:sz="4" w:space="0"/>
              <w:bottom w:val="single" w:color="000000" w:sz="4" w:space="0"/>
              <w:right w:val="single" w:color="auto" w:sz="4" w:space="0"/>
            </w:tcBorders>
            <w:vAlign w:val="center"/>
          </w:tcPr>
          <w:p w14:paraId="1345982C">
            <w:pPr>
              <w:widowControl/>
              <w:spacing w:before="156" w:beforeLines="50" w:after="156" w:afterLines="50"/>
              <w:jc w:val="left"/>
              <w:rPr>
                <w:sz w:val="18"/>
                <w:szCs w:val="18"/>
              </w:rPr>
            </w:pPr>
          </w:p>
        </w:tc>
        <w:tc>
          <w:tcPr>
            <w:tcW w:w="2398" w:type="dxa"/>
            <w:vMerge w:val="continue"/>
            <w:tcBorders>
              <w:left w:val="single" w:color="auto" w:sz="4" w:space="0"/>
              <w:bottom w:val="single" w:color="000000" w:sz="4" w:space="0"/>
              <w:right w:val="single" w:color="auto" w:sz="4" w:space="0"/>
            </w:tcBorders>
            <w:vAlign w:val="center"/>
          </w:tcPr>
          <w:p w14:paraId="5B4AD4DE">
            <w:pPr>
              <w:widowControl/>
              <w:spacing w:before="156" w:beforeLines="50" w:after="156" w:afterLines="50"/>
              <w:jc w:val="left"/>
              <w:rPr>
                <w:sz w:val="18"/>
                <w:szCs w:val="18"/>
              </w:rPr>
            </w:pPr>
          </w:p>
        </w:tc>
      </w:tr>
    </w:tbl>
    <w:p w14:paraId="02FCA075">
      <w:pPr>
        <w:spacing w:before="156" w:beforeLines="50" w:after="156" w:afterLines="50"/>
        <w:jc w:val="left"/>
        <w:rPr>
          <w:b/>
          <w:sz w:val="18"/>
          <w:szCs w:val="18"/>
        </w:rPr>
        <w:sectPr>
          <w:pgSz w:w="23814" w:h="16839" w:orient="landscape"/>
          <w:pgMar w:top="1800" w:right="1440" w:bottom="1800" w:left="1440" w:header="851" w:footer="992" w:gutter="0"/>
          <w:cols w:space="720" w:num="1"/>
          <w:docGrid w:type="lines" w:linePitch="312" w:charSpace="0"/>
        </w:sectPr>
      </w:pPr>
    </w:p>
    <w:p w14:paraId="4F691E18">
      <w:pPr>
        <w:spacing w:before="156" w:beforeLines="50" w:after="156" w:afterLines="50"/>
        <w:jc w:val="left"/>
        <w:rPr>
          <w:b/>
          <w:sz w:val="18"/>
          <w:szCs w:val="18"/>
        </w:rPr>
      </w:pP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101"/>
        <w:gridCol w:w="851"/>
        <w:gridCol w:w="2126"/>
        <w:gridCol w:w="2293"/>
        <w:gridCol w:w="2410"/>
        <w:gridCol w:w="2268"/>
        <w:gridCol w:w="1985"/>
        <w:gridCol w:w="2100"/>
        <w:gridCol w:w="2115"/>
      </w:tblGrid>
      <w:tr w14:paraId="6F74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90" w:type="dxa"/>
            <w:vMerge w:val="restart"/>
            <w:vAlign w:val="center"/>
          </w:tcPr>
          <w:p w14:paraId="29656245">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76" w:type="dxa"/>
            <w:vMerge w:val="restart"/>
            <w:vAlign w:val="center"/>
          </w:tcPr>
          <w:p w14:paraId="478CBFFC">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478" w:type="dxa"/>
            <w:gridSpan w:val="2"/>
            <w:vAlign w:val="center"/>
          </w:tcPr>
          <w:p w14:paraId="255BD11F">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14:paraId="6BB9DCC7">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14:paraId="49B74831">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3171" w:type="dxa"/>
            <w:gridSpan w:val="6"/>
            <w:tcBorders>
              <w:bottom w:val="single" w:color="auto" w:sz="4" w:space="0"/>
              <w:right w:val="single" w:color="auto" w:sz="4" w:space="0"/>
            </w:tcBorders>
            <w:vAlign w:val="center"/>
          </w:tcPr>
          <w:p w14:paraId="4D730E38">
            <w:pPr>
              <w:jc w:val="left"/>
              <w:rPr>
                <w:rFonts w:ascii="宋体"/>
                <w:b/>
                <w:kern w:val="0"/>
                <w:sz w:val="18"/>
                <w:szCs w:val="18"/>
              </w:rPr>
            </w:pPr>
            <w:r>
              <w:rPr>
                <w:rFonts w:hint="eastAsia" w:ascii="宋体"/>
                <w:b/>
                <w:kern w:val="0"/>
                <w:sz w:val="18"/>
                <w:szCs w:val="18"/>
              </w:rPr>
              <w:t>【法定幅度和种类】</w:t>
            </w:r>
            <w:r>
              <w:rPr>
                <w:rFonts w:hint="eastAsia"/>
                <w:b/>
                <w:sz w:val="18"/>
                <w:szCs w:val="18"/>
              </w:rPr>
              <w:t>由海事管理机构责令改正，处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14:paraId="6819A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3A443967">
            <w:pPr>
              <w:spacing w:before="156" w:beforeLines="50" w:after="156" w:afterLines="50"/>
              <w:jc w:val="center"/>
              <w:rPr>
                <w:rFonts w:ascii="宋体"/>
                <w:b/>
                <w:kern w:val="0"/>
                <w:sz w:val="18"/>
                <w:szCs w:val="18"/>
              </w:rPr>
            </w:pPr>
          </w:p>
        </w:tc>
        <w:tc>
          <w:tcPr>
            <w:tcW w:w="876" w:type="dxa"/>
            <w:vMerge w:val="continue"/>
            <w:vAlign w:val="center"/>
          </w:tcPr>
          <w:p w14:paraId="0538F49B">
            <w:pPr>
              <w:spacing w:before="156" w:beforeLines="50" w:after="156" w:afterLines="50"/>
              <w:jc w:val="center"/>
              <w:rPr>
                <w:rFonts w:ascii="宋体"/>
                <w:b/>
                <w:kern w:val="0"/>
                <w:sz w:val="18"/>
                <w:szCs w:val="18"/>
              </w:rPr>
            </w:pPr>
          </w:p>
        </w:tc>
        <w:tc>
          <w:tcPr>
            <w:tcW w:w="1377" w:type="dxa"/>
            <w:vMerge w:val="restart"/>
            <w:vAlign w:val="center"/>
          </w:tcPr>
          <w:p w14:paraId="30F0487E">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101" w:type="dxa"/>
            <w:vMerge w:val="restart"/>
            <w:vAlign w:val="center"/>
          </w:tcPr>
          <w:p w14:paraId="02A5C013">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14:paraId="29BA9A6A">
            <w:pPr>
              <w:spacing w:before="156" w:beforeLines="50" w:after="156" w:afterLines="50"/>
              <w:jc w:val="left"/>
              <w:rPr>
                <w:rFonts w:ascii="宋体"/>
                <w:b/>
                <w:kern w:val="0"/>
                <w:sz w:val="18"/>
                <w:szCs w:val="18"/>
              </w:rPr>
            </w:pPr>
          </w:p>
        </w:tc>
        <w:tc>
          <w:tcPr>
            <w:tcW w:w="2126" w:type="dxa"/>
            <w:vMerge w:val="continue"/>
            <w:vAlign w:val="center"/>
          </w:tcPr>
          <w:p w14:paraId="5508D2DD">
            <w:pPr>
              <w:spacing w:before="156" w:beforeLines="50" w:after="156" w:afterLines="50"/>
              <w:jc w:val="left"/>
              <w:rPr>
                <w:rFonts w:ascii="宋体"/>
                <w:b/>
                <w:kern w:val="0"/>
                <w:sz w:val="18"/>
                <w:szCs w:val="18"/>
              </w:rPr>
            </w:pPr>
          </w:p>
        </w:tc>
        <w:tc>
          <w:tcPr>
            <w:tcW w:w="8956" w:type="dxa"/>
            <w:gridSpan w:val="4"/>
            <w:tcBorders>
              <w:top w:val="single" w:color="auto" w:sz="4" w:space="0"/>
              <w:bottom w:val="single" w:color="auto" w:sz="4" w:space="0"/>
            </w:tcBorders>
            <w:vAlign w:val="center"/>
          </w:tcPr>
          <w:p w14:paraId="3E75E363">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215" w:type="dxa"/>
            <w:gridSpan w:val="2"/>
            <w:tcBorders>
              <w:top w:val="single" w:color="auto" w:sz="4" w:space="0"/>
              <w:bottom w:val="single" w:color="auto" w:sz="4" w:space="0"/>
              <w:right w:val="single" w:color="auto" w:sz="4" w:space="0"/>
            </w:tcBorders>
            <w:vAlign w:val="center"/>
          </w:tcPr>
          <w:p w14:paraId="08460924">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40F8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90" w:type="dxa"/>
            <w:vMerge w:val="continue"/>
            <w:vAlign w:val="center"/>
          </w:tcPr>
          <w:p w14:paraId="3917E1FF">
            <w:pPr>
              <w:spacing w:before="156" w:beforeLines="50" w:after="156" w:afterLines="50"/>
              <w:jc w:val="left"/>
              <w:rPr>
                <w:rFonts w:ascii="宋体"/>
                <w:b/>
                <w:kern w:val="0"/>
                <w:sz w:val="18"/>
                <w:szCs w:val="18"/>
              </w:rPr>
            </w:pPr>
          </w:p>
        </w:tc>
        <w:tc>
          <w:tcPr>
            <w:tcW w:w="876" w:type="dxa"/>
            <w:vMerge w:val="continue"/>
            <w:vAlign w:val="center"/>
          </w:tcPr>
          <w:p w14:paraId="62E46AB6">
            <w:pPr>
              <w:spacing w:before="156" w:beforeLines="50" w:after="156" w:afterLines="50"/>
              <w:jc w:val="left"/>
              <w:rPr>
                <w:rFonts w:ascii="宋体"/>
                <w:b/>
                <w:kern w:val="0"/>
                <w:sz w:val="18"/>
                <w:szCs w:val="18"/>
              </w:rPr>
            </w:pPr>
          </w:p>
        </w:tc>
        <w:tc>
          <w:tcPr>
            <w:tcW w:w="1377" w:type="dxa"/>
            <w:vMerge w:val="continue"/>
            <w:vAlign w:val="center"/>
          </w:tcPr>
          <w:p w14:paraId="507E6F1A">
            <w:pPr>
              <w:spacing w:before="156" w:beforeLines="50" w:after="156" w:afterLines="50"/>
              <w:jc w:val="left"/>
              <w:rPr>
                <w:rFonts w:ascii="宋体"/>
                <w:b/>
                <w:kern w:val="0"/>
                <w:sz w:val="18"/>
                <w:szCs w:val="18"/>
              </w:rPr>
            </w:pPr>
          </w:p>
        </w:tc>
        <w:tc>
          <w:tcPr>
            <w:tcW w:w="2101" w:type="dxa"/>
            <w:vMerge w:val="continue"/>
            <w:vAlign w:val="center"/>
          </w:tcPr>
          <w:p w14:paraId="14D83EC2">
            <w:pPr>
              <w:spacing w:before="156" w:beforeLines="50" w:after="156" w:afterLines="50"/>
              <w:jc w:val="left"/>
              <w:rPr>
                <w:rFonts w:ascii="宋体"/>
                <w:b/>
                <w:kern w:val="0"/>
                <w:sz w:val="18"/>
                <w:szCs w:val="18"/>
              </w:rPr>
            </w:pPr>
          </w:p>
        </w:tc>
        <w:tc>
          <w:tcPr>
            <w:tcW w:w="851" w:type="dxa"/>
            <w:vMerge w:val="continue"/>
            <w:vAlign w:val="center"/>
          </w:tcPr>
          <w:p w14:paraId="1E447AB2">
            <w:pPr>
              <w:spacing w:before="156" w:beforeLines="50" w:after="156" w:afterLines="50"/>
              <w:jc w:val="left"/>
              <w:rPr>
                <w:rFonts w:ascii="宋体"/>
                <w:b/>
                <w:kern w:val="0"/>
                <w:sz w:val="18"/>
                <w:szCs w:val="18"/>
              </w:rPr>
            </w:pPr>
          </w:p>
        </w:tc>
        <w:tc>
          <w:tcPr>
            <w:tcW w:w="2126" w:type="dxa"/>
            <w:vMerge w:val="continue"/>
            <w:vAlign w:val="center"/>
          </w:tcPr>
          <w:p w14:paraId="355E8B17">
            <w:pPr>
              <w:spacing w:before="156" w:beforeLines="50" w:after="156" w:afterLines="50"/>
              <w:jc w:val="left"/>
              <w:rPr>
                <w:rFonts w:ascii="宋体"/>
                <w:b/>
                <w:kern w:val="0"/>
                <w:sz w:val="18"/>
                <w:szCs w:val="18"/>
              </w:rPr>
            </w:pPr>
          </w:p>
        </w:tc>
        <w:tc>
          <w:tcPr>
            <w:tcW w:w="8956" w:type="dxa"/>
            <w:gridSpan w:val="4"/>
            <w:tcBorders>
              <w:top w:val="single" w:color="auto" w:sz="4" w:space="0"/>
              <w:bottom w:val="single" w:color="auto" w:sz="4" w:space="0"/>
            </w:tcBorders>
            <w:vAlign w:val="center"/>
          </w:tcPr>
          <w:p w14:paraId="3448A4BB">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215" w:type="dxa"/>
            <w:gridSpan w:val="2"/>
            <w:tcBorders>
              <w:top w:val="single" w:color="auto" w:sz="4" w:space="0"/>
              <w:bottom w:val="single" w:color="auto" w:sz="4" w:space="0"/>
              <w:right w:val="single" w:color="auto" w:sz="4" w:space="0"/>
            </w:tcBorders>
            <w:vAlign w:val="center"/>
          </w:tcPr>
          <w:p w14:paraId="1D752EFA">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74D99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90" w:type="dxa"/>
            <w:vMerge w:val="continue"/>
            <w:vAlign w:val="center"/>
          </w:tcPr>
          <w:p w14:paraId="30C61470">
            <w:pPr>
              <w:spacing w:before="156" w:beforeLines="50" w:after="156" w:afterLines="50"/>
              <w:jc w:val="left"/>
              <w:rPr>
                <w:rFonts w:ascii="宋体"/>
                <w:b/>
                <w:kern w:val="0"/>
                <w:sz w:val="18"/>
                <w:szCs w:val="18"/>
              </w:rPr>
            </w:pPr>
          </w:p>
        </w:tc>
        <w:tc>
          <w:tcPr>
            <w:tcW w:w="876" w:type="dxa"/>
            <w:vMerge w:val="continue"/>
            <w:vAlign w:val="center"/>
          </w:tcPr>
          <w:p w14:paraId="55ABB650">
            <w:pPr>
              <w:spacing w:before="156" w:beforeLines="50" w:after="156" w:afterLines="50"/>
              <w:jc w:val="left"/>
              <w:rPr>
                <w:rFonts w:ascii="宋体"/>
                <w:b/>
                <w:kern w:val="0"/>
                <w:sz w:val="18"/>
                <w:szCs w:val="18"/>
              </w:rPr>
            </w:pPr>
          </w:p>
        </w:tc>
        <w:tc>
          <w:tcPr>
            <w:tcW w:w="1377" w:type="dxa"/>
            <w:vMerge w:val="continue"/>
            <w:vAlign w:val="center"/>
          </w:tcPr>
          <w:p w14:paraId="2C96E609">
            <w:pPr>
              <w:spacing w:before="156" w:beforeLines="50" w:after="156" w:afterLines="50"/>
              <w:jc w:val="left"/>
              <w:rPr>
                <w:rFonts w:ascii="宋体"/>
                <w:b/>
                <w:kern w:val="0"/>
                <w:sz w:val="18"/>
                <w:szCs w:val="18"/>
              </w:rPr>
            </w:pPr>
          </w:p>
        </w:tc>
        <w:tc>
          <w:tcPr>
            <w:tcW w:w="2101" w:type="dxa"/>
            <w:vMerge w:val="continue"/>
            <w:vAlign w:val="center"/>
          </w:tcPr>
          <w:p w14:paraId="55F86CF2">
            <w:pPr>
              <w:spacing w:before="156" w:beforeLines="50" w:after="156" w:afterLines="50"/>
              <w:jc w:val="left"/>
              <w:rPr>
                <w:rFonts w:ascii="宋体"/>
                <w:b/>
                <w:kern w:val="0"/>
                <w:sz w:val="18"/>
                <w:szCs w:val="18"/>
              </w:rPr>
            </w:pPr>
          </w:p>
        </w:tc>
        <w:tc>
          <w:tcPr>
            <w:tcW w:w="851" w:type="dxa"/>
            <w:vMerge w:val="continue"/>
            <w:vAlign w:val="center"/>
          </w:tcPr>
          <w:p w14:paraId="5E1A7B53">
            <w:pPr>
              <w:spacing w:before="156" w:beforeLines="50" w:after="156" w:afterLines="50"/>
              <w:jc w:val="left"/>
              <w:rPr>
                <w:rFonts w:ascii="宋体"/>
                <w:b/>
                <w:kern w:val="0"/>
                <w:sz w:val="18"/>
                <w:szCs w:val="18"/>
              </w:rPr>
            </w:pPr>
          </w:p>
        </w:tc>
        <w:tc>
          <w:tcPr>
            <w:tcW w:w="2126" w:type="dxa"/>
            <w:vMerge w:val="continue"/>
            <w:vAlign w:val="center"/>
          </w:tcPr>
          <w:p w14:paraId="56534695">
            <w:pPr>
              <w:spacing w:before="156" w:beforeLines="50" w:after="156" w:afterLines="50"/>
              <w:jc w:val="left"/>
              <w:rPr>
                <w:rFonts w:ascii="宋体"/>
                <w:b/>
                <w:kern w:val="0"/>
                <w:sz w:val="18"/>
                <w:szCs w:val="18"/>
              </w:rPr>
            </w:pPr>
          </w:p>
        </w:tc>
        <w:tc>
          <w:tcPr>
            <w:tcW w:w="2293" w:type="dxa"/>
            <w:tcBorders>
              <w:top w:val="single" w:color="auto" w:sz="4" w:space="0"/>
              <w:right w:val="single" w:color="auto" w:sz="4" w:space="0"/>
            </w:tcBorders>
            <w:vAlign w:val="center"/>
          </w:tcPr>
          <w:p w14:paraId="408669A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right w:val="single" w:color="auto" w:sz="4" w:space="0"/>
            </w:tcBorders>
            <w:vAlign w:val="center"/>
          </w:tcPr>
          <w:p w14:paraId="5DE83FF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14:paraId="0A4E3C4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85" w:type="dxa"/>
            <w:tcBorders>
              <w:top w:val="single" w:color="auto" w:sz="4" w:space="0"/>
              <w:right w:val="single" w:color="auto" w:sz="4" w:space="0"/>
            </w:tcBorders>
            <w:vAlign w:val="center"/>
          </w:tcPr>
          <w:p w14:paraId="6A08FC70">
            <w:pPr>
              <w:spacing w:before="156" w:beforeLines="50" w:after="156" w:afterLines="50"/>
              <w:rPr>
                <w:rFonts w:ascii="宋体"/>
                <w:b/>
                <w:sz w:val="18"/>
                <w:szCs w:val="18"/>
              </w:rPr>
            </w:pPr>
            <w:r>
              <w:rPr>
                <w:rFonts w:hint="eastAsia" w:ascii="宋体"/>
                <w:b/>
                <w:sz w:val="18"/>
                <w:szCs w:val="18"/>
              </w:rPr>
              <w:t>【对象】责任船员</w:t>
            </w:r>
          </w:p>
        </w:tc>
        <w:tc>
          <w:tcPr>
            <w:tcW w:w="2100" w:type="dxa"/>
            <w:tcBorders>
              <w:top w:val="single" w:color="auto" w:sz="4" w:space="0"/>
              <w:left w:val="single" w:color="auto" w:sz="4" w:space="0"/>
              <w:right w:val="single" w:color="auto" w:sz="4" w:space="0"/>
            </w:tcBorders>
            <w:vAlign w:val="center"/>
          </w:tcPr>
          <w:p w14:paraId="5846E53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115" w:type="dxa"/>
            <w:tcBorders>
              <w:top w:val="single" w:color="auto" w:sz="4" w:space="0"/>
              <w:left w:val="single" w:color="auto" w:sz="4" w:space="0"/>
              <w:right w:val="single" w:color="auto" w:sz="4" w:space="0"/>
            </w:tcBorders>
            <w:vAlign w:val="center"/>
          </w:tcPr>
          <w:p w14:paraId="2D51FC6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77DBD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90" w:type="dxa"/>
            <w:vMerge w:val="restart"/>
            <w:vAlign w:val="center"/>
          </w:tcPr>
          <w:p w14:paraId="16E14F00">
            <w:pPr>
              <w:spacing w:before="156" w:beforeLines="50" w:after="156" w:afterLines="50"/>
              <w:jc w:val="center"/>
              <w:rPr>
                <w:rFonts w:ascii="宋体"/>
                <w:kern w:val="0"/>
                <w:sz w:val="18"/>
                <w:szCs w:val="18"/>
              </w:rPr>
            </w:pPr>
            <w:r>
              <w:rPr>
                <w:rFonts w:hint="eastAsia" w:ascii="宋体"/>
                <w:kern w:val="0"/>
                <w:sz w:val="18"/>
                <w:szCs w:val="18"/>
              </w:rPr>
              <w:t>36</w:t>
            </w:r>
          </w:p>
        </w:tc>
        <w:tc>
          <w:tcPr>
            <w:tcW w:w="876" w:type="dxa"/>
            <w:vMerge w:val="restart"/>
            <w:vAlign w:val="center"/>
          </w:tcPr>
          <w:p w14:paraId="32785E50">
            <w:pPr>
              <w:spacing w:before="156" w:beforeLines="50" w:after="156" w:afterLines="50"/>
              <w:rPr>
                <w:sz w:val="18"/>
                <w:szCs w:val="18"/>
              </w:rPr>
            </w:pPr>
            <w:r>
              <w:rPr>
                <w:rFonts w:hint="eastAsia"/>
                <w:sz w:val="18"/>
                <w:szCs w:val="18"/>
              </w:rPr>
              <w:t>船舶无正当理由进入或者穿越禁航区</w:t>
            </w:r>
          </w:p>
        </w:tc>
        <w:tc>
          <w:tcPr>
            <w:tcW w:w="1377" w:type="dxa"/>
            <w:vMerge w:val="restart"/>
            <w:vAlign w:val="center"/>
          </w:tcPr>
          <w:p w14:paraId="4C4D2F23">
            <w:pPr>
              <w:spacing w:before="156" w:beforeLines="50" w:after="156" w:afterLines="50"/>
              <w:rPr>
                <w:sz w:val="18"/>
                <w:szCs w:val="18"/>
              </w:rPr>
            </w:pPr>
            <w:r>
              <w:rPr>
                <w:rFonts w:hint="eastAsia"/>
                <w:sz w:val="18"/>
                <w:szCs w:val="18"/>
              </w:rPr>
              <w:t>《中华人民共和国内河交通安全管理条例》第二十条第二款</w:t>
            </w:r>
          </w:p>
        </w:tc>
        <w:tc>
          <w:tcPr>
            <w:tcW w:w="2101" w:type="dxa"/>
            <w:vMerge w:val="restart"/>
            <w:vAlign w:val="center"/>
          </w:tcPr>
          <w:p w14:paraId="00D19EB6">
            <w:pPr>
              <w:spacing w:before="156" w:beforeLines="50" w:after="156" w:afterLines="50"/>
              <w:rPr>
                <w:sz w:val="18"/>
                <w:szCs w:val="18"/>
              </w:rPr>
            </w:pPr>
            <w:r>
              <w:rPr>
                <w:rFonts w:hint="eastAsia"/>
                <w:sz w:val="18"/>
                <w:szCs w:val="18"/>
              </w:rPr>
              <w:t>1.《中华人民共和国内河交通安全管理条例》第六十八条第（四）项；</w:t>
            </w:r>
          </w:p>
          <w:p w14:paraId="21A9EB04">
            <w:pPr>
              <w:spacing w:before="156" w:beforeLines="50" w:after="156" w:afterLines="50"/>
              <w:rPr>
                <w:sz w:val="18"/>
                <w:szCs w:val="18"/>
              </w:rPr>
            </w:pPr>
            <w:r>
              <w:rPr>
                <w:rFonts w:hint="eastAsia"/>
                <w:sz w:val="18"/>
                <w:szCs w:val="18"/>
              </w:rPr>
              <w:t>2.《中华人民共和国内河海事行政处罚规定》第十六条第（六）项；</w:t>
            </w:r>
          </w:p>
          <w:p w14:paraId="17E5E920">
            <w:pPr>
              <w:spacing w:before="156" w:beforeLines="50" w:after="156" w:afterLines="50"/>
              <w:rPr>
                <w:sz w:val="18"/>
                <w:szCs w:val="18"/>
              </w:rPr>
            </w:pPr>
            <w:r>
              <w:rPr>
                <w:rFonts w:hint="eastAsia"/>
                <w:sz w:val="18"/>
                <w:szCs w:val="18"/>
              </w:rPr>
              <w:t>3.《中华人民共和国行政处罚法》第三十二条（从轻）。</w:t>
            </w:r>
          </w:p>
        </w:tc>
        <w:tc>
          <w:tcPr>
            <w:tcW w:w="851" w:type="dxa"/>
            <w:vAlign w:val="center"/>
          </w:tcPr>
          <w:p w14:paraId="1CC3DC48">
            <w:pPr>
              <w:spacing w:before="156" w:beforeLines="50" w:after="156" w:afterLines="50"/>
              <w:jc w:val="center"/>
              <w:rPr>
                <w:sz w:val="18"/>
                <w:szCs w:val="18"/>
              </w:rPr>
            </w:pPr>
            <w:r>
              <w:rPr>
                <w:rFonts w:hint="eastAsia"/>
                <w:sz w:val="18"/>
                <w:szCs w:val="18"/>
              </w:rPr>
              <w:t>从轻</w:t>
            </w:r>
          </w:p>
        </w:tc>
        <w:tc>
          <w:tcPr>
            <w:tcW w:w="2126" w:type="dxa"/>
            <w:vAlign w:val="center"/>
          </w:tcPr>
          <w:p w14:paraId="18A53893">
            <w:pPr>
              <w:spacing w:before="156" w:beforeLines="50" w:after="156" w:afterLines="50"/>
              <w:rPr>
                <w:sz w:val="18"/>
                <w:szCs w:val="18"/>
              </w:rPr>
            </w:pPr>
            <w:r>
              <w:rPr>
                <w:rFonts w:hint="eastAsia"/>
                <w:sz w:val="18"/>
                <w:szCs w:val="18"/>
              </w:rPr>
              <w:t>具有法定从轻情节的。</w:t>
            </w:r>
          </w:p>
        </w:tc>
        <w:tc>
          <w:tcPr>
            <w:tcW w:w="2293" w:type="dxa"/>
            <w:tcBorders>
              <w:right w:val="single" w:color="auto" w:sz="4" w:space="0"/>
            </w:tcBorders>
            <w:vAlign w:val="center"/>
          </w:tcPr>
          <w:p w14:paraId="5ACCBD55">
            <w:pPr>
              <w:spacing w:before="156" w:beforeLines="50" w:after="156" w:afterLines="50"/>
              <w:rPr>
                <w:sz w:val="18"/>
                <w:szCs w:val="18"/>
              </w:rPr>
            </w:pPr>
            <w:r>
              <w:rPr>
                <w:rFonts w:hint="eastAsia"/>
                <w:sz w:val="18"/>
                <w:szCs w:val="18"/>
              </w:rPr>
              <w:t>5000元及以上6000元以下</w:t>
            </w:r>
          </w:p>
        </w:tc>
        <w:tc>
          <w:tcPr>
            <w:tcW w:w="2410" w:type="dxa"/>
            <w:tcBorders>
              <w:right w:val="single" w:color="auto" w:sz="4" w:space="0"/>
            </w:tcBorders>
            <w:vAlign w:val="center"/>
          </w:tcPr>
          <w:p w14:paraId="150C120D">
            <w:pPr>
              <w:spacing w:before="156" w:beforeLines="50" w:after="156" w:afterLines="50"/>
              <w:rPr>
                <w:sz w:val="18"/>
                <w:szCs w:val="18"/>
              </w:rPr>
            </w:pPr>
            <w:r>
              <w:rPr>
                <w:rFonts w:hint="eastAsia"/>
                <w:sz w:val="18"/>
                <w:szCs w:val="18"/>
              </w:rPr>
              <w:t>5000元及以上6000元以下</w:t>
            </w:r>
          </w:p>
        </w:tc>
        <w:tc>
          <w:tcPr>
            <w:tcW w:w="2268" w:type="dxa"/>
            <w:tcBorders>
              <w:right w:val="single" w:color="auto" w:sz="4" w:space="0"/>
            </w:tcBorders>
            <w:vAlign w:val="center"/>
          </w:tcPr>
          <w:p w14:paraId="36FEFDD7">
            <w:pPr>
              <w:spacing w:before="156" w:beforeLines="50" w:after="156" w:afterLines="50"/>
              <w:rPr>
                <w:sz w:val="18"/>
                <w:szCs w:val="18"/>
              </w:rPr>
            </w:pPr>
            <w:r>
              <w:rPr>
                <w:rFonts w:hint="eastAsia"/>
                <w:sz w:val="18"/>
                <w:szCs w:val="18"/>
              </w:rPr>
              <w:t>5000元及以上6000元以下</w:t>
            </w:r>
          </w:p>
        </w:tc>
        <w:tc>
          <w:tcPr>
            <w:tcW w:w="1985" w:type="dxa"/>
            <w:tcBorders>
              <w:right w:val="single" w:color="auto" w:sz="4" w:space="0"/>
            </w:tcBorders>
            <w:vAlign w:val="center"/>
          </w:tcPr>
          <w:p w14:paraId="29BEB6D7">
            <w:pPr>
              <w:spacing w:before="156" w:beforeLines="50" w:after="156" w:afterLines="50"/>
              <w:rPr>
                <w:sz w:val="18"/>
                <w:szCs w:val="18"/>
              </w:rPr>
            </w:pPr>
            <w:r>
              <w:rPr>
                <w:rFonts w:hint="eastAsia"/>
                <w:sz w:val="18"/>
                <w:szCs w:val="18"/>
              </w:rPr>
              <w:t>/</w:t>
            </w:r>
          </w:p>
        </w:tc>
        <w:tc>
          <w:tcPr>
            <w:tcW w:w="2100" w:type="dxa"/>
            <w:vMerge w:val="restart"/>
            <w:tcBorders>
              <w:left w:val="single" w:color="auto" w:sz="4" w:space="0"/>
              <w:right w:val="single" w:color="auto" w:sz="4" w:space="0"/>
            </w:tcBorders>
            <w:vAlign w:val="center"/>
          </w:tcPr>
          <w:p w14:paraId="70A7C0F0">
            <w:pPr>
              <w:widowControl/>
              <w:spacing w:before="156" w:beforeLines="50" w:after="156" w:afterLines="50"/>
              <w:rPr>
                <w:sz w:val="18"/>
                <w:szCs w:val="18"/>
              </w:rPr>
            </w:pPr>
            <w:r>
              <w:rPr>
                <w:rFonts w:hint="eastAsia"/>
                <w:sz w:val="18"/>
                <w:szCs w:val="18"/>
              </w:rPr>
              <w:t>船舶无正当理由进入或者穿越禁航区</w:t>
            </w:r>
            <w:r>
              <w:rPr>
                <w:rFonts w:hint="eastAsia"/>
                <w:sz w:val="18"/>
                <w:szCs w:val="18"/>
                <w:shd w:val="clear" w:color="auto" w:fill="FFFFFF"/>
              </w:rPr>
              <w:t>：2000元及以上3000元以下</w:t>
            </w:r>
          </w:p>
        </w:tc>
        <w:tc>
          <w:tcPr>
            <w:tcW w:w="2115" w:type="dxa"/>
            <w:vMerge w:val="restart"/>
            <w:tcBorders>
              <w:left w:val="single" w:color="auto" w:sz="4" w:space="0"/>
              <w:right w:val="single" w:color="auto" w:sz="4" w:space="0"/>
            </w:tcBorders>
            <w:vAlign w:val="center"/>
          </w:tcPr>
          <w:p w14:paraId="118EA1AA">
            <w:pPr>
              <w:widowControl/>
              <w:spacing w:before="156" w:beforeLines="50" w:after="156" w:afterLines="50"/>
              <w:rPr>
                <w:sz w:val="18"/>
                <w:szCs w:val="18"/>
                <w:shd w:val="clear" w:color="auto" w:fill="FFFFFF"/>
              </w:rPr>
            </w:pPr>
            <w:r>
              <w:rPr>
                <w:rFonts w:hint="eastAsia"/>
                <w:sz w:val="18"/>
                <w:szCs w:val="18"/>
              </w:rPr>
              <w:t>船舶无正当理由进入或者穿越禁航区的</w:t>
            </w:r>
            <w:r>
              <w:rPr>
                <w:rFonts w:hint="eastAsia"/>
                <w:sz w:val="18"/>
                <w:szCs w:val="18"/>
                <w:shd w:val="clear" w:color="auto" w:fill="FFFFFF"/>
              </w:rPr>
              <w:t>：3000元及以上5000元以下</w:t>
            </w:r>
          </w:p>
        </w:tc>
      </w:tr>
      <w:tr w14:paraId="3C55E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90" w:type="dxa"/>
            <w:vMerge w:val="continue"/>
            <w:vAlign w:val="center"/>
          </w:tcPr>
          <w:p w14:paraId="610EB835">
            <w:pPr>
              <w:spacing w:before="156" w:beforeLines="50" w:after="156" w:afterLines="50"/>
              <w:jc w:val="left"/>
              <w:rPr>
                <w:rFonts w:ascii="宋体"/>
                <w:kern w:val="0"/>
                <w:sz w:val="18"/>
                <w:szCs w:val="18"/>
              </w:rPr>
            </w:pPr>
          </w:p>
        </w:tc>
        <w:tc>
          <w:tcPr>
            <w:tcW w:w="876" w:type="dxa"/>
            <w:vMerge w:val="continue"/>
            <w:vAlign w:val="center"/>
          </w:tcPr>
          <w:p w14:paraId="338E564D">
            <w:pPr>
              <w:spacing w:before="156" w:beforeLines="50" w:after="156" w:afterLines="50"/>
              <w:jc w:val="left"/>
              <w:rPr>
                <w:rFonts w:ascii="宋体"/>
                <w:kern w:val="0"/>
                <w:sz w:val="18"/>
                <w:szCs w:val="18"/>
              </w:rPr>
            </w:pPr>
          </w:p>
        </w:tc>
        <w:tc>
          <w:tcPr>
            <w:tcW w:w="1377" w:type="dxa"/>
            <w:vMerge w:val="continue"/>
            <w:vAlign w:val="center"/>
          </w:tcPr>
          <w:p w14:paraId="741D7140">
            <w:pPr>
              <w:spacing w:before="156" w:beforeLines="50" w:after="156" w:afterLines="50"/>
              <w:rPr>
                <w:sz w:val="18"/>
                <w:szCs w:val="18"/>
              </w:rPr>
            </w:pPr>
          </w:p>
        </w:tc>
        <w:tc>
          <w:tcPr>
            <w:tcW w:w="2101" w:type="dxa"/>
            <w:vMerge w:val="continue"/>
            <w:vAlign w:val="center"/>
          </w:tcPr>
          <w:p w14:paraId="7774706F">
            <w:pPr>
              <w:spacing w:before="156" w:beforeLines="50" w:after="156" w:afterLines="50"/>
              <w:rPr>
                <w:sz w:val="18"/>
                <w:szCs w:val="18"/>
              </w:rPr>
            </w:pPr>
          </w:p>
        </w:tc>
        <w:tc>
          <w:tcPr>
            <w:tcW w:w="851" w:type="dxa"/>
            <w:vMerge w:val="restart"/>
            <w:vAlign w:val="center"/>
          </w:tcPr>
          <w:p w14:paraId="17068D46">
            <w:pPr>
              <w:spacing w:before="156" w:beforeLines="50" w:after="156" w:afterLines="50"/>
              <w:jc w:val="center"/>
              <w:rPr>
                <w:sz w:val="18"/>
                <w:szCs w:val="18"/>
              </w:rPr>
            </w:pPr>
            <w:r>
              <w:rPr>
                <w:rFonts w:hint="eastAsia"/>
                <w:sz w:val="18"/>
                <w:szCs w:val="18"/>
              </w:rPr>
              <w:t>一般</w:t>
            </w:r>
          </w:p>
        </w:tc>
        <w:tc>
          <w:tcPr>
            <w:tcW w:w="2126" w:type="dxa"/>
            <w:vAlign w:val="center"/>
          </w:tcPr>
          <w:p w14:paraId="7DA46210">
            <w:pPr>
              <w:spacing w:before="156" w:beforeLines="50" w:after="156" w:afterLines="50"/>
              <w:rPr>
                <w:sz w:val="18"/>
                <w:szCs w:val="18"/>
              </w:rPr>
            </w:pPr>
            <w:r>
              <w:rPr>
                <w:rFonts w:hint="eastAsia"/>
                <w:sz w:val="18"/>
                <w:szCs w:val="18"/>
              </w:rPr>
              <w:t>船舶无正当理由进入或者穿越禁航区的。</w:t>
            </w:r>
          </w:p>
        </w:tc>
        <w:tc>
          <w:tcPr>
            <w:tcW w:w="2293" w:type="dxa"/>
            <w:tcBorders>
              <w:right w:val="single" w:color="auto" w:sz="4" w:space="0"/>
            </w:tcBorders>
            <w:vAlign w:val="center"/>
          </w:tcPr>
          <w:p w14:paraId="1988D8C4">
            <w:pPr>
              <w:spacing w:before="156" w:beforeLines="50" w:after="156" w:afterLines="50"/>
              <w:rPr>
                <w:sz w:val="18"/>
                <w:szCs w:val="18"/>
              </w:rPr>
            </w:pPr>
            <w:r>
              <w:rPr>
                <w:rFonts w:hint="eastAsia"/>
                <w:sz w:val="18"/>
                <w:szCs w:val="18"/>
              </w:rPr>
              <w:t>6000元及以上1万元以下</w:t>
            </w:r>
          </w:p>
        </w:tc>
        <w:tc>
          <w:tcPr>
            <w:tcW w:w="2410" w:type="dxa"/>
            <w:tcBorders>
              <w:right w:val="single" w:color="auto" w:sz="4" w:space="0"/>
            </w:tcBorders>
            <w:vAlign w:val="center"/>
          </w:tcPr>
          <w:p w14:paraId="6C555FE0">
            <w:pPr>
              <w:spacing w:before="156" w:beforeLines="50" w:after="156" w:afterLines="50"/>
              <w:rPr>
                <w:sz w:val="18"/>
                <w:szCs w:val="18"/>
              </w:rPr>
            </w:pPr>
            <w:r>
              <w:rPr>
                <w:rFonts w:hint="eastAsia"/>
                <w:sz w:val="18"/>
                <w:szCs w:val="18"/>
              </w:rPr>
              <w:t>6000元及以上1.5万元以下</w:t>
            </w:r>
          </w:p>
        </w:tc>
        <w:tc>
          <w:tcPr>
            <w:tcW w:w="2268" w:type="dxa"/>
            <w:tcBorders>
              <w:right w:val="single" w:color="auto" w:sz="4" w:space="0"/>
            </w:tcBorders>
            <w:vAlign w:val="center"/>
          </w:tcPr>
          <w:p w14:paraId="6840BD2B">
            <w:pPr>
              <w:spacing w:before="156" w:beforeLines="50" w:after="156" w:afterLines="50"/>
              <w:rPr>
                <w:sz w:val="18"/>
                <w:szCs w:val="18"/>
              </w:rPr>
            </w:pPr>
            <w:r>
              <w:rPr>
                <w:rFonts w:hint="eastAsia"/>
                <w:sz w:val="18"/>
                <w:szCs w:val="18"/>
              </w:rPr>
              <w:t>6000元及以上2万元以下</w:t>
            </w:r>
          </w:p>
        </w:tc>
        <w:tc>
          <w:tcPr>
            <w:tcW w:w="1985" w:type="dxa"/>
            <w:tcBorders>
              <w:right w:val="single" w:color="auto" w:sz="4" w:space="0"/>
            </w:tcBorders>
            <w:vAlign w:val="center"/>
          </w:tcPr>
          <w:p w14:paraId="12BACB49">
            <w:pPr>
              <w:spacing w:before="156" w:beforeLines="50" w:after="156" w:afterLines="50"/>
              <w:rPr>
                <w:sz w:val="18"/>
                <w:szCs w:val="18"/>
              </w:rPr>
            </w:pPr>
            <w:r>
              <w:rPr>
                <w:rFonts w:hint="eastAsia"/>
                <w:sz w:val="18"/>
                <w:szCs w:val="18"/>
              </w:rPr>
              <w:t>/</w:t>
            </w:r>
          </w:p>
        </w:tc>
        <w:tc>
          <w:tcPr>
            <w:tcW w:w="2100" w:type="dxa"/>
            <w:vMerge w:val="continue"/>
            <w:tcBorders>
              <w:left w:val="single" w:color="auto" w:sz="4" w:space="0"/>
              <w:right w:val="single" w:color="auto" w:sz="4" w:space="0"/>
            </w:tcBorders>
            <w:vAlign w:val="center"/>
          </w:tcPr>
          <w:p w14:paraId="14363DAE">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14:paraId="7FEACBFD">
            <w:pPr>
              <w:widowControl/>
              <w:spacing w:before="156" w:beforeLines="50" w:after="156" w:afterLines="50"/>
              <w:jc w:val="left"/>
              <w:rPr>
                <w:sz w:val="18"/>
                <w:szCs w:val="18"/>
              </w:rPr>
            </w:pPr>
          </w:p>
        </w:tc>
      </w:tr>
      <w:tr w14:paraId="60C3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690" w:type="dxa"/>
            <w:vMerge w:val="continue"/>
            <w:vAlign w:val="center"/>
          </w:tcPr>
          <w:p w14:paraId="2F8CC8A9">
            <w:pPr>
              <w:spacing w:before="156" w:beforeLines="50" w:after="156" w:afterLines="50"/>
              <w:jc w:val="left"/>
              <w:rPr>
                <w:rFonts w:ascii="宋体"/>
                <w:kern w:val="0"/>
                <w:sz w:val="18"/>
                <w:szCs w:val="18"/>
              </w:rPr>
            </w:pPr>
          </w:p>
        </w:tc>
        <w:tc>
          <w:tcPr>
            <w:tcW w:w="876" w:type="dxa"/>
            <w:vMerge w:val="continue"/>
            <w:vAlign w:val="center"/>
          </w:tcPr>
          <w:p w14:paraId="1323246F">
            <w:pPr>
              <w:spacing w:before="156" w:beforeLines="50" w:after="156" w:afterLines="50"/>
              <w:jc w:val="left"/>
              <w:rPr>
                <w:rFonts w:ascii="宋体"/>
                <w:kern w:val="0"/>
                <w:sz w:val="18"/>
                <w:szCs w:val="18"/>
              </w:rPr>
            </w:pPr>
          </w:p>
        </w:tc>
        <w:tc>
          <w:tcPr>
            <w:tcW w:w="1377" w:type="dxa"/>
            <w:vMerge w:val="continue"/>
            <w:vAlign w:val="center"/>
          </w:tcPr>
          <w:p w14:paraId="0A683A3E">
            <w:pPr>
              <w:spacing w:before="156" w:beforeLines="50" w:after="156" w:afterLines="50"/>
              <w:rPr>
                <w:sz w:val="18"/>
                <w:szCs w:val="18"/>
              </w:rPr>
            </w:pPr>
          </w:p>
        </w:tc>
        <w:tc>
          <w:tcPr>
            <w:tcW w:w="2101" w:type="dxa"/>
            <w:vMerge w:val="continue"/>
            <w:vAlign w:val="center"/>
          </w:tcPr>
          <w:p w14:paraId="1666D1BD">
            <w:pPr>
              <w:spacing w:before="156" w:beforeLines="50" w:after="156" w:afterLines="50"/>
              <w:rPr>
                <w:sz w:val="18"/>
                <w:szCs w:val="18"/>
              </w:rPr>
            </w:pPr>
          </w:p>
        </w:tc>
        <w:tc>
          <w:tcPr>
            <w:tcW w:w="851" w:type="dxa"/>
            <w:vMerge w:val="continue"/>
            <w:tcBorders>
              <w:bottom w:val="single" w:color="auto" w:sz="4" w:space="0"/>
            </w:tcBorders>
            <w:vAlign w:val="center"/>
          </w:tcPr>
          <w:p w14:paraId="0A36F9E2">
            <w:pPr>
              <w:spacing w:before="156" w:beforeLines="50" w:after="156" w:afterLines="50"/>
              <w:jc w:val="center"/>
              <w:rPr>
                <w:sz w:val="18"/>
                <w:szCs w:val="18"/>
              </w:rPr>
            </w:pPr>
          </w:p>
        </w:tc>
        <w:tc>
          <w:tcPr>
            <w:tcW w:w="2126" w:type="dxa"/>
            <w:tcBorders>
              <w:top w:val="single" w:color="auto" w:sz="4" w:space="0"/>
              <w:bottom w:val="single" w:color="auto" w:sz="4" w:space="0"/>
            </w:tcBorders>
            <w:vAlign w:val="center"/>
          </w:tcPr>
          <w:p w14:paraId="06E15C1B">
            <w:pPr>
              <w:spacing w:before="156" w:beforeLines="50" w:after="156" w:afterLines="50"/>
              <w:rPr>
                <w:sz w:val="18"/>
                <w:szCs w:val="18"/>
              </w:rPr>
            </w:pPr>
            <w:r>
              <w:rPr>
                <w:rFonts w:hint="eastAsia"/>
                <w:sz w:val="18"/>
                <w:szCs w:val="18"/>
              </w:rPr>
              <w:t>船舶无正当理由进入或者穿越禁航区，导致发生一般以下水上交通事故的。</w:t>
            </w:r>
          </w:p>
        </w:tc>
        <w:tc>
          <w:tcPr>
            <w:tcW w:w="2293" w:type="dxa"/>
            <w:tcBorders>
              <w:bottom w:val="single" w:color="auto" w:sz="4" w:space="0"/>
              <w:right w:val="single" w:color="auto" w:sz="4" w:space="0"/>
            </w:tcBorders>
            <w:vAlign w:val="center"/>
          </w:tcPr>
          <w:p w14:paraId="04330975">
            <w:pPr>
              <w:spacing w:before="156" w:beforeLines="50" w:after="156" w:afterLines="50"/>
              <w:rPr>
                <w:sz w:val="18"/>
                <w:szCs w:val="18"/>
              </w:rPr>
            </w:pPr>
            <w:r>
              <w:rPr>
                <w:rFonts w:hint="eastAsia"/>
                <w:sz w:val="18"/>
                <w:szCs w:val="18"/>
              </w:rPr>
              <w:t>1万元及以上1.5万元以下</w:t>
            </w:r>
          </w:p>
        </w:tc>
        <w:tc>
          <w:tcPr>
            <w:tcW w:w="2410" w:type="dxa"/>
            <w:tcBorders>
              <w:bottom w:val="single" w:color="auto" w:sz="4" w:space="0"/>
              <w:right w:val="single" w:color="auto" w:sz="4" w:space="0"/>
            </w:tcBorders>
            <w:vAlign w:val="center"/>
          </w:tcPr>
          <w:p w14:paraId="0335E3EC">
            <w:pPr>
              <w:spacing w:before="156" w:beforeLines="50" w:after="156" w:afterLines="50"/>
              <w:rPr>
                <w:sz w:val="18"/>
                <w:szCs w:val="18"/>
              </w:rPr>
            </w:pPr>
            <w:r>
              <w:rPr>
                <w:rFonts w:hint="eastAsia"/>
                <w:sz w:val="18"/>
                <w:szCs w:val="18"/>
              </w:rPr>
              <w:t>1.5万元及以上2万元以下</w:t>
            </w:r>
          </w:p>
        </w:tc>
        <w:tc>
          <w:tcPr>
            <w:tcW w:w="2268" w:type="dxa"/>
            <w:tcBorders>
              <w:bottom w:val="single" w:color="auto" w:sz="4" w:space="0"/>
              <w:right w:val="single" w:color="auto" w:sz="4" w:space="0"/>
            </w:tcBorders>
            <w:vAlign w:val="center"/>
          </w:tcPr>
          <w:p w14:paraId="1AEAAB39">
            <w:pPr>
              <w:spacing w:before="156" w:beforeLines="50" w:after="156" w:afterLines="50"/>
              <w:rPr>
                <w:sz w:val="18"/>
                <w:szCs w:val="18"/>
              </w:rPr>
            </w:pPr>
            <w:r>
              <w:rPr>
                <w:rFonts w:hint="eastAsia"/>
                <w:sz w:val="18"/>
                <w:szCs w:val="18"/>
              </w:rPr>
              <w:t>2万元及以上3万元以下</w:t>
            </w:r>
          </w:p>
        </w:tc>
        <w:tc>
          <w:tcPr>
            <w:tcW w:w="1985" w:type="dxa"/>
            <w:tcBorders>
              <w:right w:val="single" w:color="auto" w:sz="4" w:space="0"/>
            </w:tcBorders>
            <w:vAlign w:val="center"/>
          </w:tcPr>
          <w:p w14:paraId="42E6D797">
            <w:pPr>
              <w:spacing w:before="156" w:beforeLines="50" w:after="156" w:afterLines="50"/>
              <w:rPr>
                <w:sz w:val="18"/>
                <w:szCs w:val="18"/>
              </w:rPr>
            </w:pPr>
            <w:r>
              <w:rPr>
                <w:rFonts w:hint="eastAsia"/>
                <w:sz w:val="18"/>
                <w:szCs w:val="18"/>
              </w:rPr>
              <w:t>/</w:t>
            </w:r>
          </w:p>
        </w:tc>
        <w:tc>
          <w:tcPr>
            <w:tcW w:w="2100" w:type="dxa"/>
            <w:vMerge w:val="continue"/>
            <w:tcBorders>
              <w:left w:val="single" w:color="auto" w:sz="4" w:space="0"/>
              <w:right w:val="single" w:color="auto" w:sz="4" w:space="0"/>
            </w:tcBorders>
            <w:vAlign w:val="center"/>
          </w:tcPr>
          <w:p w14:paraId="6DBB3B71">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14:paraId="056D0F74">
            <w:pPr>
              <w:widowControl/>
              <w:spacing w:before="156" w:beforeLines="50" w:after="156" w:afterLines="50"/>
              <w:jc w:val="left"/>
              <w:rPr>
                <w:sz w:val="18"/>
                <w:szCs w:val="18"/>
              </w:rPr>
            </w:pPr>
          </w:p>
        </w:tc>
      </w:tr>
      <w:tr w14:paraId="33211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690" w:type="dxa"/>
            <w:vMerge w:val="continue"/>
            <w:vAlign w:val="center"/>
          </w:tcPr>
          <w:p w14:paraId="0FD459A7">
            <w:pPr>
              <w:spacing w:before="156" w:beforeLines="50" w:after="156" w:afterLines="50"/>
              <w:jc w:val="left"/>
              <w:rPr>
                <w:rFonts w:ascii="宋体"/>
                <w:kern w:val="0"/>
                <w:sz w:val="18"/>
                <w:szCs w:val="18"/>
              </w:rPr>
            </w:pPr>
          </w:p>
        </w:tc>
        <w:tc>
          <w:tcPr>
            <w:tcW w:w="876" w:type="dxa"/>
            <w:vMerge w:val="continue"/>
            <w:vAlign w:val="center"/>
          </w:tcPr>
          <w:p w14:paraId="31A9182D">
            <w:pPr>
              <w:spacing w:before="156" w:beforeLines="50" w:after="156" w:afterLines="50"/>
              <w:jc w:val="left"/>
              <w:rPr>
                <w:rFonts w:ascii="宋体"/>
                <w:kern w:val="0"/>
                <w:sz w:val="18"/>
                <w:szCs w:val="18"/>
              </w:rPr>
            </w:pPr>
          </w:p>
        </w:tc>
        <w:tc>
          <w:tcPr>
            <w:tcW w:w="1377" w:type="dxa"/>
            <w:vMerge w:val="continue"/>
            <w:vAlign w:val="center"/>
          </w:tcPr>
          <w:p w14:paraId="18F28C1C">
            <w:pPr>
              <w:spacing w:before="156" w:beforeLines="50" w:after="156" w:afterLines="50"/>
              <w:rPr>
                <w:sz w:val="18"/>
                <w:szCs w:val="18"/>
              </w:rPr>
            </w:pPr>
          </w:p>
        </w:tc>
        <w:tc>
          <w:tcPr>
            <w:tcW w:w="2101" w:type="dxa"/>
            <w:vMerge w:val="continue"/>
            <w:vAlign w:val="center"/>
          </w:tcPr>
          <w:p w14:paraId="4BAF165F">
            <w:pPr>
              <w:spacing w:before="156" w:beforeLines="50" w:after="156" w:afterLines="50"/>
              <w:rPr>
                <w:sz w:val="18"/>
                <w:szCs w:val="18"/>
              </w:rPr>
            </w:pPr>
          </w:p>
        </w:tc>
        <w:tc>
          <w:tcPr>
            <w:tcW w:w="851" w:type="dxa"/>
            <w:vMerge w:val="restart"/>
            <w:tcBorders>
              <w:top w:val="single" w:color="auto" w:sz="4" w:space="0"/>
              <w:right w:val="single" w:color="auto" w:sz="4" w:space="0"/>
            </w:tcBorders>
            <w:vAlign w:val="center"/>
          </w:tcPr>
          <w:p w14:paraId="5F164DCC">
            <w:pPr>
              <w:spacing w:before="156" w:beforeLines="50" w:after="156" w:afterLines="50"/>
              <w:jc w:val="center"/>
              <w:rPr>
                <w:sz w:val="18"/>
                <w:szCs w:val="18"/>
              </w:rPr>
            </w:pPr>
            <w:r>
              <w:rPr>
                <w:rFonts w:hint="eastAsia"/>
                <w:sz w:val="18"/>
                <w:szCs w:val="18"/>
              </w:rPr>
              <w:t>情节</w:t>
            </w:r>
          </w:p>
          <w:p w14:paraId="5D0A2D39">
            <w:pPr>
              <w:spacing w:before="156" w:beforeLines="50" w:after="156" w:afterLines="50"/>
              <w:jc w:val="center"/>
              <w:rPr>
                <w:sz w:val="18"/>
                <w:szCs w:val="18"/>
              </w:rPr>
            </w:pPr>
            <w:r>
              <w:rPr>
                <w:rFonts w:hint="eastAsia"/>
                <w:sz w:val="18"/>
                <w:szCs w:val="18"/>
              </w:rPr>
              <w:t>严重</w:t>
            </w:r>
          </w:p>
        </w:tc>
        <w:tc>
          <w:tcPr>
            <w:tcW w:w="2126" w:type="dxa"/>
            <w:tcBorders>
              <w:top w:val="single" w:color="auto" w:sz="4" w:space="0"/>
              <w:left w:val="single" w:color="auto" w:sz="4" w:space="0"/>
              <w:bottom w:val="single" w:color="auto" w:sz="4" w:space="0"/>
            </w:tcBorders>
            <w:vAlign w:val="center"/>
          </w:tcPr>
          <w:p w14:paraId="657CBECE">
            <w:pPr>
              <w:spacing w:before="156" w:beforeLines="50" w:after="156" w:afterLines="50"/>
              <w:rPr>
                <w:sz w:val="18"/>
                <w:szCs w:val="18"/>
              </w:rPr>
            </w:pPr>
            <w:r>
              <w:rPr>
                <w:rFonts w:hint="eastAsia"/>
                <w:sz w:val="18"/>
                <w:szCs w:val="18"/>
              </w:rPr>
              <w:t>船舶无正当理由进入或者穿越禁航区，导致发生一般及以上水上交通事故的。</w:t>
            </w:r>
          </w:p>
        </w:tc>
        <w:tc>
          <w:tcPr>
            <w:tcW w:w="2293" w:type="dxa"/>
            <w:vMerge w:val="restart"/>
            <w:tcBorders>
              <w:top w:val="single" w:color="auto" w:sz="4" w:space="0"/>
              <w:right w:val="single" w:color="auto" w:sz="4" w:space="0"/>
            </w:tcBorders>
            <w:vAlign w:val="center"/>
          </w:tcPr>
          <w:p w14:paraId="33271B11">
            <w:pPr>
              <w:spacing w:before="156" w:beforeLines="50" w:after="156" w:afterLines="50"/>
              <w:rPr>
                <w:sz w:val="18"/>
                <w:szCs w:val="18"/>
              </w:rPr>
            </w:pPr>
            <w:r>
              <w:rPr>
                <w:rFonts w:hint="eastAsia"/>
                <w:sz w:val="18"/>
                <w:szCs w:val="18"/>
              </w:rPr>
              <w:t>1.5万元及以上5万元及以下</w:t>
            </w:r>
          </w:p>
        </w:tc>
        <w:tc>
          <w:tcPr>
            <w:tcW w:w="2410" w:type="dxa"/>
            <w:vMerge w:val="restart"/>
            <w:tcBorders>
              <w:top w:val="single" w:color="auto" w:sz="4" w:space="0"/>
              <w:right w:val="single" w:color="auto" w:sz="4" w:space="0"/>
            </w:tcBorders>
            <w:vAlign w:val="center"/>
          </w:tcPr>
          <w:p w14:paraId="0000D9C2">
            <w:pPr>
              <w:spacing w:before="156" w:beforeLines="50" w:after="156" w:afterLines="50"/>
              <w:rPr>
                <w:sz w:val="18"/>
                <w:szCs w:val="18"/>
              </w:rPr>
            </w:pPr>
            <w:r>
              <w:rPr>
                <w:rFonts w:hint="eastAsia"/>
                <w:sz w:val="18"/>
                <w:szCs w:val="18"/>
              </w:rPr>
              <w:t>2万元及以上5万元及以下</w:t>
            </w:r>
          </w:p>
        </w:tc>
        <w:tc>
          <w:tcPr>
            <w:tcW w:w="2268" w:type="dxa"/>
            <w:vMerge w:val="restart"/>
            <w:tcBorders>
              <w:top w:val="single" w:color="auto" w:sz="4" w:space="0"/>
              <w:right w:val="single" w:color="auto" w:sz="4" w:space="0"/>
            </w:tcBorders>
            <w:vAlign w:val="center"/>
          </w:tcPr>
          <w:p w14:paraId="60CF6FB2">
            <w:pPr>
              <w:spacing w:before="156" w:beforeLines="50" w:after="156" w:afterLines="50"/>
              <w:rPr>
                <w:sz w:val="18"/>
                <w:szCs w:val="18"/>
              </w:rPr>
            </w:pPr>
            <w:r>
              <w:rPr>
                <w:rFonts w:hint="eastAsia"/>
                <w:sz w:val="18"/>
                <w:szCs w:val="18"/>
              </w:rPr>
              <w:t>3万元及以上5万元及以下</w:t>
            </w:r>
          </w:p>
        </w:tc>
        <w:tc>
          <w:tcPr>
            <w:tcW w:w="1985" w:type="dxa"/>
            <w:tcBorders>
              <w:bottom w:val="single" w:color="auto" w:sz="4" w:space="0"/>
              <w:right w:val="single" w:color="auto" w:sz="4" w:space="0"/>
            </w:tcBorders>
            <w:vAlign w:val="center"/>
          </w:tcPr>
          <w:p w14:paraId="2583D057">
            <w:pPr>
              <w:rPr>
                <w:sz w:val="18"/>
                <w:szCs w:val="18"/>
              </w:rPr>
            </w:pPr>
            <w:r>
              <w:rPr>
                <w:rFonts w:hint="eastAsia"/>
                <w:sz w:val="18"/>
                <w:szCs w:val="18"/>
              </w:rPr>
              <w:t>造成一般及以上等级水上交通事故的，暂扣直至吊销证书处罚的裁量按照 《中华人民共和国内河海事行政处罚规定》第三十二条实施。</w:t>
            </w:r>
          </w:p>
        </w:tc>
        <w:tc>
          <w:tcPr>
            <w:tcW w:w="2100" w:type="dxa"/>
            <w:vMerge w:val="continue"/>
            <w:tcBorders>
              <w:left w:val="single" w:color="auto" w:sz="4" w:space="0"/>
              <w:right w:val="single" w:color="auto" w:sz="4" w:space="0"/>
            </w:tcBorders>
            <w:vAlign w:val="center"/>
          </w:tcPr>
          <w:p w14:paraId="74FE84C8">
            <w:pPr>
              <w:widowControl/>
              <w:spacing w:before="156" w:beforeLines="50" w:after="156" w:afterLines="50"/>
              <w:jc w:val="left"/>
              <w:rPr>
                <w:sz w:val="18"/>
                <w:szCs w:val="18"/>
              </w:rPr>
            </w:pPr>
          </w:p>
        </w:tc>
        <w:tc>
          <w:tcPr>
            <w:tcW w:w="2115" w:type="dxa"/>
            <w:vMerge w:val="continue"/>
            <w:tcBorders>
              <w:left w:val="single" w:color="auto" w:sz="4" w:space="0"/>
              <w:right w:val="single" w:color="auto" w:sz="4" w:space="0"/>
            </w:tcBorders>
            <w:vAlign w:val="center"/>
          </w:tcPr>
          <w:p w14:paraId="2E57401E">
            <w:pPr>
              <w:widowControl/>
              <w:spacing w:before="156" w:beforeLines="50" w:after="156" w:afterLines="50"/>
              <w:jc w:val="left"/>
              <w:rPr>
                <w:sz w:val="18"/>
                <w:szCs w:val="18"/>
              </w:rPr>
            </w:pPr>
          </w:p>
        </w:tc>
      </w:tr>
      <w:tr w14:paraId="73D38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90" w:type="dxa"/>
            <w:vMerge w:val="continue"/>
            <w:tcBorders>
              <w:bottom w:val="single" w:color="000000" w:sz="4" w:space="0"/>
            </w:tcBorders>
            <w:vAlign w:val="center"/>
          </w:tcPr>
          <w:p w14:paraId="16B63B57">
            <w:pPr>
              <w:spacing w:before="156" w:beforeLines="50" w:after="156" w:afterLines="50"/>
              <w:jc w:val="left"/>
              <w:rPr>
                <w:rFonts w:ascii="宋体"/>
                <w:kern w:val="0"/>
                <w:sz w:val="18"/>
                <w:szCs w:val="18"/>
              </w:rPr>
            </w:pPr>
          </w:p>
        </w:tc>
        <w:tc>
          <w:tcPr>
            <w:tcW w:w="876" w:type="dxa"/>
            <w:vMerge w:val="continue"/>
            <w:tcBorders>
              <w:bottom w:val="single" w:color="000000" w:sz="4" w:space="0"/>
            </w:tcBorders>
            <w:vAlign w:val="center"/>
          </w:tcPr>
          <w:p w14:paraId="69F8A433">
            <w:pPr>
              <w:spacing w:before="156" w:beforeLines="50" w:after="156" w:afterLines="50"/>
              <w:jc w:val="left"/>
              <w:rPr>
                <w:rFonts w:ascii="宋体"/>
                <w:kern w:val="0"/>
                <w:sz w:val="18"/>
                <w:szCs w:val="18"/>
              </w:rPr>
            </w:pPr>
          </w:p>
        </w:tc>
        <w:tc>
          <w:tcPr>
            <w:tcW w:w="1377" w:type="dxa"/>
            <w:vMerge w:val="continue"/>
            <w:tcBorders>
              <w:bottom w:val="single" w:color="000000" w:sz="4" w:space="0"/>
            </w:tcBorders>
            <w:vAlign w:val="center"/>
          </w:tcPr>
          <w:p w14:paraId="0C285B06">
            <w:pPr>
              <w:spacing w:before="156" w:beforeLines="50" w:after="156" w:afterLines="50"/>
              <w:rPr>
                <w:sz w:val="18"/>
                <w:szCs w:val="18"/>
              </w:rPr>
            </w:pPr>
          </w:p>
        </w:tc>
        <w:tc>
          <w:tcPr>
            <w:tcW w:w="2101" w:type="dxa"/>
            <w:vMerge w:val="continue"/>
            <w:tcBorders>
              <w:bottom w:val="single" w:color="000000" w:sz="4" w:space="0"/>
            </w:tcBorders>
            <w:vAlign w:val="center"/>
          </w:tcPr>
          <w:p w14:paraId="04BFF42D">
            <w:pPr>
              <w:spacing w:before="156" w:beforeLines="50" w:after="156" w:afterLines="50"/>
              <w:rPr>
                <w:sz w:val="18"/>
                <w:szCs w:val="18"/>
              </w:rPr>
            </w:pPr>
          </w:p>
        </w:tc>
        <w:tc>
          <w:tcPr>
            <w:tcW w:w="851" w:type="dxa"/>
            <w:vMerge w:val="continue"/>
            <w:tcBorders>
              <w:bottom w:val="single" w:color="000000" w:sz="4" w:space="0"/>
              <w:right w:val="single" w:color="auto" w:sz="4" w:space="0"/>
            </w:tcBorders>
            <w:vAlign w:val="center"/>
          </w:tcPr>
          <w:p w14:paraId="6FB84DF7">
            <w:pPr>
              <w:spacing w:before="156" w:beforeLines="50" w:after="156" w:afterLines="50"/>
              <w:rPr>
                <w:sz w:val="18"/>
                <w:szCs w:val="18"/>
              </w:rPr>
            </w:pPr>
          </w:p>
        </w:tc>
        <w:tc>
          <w:tcPr>
            <w:tcW w:w="2126" w:type="dxa"/>
            <w:tcBorders>
              <w:top w:val="single" w:color="auto" w:sz="4" w:space="0"/>
              <w:left w:val="single" w:color="auto" w:sz="4" w:space="0"/>
              <w:bottom w:val="single" w:color="000000" w:sz="4" w:space="0"/>
            </w:tcBorders>
            <w:vAlign w:val="center"/>
          </w:tcPr>
          <w:p w14:paraId="55468C0B">
            <w:pPr>
              <w:spacing w:before="156" w:beforeLines="50" w:after="156" w:afterLines="50"/>
              <w:rPr>
                <w:sz w:val="18"/>
                <w:szCs w:val="18"/>
              </w:rPr>
            </w:pPr>
            <w:r>
              <w:rPr>
                <w:rFonts w:hint="eastAsia"/>
                <w:sz w:val="18"/>
                <w:szCs w:val="18"/>
              </w:rPr>
              <w:t>具有其他严重情节的。</w:t>
            </w:r>
          </w:p>
        </w:tc>
        <w:tc>
          <w:tcPr>
            <w:tcW w:w="2293" w:type="dxa"/>
            <w:vMerge w:val="continue"/>
            <w:tcBorders>
              <w:bottom w:val="single" w:color="000000" w:sz="4" w:space="0"/>
              <w:right w:val="single" w:color="auto" w:sz="4" w:space="0"/>
            </w:tcBorders>
            <w:vAlign w:val="center"/>
          </w:tcPr>
          <w:p w14:paraId="0DA3C54E">
            <w:pPr>
              <w:spacing w:before="156" w:beforeLines="50" w:after="156" w:afterLines="50"/>
              <w:rPr>
                <w:sz w:val="18"/>
                <w:szCs w:val="18"/>
              </w:rPr>
            </w:pPr>
          </w:p>
        </w:tc>
        <w:tc>
          <w:tcPr>
            <w:tcW w:w="2410" w:type="dxa"/>
            <w:vMerge w:val="continue"/>
            <w:tcBorders>
              <w:bottom w:val="single" w:color="000000" w:sz="4" w:space="0"/>
              <w:right w:val="single" w:color="auto" w:sz="4" w:space="0"/>
            </w:tcBorders>
            <w:vAlign w:val="center"/>
          </w:tcPr>
          <w:p w14:paraId="081D07A1">
            <w:pPr>
              <w:spacing w:before="156" w:beforeLines="50" w:after="156" w:afterLines="50"/>
              <w:rPr>
                <w:sz w:val="18"/>
                <w:szCs w:val="18"/>
              </w:rPr>
            </w:pPr>
          </w:p>
        </w:tc>
        <w:tc>
          <w:tcPr>
            <w:tcW w:w="2268" w:type="dxa"/>
            <w:vMerge w:val="continue"/>
            <w:tcBorders>
              <w:bottom w:val="single" w:color="000000" w:sz="4" w:space="0"/>
              <w:right w:val="single" w:color="auto" w:sz="4" w:space="0"/>
            </w:tcBorders>
            <w:vAlign w:val="center"/>
          </w:tcPr>
          <w:p w14:paraId="50E7DF3E">
            <w:pPr>
              <w:spacing w:before="156" w:beforeLines="50" w:after="156" w:afterLines="50"/>
              <w:rPr>
                <w:sz w:val="18"/>
                <w:szCs w:val="18"/>
              </w:rPr>
            </w:pPr>
          </w:p>
        </w:tc>
        <w:tc>
          <w:tcPr>
            <w:tcW w:w="1985" w:type="dxa"/>
            <w:tcBorders>
              <w:top w:val="single" w:color="auto" w:sz="4" w:space="0"/>
              <w:bottom w:val="single" w:color="000000" w:sz="4" w:space="0"/>
              <w:right w:val="single" w:color="auto" w:sz="4" w:space="0"/>
            </w:tcBorders>
            <w:vAlign w:val="center"/>
          </w:tcPr>
          <w:p w14:paraId="5760699B">
            <w:pPr>
              <w:rPr>
                <w:sz w:val="18"/>
                <w:szCs w:val="18"/>
              </w:rPr>
            </w:pPr>
            <w:r>
              <w:rPr>
                <w:rFonts w:hint="eastAsia"/>
                <w:sz w:val="18"/>
                <w:szCs w:val="18"/>
              </w:rPr>
              <w:t>情节严重的，并可以对责任船员给予暂扣适任证书或者其他适任证件3个月至6个月的处罚。</w:t>
            </w:r>
          </w:p>
        </w:tc>
        <w:tc>
          <w:tcPr>
            <w:tcW w:w="2100" w:type="dxa"/>
            <w:vMerge w:val="continue"/>
            <w:tcBorders>
              <w:left w:val="single" w:color="auto" w:sz="4" w:space="0"/>
              <w:bottom w:val="single" w:color="000000" w:sz="4" w:space="0"/>
              <w:right w:val="single" w:color="auto" w:sz="4" w:space="0"/>
            </w:tcBorders>
            <w:vAlign w:val="center"/>
          </w:tcPr>
          <w:p w14:paraId="1F0921A3">
            <w:pPr>
              <w:widowControl/>
              <w:spacing w:before="156" w:beforeLines="50" w:after="156" w:afterLines="50"/>
              <w:jc w:val="left"/>
              <w:rPr>
                <w:sz w:val="18"/>
                <w:szCs w:val="18"/>
              </w:rPr>
            </w:pPr>
          </w:p>
        </w:tc>
        <w:tc>
          <w:tcPr>
            <w:tcW w:w="2115" w:type="dxa"/>
            <w:vMerge w:val="continue"/>
            <w:tcBorders>
              <w:left w:val="single" w:color="auto" w:sz="4" w:space="0"/>
              <w:bottom w:val="single" w:color="000000" w:sz="4" w:space="0"/>
              <w:right w:val="single" w:color="auto" w:sz="4" w:space="0"/>
            </w:tcBorders>
            <w:vAlign w:val="center"/>
          </w:tcPr>
          <w:p w14:paraId="6A6BD759">
            <w:pPr>
              <w:widowControl/>
              <w:spacing w:before="156" w:beforeLines="50" w:after="156" w:afterLines="50"/>
              <w:jc w:val="left"/>
              <w:rPr>
                <w:sz w:val="18"/>
                <w:szCs w:val="18"/>
              </w:rPr>
            </w:pPr>
          </w:p>
        </w:tc>
      </w:tr>
    </w:tbl>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394"/>
        <w:gridCol w:w="880"/>
        <w:gridCol w:w="2279"/>
        <w:gridCol w:w="2268"/>
        <w:gridCol w:w="2330"/>
        <w:gridCol w:w="2348"/>
        <w:gridCol w:w="1842"/>
        <w:gridCol w:w="2127"/>
        <w:gridCol w:w="2023"/>
      </w:tblGrid>
      <w:tr w14:paraId="610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3C53C2AF">
            <w:pPr>
              <w:spacing w:before="156" w:beforeLines="50" w:after="156" w:afterLines="50"/>
              <w:jc w:val="center"/>
              <w:rPr>
                <w:b/>
                <w:sz w:val="18"/>
                <w:szCs w:val="18"/>
              </w:rPr>
            </w:pPr>
            <w:r>
              <w:rPr>
                <w:rFonts w:hint="eastAsia"/>
                <w:b/>
                <w:sz w:val="18"/>
                <w:szCs w:val="18"/>
              </w:rPr>
              <w:t>序号</w:t>
            </w:r>
          </w:p>
        </w:tc>
        <w:tc>
          <w:tcPr>
            <w:tcW w:w="871" w:type="dxa"/>
            <w:vMerge w:val="restart"/>
            <w:vAlign w:val="center"/>
          </w:tcPr>
          <w:p w14:paraId="389225D3">
            <w:pPr>
              <w:spacing w:before="156" w:beforeLines="50" w:after="156" w:afterLines="50"/>
              <w:jc w:val="center"/>
              <w:rPr>
                <w:b/>
                <w:sz w:val="18"/>
                <w:szCs w:val="18"/>
              </w:rPr>
            </w:pPr>
            <w:r>
              <w:rPr>
                <w:rFonts w:hint="eastAsia"/>
                <w:b/>
                <w:sz w:val="18"/>
                <w:szCs w:val="18"/>
              </w:rPr>
              <w:t>案由</w:t>
            </w:r>
          </w:p>
        </w:tc>
        <w:tc>
          <w:tcPr>
            <w:tcW w:w="2511" w:type="dxa"/>
            <w:gridSpan w:val="2"/>
            <w:vMerge w:val="restart"/>
            <w:vAlign w:val="center"/>
          </w:tcPr>
          <w:p w14:paraId="70A4911F">
            <w:pPr>
              <w:spacing w:before="156" w:beforeLines="50" w:after="156" w:afterLines="50"/>
              <w:jc w:val="center"/>
              <w:rPr>
                <w:b/>
                <w:sz w:val="18"/>
                <w:szCs w:val="18"/>
              </w:rPr>
            </w:pPr>
            <w:r>
              <w:rPr>
                <w:rFonts w:hint="eastAsia"/>
                <w:b/>
                <w:sz w:val="18"/>
                <w:szCs w:val="18"/>
              </w:rPr>
              <w:t>法律依据</w:t>
            </w:r>
          </w:p>
        </w:tc>
        <w:tc>
          <w:tcPr>
            <w:tcW w:w="880" w:type="dxa"/>
            <w:vMerge w:val="restart"/>
            <w:vAlign w:val="center"/>
          </w:tcPr>
          <w:p w14:paraId="3DDCCD4E">
            <w:pPr>
              <w:spacing w:before="156" w:beforeLines="50" w:after="156" w:afterLines="50"/>
              <w:jc w:val="center"/>
              <w:rPr>
                <w:b/>
                <w:sz w:val="18"/>
                <w:szCs w:val="18"/>
              </w:rPr>
            </w:pPr>
            <w:r>
              <w:rPr>
                <w:rFonts w:hint="eastAsia"/>
                <w:b/>
                <w:sz w:val="18"/>
                <w:szCs w:val="18"/>
              </w:rPr>
              <w:t>违法行为情节</w:t>
            </w:r>
          </w:p>
        </w:tc>
        <w:tc>
          <w:tcPr>
            <w:tcW w:w="2279" w:type="dxa"/>
            <w:vMerge w:val="restart"/>
            <w:vAlign w:val="center"/>
          </w:tcPr>
          <w:p w14:paraId="200E32D7">
            <w:pPr>
              <w:spacing w:before="156" w:beforeLines="50" w:after="156" w:afterLines="50"/>
              <w:jc w:val="center"/>
              <w:rPr>
                <w:b/>
                <w:sz w:val="18"/>
                <w:szCs w:val="18"/>
              </w:rPr>
            </w:pPr>
            <w:r>
              <w:rPr>
                <w:rFonts w:hint="eastAsia" w:ascii="宋体"/>
                <w:b/>
                <w:sz w:val="18"/>
                <w:szCs w:val="18"/>
              </w:rPr>
              <w:t>主要考虑因素（事实、性质、情节、危害程度和实际后果等）</w:t>
            </w:r>
          </w:p>
        </w:tc>
        <w:tc>
          <w:tcPr>
            <w:tcW w:w="12938" w:type="dxa"/>
            <w:gridSpan w:val="6"/>
            <w:vAlign w:val="center"/>
          </w:tcPr>
          <w:p w14:paraId="498F4921">
            <w:pPr>
              <w:spacing w:before="156" w:beforeLines="50" w:after="156" w:afterLines="50"/>
              <w:jc w:val="left"/>
              <w:rPr>
                <w:b/>
                <w:sz w:val="18"/>
                <w:szCs w:val="18"/>
              </w:rPr>
            </w:pPr>
            <w:r>
              <w:rPr>
                <w:rFonts w:hint="eastAsia" w:ascii="宋体"/>
                <w:b/>
                <w:kern w:val="0"/>
                <w:sz w:val="18"/>
                <w:szCs w:val="18"/>
              </w:rPr>
              <w:t>【法定幅度和种类】责令改正，处</w:t>
            </w:r>
            <w:r>
              <w:rPr>
                <w:rFonts w:ascii="宋体"/>
                <w:b/>
                <w:kern w:val="0"/>
                <w:sz w:val="18"/>
                <w:szCs w:val="18"/>
              </w:rPr>
              <w:t>2</w:t>
            </w:r>
            <w:r>
              <w:rPr>
                <w:rFonts w:hint="eastAsia" w:ascii="宋体"/>
                <w:b/>
                <w:kern w:val="0"/>
                <w:sz w:val="18"/>
                <w:szCs w:val="18"/>
              </w:rPr>
              <w:t>万元以上</w:t>
            </w:r>
            <w:r>
              <w:rPr>
                <w:rFonts w:ascii="宋体"/>
                <w:b/>
                <w:kern w:val="0"/>
                <w:sz w:val="18"/>
                <w:szCs w:val="18"/>
              </w:rPr>
              <w:t>10</w:t>
            </w:r>
            <w:r>
              <w:rPr>
                <w:rFonts w:hint="eastAsia" w:ascii="宋体"/>
                <w:b/>
                <w:kern w:val="0"/>
                <w:sz w:val="18"/>
                <w:szCs w:val="18"/>
              </w:rPr>
              <w:t>万元以下罚款，并可以对责任船员给予暂扣适任证书或者其他适任证件</w:t>
            </w:r>
            <w:r>
              <w:rPr>
                <w:rFonts w:ascii="宋体"/>
                <w:b/>
                <w:kern w:val="0"/>
                <w:sz w:val="18"/>
                <w:szCs w:val="18"/>
              </w:rPr>
              <w:t>6</w:t>
            </w:r>
            <w:r>
              <w:rPr>
                <w:rFonts w:hint="eastAsia" w:ascii="宋体"/>
                <w:b/>
                <w:kern w:val="0"/>
                <w:sz w:val="18"/>
                <w:szCs w:val="18"/>
              </w:rPr>
              <w:t>个月以上直至吊销适任证书或者其他适任证件的处罚。</w:t>
            </w:r>
          </w:p>
        </w:tc>
      </w:tr>
      <w:tr w14:paraId="59A6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14:paraId="6148B9CF">
            <w:pPr>
              <w:spacing w:before="156" w:beforeLines="50" w:after="156" w:afterLines="50"/>
              <w:jc w:val="left"/>
              <w:rPr>
                <w:b/>
                <w:sz w:val="18"/>
                <w:szCs w:val="18"/>
              </w:rPr>
            </w:pPr>
          </w:p>
        </w:tc>
        <w:tc>
          <w:tcPr>
            <w:tcW w:w="871" w:type="dxa"/>
            <w:vMerge w:val="continue"/>
            <w:vAlign w:val="center"/>
          </w:tcPr>
          <w:p w14:paraId="54DA2345">
            <w:pPr>
              <w:spacing w:before="156" w:beforeLines="50" w:after="156" w:afterLines="50"/>
              <w:jc w:val="left"/>
              <w:rPr>
                <w:b/>
                <w:sz w:val="18"/>
                <w:szCs w:val="18"/>
              </w:rPr>
            </w:pPr>
          </w:p>
        </w:tc>
        <w:tc>
          <w:tcPr>
            <w:tcW w:w="2511" w:type="dxa"/>
            <w:gridSpan w:val="2"/>
            <w:vMerge w:val="continue"/>
            <w:vAlign w:val="center"/>
          </w:tcPr>
          <w:p w14:paraId="39B1EAB5">
            <w:pPr>
              <w:spacing w:before="156" w:beforeLines="50" w:after="156" w:afterLines="50"/>
              <w:jc w:val="left"/>
              <w:rPr>
                <w:b/>
                <w:sz w:val="18"/>
                <w:szCs w:val="18"/>
              </w:rPr>
            </w:pPr>
          </w:p>
        </w:tc>
        <w:tc>
          <w:tcPr>
            <w:tcW w:w="880" w:type="dxa"/>
            <w:vMerge w:val="continue"/>
            <w:vAlign w:val="center"/>
          </w:tcPr>
          <w:p w14:paraId="48227E5C">
            <w:pPr>
              <w:spacing w:before="156" w:beforeLines="50" w:after="156" w:afterLines="50"/>
              <w:jc w:val="left"/>
              <w:rPr>
                <w:b/>
                <w:sz w:val="18"/>
                <w:szCs w:val="18"/>
              </w:rPr>
            </w:pPr>
          </w:p>
        </w:tc>
        <w:tc>
          <w:tcPr>
            <w:tcW w:w="2279" w:type="dxa"/>
            <w:vMerge w:val="continue"/>
            <w:vAlign w:val="center"/>
          </w:tcPr>
          <w:p w14:paraId="0301422E">
            <w:pPr>
              <w:spacing w:before="156" w:beforeLines="50" w:after="156" w:afterLines="50"/>
              <w:jc w:val="left"/>
              <w:rPr>
                <w:rFonts w:ascii="宋体"/>
                <w:b/>
                <w:sz w:val="18"/>
                <w:szCs w:val="18"/>
              </w:rPr>
            </w:pPr>
          </w:p>
        </w:tc>
        <w:tc>
          <w:tcPr>
            <w:tcW w:w="8788" w:type="dxa"/>
            <w:gridSpan w:val="4"/>
            <w:vAlign w:val="center"/>
          </w:tcPr>
          <w:p w14:paraId="24E66E70">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150" w:type="dxa"/>
            <w:gridSpan w:val="2"/>
          </w:tcPr>
          <w:p w14:paraId="511F4925">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5DC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14:paraId="4467575E">
            <w:pPr>
              <w:spacing w:before="156" w:beforeLines="50" w:after="156" w:afterLines="50"/>
              <w:jc w:val="left"/>
              <w:rPr>
                <w:b/>
                <w:sz w:val="18"/>
                <w:szCs w:val="18"/>
              </w:rPr>
            </w:pPr>
          </w:p>
        </w:tc>
        <w:tc>
          <w:tcPr>
            <w:tcW w:w="871" w:type="dxa"/>
            <w:vMerge w:val="continue"/>
            <w:vAlign w:val="center"/>
          </w:tcPr>
          <w:p w14:paraId="0EE6A833">
            <w:pPr>
              <w:spacing w:before="156" w:beforeLines="50" w:after="156" w:afterLines="50"/>
              <w:jc w:val="left"/>
              <w:rPr>
                <w:b/>
                <w:sz w:val="18"/>
                <w:szCs w:val="18"/>
              </w:rPr>
            </w:pPr>
          </w:p>
        </w:tc>
        <w:tc>
          <w:tcPr>
            <w:tcW w:w="2511" w:type="dxa"/>
            <w:gridSpan w:val="2"/>
            <w:vMerge w:val="continue"/>
            <w:vAlign w:val="center"/>
          </w:tcPr>
          <w:p w14:paraId="067ABAEA">
            <w:pPr>
              <w:spacing w:before="156" w:beforeLines="50" w:after="156" w:afterLines="50"/>
              <w:jc w:val="left"/>
              <w:rPr>
                <w:b/>
                <w:sz w:val="18"/>
                <w:szCs w:val="18"/>
              </w:rPr>
            </w:pPr>
          </w:p>
        </w:tc>
        <w:tc>
          <w:tcPr>
            <w:tcW w:w="880" w:type="dxa"/>
            <w:vMerge w:val="continue"/>
            <w:vAlign w:val="center"/>
          </w:tcPr>
          <w:p w14:paraId="23F7EE0B">
            <w:pPr>
              <w:spacing w:before="156" w:beforeLines="50" w:after="156" w:afterLines="50"/>
              <w:jc w:val="left"/>
              <w:rPr>
                <w:b/>
                <w:sz w:val="18"/>
                <w:szCs w:val="18"/>
              </w:rPr>
            </w:pPr>
          </w:p>
        </w:tc>
        <w:tc>
          <w:tcPr>
            <w:tcW w:w="2279" w:type="dxa"/>
            <w:vMerge w:val="continue"/>
            <w:vAlign w:val="center"/>
          </w:tcPr>
          <w:p w14:paraId="3D07E728">
            <w:pPr>
              <w:spacing w:before="156" w:beforeLines="50" w:after="156" w:afterLines="50"/>
              <w:jc w:val="left"/>
              <w:rPr>
                <w:rFonts w:ascii="宋体"/>
                <w:b/>
                <w:sz w:val="18"/>
                <w:szCs w:val="18"/>
              </w:rPr>
            </w:pPr>
          </w:p>
        </w:tc>
        <w:tc>
          <w:tcPr>
            <w:tcW w:w="8788" w:type="dxa"/>
            <w:gridSpan w:val="4"/>
            <w:vAlign w:val="center"/>
          </w:tcPr>
          <w:p w14:paraId="20D60988">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4150" w:type="dxa"/>
            <w:gridSpan w:val="2"/>
          </w:tcPr>
          <w:p w14:paraId="35DEBBF5">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62E7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795BDB31">
            <w:pPr>
              <w:spacing w:before="156" w:beforeLines="50" w:after="156" w:afterLines="50"/>
              <w:jc w:val="left"/>
              <w:rPr>
                <w:b/>
                <w:sz w:val="18"/>
                <w:szCs w:val="18"/>
              </w:rPr>
            </w:pPr>
          </w:p>
        </w:tc>
        <w:tc>
          <w:tcPr>
            <w:tcW w:w="871" w:type="dxa"/>
            <w:vMerge w:val="continue"/>
            <w:vAlign w:val="center"/>
          </w:tcPr>
          <w:p w14:paraId="15BF4FA5">
            <w:pPr>
              <w:spacing w:before="156" w:beforeLines="50" w:after="156" w:afterLines="50"/>
              <w:jc w:val="left"/>
              <w:rPr>
                <w:b/>
                <w:sz w:val="18"/>
                <w:szCs w:val="18"/>
              </w:rPr>
            </w:pPr>
          </w:p>
        </w:tc>
        <w:tc>
          <w:tcPr>
            <w:tcW w:w="1117" w:type="dxa"/>
            <w:vAlign w:val="center"/>
          </w:tcPr>
          <w:p w14:paraId="5E6B1D0D">
            <w:pPr>
              <w:spacing w:before="156" w:beforeLines="50" w:after="156" w:afterLines="50"/>
              <w:jc w:val="center"/>
              <w:rPr>
                <w:b/>
                <w:sz w:val="18"/>
                <w:szCs w:val="18"/>
              </w:rPr>
            </w:pPr>
            <w:r>
              <w:rPr>
                <w:rFonts w:hint="eastAsia"/>
                <w:b/>
                <w:sz w:val="18"/>
                <w:szCs w:val="18"/>
              </w:rPr>
              <w:t>违反条款</w:t>
            </w:r>
          </w:p>
        </w:tc>
        <w:tc>
          <w:tcPr>
            <w:tcW w:w="1394" w:type="dxa"/>
            <w:vAlign w:val="center"/>
          </w:tcPr>
          <w:p w14:paraId="5BA115A4">
            <w:pPr>
              <w:spacing w:before="156" w:beforeLines="50" w:after="156" w:afterLines="50"/>
              <w:jc w:val="center"/>
              <w:rPr>
                <w:b/>
                <w:sz w:val="18"/>
                <w:szCs w:val="18"/>
              </w:rPr>
            </w:pPr>
            <w:r>
              <w:rPr>
                <w:rFonts w:hint="eastAsia"/>
                <w:b/>
                <w:sz w:val="18"/>
                <w:szCs w:val="18"/>
              </w:rPr>
              <w:t>处罚依据</w:t>
            </w:r>
          </w:p>
        </w:tc>
        <w:tc>
          <w:tcPr>
            <w:tcW w:w="880" w:type="dxa"/>
            <w:vMerge w:val="continue"/>
            <w:vAlign w:val="center"/>
          </w:tcPr>
          <w:p w14:paraId="11AD6BA4">
            <w:pPr>
              <w:spacing w:before="156" w:beforeLines="50" w:after="156" w:afterLines="50"/>
              <w:jc w:val="left"/>
              <w:rPr>
                <w:b/>
                <w:sz w:val="18"/>
                <w:szCs w:val="18"/>
              </w:rPr>
            </w:pPr>
          </w:p>
        </w:tc>
        <w:tc>
          <w:tcPr>
            <w:tcW w:w="2279" w:type="dxa"/>
            <w:vMerge w:val="continue"/>
            <w:vAlign w:val="center"/>
          </w:tcPr>
          <w:p w14:paraId="1EA153C6">
            <w:pPr>
              <w:spacing w:before="156" w:beforeLines="50" w:after="156" w:afterLines="50"/>
              <w:jc w:val="left"/>
              <w:rPr>
                <w:b/>
                <w:sz w:val="18"/>
                <w:szCs w:val="18"/>
              </w:rPr>
            </w:pPr>
          </w:p>
        </w:tc>
        <w:tc>
          <w:tcPr>
            <w:tcW w:w="2268" w:type="dxa"/>
            <w:vAlign w:val="center"/>
          </w:tcPr>
          <w:p w14:paraId="61F0257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30" w:type="dxa"/>
            <w:vAlign w:val="center"/>
          </w:tcPr>
          <w:p w14:paraId="5293394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48" w:type="dxa"/>
            <w:vAlign w:val="center"/>
          </w:tcPr>
          <w:p w14:paraId="7347471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42" w:type="dxa"/>
            <w:vAlign w:val="center"/>
          </w:tcPr>
          <w:p w14:paraId="3161E254">
            <w:pPr>
              <w:spacing w:before="156" w:beforeLines="50" w:after="156" w:afterLines="50"/>
              <w:rPr>
                <w:rFonts w:ascii="宋体"/>
                <w:b/>
                <w:sz w:val="18"/>
                <w:szCs w:val="18"/>
              </w:rPr>
            </w:pPr>
            <w:r>
              <w:rPr>
                <w:rFonts w:hint="eastAsia" w:ascii="宋体"/>
                <w:b/>
                <w:sz w:val="18"/>
                <w:szCs w:val="18"/>
              </w:rPr>
              <w:t>【对象】责任船员</w:t>
            </w:r>
          </w:p>
        </w:tc>
        <w:tc>
          <w:tcPr>
            <w:tcW w:w="2127" w:type="dxa"/>
            <w:vAlign w:val="center"/>
          </w:tcPr>
          <w:p w14:paraId="1922F5CC">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23" w:type="dxa"/>
            <w:vAlign w:val="center"/>
          </w:tcPr>
          <w:p w14:paraId="47F1CDB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33C7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4975A64E">
            <w:pPr>
              <w:spacing w:before="156" w:beforeLines="50" w:after="156" w:afterLines="50"/>
              <w:jc w:val="center"/>
              <w:rPr>
                <w:sz w:val="18"/>
                <w:szCs w:val="18"/>
              </w:rPr>
            </w:pPr>
            <w:r>
              <w:rPr>
                <w:rFonts w:hint="eastAsia"/>
                <w:sz w:val="18"/>
                <w:szCs w:val="18"/>
              </w:rPr>
              <w:t>37</w:t>
            </w:r>
          </w:p>
        </w:tc>
        <w:tc>
          <w:tcPr>
            <w:tcW w:w="871" w:type="dxa"/>
            <w:vMerge w:val="restart"/>
            <w:vAlign w:val="center"/>
          </w:tcPr>
          <w:p w14:paraId="4D4EA7AA">
            <w:pPr>
              <w:spacing w:before="156" w:beforeLines="50" w:after="156" w:afterLines="50"/>
              <w:rPr>
                <w:rFonts w:ascii="宋体"/>
                <w:sz w:val="18"/>
                <w:szCs w:val="18"/>
              </w:rPr>
            </w:pPr>
            <w:r>
              <w:rPr>
                <w:rFonts w:hint="eastAsia" w:ascii="宋体"/>
                <w:kern w:val="0"/>
                <w:sz w:val="18"/>
                <w:szCs w:val="18"/>
              </w:rPr>
              <w:t>未经核准从事大型设施或者移动式平台的水上拖带</w:t>
            </w:r>
          </w:p>
        </w:tc>
        <w:tc>
          <w:tcPr>
            <w:tcW w:w="1117" w:type="dxa"/>
            <w:vMerge w:val="restart"/>
            <w:vAlign w:val="center"/>
          </w:tcPr>
          <w:p w14:paraId="4C082EC6">
            <w:pPr>
              <w:spacing w:before="156" w:beforeLines="50" w:after="156" w:afterLines="50"/>
              <w:rPr>
                <w:sz w:val="18"/>
                <w:szCs w:val="18"/>
              </w:rPr>
            </w:pPr>
            <w:r>
              <w:rPr>
                <w:rFonts w:hint="eastAsia"/>
                <w:sz w:val="18"/>
                <w:szCs w:val="18"/>
              </w:rPr>
              <w:t>《中华人民共和国内河交通安全管理条例》第二十一条第一款</w:t>
            </w:r>
          </w:p>
        </w:tc>
        <w:tc>
          <w:tcPr>
            <w:tcW w:w="1394" w:type="dxa"/>
            <w:vMerge w:val="restart"/>
            <w:vAlign w:val="center"/>
          </w:tcPr>
          <w:p w14:paraId="13E1D31C">
            <w:pPr>
              <w:spacing w:before="156" w:beforeLines="50" w:after="156" w:afterLines="50"/>
              <w:rPr>
                <w:rFonts w:ascii="宋体"/>
                <w:kern w:val="0"/>
                <w:sz w:val="18"/>
                <w:szCs w:val="18"/>
              </w:rPr>
            </w:pPr>
            <w:r>
              <w:rPr>
                <w:rFonts w:hint="eastAsia" w:ascii="宋体"/>
                <w:kern w:val="0"/>
                <w:sz w:val="18"/>
                <w:szCs w:val="18"/>
              </w:rPr>
              <w:t>1.《中华人民共和国内河交通安全管理条例》第八十二条；</w:t>
            </w:r>
          </w:p>
          <w:p w14:paraId="5049B48A">
            <w:pPr>
              <w:spacing w:before="156" w:beforeLines="50" w:after="156" w:afterLines="50"/>
              <w:rPr>
                <w:rFonts w:ascii="宋体"/>
                <w:kern w:val="0"/>
                <w:sz w:val="18"/>
                <w:szCs w:val="18"/>
              </w:rPr>
            </w:pPr>
            <w:r>
              <w:rPr>
                <w:rFonts w:hint="eastAsia" w:ascii="宋体"/>
                <w:kern w:val="0"/>
                <w:sz w:val="18"/>
                <w:szCs w:val="18"/>
              </w:rPr>
              <w:t>2.《中华人民共和国内河海事行政处罚规定》第十八条第一款和第二款第（七）项；</w:t>
            </w:r>
          </w:p>
          <w:p w14:paraId="1D98C400">
            <w:pPr>
              <w:spacing w:before="156" w:beforeLines="50" w:after="156" w:afterLines="50"/>
              <w:rPr>
                <w:rFonts w:ascii="宋体"/>
                <w:kern w:val="0"/>
                <w:sz w:val="18"/>
                <w:szCs w:val="18"/>
              </w:rPr>
            </w:pPr>
            <w:r>
              <w:rPr>
                <w:rFonts w:hint="eastAsia" w:ascii="宋体"/>
                <w:kern w:val="0"/>
                <w:sz w:val="18"/>
                <w:szCs w:val="18"/>
              </w:rPr>
              <w:t>3.《中华人民共和国行政处罚法》第三十二条（从轻）。</w:t>
            </w:r>
          </w:p>
        </w:tc>
        <w:tc>
          <w:tcPr>
            <w:tcW w:w="880" w:type="dxa"/>
            <w:vAlign w:val="center"/>
          </w:tcPr>
          <w:p w14:paraId="40FC4702">
            <w:pPr>
              <w:spacing w:before="156" w:beforeLines="50" w:after="156" w:afterLines="50"/>
              <w:jc w:val="center"/>
              <w:rPr>
                <w:rFonts w:ascii="宋体"/>
                <w:kern w:val="0"/>
                <w:sz w:val="18"/>
                <w:szCs w:val="18"/>
              </w:rPr>
            </w:pPr>
            <w:r>
              <w:rPr>
                <w:rFonts w:hint="eastAsia" w:ascii="宋体"/>
                <w:kern w:val="0"/>
                <w:sz w:val="18"/>
                <w:szCs w:val="18"/>
              </w:rPr>
              <w:t>从轻</w:t>
            </w:r>
          </w:p>
        </w:tc>
        <w:tc>
          <w:tcPr>
            <w:tcW w:w="2279" w:type="dxa"/>
            <w:vAlign w:val="center"/>
          </w:tcPr>
          <w:p w14:paraId="578CF846">
            <w:pPr>
              <w:spacing w:before="156" w:beforeLines="50" w:after="156" w:afterLines="50"/>
              <w:rPr>
                <w:rFonts w:ascii="宋体"/>
                <w:kern w:val="0"/>
                <w:sz w:val="18"/>
                <w:szCs w:val="18"/>
              </w:rPr>
            </w:pPr>
            <w:r>
              <w:rPr>
                <w:rFonts w:hint="eastAsia" w:ascii="宋体"/>
                <w:kern w:val="0"/>
                <w:sz w:val="18"/>
                <w:szCs w:val="18"/>
              </w:rPr>
              <w:t>具有法定从轻情节的。</w:t>
            </w:r>
          </w:p>
        </w:tc>
        <w:tc>
          <w:tcPr>
            <w:tcW w:w="2268" w:type="dxa"/>
            <w:vAlign w:val="center"/>
          </w:tcPr>
          <w:p w14:paraId="221A3038">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2330" w:type="dxa"/>
            <w:vAlign w:val="center"/>
          </w:tcPr>
          <w:p w14:paraId="17A8034C">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2348" w:type="dxa"/>
            <w:vAlign w:val="center"/>
          </w:tcPr>
          <w:p w14:paraId="563EAE50">
            <w:pPr>
              <w:spacing w:before="156" w:beforeLines="50" w:after="156" w:afterLines="50"/>
              <w:rPr>
                <w:rFonts w:ascii="宋体"/>
                <w:kern w:val="0"/>
                <w:sz w:val="18"/>
                <w:szCs w:val="18"/>
              </w:rPr>
            </w:pPr>
            <w:r>
              <w:rPr>
                <w:rFonts w:hint="eastAsia" w:ascii="宋体"/>
                <w:kern w:val="0"/>
                <w:sz w:val="18"/>
                <w:szCs w:val="18"/>
              </w:rPr>
              <w:t>2万元及以上2.5万元以下</w:t>
            </w:r>
          </w:p>
        </w:tc>
        <w:tc>
          <w:tcPr>
            <w:tcW w:w="1842" w:type="dxa"/>
            <w:vAlign w:val="center"/>
          </w:tcPr>
          <w:p w14:paraId="501C9CD1">
            <w:pPr>
              <w:spacing w:before="156" w:beforeLines="50" w:after="156" w:afterLines="50"/>
              <w:rPr>
                <w:rFonts w:ascii="宋体"/>
                <w:kern w:val="0"/>
                <w:sz w:val="18"/>
                <w:szCs w:val="18"/>
              </w:rPr>
            </w:pPr>
            <w:r>
              <w:rPr>
                <w:rFonts w:hint="eastAsia" w:ascii="宋体"/>
                <w:kern w:val="0"/>
                <w:sz w:val="18"/>
                <w:szCs w:val="18"/>
              </w:rPr>
              <w:t>/</w:t>
            </w:r>
          </w:p>
        </w:tc>
        <w:tc>
          <w:tcPr>
            <w:tcW w:w="2127" w:type="dxa"/>
            <w:vMerge w:val="restart"/>
            <w:vAlign w:val="center"/>
          </w:tcPr>
          <w:p w14:paraId="646789F9">
            <w:pPr>
              <w:spacing w:before="156" w:beforeLines="50" w:after="156" w:afterLines="50"/>
              <w:rPr>
                <w:sz w:val="18"/>
                <w:szCs w:val="18"/>
              </w:rPr>
            </w:pPr>
            <w:r>
              <w:rPr>
                <w:rFonts w:hint="eastAsia"/>
                <w:sz w:val="18"/>
                <w:szCs w:val="18"/>
              </w:rPr>
              <w:t>未经核准从事大型设施或者移动式平台的水上拖带，未造成事故及险情的：2</w:t>
            </w:r>
            <w:r>
              <w:rPr>
                <w:sz w:val="18"/>
                <w:szCs w:val="18"/>
              </w:rPr>
              <w:t>000</w:t>
            </w:r>
            <w:r>
              <w:rPr>
                <w:rFonts w:hint="eastAsia"/>
                <w:sz w:val="18"/>
                <w:szCs w:val="18"/>
              </w:rPr>
              <w:t>元及以上</w:t>
            </w:r>
            <w:r>
              <w:rPr>
                <w:sz w:val="18"/>
                <w:szCs w:val="18"/>
              </w:rPr>
              <w:t>8000</w:t>
            </w:r>
            <w:r>
              <w:rPr>
                <w:rFonts w:hint="eastAsia"/>
                <w:sz w:val="18"/>
                <w:szCs w:val="18"/>
              </w:rPr>
              <w:t>元以下。</w:t>
            </w:r>
          </w:p>
        </w:tc>
        <w:tc>
          <w:tcPr>
            <w:tcW w:w="2023" w:type="dxa"/>
            <w:vMerge w:val="restart"/>
            <w:vAlign w:val="center"/>
          </w:tcPr>
          <w:p w14:paraId="7E375381">
            <w:pPr>
              <w:spacing w:before="156" w:beforeLines="50" w:after="156" w:afterLines="50"/>
              <w:rPr>
                <w:sz w:val="18"/>
                <w:szCs w:val="18"/>
              </w:rPr>
            </w:pPr>
            <w:r>
              <w:rPr>
                <w:rFonts w:hint="eastAsia"/>
                <w:sz w:val="18"/>
                <w:szCs w:val="18"/>
              </w:rPr>
              <w:t>未经核准从事大型设施或者移动式平台的水上拖带，未造成事故及险情的：4</w:t>
            </w:r>
            <w:r>
              <w:rPr>
                <w:sz w:val="18"/>
                <w:szCs w:val="18"/>
              </w:rPr>
              <w:t>000</w:t>
            </w:r>
            <w:r>
              <w:rPr>
                <w:rFonts w:hint="eastAsia"/>
                <w:sz w:val="18"/>
                <w:szCs w:val="18"/>
              </w:rPr>
              <w:t>元及以上2万元以下。</w:t>
            </w:r>
          </w:p>
        </w:tc>
      </w:tr>
      <w:tr w14:paraId="1D22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11EE233D">
            <w:pPr>
              <w:spacing w:before="156" w:beforeLines="50" w:after="156" w:afterLines="50"/>
              <w:jc w:val="left"/>
              <w:rPr>
                <w:sz w:val="18"/>
                <w:szCs w:val="18"/>
              </w:rPr>
            </w:pPr>
          </w:p>
        </w:tc>
        <w:tc>
          <w:tcPr>
            <w:tcW w:w="871" w:type="dxa"/>
            <w:vMerge w:val="continue"/>
            <w:vAlign w:val="center"/>
          </w:tcPr>
          <w:p w14:paraId="7C2325D5">
            <w:pPr>
              <w:spacing w:before="156" w:beforeLines="50" w:after="156" w:afterLines="50"/>
              <w:jc w:val="left"/>
              <w:rPr>
                <w:sz w:val="18"/>
                <w:szCs w:val="18"/>
              </w:rPr>
            </w:pPr>
          </w:p>
        </w:tc>
        <w:tc>
          <w:tcPr>
            <w:tcW w:w="1117" w:type="dxa"/>
            <w:vMerge w:val="continue"/>
            <w:vAlign w:val="center"/>
          </w:tcPr>
          <w:p w14:paraId="35FC53F0">
            <w:pPr>
              <w:spacing w:before="156" w:beforeLines="50" w:after="156" w:afterLines="50"/>
              <w:jc w:val="left"/>
              <w:rPr>
                <w:sz w:val="18"/>
                <w:szCs w:val="18"/>
              </w:rPr>
            </w:pPr>
          </w:p>
        </w:tc>
        <w:tc>
          <w:tcPr>
            <w:tcW w:w="1394" w:type="dxa"/>
            <w:vMerge w:val="continue"/>
            <w:vAlign w:val="center"/>
          </w:tcPr>
          <w:p w14:paraId="2892AC44">
            <w:pPr>
              <w:spacing w:before="156" w:beforeLines="50" w:after="156" w:afterLines="50"/>
              <w:rPr>
                <w:rFonts w:ascii="宋体"/>
                <w:kern w:val="0"/>
                <w:sz w:val="18"/>
                <w:szCs w:val="18"/>
              </w:rPr>
            </w:pPr>
          </w:p>
        </w:tc>
        <w:tc>
          <w:tcPr>
            <w:tcW w:w="880" w:type="dxa"/>
            <w:vMerge w:val="restart"/>
            <w:vAlign w:val="center"/>
          </w:tcPr>
          <w:p w14:paraId="34F2A771">
            <w:pPr>
              <w:spacing w:before="156" w:beforeLines="50" w:after="156" w:afterLines="50"/>
              <w:jc w:val="center"/>
              <w:rPr>
                <w:rFonts w:ascii="宋体"/>
                <w:kern w:val="0"/>
                <w:sz w:val="18"/>
                <w:szCs w:val="18"/>
              </w:rPr>
            </w:pPr>
            <w:r>
              <w:rPr>
                <w:rFonts w:hint="eastAsia" w:ascii="宋体"/>
                <w:kern w:val="0"/>
                <w:sz w:val="18"/>
                <w:szCs w:val="18"/>
              </w:rPr>
              <w:t>一般</w:t>
            </w:r>
          </w:p>
        </w:tc>
        <w:tc>
          <w:tcPr>
            <w:tcW w:w="2279" w:type="dxa"/>
            <w:vAlign w:val="center"/>
          </w:tcPr>
          <w:p w14:paraId="2DCA03FC">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未经核准从事大型设施或者移动式平台的水上拖带的。</w:t>
            </w:r>
          </w:p>
        </w:tc>
        <w:tc>
          <w:tcPr>
            <w:tcW w:w="2268" w:type="dxa"/>
            <w:vAlign w:val="center"/>
          </w:tcPr>
          <w:p w14:paraId="6E3DC8F0">
            <w:pPr>
              <w:spacing w:before="156" w:beforeLines="50" w:after="156" w:afterLines="50"/>
              <w:rPr>
                <w:rFonts w:ascii="宋体"/>
                <w:kern w:val="0"/>
                <w:sz w:val="18"/>
                <w:szCs w:val="18"/>
              </w:rPr>
            </w:pPr>
            <w:r>
              <w:rPr>
                <w:rFonts w:hint="eastAsia" w:ascii="宋体"/>
                <w:kern w:val="0"/>
                <w:sz w:val="18"/>
                <w:szCs w:val="18"/>
              </w:rPr>
              <w:t>2.5万元及以上3万元以下</w:t>
            </w:r>
          </w:p>
        </w:tc>
        <w:tc>
          <w:tcPr>
            <w:tcW w:w="2330" w:type="dxa"/>
            <w:vAlign w:val="center"/>
          </w:tcPr>
          <w:p w14:paraId="225F248D">
            <w:pPr>
              <w:spacing w:before="156" w:beforeLines="50" w:after="156" w:afterLines="50"/>
              <w:rPr>
                <w:rFonts w:ascii="宋体"/>
                <w:kern w:val="0"/>
                <w:sz w:val="18"/>
                <w:szCs w:val="18"/>
              </w:rPr>
            </w:pPr>
            <w:r>
              <w:rPr>
                <w:rFonts w:hint="eastAsia" w:ascii="宋体"/>
                <w:kern w:val="0"/>
                <w:sz w:val="18"/>
                <w:szCs w:val="18"/>
              </w:rPr>
              <w:t>2.5万元及以上3万元以下</w:t>
            </w:r>
          </w:p>
        </w:tc>
        <w:tc>
          <w:tcPr>
            <w:tcW w:w="2348" w:type="dxa"/>
            <w:vAlign w:val="center"/>
          </w:tcPr>
          <w:p w14:paraId="0292C9A3">
            <w:pPr>
              <w:spacing w:before="156" w:beforeLines="50" w:after="156" w:afterLines="50"/>
              <w:rPr>
                <w:rFonts w:ascii="宋体"/>
                <w:kern w:val="0"/>
                <w:sz w:val="18"/>
                <w:szCs w:val="18"/>
              </w:rPr>
            </w:pPr>
            <w:r>
              <w:rPr>
                <w:rFonts w:hint="eastAsia" w:ascii="宋体"/>
                <w:kern w:val="0"/>
                <w:sz w:val="18"/>
                <w:szCs w:val="18"/>
              </w:rPr>
              <w:t>2.5万元及以上3.5万元以下</w:t>
            </w:r>
          </w:p>
        </w:tc>
        <w:tc>
          <w:tcPr>
            <w:tcW w:w="1842" w:type="dxa"/>
            <w:vAlign w:val="center"/>
          </w:tcPr>
          <w:p w14:paraId="78C76B65">
            <w:pPr>
              <w:spacing w:before="156" w:beforeLines="50" w:after="156" w:afterLines="50"/>
              <w:rPr>
                <w:rFonts w:ascii="宋体"/>
                <w:kern w:val="0"/>
                <w:sz w:val="18"/>
                <w:szCs w:val="18"/>
              </w:rPr>
            </w:pPr>
            <w:r>
              <w:rPr>
                <w:rFonts w:hint="eastAsia" w:ascii="宋体"/>
                <w:kern w:val="0"/>
                <w:sz w:val="18"/>
                <w:szCs w:val="18"/>
              </w:rPr>
              <w:t>/</w:t>
            </w:r>
          </w:p>
        </w:tc>
        <w:tc>
          <w:tcPr>
            <w:tcW w:w="2127" w:type="dxa"/>
            <w:vMerge w:val="continue"/>
            <w:vAlign w:val="center"/>
          </w:tcPr>
          <w:p w14:paraId="5CB13E27">
            <w:pPr>
              <w:widowControl/>
              <w:spacing w:before="156" w:beforeLines="50" w:after="156" w:afterLines="50"/>
              <w:jc w:val="left"/>
              <w:rPr>
                <w:sz w:val="18"/>
                <w:szCs w:val="18"/>
              </w:rPr>
            </w:pPr>
          </w:p>
        </w:tc>
        <w:tc>
          <w:tcPr>
            <w:tcW w:w="2023" w:type="dxa"/>
            <w:vMerge w:val="continue"/>
            <w:vAlign w:val="center"/>
          </w:tcPr>
          <w:p w14:paraId="1D13B314">
            <w:pPr>
              <w:widowControl/>
              <w:spacing w:before="156" w:beforeLines="50" w:after="156" w:afterLines="50"/>
              <w:jc w:val="left"/>
              <w:rPr>
                <w:sz w:val="18"/>
                <w:szCs w:val="18"/>
              </w:rPr>
            </w:pPr>
          </w:p>
        </w:tc>
      </w:tr>
      <w:tr w14:paraId="6E49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14:paraId="532120FE">
            <w:pPr>
              <w:spacing w:before="156" w:beforeLines="50" w:after="156" w:afterLines="50"/>
              <w:jc w:val="left"/>
              <w:rPr>
                <w:sz w:val="18"/>
                <w:szCs w:val="18"/>
              </w:rPr>
            </w:pPr>
          </w:p>
        </w:tc>
        <w:tc>
          <w:tcPr>
            <w:tcW w:w="871" w:type="dxa"/>
            <w:vMerge w:val="continue"/>
            <w:vAlign w:val="center"/>
          </w:tcPr>
          <w:p w14:paraId="79E0534B">
            <w:pPr>
              <w:spacing w:before="156" w:beforeLines="50" w:after="156" w:afterLines="50"/>
              <w:jc w:val="left"/>
              <w:rPr>
                <w:sz w:val="18"/>
                <w:szCs w:val="18"/>
              </w:rPr>
            </w:pPr>
          </w:p>
        </w:tc>
        <w:tc>
          <w:tcPr>
            <w:tcW w:w="1117" w:type="dxa"/>
            <w:vMerge w:val="continue"/>
            <w:vAlign w:val="center"/>
          </w:tcPr>
          <w:p w14:paraId="753E6FA1">
            <w:pPr>
              <w:spacing w:before="156" w:beforeLines="50" w:after="156" w:afterLines="50"/>
              <w:jc w:val="left"/>
              <w:rPr>
                <w:sz w:val="18"/>
                <w:szCs w:val="18"/>
              </w:rPr>
            </w:pPr>
          </w:p>
        </w:tc>
        <w:tc>
          <w:tcPr>
            <w:tcW w:w="1394" w:type="dxa"/>
            <w:vMerge w:val="continue"/>
            <w:vAlign w:val="center"/>
          </w:tcPr>
          <w:p w14:paraId="16677F8A">
            <w:pPr>
              <w:spacing w:before="156" w:beforeLines="50" w:after="156" w:afterLines="50"/>
              <w:rPr>
                <w:rFonts w:ascii="宋体"/>
                <w:kern w:val="0"/>
                <w:sz w:val="18"/>
                <w:szCs w:val="18"/>
              </w:rPr>
            </w:pPr>
          </w:p>
        </w:tc>
        <w:tc>
          <w:tcPr>
            <w:tcW w:w="880" w:type="dxa"/>
            <w:vMerge w:val="continue"/>
            <w:vAlign w:val="center"/>
          </w:tcPr>
          <w:p w14:paraId="6AFDD388">
            <w:pPr>
              <w:spacing w:before="156" w:beforeLines="50" w:after="156" w:afterLines="50"/>
              <w:rPr>
                <w:rFonts w:ascii="宋体"/>
                <w:kern w:val="0"/>
                <w:sz w:val="18"/>
                <w:szCs w:val="18"/>
              </w:rPr>
            </w:pPr>
          </w:p>
        </w:tc>
        <w:tc>
          <w:tcPr>
            <w:tcW w:w="2279" w:type="dxa"/>
            <w:vAlign w:val="center"/>
          </w:tcPr>
          <w:p w14:paraId="57C563C9">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未经核准从事大型设施或者移动式平台的水上拖带，导致发生一般以下水上交通事故。</w:t>
            </w:r>
          </w:p>
        </w:tc>
        <w:tc>
          <w:tcPr>
            <w:tcW w:w="2268" w:type="dxa"/>
            <w:vAlign w:val="center"/>
          </w:tcPr>
          <w:p w14:paraId="4130C269">
            <w:pPr>
              <w:spacing w:before="156" w:beforeLines="50" w:after="156" w:afterLines="50"/>
              <w:rPr>
                <w:rFonts w:ascii="宋体"/>
                <w:kern w:val="0"/>
                <w:sz w:val="18"/>
                <w:szCs w:val="18"/>
              </w:rPr>
            </w:pPr>
            <w:r>
              <w:rPr>
                <w:rFonts w:hint="eastAsia" w:ascii="宋体"/>
                <w:kern w:val="0"/>
                <w:sz w:val="18"/>
                <w:szCs w:val="18"/>
              </w:rPr>
              <w:t>3万元及以上4万元以下</w:t>
            </w:r>
          </w:p>
        </w:tc>
        <w:tc>
          <w:tcPr>
            <w:tcW w:w="2330" w:type="dxa"/>
            <w:vAlign w:val="center"/>
          </w:tcPr>
          <w:p w14:paraId="6B44BED1">
            <w:pPr>
              <w:spacing w:before="156" w:beforeLines="50" w:after="156" w:afterLines="50"/>
              <w:rPr>
                <w:rFonts w:ascii="宋体"/>
                <w:kern w:val="0"/>
                <w:sz w:val="18"/>
                <w:szCs w:val="18"/>
              </w:rPr>
            </w:pPr>
            <w:r>
              <w:rPr>
                <w:rFonts w:hint="eastAsia" w:ascii="宋体"/>
                <w:kern w:val="0"/>
                <w:sz w:val="18"/>
                <w:szCs w:val="18"/>
              </w:rPr>
              <w:t>3万元及以上4.5万元以下</w:t>
            </w:r>
          </w:p>
        </w:tc>
        <w:tc>
          <w:tcPr>
            <w:tcW w:w="2348" w:type="dxa"/>
            <w:vAlign w:val="center"/>
          </w:tcPr>
          <w:p w14:paraId="75B67BAF">
            <w:pPr>
              <w:spacing w:before="156" w:beforeLines="50" w:after="156" w:afterLines="50"/>
              <w:rPr>
                <w:rFonts w:ascii="宋体"/>
                <w:kern w:val="0"/>
                <w:sz w:val="18"/>
                <w:szCs w:val="18"/>
              </w:rPr>
            </w:pPr>
            <w:r>
              <w:rPr>
                <w:rFonts w:hint="eastAsia" w:ascii="宋体"/>
                <w:kern w:val="0"/>
                <w:sz w:val="18"/>
                <w:szCs w:val="18"/>
              </w:rPr>
              <w:t>3.5万元及以上5万元以下</w:t>
            </w:r>
          </w:p>
        </w:tc>
        <w:tc>
          <w:tcPr>
            <w:tcW w:w="1842" w:type="dxa"/>
            <w:vAlign w:val="center"/>
          </w:tcPr>
          <w:p w14:paraId="6AEB2B63">
            <w:pPr>
              <w:spacing w:before="156" w:beforeLines="50" w:after="156" w:afterLines="50"/>
              <w:rPr>
                <w:rFonts w:ascii="宋体"/>
                <w:kern w:val="0"/>
                <w:sz w:val="18"/>
                <w:szCs w:val="18"/>
              </w:rPr>
            </w:pPr>
            <w:r>
              <w:rPr>
                <w:rFonts w:hint="eastAsia" w:ascii="宋体"/>
                <w:kern w:val="0"/>
                <w:sz w:val="18"/>
                <w:szCs w:val="18"/>
              </w:rPr>
              <w:t>并可以对责任船员给予暂扣适任证书或者其他适任证件6个月以上直至吊销适任证书或者其他适任证件的处罚。</w:t>
            </w:r>
          </w:p>
        </w:tc>
        <w:tc>
          <w:tcPr>
            <w:tcW w:w="2127" w:type="dxa"/>
            <w:vMerge w:val="continue"/>
            <w:vAlign w:val="center"/>
          </w:tcPr>
          <w:p w14:paraId="119C0E6F">
            <w:pPr>
              <w:widowControl/>
              <w:spacing w:before="156" w:beforeLines="50" w:after="156" w:afterLines="50"/>
              <w:jc w:val="left"/>
              <w:rPr>
                <w:sz w:val="18"/>
                <w:szCs w:val="18"/>
              </w:rPr>
            </w:pPr>
          </w:p>
        </w:tc>
        <w:tc>
          <w:tcPr>
            <w:tcW w:w="2023" w:type="dxa"/>
            <w:vMerge w:val="continue"/>
            <w:vAlign w:val="center"/>
          </w:tcPr>
          <w:p w14:paraId="455862C5">
            <w:pPr>
              <w:widowControl/>
              <w:spacing w:before="156" w:beforeLines="50" w:after="156" w:afterLines="50"/>
              <w:jc w:val="left"/>
              <w:rPr>
                <w:sz w:val="18"/>
                <w:szCs w:val="18"/>
              </w:rPr>
            </w:pPr>
          </w:p>
        </w:tc>
      </w:tr>
      <w:tr w14:paraId="3478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655" w:type="dxa"/>
            <w:vMerge w:val="continue"/>
          </w:tcPr>
          <w:p w14:paraId="1DFB85DE">
            <w:pPr>
              <w:spacing w:before="156" w:beforeLines="50" w:after="156" w:afterLines="50"/>
              <w:jc w:val="left"/>
              <w:rPr>
                <w:sz w:val="18"/>
                <w:szCs w:val="18"/>
              </w:rPr>
            </w:pPr>
          </w:p>
        </w:tc>
        <w:tc>
          <w:tcPr>
            <w:tcW w:w="871" w:type="dxa"/>
            <w:vMerge w:val="continue"/>
            <w:vAlign w:val="center"/>
          </w:tcPr>
          <w:p w14:paraId="3BBE1955">
            <w:pPr>
              <w:spacing w:before="156" w:beforeLines="50" w:after="156" w:afterLines="50"/>
              <w:jc w:val="left"/>
              <w:rPr>
                <w:sz w:val="18"/>
                <w:szCs w:val="18"/>
              </w:rPr>
            </w:pPr>
          </w:p>
        </w:tc>
        <w:tc>
          <w:tcPr>
            <w:tcW w:w="1117" w:type="dxa"/>
            <w:vMerge w:val="continue"/>
            <w:vAlign w:val="center"/>
          </w:tcPr>
          <w:p w14:paraId="64773AB5">
            <w:pPr>
              <w:spacing w:before="156" w:beforeLines="50" w:after="156" w:afterLines="50"/>
              <w:jc w:val="left"/>
              <w:rPr>
                <w:sz w:val="18"/>
                <w:szCs w:val="18"/>
              </w:rPr>
            </w:pPr>
          </w:p>
        </w:tc>
        <w:tc>
          <w:tcPr>
            <w:tcW w:w="1394" w:type="dxa"/>
            <w:vMerge w:val="continue"/>
            <w:vAlign w:val="center"/>
          </w:tcPr>
          <w:p w14:paraId="216598D1">
            <w:pPr>
              <w:spacing w:before="156" w:beforeLines="50" w:after="156" w:afterLines="50"/>
              <w:rPr>
                <w:rFonts w:ascii="宋体"/>
                <w:kern w:val="0"/>
                <w:sz w:val="18"/>
                <w:szCs w:val="18"/>
              </w:rPr>
            </w:pPr>
          </w:p>
        </w:tc>
        <w:tc>
          <w:tcPr>
            <w:tcW w:w="880" w:type="dxa"/>
            <w:vMerge w:val="continue"/>
            <w:vAlign w:val="center"/>
          </w:tcPr>
          <w:p w14:paraId="5AF7F652">
            <w:pPr>
              <w:spacing w:before="156" w:beforeLines="50" w:after="156" w:afterLines="50"/>
              <w:rPr>
                <w:rFonts w:ascii="宋体"/>
                <w:kern w:val="0"/>
                <w:sz w:val="18"/>
                <w:szCs w:val="18"/>
              </w:rPr>
            </w:pPr>
          </w:p>
        </w:tc>
        <w:tc>
          <w:tcPr>
            <w:tcW w:w="2279" w:type="dxa"/>
            <w:vAlign w:val="center"/>
          </w:tcPr>
          <w:p w14:paraId="542E8D16">
            <w:pPr>
              <w:spacing w:before="156" w:beforeLines="50" w:after="156" w:afterLines="50"/>
              <w:rPr>
                <w:rFonts w:ascii="宋体"/>
                <w:kern w:val="0"/>
                <w:sz w:val="18"/>
                <w:szCs w:val="18"/>
              </w:rPr>
            </w:pPr>
            <w:r>
              <w:rPr>
                <w:rFonts w:hint="eastAsia" w:ascii="宋体"/>
                <w:kern w:val="0"/>
                <w:sz w:val="18"/>
                <w:szCs w:val="18"/>
              </w:rPr>
              <w:t>未经核准从事大型设施或者移动式平台的水上拖带，导致发生一般及以上水上交通事故。</w:t>
            </w:r>
          </w:p>
        </w:tc>
        <w:tc>
          <w:tcPr>
            <w:tcW w:w="2268" w:type="dxa"/>
            <w:vMerge w:val="restart"/>
            <w:vAlign w:val="center"/>
          </w:tcPr>
          <w:p w14:paraId="75367F0F">
            <w:pPr>
              <w:spacing w:before="156" w:beforeLines="50" w:after="156" w:afterLines="50"/>
              <w:rPr>
                <w:rFonts w:ascii="宋体"/>
                <w:kern w:val="0"/>
                <w:sz w:val="18"/>
                <w:szCs w:val="18"/>
              </w:rPr>
            </w:pPr>
            <w:r>
              <w:rPr>
                <w:rFonts w:hint="eastAsia" w:ascii="宋体"/>
                <w:kern w:val="0"/>
                <w:sz w:val="18"/>
                <w:szCs w:val="18"/>
              </w:rPr>
              <w:t>4万元及以上10万元及以下</w:t>
            </w:r>
          </w:p>
        </w:tc>
        <w:tc>
          <w:tcPr>
            <w:tcW w:w="2330" w:type="dxa"/>
            <w:vMerge w:val="restart"/>
            <w:vAlign w:val="center"/>
          </w:tcPr>
          <w:p w14:paraId="47017080">
            <w:pPr>
              <w:spacing w:before="156" w:beforeLines="50" w:after="156" w:afterLines="50"/>
              <w:rPr>
                <w:rFonts w:ascii="宋体"/>
                <w:kern w:val="0"/>
                <w:sz w:val="18"/>
                <w:szCs w:val="18"/>
              </w:rPr>
            </w:pPr>
            <w:r>
              <w:rPr>
                <w:rFonts w:hint="eastAsia" w:ascii="宋体"/>
                <w:kern w:val="0"/>
                <w:sz w:val="18"/>
                <w:szCs w:val="18"/>
              </w:rPr>
              <w:t>4.5万元及以上10万元及以下</w:t>
            </w:r>
          </w:p>
        </w:tc>
        <w:tc>
          <w:tcPr>
            <w:tcW w:w="2348" w:type="dxa"/>
            <w:vMerge w:val="restart"/>
            <w:vAlign w:val="center"/>
          </w:tcPr>
          <w:p w14:paraId="678F52D4">
            <w:pPr>
              <w:spacing w:before="156" w:beforeLines="50" w:after="156" w:afterLines="50"/>
              <w:rPr>
                <w:rFonts w:ascii="宋体"/>
                <w:kern w:val="0"/>
                <w:sz w:val="18"/>
                <w:szCs w:val="18"/>
              </w:rPr>
            </w:pPr>
            <w:r>
              <w:rPr>
                <w:rFonts w:hint="eastAsia" w:ascii="宋体"/>
                <w:kern w:val="0"/>
                <w:sz w:val="18"/>
                <w:szCs w:val="18"/>
              </w:rPr>
              <w:t>5万元及以上10万及以下</w:t>
            </w:r>
          </w:p>
        </w:tc>
        <w:tc>
          <w:tcPr>
            <w:tcW w:w="1842" w:type="dxa"/>
            <w:vAlign w:val="center"/>
          </w:tcPr>
          <w:p w14:paraId="7E0F7292">
            <w:pPr>
              <w:spacing w:before="156" w:beforeLines="50" w:after="156" w:afterLines="50"/>
              <w:rPr>
                <w:rFonts w:ascii="宋体"/>
                <w:kern w:val="0"/>
                <w:sz w:val="18"/>
                <w:szCs w:val="18"/>
              </w:rPr>
            </w:pPr>
            <w:r>
              <w:rPr>
                <w:rFonts w:hint="eastAsia" w:ascii="宋体"/>
                <w:kern w:val="0"/>
                <w:sz w:val="18"/>
                <w:szCs w:val="18"/>
              </w:rPr>
              <w:t>造成一般及以上等级水上交通事故的，暂扣直至吊销证书处罚的裁量按照 《中华人民共和国内河海事行政处罚规定》第三十二条实施。</w:t>
            </w:r>
          </w:p>
        </w:tc>
        <w:tc>
          <w:tcPr>
            <w:tcW w:w="2127" w:type="dxa"/>
            <w:vMerge w:val="continue"/>
          </w:tcPr>
          <w:p w14:paraId="70F6F64F">
            <w:pPr>
              <w:widowControl/>
              <w:spacing w:before="156" w:beforeLines="50" w:after="156" w:afterLines="50"/>
              <w:jc w:val="left"/>
              <w:rPr>
                <w:sz w:val="18"/>
                <w:szCs w:val="18"/>
              </w:rPr>
            </w:pPr>
          </w:p>
        </w:tc>
        <w:tc>
          <w:tcPr>
            <w:tcW w:w="2023" w:type="dxa"/>
            <w:vMerge w:val="continue"/>
          </w:tcPr>
          <w:p w14:paraId="22A7FCDB">
            <w:pPr>
              <w:widowControl/>
              <w:spacing w:before="156" w:beforeLines="50" w:after="156" w:afterLines="50"/>
              <w:jc w:val="left"/>
              <w:rPr>
                <w:sz w:val="18"/>
                <w:szCs w:val="18"/>
              </w:rPr>
            </w:pPr>
          </w:p>
        </w:tc>
      </w:tr>
      <w:tr w14:paraId="2F6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55" w:type="dxa"/>
            <w:vMerge w:val="continue"/>
          </w:tcPr>
          <w:p w14:paraId="56EC6E80">
            <w:pPr>
              <w:spacing w:before="156" w:beforeLines="50" w:after="156" w:afterLines="50"/>
              <w:jc w:val="left"/>
              <w:rPr>
                <w:sz w:val="18"/>
                <w:szCs w:val="18"/>
              </w:rPr>
            </w:pPr>
          </w:p>
        </w:tc>
        <w:tc>
          <w:tcPr>
            <w:tcW w:w="871" w:type="dxa"/>
            <w:vMerge w:val="continue"/>
            <w:vAlign w:val="center"/>
          </w:tcPr>
          <w:p w14:paraId="466BA784">
            <w:pPr>
              <w:spacing w:before="156" w:beforeLines="50" w:after="156" w:afterLines="50"/>
              <w:jc w:val="left"/>
              <w:rPr>
                <w:sz w:val="18"/>
                <w:szCs w:val="18"/>
              </w:rPr>
            </w:pPr>
          </w:p>
        </w:tc>
        <w:tc>
          <w:tcPr>
            <w:tcW w:w="1117" w:type="dxa"/>
            <w:vMerge w:val="continue"/>
            <w:vAlign w:val="center"/>
          </w:tcPr>
          <w:p w14:paraId="23D19FAA">
            <w:pPr>
              <w:spacing w:before="156" w:beforeLines="50" w:after="156" w:afterLines="50"/>
              <w:jc w:val="left"/>
              <w:rPr>
                <w:sz w:val="18"/>
                <w:szCs w:val="18"/>
              </w:rPr>
            </w:pPr>
          </w:p>
        </w:tc>
        <w:tc>
          <w:tcPr>
            <w:tcW w:w="1394" w:type="dxa"/>
            <w:vMerge w:val="continue"/>
            <w:vAlign w:val="center"/>
          </w:tcPr>
          <w:p w14:paraId="4ADB786A">
            <w:pPr>
              <w:spacing w:before="156" w:beforeLines="50" w:after="156" w:afterLines="50"/>
              <w:rPr>
                <w:rFonts w:ascii="宋体"/>
                <w:kern w:val="0"/>
                <w:sz w:val="18"/>
                <w:szCs w:val="18"/>
              </w:rPr>
            </w:pPr>
          </w:p>
        </w:tc>
        <w:tc>
          <w:tcPr>
            <w:tcW w:w="880" w:type="dxa"/>
            <w:vMerge w:val="continue"/>
            <w:vAlign w:val="center"/>
          </w:tcPr>
          <w:p w14:paraId="48B17A51">
            <w:pPr>
              <w:spacing w:before="156" w:beforeLines="50" w:after="156" w:afterLines="50"/>
              <w:rPr>
                <w:rFonts w:ascii="宋体"/>
                <w:kern w:val="0"/>
                <w:sz w:val="18"/>
                <w:szCs w:val="18"/>
              </w:rPr>
            </w:pPr>
          </w:p>
        </w:tc>
        <w:tc>
          <w:tcPr>
            <w:tcW w:w="2279" w:type="dxa"/>
            <w:vAlign w:val="center"/>
          </w:tcPr>
          <w:p w14:paraId="568A9ED9">
            <w:pPr>
              <w:spacing w:before="156" w:beforeLines="50" w:after="156" w:afterLines="50"/>
              <w:rPr>
                <w:rFonts w:ascii="宋体"/>
                <w:kern w:val="0"/>
                <w:sz w:val="18"/>
                <w:szCs w:val="18"/>
              </w:rPr>
            </w:pPr>
            <w:r>
              <w:rPr>
                <w:rFonts w:hint="eastAsia" w:ascii="宋体"/>
                <w:kern w:val="0"/>
                <w:sz w:val="18"/>
                <w:szCs w:val="18"/>
              </w:rPr>
              <w:t>造成其他较为严重后果的。</w:t>
            </w:r>
          </w:p>
        </w:tc>
        <w:tc>
          <w:tcPr>
            <w:tcW w:w="2268" w:type="dxa"/>
            <w:vMerge w:val="continue"/>
            <w:vAlign w:val="center"/>
          </w:tcPr>
          <w:p w14:paraId="014A4F47">
            <w:pPr>
              <w:spacing w:before="156" w:beforeLines="50" w:after="156" w:afterLines="50"/>
              <w:rPr>
                <w:rFonts w:ascii="宋体"/>
                <w:kern w:val="0"/>
                <w:sz w:val="18"/>
                <w:szCs w:val="18"/>
              </w:rPr>
            </w:pPr>
          </w:p>
        </w:tc>
        <w:tc>
          <w:tcPr>
            <w:tcW w:w="2330" w:type="dxa"/>
            <w:vMerge w:val="continue"/>
            <w:vAlign w:val="center"/>
          </w:tcPr>
          <w:p w14:paraId="7C84237A">
            <w:pPr>
              <w:spacing w:before="156" w:beforeLines="50" w:after="156" w:afterLines="50"/>
              <w:rPr>
                <w:rFonts w:ascii="宋体"/>
                <w:kern w:val="0"/>
                <w:sz w:val="18"/>
                <w:szCs w:val="18"/>
              </w:rPr>
            </w:pPr>
          </w:p>
        </w:tc>
        <w:tc>
          <w:tcPr>
            <w:tcW w:w="2348" w:type="dxa"/>
            <w:vMerge w:val="continue"/>
            <w:vAlign w:val="center"/>
          </w:tcPr>
          <w:p w14:paraId="0A30C559">
            <w:pPr>
              <w:spacing w:before="156" w:beforeLines="50" w:after="156" w:afterLines="50"/>
              <w:rPr>
                <w:rFonts w:ascii="宋体"/>
                <w:kern w:val="0"/>
                <w:sz w:val="18"/>
                <w:szCs w:val="18"/>
              </w:rPr>
            </w:pPr>
          </w:p>
        </w:tc>
        <w:tc>
          <w:tcPr>
            <w:tcW w:w="1842" w:type="dxa"/>
            <w:vAlign w:val="center"/>
          </w:tcPr>
          <w:p w14:paraId="6C922D7F">
            <w:pPr>
              <w:spacing w:before="156" w:beforeLines="50" w:after="156" w:afterLines="50"/>
              <w:rPr>
                <w:rFonts w:ascii="宋体"/>
                <w:kern w:val="0"/>
                <w:sz w:val="18"/>
                <w:szCs w:val="18"/>
              </w:rPr>
            </w:pPr>
            <w:r>
              <w:rPr>
                <w:rFonts w:hint="eastAsia" w:ascii="宋体"/>
                <w:kern w:val="0"/>
                <w:sz w:val="18"/>
                <w:szCs w:val="18"/>
              </w:rPr>
              <w:t>并对责任船员给予暂扣适任证书或者其他适任证件6个月以上直至吊销适任证书或者其他适任证件的处罚。</w:t>
            </w:r>
          </w:p>
        </w:tc>
        <w:tc>
          <w:tcPr>
            <w:tcW w:w="2127" w:type="dxa"/>
            <w:vMerge w:val="continue"/>
          </w:tcPr>
          <w:p w14:paraId="3DC539D7">
            <w:pPr>
              <w:widowControl/>
              <w:spacing w:before="156" w:beforeLines="50" w:after="156" w:afterLines="50"/>
              <w:jc w:val="left"/>
              <w:rPr>
                <w:sz w:val="18"/>
                <w:szCs w:val="18"/>
              </w:rPr>
            </w:pPr>
          </w:p>
        </w:tc>
        <w:tc>
          <w:tcPr>
            <w:tcW w:w="2023" w:type="dxa"/>
            <w:vMerge w:val="continue"/>
          </w:tcPr>
          <w:p w14:paraId="2FFE9D68">
            <w:pPr>
              <w:widowControl/>
              <w:spacing w:before="156" w:beforeLines="50" w:after="156" w:afterLines="50"/>
              <w:jc w:val="left"/>
              <w:rPr>
                <w:sz w:val="18"/>
                <w:szCs w:val="18"/>
              </w:rPr>
            </w:pPr>
          </w:p>
        </w:tc>
      </w:tr>
    </w:tbl>
    <w:p w14:paraId="2686042B">
      <w:pPr>
        <w:spacing w:before="156" w:beforeLines="50" w:after="156" w:afterLines="50"/>
        <w:jc w:val="left"/>
        <w:rPr>
          <w:rFonts w:ascii="宋体"/>
          <w:b/>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160"/>
      </w:tblGrid>
      <w:tr w14:paraId="4553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1" w:type="dxa"/>
            <w:vMerge w:val="restart"/>
            <w:vAlign w:val="center"/>
          </w:tcPr>
          <w:p w14:paraId="44B2B621">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55EBE87B">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5970B4E6">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117AB040">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14:paraId="4C183CEC">
            <w:pPr>
              <w:spacing w:before="156" w:beforeLines="50" w:after="156" w:afterLines="50"/>
              <w:jc w:val="center"/>
              <w:rPr>
                <w:rFonts w:ascii="宋体"/>
                <w:b/>
                <w:sz w:val="18"/>
                <w:szCs w:val="18"/>
              </w:rPr>
            </w:pPr>
            <w:r>
              <w:rPr>
                <w:rFonts w:hint="eastAsia" w:ascii="宋体"/>
                <w:b/>
                <w:sz w:val="18"/>
                <w:szCs w:val="18"/>
              </w:rPr>
              <w:t>主要考虑因素</w:t>
            </w:r>
          </w:p>
          <w:p w14:paraId="600A4600">
            <w:pPr>
              <w:spacing w:before="156" w:beforeLines="50" w:after="156" w:afterLines="50"/>
              <w:jc w:val="center"/>
              <w:rPr>
                <w:b/>
                <w:sz w:val="18"/>
                <w:szCs w:val="18"/>
              </w:rPr>
            </w:pPr>
            <w:r>
              <w:rPr>
                <w:rFonts w:hint="eastAsia" w:ascii="宋体"/>
                <w:b/>
                <w:sz w:val="18"/>
                <w:szCs w:val="18"/>
              </w:rPr>
              <w:t>（事实、性质、情节、危害程度和实际后果等）</w:t>
            </w:r>
          </w:p>
        </w:tc>
        <w:tc>
          <w:tcPr>
            <w:tcW w:w="10160" w:type="dxa"/>
            <w:vAlign w:val="center"/>
          </w:tcPr>
          <w:p w14:paraId="20BBCD91">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557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5F1866A1">
            <w:pPr>
              <w:spacing w:before="156" w:beforeLines="50" w:after="156" w:afterLines="50"/>
              <w:jc w:val="center"/>
              <w:rPr>
                <w:b/>
                <w:sz w:val="18"/>
                <w:szCs w:val="18"/>
              </w:rPr>
            </w:pPr>
          </w:p>
        </w:tc>
        <w:tc>
          <w:tcPr>
            <w:tcW w:w="977" w:type="dxa"/>
            <w:vMerge w:val="continue"/>
            <w:vAlign w:val="center"/>
          </w:tcPr>
          <w:p w14:paraId="7082E651">
            <w:pPr>
              <w:spacing w:before="156" w:beforeLines="50" w:after="156" w:afterLines="50"/>
              <w:jc w:val="center"/>
              <w:rPr>
                <w:b/>
                <w:sz w:val="18"/>
                <w:szCs w:val="18"/>
              </w:rPr>
            </w:pPr>
          </w:p>
        </w:tc>
        <w:tc>
          <w:tcPr>
            <w:tcW w:w="2469" w:type="dxa"/>
            <w:gridSpan w:val="2"/>
            <w:vMerge w:val="continue"/>
            <w:vAlign w:val="center"/>
          </w:tcPr>
          <w:p w14:paraId="64C72881">
            <w:pPr>
              <w:spacing w:before="156" w:beforeLines="50" w:after="156" w:afterLines="50"/>
              <w:jc w:val="center"/>
              <w:rPr>
                <w:b/>
                <w:sz w:val="18"/>
                <w:szCs w:val="18"/>
              </w:rPr>
            </w:pPr>
          </w:p>
        </w:tc>
        <w:tc>
          <w:tcPr>
            <w:tcW w:w="934" w:type="dxa"/>
            <w:vMerge w:val="continue"/>
            <w:vAlign w:val="center"/>
          </w:tcPr>
          <w:p w14:paraId="1E6A6111">
            <w:pPr>
              <w:spacing w:before="156" w:beforeLines="50" w:after="156" w:afterLines="50"/>
              <w:jc w:val="left"/>
              <w:rPr>
                <w:b/>
                <w:sz w:val="18"/>
                <w:szCs w:val="18"/>
              </w:rPr>
            </w:pPr>
          </w:p>
        </w:tc>
        <w:tc>
          <w:tcPr>
            <w:tcW w:w="4337" w:type="dxa"/>
            <w:vMerge w:val="continue"/>
            <w:vAlign w:val="center"/>
          </w:tcPr>
          <w:p w14:paraId="37D42E80">
            <w:pPr>
              <w:spacing w:before="156" w:beforeLines="50" w:after="156" w:afterLines="50"/>
              <w:jc w:val="left"/>
              <w:rPr>
                <w:rFonts w:ascii="宋体"/>
                <w:b/>
                <w:sz w:val="18"/>
                <w:szCs w:val="18"/>
              </w:rPr>
            </w:pPr>
          </w:p>
        </w:tc>
        <w:tc>
          <w:tcPr>
            <w:tcW w:w="10160" w:type="dxa"/>
            <w:vAlign w:val="center"/>
          </w:tcPr>
          <w:p w14:paraId="4670EC2F">
            <w:pPr>
              <w:spacing w:before="156" w:beforeLines="50" w:after="156" w:afterLines="50"/>
              <w:jc w:val="center"/>
              <w:rPr>
                <w:b/>
                <w:sz w:val="18"/>
                <w:szCs w:val="18"/>
              </w:rPr>
            </w:pPr>
            <w:r>
              <w:rPr>
                <w:rFonts w:hint="eastAsia"/>
                <w:b/>
                <w:sz w:val="18"/>
                <w:szCs w:val="18"/>
              </w:rPr>
              <w:t>处罚基准</w:t>
            </w:r>
          </w:p>
        </w:tc>
      </w:tr>
      <w:tr w14:paraId="3D2A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059114CB">
            <w:pPr>
              <w:spacing w:before="156" w:beforeLines="50" w:after="156" w:afterLines="50"/>
              <w:jc w:val="center"/>
              <w:rPr>
                <w:b/>
                <w:sz w:val="18"/>
                <w:szCs w:val="18"/>
              </w:rPr>
            </w:pPr>
          </w:p>
        </w:tc>
        <w:tc>
          <w:tcPr>
            <w:tcW w:w="977" w:type="dxa"/>
            <w:vMerge w:val="continue"/>
            <w:vAlign w:val="center"/>
          </w:tcPr>
          <w:p w14:paraId="69B23682">
            <w:pPr>
              <w:spacing w:before="156" w:beforeLines="50" w:after="156" w:afterLines="50"/>
              <w:jc w:val="center"/>
              <w:rPr>
                <w:b/>
                <w:sz w:val="18"/>
                <w:szCs w:val="18"/>
              </w:rPr>
            </w:pPr>
          </w:p>
        </w:tc>
        <w:tc>
          <w:tcPr>
            <w:tcW w:w="2469" w:type="dxa"/>
            <w:gridSpan w:val="2"/>
            <w:vMerge w:val="continue"/>
            <w:vAlign w:val="center"/>
          </w:tcPr>
          <w:p w14:paraId="24174FF9">
            <w:pPr>
              <w:spacing w:before="156" w:beforeLines="50" w:after="156" w:afterLines="50"/>
              <w:jc w:val="center"/>
              <w:rPr>
                <w:b/>
                <w:sz w:val="18"/>
                <w:szCs w:val="18"/>
              </w:rPr>
            </w:pPr>
          </w:p>
        </w:tc>
        <w:tc>
          <w:tcPr>
            <w:tcW w:w="934" w:type="dxa"/>
            <w:vMerge w:val="continue"/>
            <w:vAlign w:val="center"/>
          </w:tcPr>
          <w:p w14:paraId="1C2EA526">
            <w:pPr>
              <w:spacing w:before="156" w:beforeLines="50" w:after="156" w:afterLines="50"/>
              <w:jc w:val="left"/>
              <w:rPr>
                <w:b/>
                <w:sz w:val="18"/>
                <w:szCs w:val="18"/>
              </w:rPr>
            </w:pPr>
          </w:p>
        </w:tc>
        <w:tc>
          <w:tcPr>
            <w:tcW w:w="4337" w:type="dxa"/>
            <w:vMerge w:val="continue"/>
            <w:vAlign w:val="center"/>
          </w:tcPr>
          <w:p w14:paraId="6617105F">
            <w:pPr>
              <w:spacing w:before="156" w:beforeLines="50" w:after="156" w:afterLines="50"/>
              <w:jc w:val="left"/>
              <w:rPr>
                <w:rFonts w:ascii="宋体"/>
                <w:b/>
                <w:sz w:val="18"/>
                <w:szCs w:val="18"/>
              </w:rPr>
            </w:pPr>
          </w:p>
        </w:tc>
        <w:tc>
          <w:tcPr>
            <w:tcW w:w="10160" w:type="dxa"/>
            <w:vMerge w:val="restart"/>
            <w:vAlign w:val="center"/>
          </w:tcPr>
          <w:p w14:paraId="52118953">
            <w:pPr>
              <w:spacing w:before="156" w:beforeLines="50" w:after="156" w:afterLines="50"/>
              <w:jc w:val="center"/>
              <w:rPr>
                <w:b/>
                <w:sz w:val="18"/>
                <w:szCs w:val="18"/>
              </w:rPr>
            </w:pPr>
            <w:r>
              <w:rPr>
                <w:rFonts w:hint="eastAsia"/>
                <w:b/>
                <w:sz w:val="18"/>
                <w:szCs w:val="18"/>
              </w:rPr>
              <w:t>【对象】作业单位</w:t>
            </w:r>
          </w:p>
        </w:tc>
      </w:tr>
      <w:tr w14:paraId="3333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5725EF0E">
            <w:pPr>
              <w:spacing w:before="156" w:beforeLines="50" w:after="156" w:afterLines="50"/>
              <w:jc w:val="center"/>
              <w:rPr>
                <w:b/>
                <w:sz w:val="18"/>
                <w:szCs w:val="18"/>
              </w:rPr>
            </w:pPr>
          </w:p>
        </w:tc>
        <w:tc>
          <w:tcPr>
            <w:tcW w:w="977" w:type="dxa"/>
            <w:vMerge w:val="continue"/>
            <w:vAlign w:val="center"/>
          </w:tcPr>
          <w:p w14:paraId="5B5D6560">
            <w:pPr>
              <w:spacing w:before="156" w:beforeLines="50" w:after="156" w:afterLines="50"/>
              <w:jc w:val="center"/>
              <w:rPr>
                <w:b/>
                <w:sz w:val="18"/>
                <w:szCs w:val="18"/>
              </w:rPr>
            </w:pPr>
          </w:p>
        </w:tc>
        <w:tc>
          <w:tcPr>
            <w:tcW w:w="951" w:type="dxa"/>
            <w:vAlign w:val="center"/>
          </w:tcPr>
          <w:p w14:paraId="71BB5518">
            <w:pPr>
              <w:spacing w:before="156" w:beforeLines="50" w:after="156" w:afterLines="50"/>
              <w:jc w:val="center"/>
              <w:rPr>
                <w:b/>
                <w:sz w:val="18"/>
                <w:szCs w:val="18"/>
              </w:rPr>
            </w:pPr>
            <w:r>
              <w:rPr>
                <w:rFonts w:hint="eastAsia"/>
                <w:b/>
                <w:sz w:val="18"/>
                <w:szCs w:val="18"/>
              </w:rPr>
              <w:t>违反条款</w:t>
            </w:r>
          </w:p>
        </w:tc>
        <w:tc>
          <w:tcPr>
            <w:tcW w:w="1518" w:type="dxa"/>
            <w:vAlign w:val="center"/>
          </w:tcPr>
          <w:p w14:paraId="4FBAF658">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2FABE5A9">
            <w:pPr>
              <w:spacing w:before="156" w:beforeLines="50" w:after="156" w:afterLines="50"/>
              <w:jc w:val="left"/>
              <w:rPr>
                <w:b/>
                <w:sz w:val="18"/>
                <w:szCs w:val="18"/>
              </w:rPr>
            </w:pPr>
          </w:p>
        </w:tc>
        <w:tc>
          <w:tcPr>
            <w:tcW w:w="4337" w:type="dxa"/>
            <w:vMerge w:val="continue"/>
            <w:vAlign w:val="center"/>
          </w:tcPr>
          <w:p w14:paraId="432388A1">
            <w:pPr>
              <w:spacing w:before="156" w:beforeLines="50" w:after="156" w:afterLines="50"/>
              <w:jc w:val="left"/>
              <w:rPr>
                <w:b/>
                <w:sz w:val="18"/>
                <w:szCs w:val="18"/>
              </w:rPr>
            </w:pPr>
          </w:p>
        </w:tc>
        <w:tc>
          <w:tcPr>
            <w:tcW w:w="10160" w:type="dxa"/>
            <w:vMerge w:val="continue"/>
            <w:vAlign w:val="center"/>
          </w:tcPr>
          <w:p w14:paraId="43720F67">
            <w:pPr>
              <w:spacing w:before="156" w:beforeLines="50" w:after="156" w:afterLines="50"/>
              <w:jc w:val="left"/>
              <w:rPr>
                <w:rFonts w:ascii="宋体"/>
                <w:b/>
                <w:sz w:val="18"/>
                <w:szCs w:val="18"/>
              </w:rPr>
            </w:pPr>
          </w:p>
        </w:tc>
      </w:tr>
      <w:tr w14:paraId="50D7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1F219D49">
            <w:pPr>
              <w:spacing w:before="156" w:beforeLines="50" w:after="156" w:afterLines="50"/>
              <w:jc w:val="center"/>
              <w:rPr>
                <w:sz w:val="18"/>
                <w:szCs w:val="18"/>
              </w:rPr>
            </w:pPr>
            <w:r>
              <w:rPr>
                <w:rFonts w:hint="eastAsia"/>
                <w:sz w:val="18"/>
                <w:szCs w:val="18"/>
              </w:rPr>
              <w:t>38</w:t>
            </w:r>
          </w:p>
        </w:tc>
        <w:tc>
          <w:tcPr>
            <w:tcW w:w="977" w:type="dxa"/>
            <w:vMerge w:val="restart"/>
            <w:vAlign w:val="center"/>
          </w:tcPr>
          <w:p w14:paraId="16534B18">
            <w:pPr>
              <w:spacing w:before="156" w:beforeLines="50" w:after="156" w:afterLines="50"/>
              <w:rPr>
                <w:sz w:val="18"/>
                <w:szCs w:val="18"/>
              </w:rPr>
            </w:pPr>
            <w:r>
              <w:rPr>
                <w:rFonts w:hint="eastAsia" w:ascii="宋体"/>
                <w:sz w:val="18"/>
                <w:szCs w:val="18"/>
              </w:rPr>
              <w:t>船舶试航、试车，不按照规定备案</w:t>
            </w:r>
          </w:p>
        </w:tc>
        <w:tc>
          <w:tcPr>
            <w:tcW w:w="951" w:type="dxa"/>
            <w:vMerge w:val="restart"/>
            <w:vAlign w:val="center"/>
          </w:tcPr>
          <w:p w14:paraId="43571F40">
            <w:pPr>
              <w:spacing w:before="156" w:beforeLines="50" w:after="156" w:afterLines="50"/>
              <w:rPr>
                <w:rFonts w:ascii="宋体"/>
                <w:sz w:val="18"/>
                <w:szCs w:val="18"/>
              </w:rPr>
            </w:pPr>
            <w:r>
              <w:rPr>
                <w:rFonts w:hint="eastAsia" w:ascii="宋体"/>
                <w:sz w:val="18"/>
                <w:szCs w:val="18"/>
              </w:rPr>
              <w:t>《中华人民共和国内河交通安全管理条例》第二十八条</w:t>
            </w:r>
          </w:p>
          <w:p w14:paraId="3692F9D7">
            <w:pPr>
              <w:spacing w:before="156" w:beforeLines="50" w:after="156" w:afterLines="50"/>
              <w:rPr>
                <w:rFonts w:ascii="宋体"/>
                <w:sz w:val="18"/>
                <w:szCs w:val="18"/>
              </w:rPr>
            </w:pPr>
            <w:r>
              <w:rPr>
                <w:rFonts w:hint="eastAsia" w:ascii="宋体"/>
                <w:sz w:val="18"/>
                <w:szCs w:val="18"/>
              </w:rPr>
              <w:t>第（四）项</w:t>
            </w:r>
          </w:p>
        </w:tc>
        <w:tc>
          <w:tcPr>
            <w:tcW w:w="1518" w:type="dxa"/>
            <w:vMerge w:val="restart"/>
            <w:vAlign w:val="center"/>
          </w:tcPr>
          <w:p w14:paraId="72E2331C">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3B984785">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2.《中华人民共和国内河海事行政处罚规定》第十九条第一款及第三款第（五）项；</w:t>
            </w:r>
          </w:p>
          <w:p w14:paraId="7A4C9346">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0312A743">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1B970E85">
            <w:pPr>
              <w:spacing w:before="156" w:beforeLines="50" w:after="156" w:afterLines="50"/>
              <w:rPr>
                <w:rFonts w:ascii="宋体"/>
                <w:sz w:val="18"/>
                <w:szCs w:val="18"/>
              </w:rPr>
            </w:pPr>
            <w:r>
              <w:rPr>
                <w:rFonts w:hint="eastAsia" w:ascii="宋体"/>
                <w:sz w:val="18"/>
                <w:szCs w:val="18"/>
              </w:rPr>
              <w:t>具有法定从轻情节的。</w:t>
            </w:r>
          </w:p>
        </w:tc>
        <w:tc>
          <w:tcPr>
            <w:tcW w:w="10160" w:type="dxa"/>
            <w:vAlign w:val="center"/>
          </w:tcPr>
          <w:p w14:paraId="141F87C5">
            <w:pPr>
              <w:spacing w:before="156" w:beforeLines="50" w:after="156" w:afterLines="50"/>
              <w:rPr>
                <w:rFonts w:ascii="宋体"/>
                <w:sz w:val="18"/>
                <w:szCs w:val="18"/>
              </w:rPr>
            </w:pPr>
            <w:r>
              <w:rPr>
                <w:rFonts w:hint="eastAsia" w:ascii="宋体"/>
                <w:sz w:val="18"/>
                <w:szCs w:val="18"/>
              </w:rPr>
              <w:t>5000元及以上9000元以下</w:t>
            </w:r>
          </w:p>
        </w:tc>
      </w:tr>
      <w:tr w14:paraId="536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62BDBC56">
            <w:pPr>
              <w:spacing w:before="156" w:beforeLines="50" w:after="156" w:afterLines="50"/>
              <w:jc w:val="left"/>
              <w:rPr>
                <w:sz w:val="18"/>
                <w:szCs w:val="18"/>
              </w:rPr>
            </w:pPr>
          </w:p>
        </w:tc>
        <w:tc>
          <w:tcPr>
            <w:tcW w:w="977" w:type="dxa"/>
            <w:vMerge w:val="continue"/>
            <w:vAlign w:val="center"/>
          </w:tcPr>
          <w:p w14:paraId="4516E199">
            <w:pPr>
              <w:spacing w:before="156" w:beforeLines="50" w:after="156" w:afterLines="50"/>
              <w:jc w:val="left"/>
              <w:rPr>
                <w:sz w:val="18"/>
                <w:szCs w:val="18"/>
              </w:rPr>
            </w:pPr>
          </w:p>
        </w:tc>
        <w:tc>
          <w:tcPr>
            <w:tcW w:w="951" w:type="dxa"/>
            <w:vMerge w:val="continue"/>
            <w:vAlign w:val="center"/>
          </w:tcPr>
          <w:p w14:paraId="206D08A3">
            <w:pPr>
              <w:spacing w:before="156" w:beforeLines="50" w:after="156" w:afterLines="50"/>
              <w:rPr>
                <w:rFonts w:ascii="宋体"/>
                <w:sz w:val="18"/>
                <w:szCs w:val="18"/>
              </w:rPr>
            </w:pPr>
          </w:p>
        </w:tc>
        <w:tc>
          <w:tcPr>
            <w:tcW w:w="1518" w:type="dxa"/>
            <w:vMerge w:val="continue"/>
            <w:vAlign w:val="center"/>
          </w:tcPr>
          <w:p w14:paraId="2A21C4B2">
            <w:pPr>
              <w:spacing w:before="156" w:beforeLines="50" w:after="156" w:afterLines="50"/>
              <w:rPr>
                <w:rFonts w:ascii="宋体"/>
                <w:sz w:val="18"/>
                <w:szCs w:val="18"/>
              </w:rPr>
            </w:pPr>
          </w:p>
        </w:tc>
        <w:tc>
          <w:tcPr>
            <w:tcW w:w="934" w:type="dxa"/>
            <w:vMerge w:val="restart"/>
            <w:vAlign w:val="center"/>
          </w:tcPr>
          <w:p w14:paraId="6E143EF2">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7322F8A0">
            <w:pPr>
              <w:spacing w:before="156" w:beforeLines="50" w:after="156" w:afterLines="50"/>
              <w:rPr>
                <w:rFonts w:ascii="宋体"/>
                <w:sz w:val="18"/>
                <w:szCs w:val="18"/>
              </w:rPr>
            </w:pPr>
            <w:r>
              <w:rPr>
                <w:rFonts w:hint="eastAsia" w:ascii="宋体"/>
                <w:sz w:val="18"/>
                <w:szCs w:val="18"/>
              </w:rPr>
              <w:t>船舶试航、试车，未向海事管理机构备案的。</w:t>
            </w:r>
          </w:p>
        </w:tc>
        <w:tc>
          <w:tcPr>
            <w:tcW w:w="10160" w:type="dxa"/>
            <w:vAlign w:val="center"/>
          </w:tcPr>
          <w:p w14:paraId="0180909D">
            <w:pPr>
              <w:spacing w:before="156" w:beforeLines="50" w:after="156" w:afterLines="50"/>
              <w:rPr>
                <w:rFonts w:ascii="宋体"/>
                <w:sz w:val="18"/>
                <w:szCs w:val="18"/>
              </w:rPr>
            </w:pPr>
            <w:r>
              <w:rPr>
                <w:rFonts w:hint="eastAsia" w:ascii="宋体"/>
                <w:sz w:val="18"/>
                <w:szCs w:val="18"/>
              </w:rPr>
              <w:t>9000元及以上1.5万元以下</w:t>
            </w:r>
          </w:p>
        </w:tc>
      </w:tr>
      <w:tr w14:paraId="370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7B202106">
            <w:pPr>
              <w:spacing w:before="156" w:beforeLines="50" w:after="156" w:afterLines="50"/>
              <w:jc w:val="left"/>
              <w:rPr>
                <w:sz w:val="18"/>
                <w:szCs w:val="18"/>
              </w:rPr>
            </w:pPr>
          </w:p>
        </w:tc>
        <w:tc>
          <w:tcPr>
            <w:tcW w:w="977" w:type="dxa"/>
            <w:vMerge w:val="continue"/>
            <w:vAlign w:val="center"/>
          </w:tcPr>
          <w:p w14:paraId="4A9A9104">
            <w:pPr>
              <w:spacing w:before="156" w:beforeLines="50" w:after="156" w:afterLines="50"/>
              <w:jc w:val="left"/>
              <w:rPr>
                <w:sz w:val="18"/>
                <w:szCs w:val="18"/>
              </w:rPr>
            </w:pPr>
          </w:p>
        </w:tc>
        <w:tc>
          <w:tcPr>
            <w:tcW w:w="951" w:type="dxa"/>
            <w:vMerge w:val="continue"/>
            <w:vAlign w:val="center"/>
          </w:tcPr>
          <w:p w14:paraId="3F62B9E8">
            <w:pPr>
              <w:spacing w:before="156" w:beforeLines="50" w:after="156" w:afterLines="50"/>
              <w:rPr>
                <w:rFonts w:ascii="宋体"/>
                <w:sz w:val="18"/>
                <w:szCs w:val="18"/>
              </w:rPr>
            </w:pPr>
          </w:p>
        </w:tc>
        <w:tc>
          <w:tcPr>
            <w:tcW w:w="1518" w:type="dxa"/>
            <w:vMerge w:val="continue"/>
            <w:vAlign w:val="center"/>
          </w:tcPr>
          <w:p w14:paraId="4B0743E8">
            <w:pPr>
              <w:spacing w:before="156" w:beforeLines="50" w:after="156" w:afterLines="50"/>
              <w:rPr>
                <w:rFonts w:ascii="宋体"/>
                <w:sz w:val="18"/>
                <w:szCs w:val="18"/>
              </w:rPr>
            </w:pPr>
          </w:p>
        </w:tc>
        <w:tc>
          <w:tcPr>
            <w:tcW w:w="934" w:type="dxa"/>
            <w:vMerge w:val="continue"/>
            <w:vAlign w:val="center"/>
          </w:tcPr>
          <w:p w14:paraId="139FBC20">
            <w:pPr>
              <w:spacing w:before="156" w:beforeLines="50" w:after="156" w:afterLines="50"/>
              <w:rPr>
                <w:rFonts w:ascii="宋体"/>
                <w:sz w:val="18"/>
                <w:szCs w:val="18"/>
              </w:rPr>
            </w:pPr>
          </w:p>
        </w:tc>
        <w:tc>
          <w:tcPr>
            <w:tcW w:w="4337" w:type="dxa"/>
            <w:vAlign w:val="center"/>
          </w:tcPr>
          <w:p w14:paraId="356B28F5">
            <w:pPr>
              <w:spacing w:before="156" w:beforeLines="50" w:after="156" w:afterLines="50"/>
              <w:rPr>
                <w:rFonts w:ascii="宋体"/>
                <w:sz w:val="18"/>
                <w:szCs w:val="18"/>
              </w:rPr>
            </w:pPr>
            <w:r>
              <w:rPr>
                <w:rFonts w:hint="eastAsia" w:ascii="宋体"/>
                <w:sz w:val="18"/>
                <w:szCs w:val="18"/>
              </w:rPr>
              <w:t>船舶试航、试车，不按照规定备案，发生一般以下水上交通事故的。</w:t>
            </w:r>
          </w:p>
        </w:tc>
        <w:tc>
          <w:tcPr>
            <w:tcW w:w="10160" w:type="dxa"/>
            <w:vAlign w:val="center"/>
          </w:tcPr>
          <w:p w14:paraId="7B9532F2">
            <w:pPr>
              <w:spacing w:before="156" w:beforeLines="50" w:after="156" w:afterLines="50"/>
              <w:rPr>
                <w:rFonts w:ascii="宋体"/>
                <w:sz w:val="18"/>
                <w:szCs w:val="18"/>
              </w:rPr>
            </w:pPr>
            <w:r>
              <w:rPr>
                <w:rFonts w:hint="eastAsia" w:ascii="宋体"/>
                <w:sz w:val="18"/>
                <w:szCs w:val="18"/>
              </w:rPr>
              <w:t>1.5万元及以上3万元以下</w:t>
            </w:r>
          </w:p>
        </w:tc>
      </w:tr>
      <w:tr w14:paraId="0225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287B8B43">
            <w:pPr>
              <w:spacing w:before="156" w:beforeLines="50" w:after="156" w:afterLines="50"/>
              <w:jc w:val="left"/>
              <w:rPr>
                <w:sz w:val="18"/>
                <w:szCs w:val="18"/>
              </w:rPr>
            </w:pPr>
          </w:p>
        </w:tc>
        <w:tc>
          <w:tcPr>
            <w:tcW w:w="977" w:type="dxa"/>
            <w:vMerge w:val="continue"/>
            <w:tcBorders>
              <w:bottom w:val="single" w:color="auto" w:sz="4" w:space="0"/>
            </w:tcBorders>
            <w:vAlign w:val="center"/>
          </w:tcPr>
          <w:p w14:paraId="65B20151">
            <w:pPr>
              <w:spacing w:before="156" w:beforeLines="50" w:after="156" w:afterLines="50"/>
              <w:jc w:val="left"/>
              <w:rPr>
                <w:sz w:val="18"/>
                <w:szCs w:val="18"/>
              </w:rPr>
            </w:pPr>
          </w:p>
        </w:tc>
        <w:tc>
          <w:tcPr>
            <w:tcW w:w="951" w:type="dxa"/>
            <w:vMerge w:val="continue"/>
            <w:tcBorders>
              <w:bottom w:val="single" w:color="auto" w:sz="4" w:space="0"/>
            </w:tcBorders>
            <w:vAlign w:val="center"/>
          </w:tcPr>
          <w:p w14:paraId="1ABAC996">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6A3E2200">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2523E4C2">
            <w:pPr>
              <w:spacing w:before="156" w:beforeLines="50" w:after="156" w:afterLines="50"/>
              <w:rPr>
                <w:rFonts w:ascii="宋体"/>
                <w:sz w:val="18"/>
                <w:szCs w:val="18"/>
              </w:rPr>
            </w:pPr>
          </w:p>
        </w:tc>
        <w:tc>
          <w:tcPr>
            <w:tcW w:w="4337" w:type="dxa"/>
            <w:tcBorders>
              <w:bottom w:val="single" w:color="auto" w:sz="4" w:space="0"/>
            </w:tcBorders>
            <w:vAlign w:val="center"/>
          </w:tcPr>
          <w:p w14:paraId="33F0543A">
            <w:pPr>
              <w:spacing w:before="156" w:beforeLines="50" w:after="156" w:afterLines="50"/>
              <w:rPr>
                <w:rFonts w:ascii="宋体"/>
                <w:sz w:val="18"/>
                <w:szCs w:val="18"/>
              </w:rPr>
            </w:pPr>
            <w:r>
              <w:rPr>
                <w:rFonts w:hint="eastAsia" w:ascii="宋体"/>
                <w:sz w:val="18"/>
                <w:szCs w:val="18"/>
              </w:rPr>
              <w:t>1.船舶试航、试车，不按照规定备案，发生一般及以上水上交通事故的；</w:t>
            </w:r>
          </w:p>
          <w:p w14:paraId="1EFFBC85">
            <w:pPr>
              <w:spacing w:before="156" w:beforeLines="50" w:after="156" w:afterLines="50"/>
              <w:rPr>
                <w:rFonts w:ascii="宋体"/>
                <w:sz w:val="18"/>
                <w:szCs w:val="18"/>
              </w:rPr>
            </w:pPr>
            <w:r>
              <w:rPr>
                <w:rFonts w:hint="eastAsia" w:ascii="宋体"/>
                <w:sz w:val="18"/>
                <w:szCs w:val="18"/>
              </w:rPr>
              <w:t>2.造成其他严重后果的。</w:t>
            </w:r>
          </w:p>
        </w:tc>
        <w:tc>
          <w:tcPr>
            <w:tcW w:w="10160" w:type="dxa"/>
            <w:tcBorders>
              <w:bottom w:val="single" w:color="auto" w:sz="4" w:space="0"/>
            </w:tcBorders>
            <w:vAlign w:val="center"/>
          </w:tcPr>
          <w:p w14:paraId="1975C93C">
            <w:pPr>
              <w:spacing w:before="156" w:beforeLines="50" w:after="156" w:afterLines="50"/>
              <w:rPr>
                <w:rFonts w:ascii="宋体"/>
                <w:sz w:val="18"/>
                <w:szCs w:val="18"/>
              </w:rPr>
            </w:pPr>
            <w:r>
              <w:rPr>
                <w:rFonts w:hint="eastAsia" w:ascii="宋体"/>
                <w:sz w:val="18"/>
                <w:szCs w:val="18"/>
              </w:rPr>
              <w:t>3万元及以上5万元及以下</w:t>
            </w:r>
          </w:p>
        </w:tc>
      </w:tr>
    </w:tbl>
    <w:p w14:paraId="22864451">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800"/>
      </w:tblGrid>
      <w:tr w14:paraId="631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42DFEF74">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01DBCA50">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7B74D4B9">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0D19913A">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14:paraId="435D5765">
            <w:pPr>
              <w:spacing w:before="156" w:beforeLines="50" w:after="156" w:afterLines="50"/>
              <w:jc w:val="center"/>
              <w:rPr>
                <w:rFonts w:ascii="宋体"/>
                <w:b/>
                <w:sz w:val="18"/>
                <w:szCs w:val="18"/>
              </w:rPr>
            </w:pPr>
            <w:r>
              <w:rPr>
                <w:rFonts w:hint="eastAsia" w:ascii="宋体"/>
                <w:b/>
                <w:sz w:val="18"/>
                <w:szCs w:val="18"/>
              </w:rPr>
              <w:t>主要考虑因素</w:t>
            </w:r>
          </w:p>
          <w:p w14:paraId="6ECDE451">
            <w:pPr>
              <w:spacing w:before="156" w:beforeLines="50" w:after="156" w:afterLines="50"/>
              <w:jc w:val="center"/>
              <w:rPr>
                <w:b/>
                <w:sz w:val="18"/>
                <w:szCs w:val="18"/>
              </w:rPr>
            </w:pPr>
            <w:r>
              <w:rPr>
                <w:rFonts w:hint="eastAsia" w:ascii="宋体"/>
                <w:b/>
                <w:sz w:val="18"/>
                <w:szCs w:val="18"/>
              </w:rPr>
              <w:t>（事实、性质、情节、危害程度和实际后果等）</w:t>
            </w:r>
          </w:p>
        </w:tc>
        <w:tc>
          <w:tcPr>
            <w:tcW w:w="9800" w:type="dxa"/>
            <w:vAlign w:val="center"/>
          </w:tcPr>
          <w:p w14:paraId="24EA133F">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0BB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694E4099">
            <w:pPr>
              <w:spacing w:before="156" w:beforeLines="50" w:after="156" w:afterLines="50"/>
              <w:jc w:val="center"/>
              <w:rPr>
                <w:b/>
                <w:sz w:val="18"/>
                <w:szCs w:val="18"/>
              </w:rPr>
            </w:pPr>
          </w:p>
        </w:tc>
        <w:tc>
          <w:tcPr>
            <w:tcW w:w="977" w:type="dxa"/>
            <w:vMerge w:val="continue"/>
            <w:vAlign w:val="center"/>
          </w:tcPr>
          <w:p w14:paraId="24E65C14">
            <w:pPr>
              <w:spacing w:before="156" w:beforeLines="50" w:after="156" w:afterLines="50"/>
              <w:jc w:val="center"/>
              <w:rPr>
                <w:b/>
                <w:sz w:val="18"/>
                <w:szCs w:val="18"/>
              </w:rPr>
            </w:pPr>
          </w:p>
        </w:tc>
        <w:tc>
          <w:tcPr>
            <w:tcW w:w="2469" w:type="dxa"/>
            <w:gridSpan w:val="2"/>
            <w:vMerge w:val="continue"/>
            <w:vAlign w:val="center"/>
          </w:tcPr>
          <w:p w14:paraId="1B27959B">
            <w:pPr>
              <w:spacing w:before="156" w:beforeLines="50" w:after="156" w:afterLines="50"/>
              <w:jc w:val="center"/>
              <w:rPr>
                <w:b/>
                <w:sz w:val="18"/>
                <w:szCs w:val="18"/>
              </w:rPr>
            </w:pPr>
          </w:p>
        </w:tc>
        <w:tc>
          <w:tcPr>
            <w:tcW w:w="934" w:type="dxa"/>
            <w:vMerge w:val="continue"/>
            <w:vAlign w:val="center"/>
          </w:tcPr>
          <w:p w14:paraId="5956F42D">
            <w:pPr>
              <w:spacing w:before="156" w:beforeLines="50" w:after="156" w:afterLines="50"/>
              <w:jc w:val="left"/>
              <w:rPr>
                <w:b/>
                <w:sz w:val="18"/>
                <w:szCs w:val="18"/>
              </w:rPr>
            </w:pPr>
          </w:p>
        </w:tc>
        <w:tc>
          <w:tcPr>
            <w:tcW w:w="4337" w:type="dxa"/>
            <w:vMerge w:val="continue"/>
            <w:vAlign w:val="center"/>
          </w:tcPr>
          <w:p w14:paraId="56CEFCD2">
            <w:pPr>
              <w:spacing w:before="156" w:beforeLines="50" w:after="156" w:afterLines="50"/>
              <w:jc w:val="left"/>
              <w:rPr>
                <w:rFonts w:ascii="宋体"/>
                <w:b/>
                <w:sz w:val="18"/>
                <w:szCs w:val="18"/>
              </w:rPr>
            </w:pPr>
          </w:p>
        </w:tc>
        <w:tc>
          <w:tcPr>
            <w:tcW w:w="9800" w:type="dxa"/>
            <w:vAlign w:val="center"/>
          </w:tcPr>
          <w:p w14:paraId="50E1826F">
            <w:pPr>
              <w:spacing w:before="156" w:beforeLines="50" w:after="156" w:afterLines="50"/>
              <w:jc w:val="center"/>
              <w:rPr>
                <w:b/>
                <w:sz w:val="18"/>
                <w:szCs w:val="18"/>
              </w:rPr>
            </w:pPr>
            <w:r>
              <w:rPr>
                <w:rFonts w:hint="eastAsia"/>
                <w:b/>
                <w:sz w:val="18"/>
                <w:szCs w:val="18"/>
              </w:rPr>
              <w:t>处罚基准</w:t>
            </w:r>
          </w:p>
        </w:tc>
      </w:tr>
      <w:tr w14:paraId="7879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11C98E2D">
            <w:pPr>
              <w:spacing w:before="156" w:beforeLines="50" w:after="156" w:afterLines="50"/>
              <w:jc w:val="center"/>
              <w:rPr>
                <w:b/>
                <w:sz w:val="18"/>
                <w:szCs w:val="18"/>
              </w:rPr>
            </w:pPr>
          </w:p>
        </w:tc>
        <w:tc>
          <w:tcPr>
            <w:tcW w:w="977" w:type="dxa"/>
            <w:vMerge w:val="continue"/>
            <w:vAlign w:val="center"/>
          </w:tcPr>
          <w:p w14:paraId="60A1AF23">
            <w:pPr>
              <w:spacing w:before="156" w:beforeLines="50" w:after="156" w:afterLines="50"/>
              <w:jc w:val="center"/>
              <w:rPr>
                <w:b/>
                <w:sz w:val="18"/>
                <w:szCs w:val="18"/>
              </w:rPr>
            </w:pPr>
          </w:p>
        </w:tc>
        <w:tc>
          <w:tcPr>
            <w:tcW w:w="2469" w:type="dxa"/>
            <w:gridSpan w:val="2"/>
            <w:vMerge w:val="continue"/>
            <w:vAlign w:val="center"/>
          </w:tcPr>
          <w:p w14:paraId="2F568947">
            <w:pPr>
              <w:spacing w:before="156" w:beforeLines="50" w:after="156" w:afterLines="50"/>
              <w:jc w:val="center"/>
              <w:rPr>
                <w:b/>
                <w:sz w:val="18"/>
                <w:szCs w:val="18"/>
              </w:rPr>
            </w:pPr>
          </w:p>
        </w:tc>
        <w:tc>
          <w:tcPr>
            <w:tcW w:w="934" w:type="dxa"/>
            <w:vMerge w:val="continue"/>
            <w:vAlign w:val="center"/>
          </w:tcPr>
          <w:p w14:paraId="4F84A0C7">
            <w:pPr>
              <w:spacing w:before="156" w:beforeLines="50" w:after="156" w:afterLines="50"/>
              <w:jc w:val="left"/>
              <w:rPr>
                <w:b/>
                <w:sz w:val="18"/>
                <w:szCs w:val="18"/>
              </w:rPr>
            </w:pPr>
          </w:p>
        </w:tc>
        <w:tc>
          <w:tcPr>
            <w:tcW w:w="4337" w:type="dxa"/>
            <w:vMerge w:val="continue"/>
            <w:vAlign w:val="center"/>
          </w:tcPr>
          <w:p w14:paraId="6D9B93A5">
            <w:pPr>
              <w:spacing w:before="156" w:beforeLines="50" w:after="156" w:afterLines="50"/>
              <w:jc w:val="left"/>
              <w:rPr>
                <w:rFonts w:ascii="宋体"/>
                <w:b/>
                <w:sz w:val="18"/>
                <w:szCs w:val="18"/>
              </w:rPr>
            </w:pPr>
          </w:p>
        </w:tc>
        <w:tc>
          <w:tcPr>
            <w:tcW w:w="9800" w:type="dxa"/>
            <w:vMerge w:val="restart"/>
            <w:vAlign w:val="center"/>
          </w:tcPr>
          <w:p w14:paraId="70564E4E">
            <w:pPr>
              <w:spacing w:before="156" w:beforeLines="50" w:after="156" w:afterLines="50"/>
              <w:jc w:val="center"/>
              <w:rPr>
                <w:b/>
                <w:sz w:val="18"/>
                <w:szCs w:val="18"/>
              </w:rPr>
            </w:pPr>
            <w:r>
              <w:rPr>
                <w:rFonts w:hint="eastAsia"/>
                <w:b/>
                <w:sz w:val="18"/>
                <w:szCs w:val="18"/>
              </w:rPr>
              <w:t>【对象】施工作业单位</w:t>
            </w:r>
          </w:p>
        </w:tc>
      </w:tr>
      <w:tr w14:paraId="57E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28BC0D75">
            <w:pPr>
              <w:spacing w:before="156" w:beforeLines="50" w:after="156" w:afterLines="50"/>
              <w:jc w:val="center"/>
              <w:rPr>
                <w:b/>
                <w:sz w:val="18"/>
                <w:szCs w:val="18"/>
              </w:rPr>
            </w:pPr>
          </w:p>
        </w:tc>
        <w:tc>
          <w:tcPr>
            <w:tcW w:w="977" w:type="dxa"/>
            <w:vMerge w:val="continue"/>
            <w:vAlign w:val="center"/>
          </w:tcPr>
          <w:p w14:paraId="314D02BF">
            <w:pPr>
              <w:spacing w:before="156" w:beforeLines="50" w:after="156" w:afterLines="50"/>
              <w:jc w:val="center"/>
              <w:rPr>
                <w:b/>
                <w:sz w:val="18"/>
                <w:szCs w:val="18"/>
              </w:rPr>
            </w:pPr>
          </w:p>
        </w:tc>
        <w:tc>
          <w:tcPr>
            <w:tcW w:w="951" w:type="dxa"/>
            <w:vAlign w:val="center"/>
          </w:tcPr>
          <w:p w14:paraId="00EC72BC">
            <w:pPr>
              <w:spacing w:before="156" w:beforeLines="50" w:after="156" w:afterLines="50"/>
              <w:jc w:val="center"/>
              <w:rPr>
                <w:b/>
                <w:sz w:val="18"/>
                <w:szCs w:val="18"/>
              </w:rPr>
            </w:pPr>
            <w:r>
              <w:rPr>
                <w:rFonts w:hint="eastAsia"/>
                <w:b/>
                <w:sz w:val="18"/>
                <w:szCs w:val="18"/>
              </w:rPr>
              <w:t>违反条款</w:t>
            </w:r>
          </w:p>
        </w:tc>
        <w:tc>
          <w:tcPr>
            <w:tcW w:w="1518" w:type="dxa"/>
            <w:vAlign w:val="center"/>
          </w:tcPr>
          <w:p w14:paraId="1E3BEF1B">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6FAE3B63">
            <w:pPr>
              <w:spacing w:before="156" w:beforeLines="50" w:after="156" w:afterLines="50"/>
              <w:jc w:val="left"/>
              <w:rPr>
                <w:b/>
                <w:sz w:val="18"/>
                <w:szCs w:val="18"/>
              </w:rPr>
            </w:pPr>
          </w:p>
        </w:tc>
        <w:tc>
          <w:tcPr>
            <w:tcW w:w="4337" w:type="dxa"/>
            <w:vMerge w:val="continue"/>
            <w:vAlign w:val="center"/>
          </w:tcPr>
          <w:p w14:paraId="0B43E7B6">
            <w:pPr>
              <w:spacing w:before="156" w:beforeLines="50" w:after="156" w:afterLines="50"/>
              <w:jc w:val="left"/>
              <w:rPr>
                <w:b/>
                <w:sz w:val="18"/>
                <w:szCs w:val="18"/>
              </w:rPr>
            </w:pPr>
          </w:p>
        </w:tc>
        <w:tc>
          <w:tcPr>
            <w:tcW w:w="9800" w:type="dxa"/>
            <w:vMerge w:val="continue"/>
            <w:vAlign w:val="center"/>
          </w:tcPr>
          <w:p w14:paraId="09440C62">
            <w:pPr>
              <w:spacing w:before="156" w:beforeLines="50" w:after="156" w:afterLines="50"/>
              <w:jc w:val="left"/>
              <w:rPr>
                <w:rFonts w:ascii="宋体"/>
                <w:b/>
                <w:sz w:val="18"/>
                <w:szCs w:val="18"/>
              </w:rPr>
            </w:pPr>
          </w:p>
        </w:tc>
      </w:tr>
      <w:tr w14:paraId="75B8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7EB83048">
            <w:pPr>
              <w:spacing w:before="156" w:beforeLines="50" w:after="156" w:afterLines="50"/>
              <w:jc w:val="center"/>
              <w:rPr>
                <w:sz w:val="18"/>
                <w:szCs w:val="18"/>
              </w:rPr>
            </w:pPr>
            <w:r>
              <w:rPr>
                <w:rFonts w:hint="eastAsia"/>
                <w:sz w:val="18"/>
                <w:szCs w:val="18"/>
              </w:rPr>
              <w:t>39</w:t>
            </w:r>
          </w:p>
        </w:tc>
        <w:tc>
          <w:tcPr>
            <w:tcW w:w="977" w:type="dxa"/>
            <w:vMerge w:val="restart"/>
            <w:vAlign w:val="center"/>
          </w:tcPr>
          <w:p w14:paraId="77946374">
            <w:pPr>
              <w:spacing w:before="156" w:beforeLines="50" w:after="156" w:afterLines="50"/>
              <w:rPr>
                <w:sz w:val="18"/>
                <w:szCs w:val="18"/>
              </w:rPr>
            </w:pPr>
            <w:r>
              <w:rPr>
                <w:rFonts w:hint="eastAsia" w:ascii="宋体"/>
                <w:sz w:val="18"/>
                <w:szCs w:val="18"/>
              </w:rPr>
              <w:t>在非锚地、非停泊区进行编、解队作业，不按照规定备案</w:t>
            </w:r>
          </w:p>
        </w:tc>
        <w:tc>
          <w:tcPr>
            <w:tcW w:w="951" w:type="dxa"/>
            <w:vMerge w:val="restart"/>
            <w:vAlign w:val="center"/>
          </w:tcPr>
          <w:p w14:paraId="5B346795">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3E661E87">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34BE61D9">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2.《中华人民共和国内河海事行政处罚规定》第十九条第一款及第三款第（四）项；</w:t>
            </w:r>
          </w:p>
          <w:p w14:paraId="2AB47C10">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31DCD82C">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55F1EF3C">
            <w:pPr>
              <w:spacing w:before="156" w:beforeLines="50" w:after="156" w:afterLines="50"/>
              <w:rPr>
                <w:rFonts w:ascii="宋体"/>
                <w:sz w:val="18"/>
                <w:szCs w:val="18"/>
              </w:rPr>
            </w:pPr>
            <w:r>
              <w:rPr>
                <w:rFonts w:hint="eastAsia" w:ascii="宋体"/>
                <w:sz w:val="18"/>
                <w:szCs w:val="18"/>
              </w:rPr>
              <w:t>具有法定从轻情节的。</w:t>
            </w:r>
          </w:p>
        </w:tc>
        <w:tc>
          <w:tcPr>
            <w:tcW w:w="9800" w:type="dxa"/>
            <w:vAlign w:val="center"/>
          </w:tcPr>
          <w:p w14:paraId="76AA77B0">
            <w:pPr>
              <w:spacing w:before="156" w:beforeLines="50" w:after="156" w:afterLines="50"/>
              <w:rPr>
                <w:rFonts w:ascii="宋体"/>
                <w:sz w:val="18"/>
                <w:szCs w:val="18"/>
              </w:rPr>
            </w:pPr>
            <w:r>
              <w:rPr>
                <w:rFonts w:hint="eastAsia" w:ascii="宋体"/>
                <w:sz w:val="18"/>
                <w:szCs w:val="18"/>
              </w:rPr>
              <w:t>5000元及以上9000元以下</w:t>
            </w:r>
          </w:p>
        </w:tc>
      </w:tr>
      <w:tr w14:paraId="6CEB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1B23707F">
            <w:pPr>
              <w:spacing w:before="156" w:beforeLines="50" w:after="156" w:afterLines="50"/>
              <w:jc w:val="left"/>
              <w:rPr>
                <w:sz w:val="18"/>
                <w:szCs w:val="18"/>
              </w:rPr>
            </w:pPr>
          </w:p>
        </w:tc>
        <w:tc>
          <w:tcPr>
            <w:tcW w:w="977" w:type="dxa"/>
            <w:vMerge w:val="continue"/>
            <w:vAlign w:val="center"/>
          </w:tcPr>
          <w:p w14:paraId="4E06FC11">
            <w:pPr>
              <w:spacing w:before="156" w:beforeLines="50" w:after="156" w:afterLines="50"/>
              <w:jc w:val="left"/>
              <w:rPr>
                <w:sz w:val="18"/>
                <w:szCs w:val="18"/>
              </w:rPr>
            </w:pPr>
          </w:p>
        </w:tc>
        <w:tc>
          <w:tcPr>
            <w:tcW w:w="951" w:type="dxa"/>
            <w:vMerge w:val="continue"/>
            <w:vAlign w:val="center"/>
          </w:tcPr>
          <w:p w14:paraId="5A15B27D">
            <w:pPr>
              <w:spacing w:before="156" w:beforeLines="50" w:after="156" w:afterLines="50"/>
              <w:rPr>
                <w:rFonts w:ascii="宋体"/>
                <w:sz w:val="18"/>
                <w:szCs w:val="18"/>
              </w:rPr>
            </w:pPr>
          </w:p>
        </w:tc>
        <w:tc>
          <w:tcPr>
            <w:tcW w:w="1518" w:type="dxa"/>
            <w:vMerge w:val="continue"/>
            <w:vAlign w:val="center"/>
          </w:tcPr>
          <w:p w14:paraId="6A2554F4">
            <w:pPr>
              <w:spacing w:before="156" w:beforeLines="50" w:after="156" w:afterLines="50"/>
              <w:rPr>
                <w:rFonts w:ascii="宋体"/>
                <w:sz w:val="18"/>
                <w:szCs w:val="18"/>
              </w:rPr>
            </w:pPr>
          </w:p>
        </w:tc>
        <w:tc>
          <w:tcPr>
            <w:tcW w:w="934" w:type="dxa"/>
            <w:vMerge w:val="restart"/>
            <w:vAlign w:val="center"/>
          </w:tcPr>
          <w:p w14:paraId="5F251CE0">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5A3E6784">
            <w:pPr>
              <w:spacing w:before="156" w:beforeLines="50" w:after="156" w:afterLines="50"/>
              <w:rPr>
                <w:rFonts w:ascii="宋体"/>
                <w:sz w:val="18"/>
                <w:szCs w:val="18"/>
              </w:rPr>
            </w:pPr>
            <w:r>
              <w:rPr>
                <w:rFonts w:hint="eastAsia" w:ascii="宋体"/>
                <w:sz w:val="18"/>
                <w:szCs w:val="18"/>
              </w:rPr>
              <w:t>在非锚地、非停泊区进行编、解队作业，未向海事管理机构备案的。</w:t>
            </w:r>
          </w:p>
        </w:tc>
        <w:tc>
          <w:tcPr>
            <w:tcW w:w="9800" w:type="dxa"/>
            <w:vAlign w:val="center"/>
          </w:tcPr>
          <w:p w14:paraId="542FE021">
            <w:pPr>
              <w:spacing w:before="156" w:beforeLines="50" w:after="156" w:afterLines="50"/>
              <w:rPr>
                <w:rFonts w:ascii="宋体"/>
                <w:sz w:val="18"/>
                <w:szCs w:val="18"/>
              </w:rPr>
            </w:pPr>
            <w:r>
              <w:rPr>
                <w:rFonts w:hint="eastAsia" w:ascii="宋体"/>
                <w:sz w:val="18"/>
                <w:szCs w:val="18"/>
              </w:rPr>
              <w:t>9000元及以上1.5万元以下</w:t>
            </w:r>
          </w:p>
        </w:tc>
      </w:tr>
      <w:tr w14:paraId="72FD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02CE7AD9">
            <w:pPr>
              <w:spacing w:before="156" w:beforeLines="50" w:after="156" w:afterLines="50"/>
              <w:jc w:val="left"/>
              <w:rPr>
                <w:sz w:val="18"/>
                <w:szCs w:val="18"/>
              </w:rPr>
            </w:pPr>
          </w:p>
        </w:tc>
        <w:tc>
          <w:tcPr>
            <w:tcW w:w="977" w:type="dxa"/>
            <w:vMerge w:val="continue"/>
            <w:vAlign w:val="center"/>
          </w:tcPr>
          <w:p w14:paraId="33513FC6">
            <w:pPr>
              <w:spacing w:before="156" w:beforeLines="50" w:after="156" w:afterLines="50"/>
              <w:jc w:val="left"/>
              <w:rPr>
                <w:sz w:val="18"/>
                <w:szCs w:val="18"/>
              </w:rPr>
            </w:pPr>
          </w:p>
        </w:tc>
        <w:tc>
          <w:tcPr>
            <w:tcW w:w="951" w:type="dxa"/>
            <w:vMerge w:val="continue"/>
            <w:vAlign w:val="center"/>
          </w:tcPr>
          <w:p w14:paraId="1E670445">
            <w:pPr>
              <w:spacing w:before="156" w:beforeLines="50" w:after="156" w:afterLines="50"/>
              <w:rPr>
                <w:rFonts w:ascii="宋体"/>
                <w:sz w:val="18"/>
                <w:szCs w:val="18"/>
              </w:rPr>
            </w:pPr>
          </w:p>
        </w:tc>
        <w:tc>
          <w:tcPr>
            <w:tcW w:w="1518" w:type="dxa"/>
            <w:vMerge w:val="continue"/>
            <w:vAlign w:val="center"/>
          </w:tcPr>
          <w:p w14:paraId="7181D244">
            <w:pPr>
              <w:spacing w:before="156" w:beforeLines="50" w:after="156" w:afterLines="50"/>
              <w:rPr>
                <w:rFonts w:ascii="宋体"/>
                <w:sz w:val="18"/>
                <w:szCs w:val="18"/>
              </w:rPr>
            </w:pPr>
          </w:p>
        </w:tc>
        <w:tc>
          <w:tcPr>
            <w:tcW w:w="934" w:type="dxa"/>
            <w:vMerge w:val="continue"/>
            <w:vAlign w:val="center"/>
          </w:tcPr>
          <w:p w14:paraId="23873218">
            <w:pPr>
              <w:spacing w:before="156" w:beforeLines="50" w:after="156" w:afterLines="50"/>
              <w:rPr>
                <w:rFonts w:ascii="宋体"/>
                <w:sz w:val="18"/>
                <w:szCs w:val="18"/>
              </w:rPr>
            </w:pPr>
          </w:p>
        </w:tc>
        <w:tc>
          <w:tcPr>
            <w:tcW w:w="4337" w:type="dxa"/>
            <w:vAlign w:val="center"/>
          </w:tcPr>
          <w:p w14:paraId="72481723">
            <w:pPr>
              <w:spacing w:before="156" w:beforeLines="50" w:after="156" w:afterLines="50"/>
              <w:rPr>
                <w:rFonts w:ascii="宋体"/>
                <w:sz w:val="18"/>
                <w:szCs w:val="18"/>
              </w:rPr>
            </w:pPr>
            <w:r>
              <w:rPr>
                <w:rFonts w:hint="eastAsia" w:ascii="宋体"/>
                <w:sz w:val="18"/>
                <w:szCs w:val="18"/>
              </w:rPr>
              <w:t>在非锚地、非停泊区进行编、解队作业，发生一般以下水上交通事故的。</w:t>
            </w:r>
          </w:p>
        </w:tc>
        <w:tc>
          <w:tcPr>
            <w:tcW w:w="9800" w:type="dxa"/>
            <w:vAlign w:val="center"/>
          </w:tcPr>
          <w:p w14:paraId="5199F43D">
            <w:pPr>
              <w:spacing w:before="156" w:beforeLines="50" w:after="156" w:afterLines="50"/>
              <w:rPr>
                <w:rFonts w:ascii="宋体"/>
                <w:sz w:val="18"/>
                <w:szCs w:val="18"/>
              </w:rPr>
            </w:pPr>
            <w:r>
              <w:rPr>
                <w:rFonts w:hint="eastAsia" w:ascii="宋体"/>
                <w:sz w:val="18"/>
                <w:szCs w:val="18"/>
              </w:rPr>
              <w:t>1.5万元及以上3万元以下</w:t>
            </w:r>
          </w:p>
        </w:tc>
      </w:tr>
      <w:tr w14:paraId="6BA5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53B3398D">
            <w:pPr>
              <w:spacing w:before="156" w:beforeLines="50" w:after="156" w:afterLines="50"/>
              <w:jc w:val="left"/>
              <w:rPr>
                <w:sz w:val="18"/>
                <w:szCs w:val="18"/>
              </w:rPr>
            </w:pPr>
          </w:p>
        </w:tc>
        <w:tc>
          <w:tcPr>
            <w:tcW w:w="977" w:type="dxa"/>
            <w:vMerge w:val="continue"/>
            <w:tcBorders>
              <w:bottom w:val="single" w:color="auto" w:sz="4" w:space="0"/>
            </w:tcBorders>
            <w:vAlign w:val="center"/>
          </w:tcPr>
          <w:p w14:paraId="23A210D7">
            <w:pPr>
              <w:spacing w:before="156" w:beforeLines="50" w:after="156" w:afterLines="50"/>
              <w:jc w:val="left"/>
              <w:rPr>
                <w:sz w:val="18"/>
                <w:szCs w:val="18"/>
              </w:rPr>
            </w:pPr>
          </w:p>
        </w:tc>
        <w:tc>
          <w:tcPr>
            <w:tcW w:w="951" w:type="dxa"/>
            <w:vMerge w:val="continue"/>
            <w:tcBorders>
              <w:bottom w:val="single" w:color="auto" w:sz="4" w:space="0"/>
            </w:tcBorders>
            <w:vAlign w:val="center"/>
          </w:tcPr>
          <w:p w14:paraId="14632EB9">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48DB2428">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7DC84EBC">
            <w:pPr>
              <w:spacing w:before="156" w:beforeLines="50" w:after="156" w:afterLines="50"/>
              <w:rPr>
                <w:rFonts w:ascii="宋体"/>
                <w:sz w:val="18"/>
                <w:szCs w:val="18"/>
              </w:rPr>
            </w:pPr>
          </w:p>
        </w:tc>
        <w:tc>
          <w:tcPr>
            <w:tcW w:w="4337" w:type="dxa"/>
            <w:tcBorders>
              <w:bottom w:val="single" w:color="auto" w:sz="4" w:space="0"/>
            </w:tcBorders>
            <w:vAlign w:val="center"/>
          </w:tcPr>
          <w:p w14:paraId="7406A544">
            <w:pPr>
              <w:spacing w:before="156" w:beforeLines="50" w:after="156" w:afterLines="50"/>
              <w:rPr>
                <w:rFonts w:ascii="宋体"/>
                <w:sz w:val="18"/>
                <w:szCs w:val="18"/>
              </w:rPr>
            </w:pPr>
            <w:r>
              <w:rPr>
                <w:rFonts w:hint="eastAsia" w:ascii="宋体"/>
                <w:sz w:val="18"/>
                <w:szCs w:val="18"/>
              </w:rPr>
              <w:t>1.在非锚地、非停泊区进行编、解队作业，发生一般及以上水上交通事故的；</w:t>
            </w:r>
          </w:p>
          <w:p w14:paraId="79207A51">
            <w:pPr>
              <w:spacing w:before="156" w:beforeLines="50" w:after="156" w:afterLines="50"/>
              <w:rPr>
                <w:rFonts w:ascii="宋体"/>
                <w:sz w:val="18"/>
                <w:szCs w:val="18"/>
              </w:rPr>
            </w:pPr>
            <w:r>
              <w:rPr>
                <w:rFonts w:hint="eastAsia" w:ascii="宋体"/>
                <w:sz w:val="18"/>
                <w:szCs w:val="18"/>
              </w:rPr>
              <w:t>2.造成其他严重后果的。</w:t>
            </w:r>
          </w:p>
        </w:tc>
        <w:tc>
          <w:tcPr>
            <w:tcW w:w="9800" w:type="dxa"/>
            <w:tcBorders>
              <w:bottom w:val="single" w:color="auto" w:sz="4" w:space="0"/>
            </w:tcBorders>
            <w:vAlign w:val="center"/>
          </w:tcPr>
          <w:p w14:paraId="689ACE45">
            <w:pPr>
              <w:spacing w:before="156" w:beforeLines="50" w:after="156" w:afterLines="50"/>
              <w:rPr>
                <w:rFonts w:ascii="宋体"/>
                <w:sz w:val="18"/>
                <w:szCs w:val="18"/>
              </w:rPr>
            </w:pPr>
            <w:r>
              <w:rPr>
                <w:rFonts w:hint="eastAsia" w:ascii="宋体"/>
                <w:sz w:val="18"/>
                <w:szCs w:val="18"/>
              </w:rPr>
              <w:t>3万元及以上5万元及以下</w:t>
            </w:r>
          </w:p>
        </w:tc>
      </w:tr>
    </w:tbl>
    <w:p w14:paraId="07ADC19B">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903"/>
      </w:tblGrid>
      <w:tr w14:paraId="76C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76AED785">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0E1D140F">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40A7124D">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5FFD0BB5">
            <w:pPr>
              <w:spacing w:before="156" w:beforeLines="50" w:after="156" w:afterLines="50"/>
              <w:jc w:val="center"/>
              <w:rPr>
                <w:b/>
                <w:sz w:val="18"/>
                <w:szCs w:val="18"/>
              </w:rPr>
            </w:pPr>
            <w:r>
              <w:rPr>
                <w:rFonts w:hint="eastAsia"/>
                <w:b/>
                <w:sz w:val="18"/>
                <w:szCs w:val="18"/>
              </w:rPr>
              <w:t>违法行为情节</w:t>
            </w:r>
          </w:p>
        </w:tc>
        <w:tc>
          <w:tcPr>
            <w:tcW w:w="4337" w:type="dxa"/>
            <w:vMerge w:val="restart"/>
            <w:vAlign w:val="center"/>
          </w:tcPr>
          <w:p w14:paraId="327D5F61">
            <w:pPr>
              <w:spacing w:before="156" w:beforeLines="50" w:after="156" w:afterLines="50"/>
              <w:jc w:val="center"/>
              <w:rPr>
                <w:rFonts w:ascii="宋体"/>
                <w:b/>
                <w:sz w:val="18"/>
                <w:szCs w:val="18"/>
              </w:rPr>
            </w:pPr>
            <w:r>
              <w:rPr>
                <w:rFonts w:hint="eastAsia" w:ascii="宋体"/>
                <w:b/>
                <w:sz w:val="18"/>
                <w:szCs w:val="18"/>
              </w:rPr>
              <w:t>主要考虑因素</w:t>
            </w:r>
          </w:p>
          <w:p w14:paraId="38B72E7F">
            <w:pPr>
              <w:spacing w:before="156" w:beforeLines="50" w:after="156" w:afterLines="50"/>
              <w:jc w:val="center"/>
              <w:rPr>
                <w:b/>
                <w:sz w:val="18"/>
                <w:szCs w:val="18"/>
              </w:rPr>
            </w:pPr>
            <w:r>
              <w:rPr>
                <w:rFonts w:hint="eastAsia" w:ascii="宋体"/>
                <w:b/>
                <w:sz w:val="18"/>
                <w:szCs w:val="18"/>
              </w:rPr>
              <w:t>（事实、性质、情节、危害程度和实际后果等）</w:t>
            </w:r>
          </w:p>
        </w:tc>
        <w:tc>
          <w:tcPr>
            <w:tcW w:w="9903" w:type="dxa"/>
            <w:vAlign w:val="center"/>
          </w:tcPr>
          <w:p w14:paraId="73143E45">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64CC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1AFCF7F5">
            <w:pPr>
              <w:spacing w:before="156" w:beforeLines="50" w:after="156" w:afterLines="50"/>
              <w:jc w:val="center"/>
              <w:rPr>
                <w:b/>
                <w:sz w:val="18"/>
                <w:szCs w:val="18"/>
              </w:rPr>
            </w:pPr>
          </w:p>
        </w:tc>
        <w:tc>
          <w:tcPr>
            <w:tcW w:w="977" w:type="dxa"/>
            <w:vMerge w:val="continue"/>
            <w:vAlign w:val="center"/>
          </w:tcPr>
          <w:p w14:paraId="345D50B1">
            <w:pPr>
              <w:spacing w:before="156" w:beforeLines="50" w:after="156" w:afterLines="50"/>
              <w:jc w:val="center"/>
              <w:rPr>
                <w:b/>
                <w:sz w:val="18"/>
                <w:szCs w:val="18"/>
              </w:rPr>
            </w:pPr>
          </w:p>
        </w:tc>
        <w:tc>
          <w:tcPr>
            <w:tcW w:w="2469" w:type="dxa"/>
            <w:gridSpan w:val="2"/>
            <w:vMerge w:val="continue"/>
            <w:vAlign w:val="center"/>
          </w:tcPr>
          <w:p w14:paraId="059D531A">
            <w:pPr>
              <w:spacing w:before="156" w:beforeLines="50" w:after="156" w:afterLines="50"/>
              <w:jc w:val="center"/>
              <w:rPr>
                <w:b/>
                <w:sz w:val="18"/>
                <w:szCs w:val="18"/>
              </w:rPr>
            </w:pPr>
          </w:p>
        </w:tc>
        <w:tc>
          <w:tcPr>
            <w:tcW w:w="934" w:type="dxa"/>
            <w:vMerge w:val="continue"/>
            <w:vAlign w:val="center"/>
          </w:tcPr>
          <w:p w14:paraId="0B4DAFB7">
            <w:pPr>
              <w:spacing w:before="156" w:beforeLines="50" w:after="156" w:afterLines="50"/>
              <w:jc w:val="left"/>
              <w:rPr>
                <w:b/>
                <w:sz w:val="18"/>
                <w:szCs w:val="18"/>
              </w:rPr>
            </w:pPr>
          </w:p>
        </w:tc>
        <w:tc>
          <w:tcPr>
            <w:tcW w:w="4337" w:type="dxa"/>
            <w:vMerge w:val="continue"/>
            <w:vAlign w:val="center"/>
          </w:tcPr>
          <w:p w14:paraId="02FDE41D">
            <w:pPr>
              <w:spacing w:before="156" w:beforeLines="50" w:after="156" w:afterLines="50"/>
              <w:jc w:val="left"/>
              <w:rPr>
                <w:rFonts w:ascii="宋体"/>
                <w:b/>
                <w:sz w:val="18"/>
                <w:szCs w:val="18"/>
              </w:rPr>
            </w:pPr>
          </w:p>
        </w:tc>
        <w:tc>
          <w:tcPr>
            <w:tcW w:w="9903" w:type="dxa"/>
            <w:vAlign w:val="center"/>
          </w:tcPr>
          <w:p w14:paraId="06B6659C">
            <w:pPr>
              <w:spacing w:before="156" w:beforeLines="50" w:after="156" w:afterLines="50"/>
              <w:jc w:val="center"/>
              <w:rPr>
                <w:b/>
                <w:sz w:val="18"/>
                <w:szCs w:val="18"/>
              </w:rPr>
            </w:pPr>
            <w:r>
              <w:rPr>
                <w:rFonts w:hint="eastAsia"/>
                <w:b/>
                <w:sz w:val="18"/>
                <w:szCs w:val="18"/>
              </w:rPr>
              <w:t>处罚基准</w:t>
            </w:r>
          </w:p>
        </w:tc>
      </w:tr>
      <w:tr w14:paraId="3EB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1CADE586">
            <w:pPr>
              <w:spacing w:before="156" w:beforeLines="50" w:after="156" w:afterLines="50"/>
              <w:jc w:val="center"/>
              <w:rPr>
                <w:b/>
                <w:sz w:val="18"/>
                <w:szCs w:val="18"/>
              </w:rPr>
            </w:pPr>
          </w:p>
        </w:tc>
        <w:tc>
          <w:tcPr>
            <w:tcW w:w="977" w:type="dxa"/>
            <w:vMerge w:val="continue"/>
            <w:vAlign w:val="center"/>
          </w:tcPr>
          <w:p w14:paraId="302E7A47">
            <w:pPr>
              <w:spacing w:before="156" w:beforeLines="50" w:after="156" w:afterLines="50"/>
              <w:jc w:val="center"/>
              <w:rPr>
                <w:b/>
                <w:sz w:val="18"/>
                <w:szCs w:val="18"/>
              </w:rPr>
            </w:pPr>
          </w:p>
        </w:tc>
        <w:tc>
          <w:tcPr>
            <w:tcW w:w="2469" w:type="dxa"/>
            <w:gridSpan w:val="2"/>
            <w:vMerge w:val="continue"/>
            <w:vAlign w:val="center"/>
          </w:tcPr>
          <w:p w14:paraId="13762641">
            <w:pPr>
              <w:spacing w:before="156" w:beforeLines="50" w:after="156" w:afterLines="50"/>
              <w:jc w:val="center"/>
              <w:rPr>
                <w:b/>
                <w:sz w:val="18"/>
                <w:szCs w:val="18"/>
              </w:rPr>
            </w:pPr>
          </w:p>
        </w:tc>
        <w:tc>
          <w:tcPr>
            <w:tcW w:w="934" w:type="dxa"/>
            <w:vMerge w:val="continue"/>
            <w:vAlign w:val="center"/>
          </w:tcPr>
          <w:p w14:paraId="6E4562BD">
            <w:pPr>
              <w:spacing w:before="156" w:beforeLines="50" w:after="156" w:afterLines="50"/>
              <w:jc w:val="left"/>
              <w:rPr>
                <w:b/>
                <w:sz w:val="18"/>
                <w:szCs w:val="18"/>
              </w:rPr>
            </w:pPr>
          </w:p>
        </w:tc>
        <w:tc>
          <w:tcPr>
            <w:tcW w:w="4337" w:type="dxa"/>
            <w:vMerge w:val="continue"/>
            <w:vAlign w:val="center"/>
          </w:tcPr>
          <w:p w14:paraId="215CEBD2">
            <w:pPr>
              <w:spacing w:before="156" w:beforeLines="50" w:after="156" w:afterLines="50"/>
              <w:jc w:val="left"/>
              <w:rPr>
                <w:rFonts w:ascii="宋体"/>
                <w:b/>
                <w:sz w:val="18"/>
                <w:szCs w:val="18"/>
              </w:rPr>
            </w:pPr>
          </w:p>
        </w:tc>
        <w:tc>
          <w:tcPr>
            <w:tcW w:w="9903" w:type="dxa"/>
            <w:vMerge w:val="restart"/>
            <w:vAlign w:val="center"/>
          </w:tcPr>
          <w:p w14:paraId="646F66EF">
            <w:pPr>
              <w:spacing w:before="156" w:beforeLines="50" w:after="156" w:afterLines="50"/>
              <w:jc w:val="center"/>
              <w:rPr>
                <w:b/>
                <w:sz w:val="18"/>
                <w:szCs w:val="18"/>
              </w:rPr>
            </w:pPr>
            <w:r>
              <w:rPr>
                <w:rFonts w:hint="eastAsia"/>
                <w:b/>
                <w:sz w:val="18"/>
                <w:szCs w:val="18"/>
              </w:rPr>
              <w:t>【对象】施工作业单位</w:t>
            </w:r>
          </w:p>
        </w:tc>
      </w:tr>
      <w:tr w14:paraId="0D71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184A264C">
            <w:pPr>
              <w:spacing w:before="156" w:beforeLines="50" w:after="156" w:afterLines="50"/>
              <w:jc w:val="center"/>
              <w:rPr>
                <w:b/>
                <w:sz w:val="18"/>
                <w:szCs w:val="18"/>
              </w:rPr>
            </w:pPr>
          </w:p>
        </w:tc>
        <w:tc>
          <w:tcPr>
            <w:tcW w:w="977" w:type="dxa"/>
            <w:vMerge w:val="continue"/>
            <w:vAlign w:val="center"/>
          </w:tcPr>
          <w:p w14:paraId="5480994D">
            <w:pPr>
              <w:spacing w:before="156" w:beforeLines="50" w:after="156" w:afterLines="50"/>
              <w:jc w:val="center"/>
              <w:rPr>
                <w:b/>
                <w:sz w:val="18"/>
                <w:szCs w:val="18"/>
              </w:rPr>
            </w:pPr>
          </w:p>
        </w:tc>
        <w:tc>
          <w:tcPr>
            <w:tcW w:w="951" w:type="dxa"/>
            <w:vAlign w:val="center"/>
          </w:tcPr>
          <w:p w14:paraId="164C52BF">
            <w:pPr>
              <w:spacing w:before="156" w:beforeLines="50" w:after="156" w:afterLines="50"/>
              <w:jc w:val="center"/>
              <w:rPr>
                <w:b/>
                <w:sz w:val="18"/>
                <w:szCs w:val="18"/>
              </w:rPr>
            </w:pPr>
            <w:r>
              <w:rPr>
                <w:rFonts w:hint="eastAsia"/>
                <w:b/>
                <w:sz w:val="18"/>
                <w:szCs w:val="18"/>
              </w:rPr>
              <w:t>违反条款</w:t>
            </w:r>
          </w:p>
        </w:tc>
        <w:tc>
          <w:tcPr>
            <w:tcW w:w="1518" w:type="dxa"/>
            <w:vAlign w:val="center"/>
          </w:tcPr>
          <w:p w14:paraId="0334713D">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5A2628DA">
            <w:pPr>
              <w:spacing w:before="156" w:beforeLines="50" w:after="156" w:afterLines="50"/>
              <w:jc w:val="left"/>
              <w:rPr>
                <w:b/>
                <w:sz w:val="18"/>
                <w:szCs w:val="18"/>
              </w:rPr>
            </w:pPr>
          </w:p>
        </w:tc>
        <w:tc>
          <w:tcPr>
            <w:tcW w:w="4337" w:type="dxa"/>
            <w:vMerge w:val="continue"/>
            <w:vAlign w:val="center"/>
          </w:tcPr>
          <w:p w14:paraId="4927FEF3">
            <w:pPr>
              <w:spacing w:before="156" w:beforeLines="50" w:after="156" w:afterLines="50"/>
              <w:jc w:val="left"/>
              <w:rPr>
                <w:b/>
                <w:sz w:val="18"/>
                <w:szCs w:val="18"/>
              </w:rPr>
            </w:pPr>
          </w:p>
        </w:tc>
        <w:tc>
          <w:tcPr>
            <w:tcW w:w="9903" w:type="dxa"/>
            <w:vMerge w:val="continue"/>
            <w:vAlign w:val="center"/>
          </w:tcPr>
          <w:p w14:paraId="36B952CC">
            <w:pPr>
              <w:spacing w:before="156" w:beforeLines="50" w:after="156" w:afterLines="50"/>
              <w:jc w:val="left"/>
              <w:rPr>
                <w:rFonts w:ascii="宋体"/>
                <w:b/>
                <w:sz w:val="18"/>
                <w:szCs w:val="18"/>
              </w:rPr>
            </w:pPr>
          </w:p>
        </w:tc>
      </w:tr>
      <w:tr w14:paraId="0361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2C2C2ED4">
            <w:pPr>
              <w:spacing w:before="156" w:beforeLines="50" w:after="156" w:afterLines="50"/>
              <w:jc w:val="center"/>
              <w:rPr>
                <w:sz w:val="18"/>
                <w:szCs w:val="18"/>
              </w:rPr>
            </w:pPr>
            <w:r>
              <w:rPr>
                <w:rFonts w:hint="eastAsia"/>
                <w:sz w:val="18"/>
                <w:szCs w:val="18"/>
              </w:rPr>
              <w:t>40</w:t>
            </w:r>
          </w:p>
        </w:tc>
        <w:tc>
          <w:tcPr>
            <w:tcW w:w="977" w:type="dxa"/>
            <w:vMerge w:val="restart"/>
            <w:vAlign w:val="center"/>
          </w:tcPr>
          <w:p w14:paraId="7E8546ED">
            <w:pPr>
              <w:spacing w:before="156" w:beforeLines="50" w:after="156" w:afterLines="50"/>
              <w:rPr>
                <w:sz w:val="18"/>
                <w:szCs w:val="18"/>
              </w:rPr>
            </w:pPr>
            <w:r>
              <w:rPr>
                <w:rFonts w:hint="eastAsia" w:ascii="宋体"/>
                <w:sz w:val="18"/>
                <w:szCs w:val="18"/>
              </w:rPr>
              <w:t>检修影响船舶适航性能设备，不按照规定备案</w:t>
            </w:r>
          </w:p>
        </w:tc>
        <w:tc>
          <w:tcPr>
            <w:tcW w:w="951" w:type="dxa"/>
            <w:vMerge w:val="restart"/>
            <w:vAlign w:val="center"/>
          </w:tcPr>
          <w:p w14:paraId="649D17A9">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134F76A6">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48041828">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2.《中华人民共和国内河海事行政处罚规定》第十九条第一款及第三款第（一）项；</w:t>
            </w:r>
          </w:p>
          <w:p w14:paraId="30EAA61A">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63FEAA6F">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04FC5DE5">
            <w:pPr>
              <w:spacing w:before="156" w:beforeLines="50" w:after="156" w:afterLines="50"/>
              <w:rPr>
                <w:rFonts w:ascii="宋体"/>
                <w:sz w:val="18"/>
                <w:szCs w:val="18"/>
              </w:rPr>
            </w:pPr>
            <w:r>
              <w:rPr>
                <w:rFonts w:hint="eastAsia" w:ascii="宋体"/>
                <w:sz w:val="18"/>
                <w:szCs w:val="18"/>
              </w:rPr>
              <w:t>具有法定从轻情节的。</w:t>
            </w:r>
          </w:p>
        </w:tc>
        <w:tc>
          <w:tcPr>
            <w:tcW w:w="9903" w:type="dxa"/>
            <w:vAlign w:val="center"/>
          </w:tcPr>
          <w:p w14:paraId="290AA970">
            <w:pPr>
              <w:spacing w:before="156" w:beforeLines="50" w:after="156" w:afterLines="50"/>
              <w:rPr>
                <w:rFonts w:ascii="宋体"/>
                <w:sz w:val="18"/>
                <w:szCs w:val="18"/>
              </w:rPr>
            </w:pPr>
            <w:r>
              <w:rPr>
                <w:rFonts w:hint="eastAsia" w:ascii="宋体"/>
                <w:sz w:val="18"/>
                <w:szCs w:val="18"/>
              </w:rPr>
              <w:t>5000元及以上9000元以下</w:t>
            </w:r>
          </w:p>
        </w:tc>
      </w:tr>
      <w:tr w14:paraId="2918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5CD5F785">
            <w:pPr>
              <w:spacing w:before="156" w:beforeLines="50" w:after="156" w:afterLines="50"/>
              <w:jc w:val="left"/>
              <w:rPr>
                <w:sz w:val="18"/>
                <w:szCs w:val="18"/>
              </w:rPr>
            </w:pPr>
          </w:p>
        </w:tc>
        <w:tc>
          <w:tcPr>
            <w:tcW w:w="977" w:type="dxa"/>
            <w:vMerge w:val="continue"/>
            <w:vAlign w:val="center"/>
          </w:tcPr>
          <w:p w14:paraId="122094F3">
            <w:pPr>
              <w:spacing w:before="156" w:beforeLines="50" w:after="156" w:afterLines="50"/>
              <w:jc w:val="left"/>
              <w:rPr>
                <w:sz w:val="18"/>
                <w:szCs w:val="18"/>
              </w:rPr>
            </w:pPr>
          </w:p>
        </w:tc>
        <w:tc>
          <w:tcPr>
            <w:tcW w:w="951" w:type="dxa"/>
            <w:vMerge w:val="continue"/>
            <w:vAlign w:val="center"/>
          </w:tcPr>
          <w:p w14:paraId="1B72E482">
            <w:pPr>
              <w:spacing w:before="156" w:beforeLines="50" w:after="156" w:afterLines="50"/>
              <w:rPr>
                <w:rFonts w:ascii="宋体"/>
                <w:sz w:val="18"/>
                <w:szCs w:val="18"/>
              </w:rPr>
            </w:pPr>
          </w:p>
        </w:tc>
        <w:tc>
          <w:tcPr>
            <w:tcW w:w="1518" w:type="dxa"/>
            <w:vMerge w:val="continue"/>
            <w:vAlign w:val="center"/>
          </w:tcPr>
          <w:p w14:paraId="617CCDF5">
            <w:pPr>
              <w:spacing w:before="156" w:beforeLines="50" w:after="156" w:afterLines="50"/>
              <w:rPr>
                <w:rFonts w:ascii="宋体"/>
                <w:sz w:val="18"/>
                <w:szCs w:val="18"/>
              </w:rPr>
            </w:pPr>
          </w:p>
        </w:tc>
        <w:tc>
          <w:tcPr>
            <w:tcW w:w="934" w:type="dxa"/>
            <w:vMerge w:val="restart"/>
            <w:vAlign w:val="center"/>
          </w:tcPr>
          <w:p w14:paraId="0C673BB2">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0B7A394B">
            <w:pPr>
              <w:spacing w:before="156" w:beforeLines="50" w:after="156" w:afterLines="50"/>
              <w:rPr>
                <w:rFonts w:ascii="宋体"/>
                <w:sz w:val="18"/>
                <w:szCs w:val="18"/>
              </w:rPr>
            </w:pPr>
            <w:r>
              <w:rPr>
                <w:rFonts w:hint="eastAsia" w:ascii="宋体"/>
                <w:sz w:val="18"/>
                <w:szCs w:val="18"/>
              </w:rPr>
              <w:t>检修影响船舶适航性能设备，未向海事管理机构备案的。</w:t>
            </w:r>
          </w:p>
        </w:tc>
        <w:tc>
          <w:tcPr>
            <w:tcW w:w="9903" w:type="dxa"/>
            <w:vAlign w:val="center"/>
          </w:tcPr>
          <w:p w14:paraId="64E1BA1C">
            <w:pPr>
              <w:spacing w:before="156" w:beforeLines="50" w:after="156" w:afterLines="50"/>
              <w:rPr>
                <w:rFonts w:ascii="宋体"/>
                <w:sz w:val="18"/>
                <w:szCs w:val="18"/>
              </w:rPr>
            </w:pPr>
            <w:r>
              <w:rPr>
                <w:rFonts w:hint="eastAsia" w:ascii="宋体"/>
                <w:sz w:val="18"/>
                <w:szCs w:val="18"/>
              </w:rPr>
              <w:t>9000元及以上1.5万元以下</w:t>
            </w:r>
          </w:p>
        </w:tc>
      </w:tr>
      <w:tr w14:paraId="4125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1FF77872">
            <w:pPr>
              <w:spacing w:before="156" w:beforeLines="50" w:after="156" w:afterLines="50"/>
              <w:jc w:val="left"/>
              <w:rPr>
                <w:sz w:val="18"/>
                <w:szCs w:val="18"/>
              </w:rPr>
            </w:pPr>
          </w:p>
        </w:tc>
        <w:tc>
          <w:tcPr>
            <w:tcW w:w="977" w:type="dxa"/>
            <w:vMerge w:val="continue"/>
            <w:vAlign w:val="center"/>
          </w:tcPr>
          <w:p w14:paraId="55630D2F">
            <w:pPr>
              <w:spacing w:before="156" w:beforeLines="50" w:after="156" w:afterLines="50"/>
              <w:jc w:val="left"/>
              <w:rPr>
                <w:sz w:val="18"/>
                <w:szCs w:val="18"/>
              </w:rPr>
            </w:pPr>
          </w:p>
        </w:tc>
        <w:tc>
          <w:tcPr>
            <w:tcW w:w="951" w:type="dxa"/>
            <w:vMerge w:val="continue"/>
            <w:vAlign w:val="center"/>
          </w:tcPr>
          <w:p w14:paraId="00FA1C75">
            <w:pPr>
              <w:spacing w:before="156" w:beforeLines="50" w:after="156" w:afterLines="50"/>
              <w:rPr>
                <w:rFonts w:ascii="宋体"/>
                <w:sz w:val="18"/>
                <w:szCs w:val="18"/>
              </w:rPr>
            </w:pPr>
          </w:p>
        </w:tc>
        <w:tc>
          <w:tcPr>
            <w:tcW w:w="1518" w:type="dxa"/>
            <w:vMerge w:val="continue"/>
            <w:vAlign w:val="center"/>
          </w:tcPr>
          <w:p w14:paraId="7F3D85FF">
            <w:pPr>
              <w:spacing w:before="156" w:beforeLines="50" w:after="156" w:afterLines="50"/>
              <w:rPr>
                <w:rFonts w:ascii="宋体"/>
                <w:sz w:val="18"/>
                <w:szCs w:val="18"/>
              </w:rPr>
            </w:pPr>
          </w:p>
        </w:tc>
        <w:tc>
          <w:tcPr>
            <w:tcW w:w="934" w:type="dxa"/>
            <w:vMerge w:val="continue"/>
            <w:vAlign w:val="center"/>
          </w:tcPr>
          <w:p w14:paraId="1079E241">
            <w:pPr>
              <w:spacing w:before="156" w:beforeLines="50" w:after="156" w:afterLines="50"/>
              <w:rPr>
                <w:rFonts w:ascii="宋体"/>
                <w:sz w:val="18"/>
                <w:szCs w:val="18"/>
              </w:rPr>
            </w:pPr>
          </w:p>
        </w:tc>
        <w:tc>
          <w:tcPr>
            <w:tcW w:w="4337" w:type="dxa"/>
            <w:vAlign w:val="center"/>
          </w:tcPr>
          <w:p w14:paraId="363C5967">
            <w:pPr>
              <w:spacing w:before="156" w:beforeLines="50" w:after="156" w:afterLines="50"/>
              <w:rPr>
                <w:rFonts w:ascii="宋体"/>
                <w:sz w:val="18"/>
                <w:szCs w:val="18"/>
              </w:rPr>
            </w:pPr>
            <w:r>
              <w:rPr>
                <w:rFonts w:hint="eastAsia" w:ascii="宋体"/>
                <w:sz w:val="18"/>
                <w:szCs w:val="18"/>
              </w:rPr>
              <w:t>检修影响船舶适航性能设备，发生一般以下水上交通事故的。</w:t>
            </w:r>
          </w:p>
        </w:tc>
        <w:tc>
          <w:tcPr>
            <w:tcW w:w="9903" w:type="dxa"/>
            <w:vAlign w:val="center"/>
          </w:tcPr>
          <w:p w14:paraId="3B367FF1">
            <w:pPr>
              <w:spacing w:before="156" w:beforeLines="50" w:after="156" w:afterLines="50"/>
              <w:rPr>
                <w:rFonts w:ascii="宋体"/>
                <w:sz w:val="18"/>
                <w:szCs w:val="18"/>
              </w:rPr>
            </w:pPr>
            <w:r>
              <w:rPr>
                <w:rFonts w:hint="eastAsia" w:ascii="宋体"/>
                <w:sz w:val="18"/>
                <w:szCs w:val="18"/>
              </w:rPr>
              <w:t>1.5万元及以上3万元以下</w:t>
            </w:r>
          </w:p>
        </w:tc>
      </w:tr>
      <w:tr w14:paraId="053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395D502C">
            <w:pPr>
              <w:spacing w:before="156" w:beforeLines="50" w:after="156" w:afterLines="50"/>
              <w:jc w:val="left"/>
              <w:rPr>
                <w:sz w:val="18"/>
                <w:szCs w:val="18"/>
              </w:rPr>
            </w:pPr>
          </w:p>
        </w:tc>
        <w:tc>
          <w:tcPr>
            <w:tcW w:w="977" w:type="dxa"/>
            <w:vMerge w:val="continue"/>
            <w:tcBorders>
              <w:bottom w:val="single" w:color="auto" w:sz="4" w:space="0"/>
            </w:tcBorders>
            <w:vAlign w:val="center"/>
          </w:tcPr>
          <w:p w14:paraId="7AD3EE5D">
            <w:pPr>
              <w:spacing w:before="156" w:beforeLines="50" w:after="156" w:afterLines="50"/>
              <w:jc w:val="left"/>
              <w:rPr>
                <w:sz w:val="18"/>
                <w:szCs w:val="18"/>
              </w:rPr>
            </w:pPr>
          </w:p>
        </w:tc>
        <w:tc>
          <w:tcPr>
            <w:tcW w:w="951" w:type="dxa"/>
            <w:vMerge w:val="continue"/>
            <w:tcBorders>
              <w:bottom w:val="single" w:color="auto" w:sz="4" w:space="0"/>
            </w:tcBorders>
            <w:vAlign w:val="center"/>
          </w:tcPr>
          <w:p w14:paraId="172A1896">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51E73441">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31651719">
            <w:pPr>
              <w:spacing w:before="156" w:beforeLines="50" w:after="156" w:afterLines="50"/>
              <w:rPr>
                <w:rFonts w:ascii="宋体"/>
                <w:sz w:val="18"/>
                <w:szCs w:val="18"/>
              </w:rPr>
            </w:pPr>
          </w:p>
        </w:tc>
        <w:tc>
          <w:tcPr>
            <w:tcW w:w="4337" w:type="dxa"/>
            <w:tcBorders>
              <w:bottom w:val="single" w:color="auto" w:sz="4" w:space="0"/>
            </w:tcBorders>
            <w:vAlign w:val="center"/>
          </w:tcPr>
          <w:p w14:paraId="352DC1C3">
            <w:pPr>
              <w:spacing w:before="156" w:beforeLines="50" w:after="156" w:afterLines="50"/>
              <w:rPr>
                <w:rFonts w:ascii="宋体"/>
                <w:sz w:val="18"/>
                <w:szCs w:val="18"/>
              </w:rPr>
            </w:pPr>
            <w:r>
              <w:rPr>
                <w:rFonts w:hint="eastAsia" w:ascii="宋体"/>
                <w:sz w:val="18"/>
                <w:szCs w:val="18"/>
              </w:rPr>
              <w:t>1.检修影响船舶适航性能设备，发生一般及以上水上交通事故的；</w:t>
            </w:r>
          </w:p>
          <w:p w14:paraId="7B39237A">
            <w:pPr>
              <w:spacing w:before="156" w:beforeLines="50" w:after="156" w:afterLines="50"/>
              <w:rPr>
                <w:rFonts w:ascii="宋体"/>
                <w:sz w:val="18"/>
                <w:szCs w:val="18"/>
              </w:rPr>
            </w:pPr>
            <w:r>
              <w:rPr>
                <w:rFonts w:hint="eastAsia" w:ascii="宋体"/>
                <w:sz w:val="18"/>
                <w:szCs w:val="18"/>
              </w:rPr>
              <w:t>2.造成其他严重后果的。</w:t>
            </w:r>
          </w:p>
        </w:tc>
        <w:tc>
          <w:tcPr>
            <w:tcW w:w="9903" w:type="dxa"/>
            <w:tcBorders>
              <w:bottom w:val="single" w:color="auto" w:sz="4" w:space="0"/>
            </w:tcBorders>
            <w:vAlign w:val="center"/>
          </w:tcPr>
          <w:p w14:paraId="72B7EC67">
            <w:pPr>
              <w:spacing w:before="156" w:beforeLines="50" w:after="156" w:afterLines="50"/>
              <w:rPr>
                <w:rFonts w:ascii="宋体"/>
                <w:sz w:val="18"/>
                <w:szCs w:val="18"/>
              </w:rPr>
            </w:pPr>
            <w:r>
              <w:rPr>
                <w:rFonts w:hint="eastAsia" w:ascii="宋体"/>
                <w:sz w:val="18"/>
                <w:szCs w:val="18"/>
              </w:rPr>
              <w:t>3万元及以上5万元及以下</w:t>
            </w:r>
          </w:p>
        </w:tc>
      </w:tr>
    </w:tbl>
    <w:p w14:paraId="618A4D49">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578"/>
      </w:tblGrid>
      <w:tr w14:paraId="0F16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1" w:type="dxa"/>
            <w:vMerge w:val="restart"/>
            <w:vAlign w:val="center"/>
          </w:tcPr>
          <w:p w14:paraId="2FC352F1">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60F31EFA">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79157449">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5DACF4D2">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1A576C2D">
            <w:pPr>
              <w:spacing w:before="156" w:beforeLines="50" w:after="156" w:afterLines="50"/>
              <w:jc w:val="center"/>
              <w:rPr>
                <w:rFonts w:ascii="宋体"/>
                <w:b/>
                <w:sz w:val="18"/>
                <w:szCs w:val="18"/>
              </w:rPr>
            </w:pPr>
            <w:r>
              <w:rPr>
                <w:rFonts w:hint="eastAsia" w:ascii="宋体"/>
                <w:b/>
                <w:sz w:val="18"/>
                <w:szCs w:val="18"/>
              </w:rPr>
              <w:t>主要考虑因素</w:t>
            </w:r>
          </w:p>
          <w:p w14:paraId="75F49F56">
            <w:pPr>
              <w:spacing w:before="156" w:beforeLines="50" w:after="156" w:afterLines="50"/>
              <w:jc w:val="center"/>
              <w:rPr>
                <w:b/>
                <w:sz w:val="18"/>
                <w:szCs w:val="18"/>
              </w:rPr>
            </w:pPr>
            <w:r>
              <w:rPr>
                <w:rFonts w:hint="eastAsia" w:ascii="宋体"/>
                <w:b/>
                <w:sz w:val="18"/>
                <w:szCs w:val="18"/>
              </w:rPr>
              <w:t>（事实、性质、情节、危害程度和实际后果等）</w:t>
            </w:r>
          </w:p>
        </w:tc>
        <w:tc>
          <w:tcPr>
            <w:tcW w:w="9578" w:type="dxa"/>
            <w:vAlign w:val="center"/>
          </w:tcPr>
          <w:p w14:paraId="1E07D230">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5A9A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4647F3D9">
            <w:pPr>
              <w:spacing w:before="156" w:beforeLines="50" w:after="156" w:afterLines="50"/>
              <w:jc w:val="center"/>
              <w:rPr>
                <w:b/>
                <w:sz w:val="18"/>
                <w:szCs w:val="18"/>
              </w:rPr>
            </w:pPr>
          </w:p>
        </w:tc>
        <w:tc>
          <w:tcPr>
            <w:tcW w:w="977" w:type="dxa"/>
            <w:vMerge w:val="continue"/>
            <w:vAlign w:val="center"/>
          </w:tcPr>
          <w:p w14:paraId="0C423B9B">
            <w:pPr>
              <w:spacing w:before="156" w:beforeLines="50" w:after="156" w:afterLines="50"/>
              <w:jc w:val="center"/>
              <w:rPr>
                <w:b/>
                <w:sz w:val="18"/>
                <w:szCs w:val="18"/>
              </w:rPr>
            </w:pPr>
          </w:p>
        </w:tc>
        <w:tc>
          <w:tcPr>
            <w:tcW w:w="2469" w:type="dxa"/>
            <w:gridSpan w:val="2"/>
            <w:vMerge w:val="continue"/>
            <w:vAlign w:val="center"/>
          </w:tcPr>
          <w:p w14:paraId="4132EE9F">
            <w:pPr>
              <w:spacing w:before="156" w:beforeLines="50" w:after="156" w:afterLines="50"/>
              <w:jc w:val="center"/>
              <w:rPr>
                <w:b/>
                <w:sz w:val="18"/>
                <w:szCs w:val="18"/>
              </w:rPr>
            </w:pPr>
          </w:p>
        </w:tc>
        <w:tc>
          <w:tcPr>
            <w:tcW w:w="934" w:type="dxa"/>
            <w:vMerge w:val="continue"/>
            <w:vAlign w:val="center"/>
          </w:tcPr>
          <w:p w14:paraId="50697C5E">
            <w:pPr>
              <w:spacing w:before="156" w:beforeLines="50" w:after="156" w:afterLines="50"/>
              <w:jc w:val="left"/>
              <w:rPr>
                <w:b/>
                <w:sz w:val="18"/>
                <w:szCs w:val="18"/>
              </w:rPr>
            </w:pPr>
          </w:p>
        </w:tc>
        <w:tc>
          <w:tcPr>
            <w:tcW w:w="4337" w:type="dxa"/>
            <w:vMerge w:val="continue"/>
            <w:vAlign w:val="center"/>
          </w:tcPr>
          <w:p w14:paraId="565DD973">
            <w:pPr>
              <w:spacing w:before="156" w:beforeLines="50" w:after="156" w:afterLines="50"/>
              <w:jc w:val="center"/>
              <w:rPr>
                <w:rFonts w:ascii="宋体"/>
                <w:b/>
                <w:sz w:val="18"/>
                <w:szCs w:val="18"/>
              </w:rPr>
            </w:pPr>
          </w:p>
        </w:tc>
        <w:tc>
          <w:tcPr>
            <w:tcW w:w="9578" w:type="dxa"/>
            <w:vAlign w:val="center"/>
          </w:tcPr>
          <w:p w14:paraId="631283C3">
            <w:pPr>
              <w:spacing w:before="156" w:beforeLines="50" w:after="156" w:afterLines="50"/>
              <w:jc w:val="center"/>
              <w:rPr>
                <w:b/>
                <w:sz w:val="18"/>
                <w:szCs w:val="18"/>
              </w:rPr>
            </w:pPr>
            <w:r>
              <w:rPr>
                <w:rFonts w:hint="eastAsia"/>
                <w:b/>
                <w:sz w:val="18"/>
                <w:szCs w:val="18"/>
              </w:rPr>
              <w:t>处罚基准</w:t>
            </w:r>
          </w:p>
        </w:tc>
      </w:tr>
      <w:tr w14:paraId="715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2992BEEF">
            <w:pPr>
              <w:spacing w:before="156" w:beforeLines="50" w:after="156" w:afterLines="50"/>
              <w:jc w:val="center"/>
              <w:rPr>
                <w:b/>
                <w:sz w:val="18"/>
                <w:szCs w:val="18"/>
              </w:rPr>
            </w:pPr>
          </w:p>
        </w:tc>
        <w:tc>
          <w:tcPr>
            <w:tcW w:w="977" w:type="dxa"/>
            <w:vMerge w:val="continue"/>
            <w:vAlign w:val="center"/>
          </w:tcPr>
          <w:p w14:paraId="1CE65A78">
            <w:pPr>
              <w:spacing w:before="156" w:beforeLines="50" w:after="156" w:afterLines="50"/>
              <w:jc w:val="center"/>
              <w:rPr>
                <w:b/>
                <w:sz w:val="18"/>
                <w:szCs w:val="18"/>
              </w:rPr>
            </w:pPr>
          </w:p>
        </w:tc>
        <w:tc>
          <w:tcPr>
            <w:tcW w:w="2469" w:type="dxa"/>
            <w:gridSpan w:val="2"/>
            <w:vMerge w:val="continue"/>
            <w:vAlign w:val="center"/>
          </w:tcPr>
          <w:p w14:paraId="0F24AAD2">
            <w:pPr>
              <w:spacing w:before="156" w:beforeLines="50" w:after="156" w:afterLines="50"/>
              <w:jc w:val="center"/>
              <w:rPr>
                <w:b/>
                <w:sz w:val="18"/>
                <w:szCs w:val="18"/>
              </w:rPr>
            </w:pPr>
          </w:p>
        </w:tc>
        <w:tc>
          <w:tcPr>
            <w:tcW w:w="934" w:type="dxa"/>
            <w:vMerge w:val="continue"/>
            <w:vAlign w:val="center"/>
          </w:tcPr>
          <w:p w14:paraId="4A5D4D9D">
            <w:pPr>
              <w:spacing w:before="156" w:beforeLines="50" w:after="156" w:afterLines="50"/>
              <w:jc w:val="left"/>
              <w:rPr>
                <w:b/>
                <w:sz w:val="18"/>
                <w:szCs w:val="18"/>
              </w:rPr>
            </w:pPr>
          </w:p>
        </w:tc>
        <w:tc>
          <w:tcPr>
            <w:tcW w:w="4337" w:type="dxa"/>
            <w:vMerge w:val="continue"/>
            <w:vAlign w:val="center"/>
          </w:tcPr>
          <w:p w14:paraId="02C7476A">
            <w:pPr>
              <w:spacing w:before="156" w:beforeLines="50" w:after="156" w:afterLines="50"/>
              <w:jc w:val="center"/>
              <w:rPr>
                <w:rFonts w:ascii="宋体"/>
                <w:b/>
                <w:sz w:val="18"/>
                <w:szCs w:val="18"/>
              </w:rPr>
            </w:pPr>
          </w:p>
        </w:tc>
        <w:tc>
          <w:tcPr>
            <w:tcW w:w="9578" w:type="dxa"/>
            <w:vMerge w:val="restart"/>
            <w:vAlign w:val="center"/>
          </w:tcPr>
          <w:p w14:paraId="1B582CD6">
            <w:pPr>
              <w:spacing w:before="156" w:beforeLines="50" w:after="156" w:afterLines="50"/>
              <w:jc w:val="center"/>
              <w:rPr>
                <w:b/>
                <w:sz w:val="18"/>
                <w:szCs w:val="18"/>
              </w:rPr>
            </w:pPr>
            <w:r>
              <w:rPr>
                <w:rFonts w:hint="eastAsia"/>
                <w:b/>
                <w:sz w:val="18"/>
                <w:szCs w:val="18"/>
              </w:rPr>
              <w:t>【对象】施工作业单位</w:t>
            </w:r>
          </w:p>
        </w:tc>
      </w:tr>
      <w:tr w14:paraId="6239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599591D0">
            <w:pPr>
              <w:spacing w:before="156" w:beforeLines="50" w:after="156" w:afterLines="50"/>
              <w:jc w:val="center"/>
              <w:rPr>
                <w:b/>
                <w:sz w:val="18"/>
                <w:szCs w:val="18"/>
              </w:rPr>
            </w:pPr>
          </w:p>
        </w:tc>
        <w:tc>
          <w:tcPr>
            <w:tcW w:w="977" w:type="dxa"/>
            <w:vMerge w:val="continue"/>
            <w:vAlign w:val="center"/>
          </w:tcPr>
          <w:p w14:paraId="4CB179ED">
            <w:pPr>
              <w:spacing w:before="156" w:beforeLines="50" w:after="156" w:afterLines="50"/>
              <w:jc w:val="center"/>
              <w:rPr>
                <w:b/>
                <w:sz w:val="18"/>
                <w:szCs w:val="18"/>
              </w:rPr>
            </w:pPr>
          </w:p>
        </w:tc>
        <w:tc>
          <w:tcPr>
            <w:tcW w:w="951" w:type="dxa"/>
            <w:vAlign w:val="center"/>
          </w:tcPr>
          <w:p w14:paraId="000C0D72">
            <w:pPr>
              <w:spacing w:before="156" w:beforeLines="50" w:after="156" w:afterLines="50"/>
              <w:jc w:val="center"/>
              <w:rPr>
                <w:b/>
                <w:sz w:val="18"/>
                <w:szCs w:val="18"/>
              </w:rPr>
            </w:pPr>
            <w:r>
              <w:rPr>
                <w:rFonts w:hint="eastAsia"/>
                <w:b/>
                <w:sz w:val="18"/>
                <w:szCs w:val="18"/>
              </w:rPr>
              <w:t>违反条款</w:t>
            </w:r>
          </w:p>
        </w:tc>
        <w:tc>
          <w:tcPr>
            <w:tcW w:w="1518" w:type="dxa"/>
            <w:vAlign w:val="center"/>
          </w:tcPr>
          <w:p w14:paraId="7D2258AB">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0C78FF97">
            <w:pPr>
              <w:spacing w:before="156" w:beforeLines="50" w:after="156" w:afterLines="50"/>
              <w:jc w:val="left"/>
              <w:rPr>
                <w:b/>
                <w:sz w:val="18"/>
                <w:szCs w:val="18"/>
              </w:rPr>
            </w:pPr>
          </w:p>
        </w:tc>
        <w:tc>
          <w:tcPr>
            <w:tcW w:w="4337" w:type="dxa"/>
            <w:vMerge w:val="continue"/>
            <w:vAlign w:val="center"/>
          </w:tcPr>
          <w:p w14:paraId="74C29A8C">
            <w:pPr>
              <w:spacing w:before="156" w:beforeLines="50" w:after="156" w:afterLines="50"/>
              <w:jc w:val="left"/>
              <w:rPr>
                <w:b/>
                <w:sz w:val="18"/>
                <w:szCs w:val="18"/>
              </w:rPr>
            </w:pPr>
          </w:p>
        </w:tc>
        <w:tc>
          <w:tcPr>
            <w:tcW w:w="9578" w:type="dxa"/>
            <w:vMerge w:val="continue"/>
            <w:vAlign w:val="center"/>
          </w:tcPr>
          <w:p w14:paraId="7F157705">
            <w:pPr>
              <w:spacing w:before="156" w:beforeLines="50" w:after="156" w:afterLines="50"/>
              <w:jc w:val="left"/>
              <w:rPr>
                <w:rFonts w:ascii="宋体"/>
                <w:b/>
                <w:sz w:val="18"/>
                <w:szCs w:val="18"/>
              </w:rPr>
            </w:pPr>
          </w:p>
        </w:tc>
      </w:tr>
      <w:tr w14:paraId="0063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5B966D8C">
            <w:pPr>
              <w:spacing w:before="156" w:beforeLines="50" w:after="156" w:afterLines="50"/>
              <w:jc w:val="center"/>
              <w:rPr>
                <w:sz w:val="18"/>
                <w:szCs w:val="18"/>
              </w:rPr>
            </w:pPr>
            <w:r>
              <w:rPr>
                <w:rFonts w:hint="eastAsia"/>
                <w:sz w:val="18"/>
                <w:szCs w:val="18"/>
              </w:rPr>
              <w:t>41</w:t>
            </w:r>
          </w:p>
        </w:tc>
        <w:tc>
          <w:tcPr>
            <w:tcW w:w="977" w:type="dxa"/>
            <w:vMerge w:val="restart"/>
            <w:vAlign w:val="center"/>
          </w:tcPr>
          <w:p w14:paraId="753731C0">
            <w:pPr>
              <w:spacing w:before="156" w:beforeLines="50" w:after="156" w:afterLines="50"/>
              <w:rPr>
                <w:sz w:val="18"/>
                <w:szCs w:val="18"/>
              </w:rPr>
            </w:pPr>
            <w:r>
              <w:rPr>
                <w:rFonts w:hint="eastAsia" w:ascii="宋体"/>
                <w:sz w:val="18"/>
                <w:szCs w:val="18"/>
              </w:rPr>
              <w:t>检修通信设备和消防、救生设备，不按照规定备案</w:t>
            </w:r>
          </w:p>
        </w:tc>
        <w:tc>
          <w:tcPr>
            <w:tcW w:w="951" w:type="dxa"/>
            <w:vMerge w:val="restart"/>
            <w:vAlign w:val="center"/>
          </w:tcPr>
          <w:p w14:paraId="4399210F">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43B38E9F">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0A9ADF9E">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2.《中华人民共和国内河海事行政处罚规定》第十九条第一款及第三款第（二）项；</w:t>
            </w:r>
          </w:p>
          <w:p w14:paraId="4794CAC8">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1CD1C2FA">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4578F938">
            <w:pPr>
              <w:spacing w:before="156" w:beforeLines="50" w:after="156" w:afterLines="50"/>
              <w:rPr>
                <w:rFonts w:ascii="宋体"/>
                <w:sz w:val="18"/>
                <w:szCs w:val="18"/>
              </w:rPr>
            </w:pPr>
            <w:r>
              <w:rPr>
                <w:rFonts w:hint="eastAsia" w:ascii="宋体"/>
                <w:sz w:val="18"/>
                <w:szCs w:val="18"/>
              </w:rPr>
              <w:t>具有法定从轻情节的。</w:t>
            </w:r>
          </w:p>
        </w:tc>
        <w:tc>
          <w:tcPr>
            <w:tcW w:w="9578" w:type="dxa"/>
            <w:vAlign w:val="center"/>
          </w:tcPr>
          <w:p w14:paraId="7AB7499C">
            <w:pPr>
              <w:spacing w:before="156" w:beforeLines="50" w:after="156" w:afterLines="50"/>
              <w:rPr>
                <w:rFonts w:ascii="宋体"/>
                <w:sz w:val="18"/>
                <w:szCs w:val="18"/>
              </w:rPr>
            </w:pPr>
            <w:r>
              <w:rPr>
                <w:rFonts w:hint="eastAsia" w:ascii="宋体"/>
                <w:sz w:val="18"/>
                <w:szCs w:val="18"/>
              </w:rPr>
              <w:t>5000元及以上9000元以下</w:t>
            </w:r>
          </w:p>
        </w:tc>
      </w:tr>
      <w:tr w14:paraId="44EF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3AD9AE7F">
            <w:pPr>
              <w:spacing w:before="156" w:beforeLines="50" w:after="156" w:afterLines="50"/>
              <w:jc w:val="left"/>
              <w:rPr>
                <w:sz w:val="18"/>
                <w:szCs w:val="18"/>
              </w:rPr>
            </w:pPr>
          </w:p>
        </w:tc>
        <w:tc>
          <w:tcPr>
            <w:tcW w:w="977" w:type="dxa"/>
            <w:vMerge w:val="continue"/>
            <w:vAlign w:val="center"/>
          </w:tcPr>
          <w:p w14:paraId="1D8A3725">
            <w:pPr>
              <w:spacing w:before="156" w:beforeLines="50" w:after="156" w:afterLines="50"/>
              <w:jc w:val="left"/>
              <w:rPr>
                <w:sz w:val="18"/>
                <w:szCs w:val="18"/>
              </w:rPr>
            </w:pPr>
          </w:p>
        </w:tc>
        <w:tc>
          <w:tcPr>
            <w:tcW w:w="951" w:type="dxa"/>
            <w:vMerge w:val="continue"/>
            <w:vAlign w:val="center"/>
          </w:tcPr>
          <w:p w14:paraId="6EC5DF0D">
            <w:pPr>
              <w:spacing w:before="156" w:beforeLines="50" w:after="156" w:afterLines="50"/>
              <w:rPr>
                <w:rFonts w:ascii="宋体"/>
                <w:sz w:val="18"/>
                <w:szCs w:val="18"/>
              </w:rPr>
            </w:pPr>
          </w:p>
        </w:tc>
        <w:tc>
          <w:tcPr>
            <w:tcW w:w="1518" w:type="dxa"/>
            <w:vMerge w:val="continue"/>
            <w:vAlign w:val="center"/>
          </w:tcPr>
          <w:p w14:paraId="28CF7EAE">
            <w:pPr>
              <w:spacing w:before="156" w:beforeLines="50" w:after="156" w:afterLines="50"/>
              <w:rPr>
                <w:rFonts w:ascii="宋体"/>
                <w:sz w:val="18"/>
                <w:szCs w:val="18"/>
              </w:rPr>
            </w:pPr>
          </w:p>
        </w:tc>
        <w:tc>
          <w:tcPr>
            <w:tcW w:w="934" w:type="dxa"/>
            <w:vMerge w:val="restart"/>
            <w:vAlign w:val="center"/>
          </w:tcPr>
          <w:p w14:paraId="41358822">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20F5BC00">
            <w:pPr>
              <w:spacing w:before="156" w:beforeLines="50" w:after="156" w:afterLines="50"/>
              <w:rPr>
                <w:rFonts w:ascii="宋体"/>
                <w:sz w:val="18"/>
                <w:szCs w:val="18"/>
              </w:rPr>
            </w:pPr>
            <w:r>
              <w:rPr>
                <w:rFonts w:hint="eastAsia" w:ascii="宋体"/>
                <w:sz w:val="18"/>
                <w:szCs w:val="18"/>
              </w:rPr>
              <w:t>检修通信设备和消防、救生设备，未向海事管理机构备案的。</w:t>
            </w:r>
          </w:p>
        </w:tc>
        <w:tc>
          <w:tcPr>
            <w:tcW w:w="9578" w:type="dxa"/>
            <w:vAlign w:val="center"/>
          </w:tcPr>
          <w:p w14:paraId="1618488F">
            <w:pPr>
              <w:spacing w:before="156" w:beforeLines="50" w:after="156" w:afterLines="50"/>
              <w:rPr>
                <w:rFonts w:ascii="宋体"/>
                <w:sz w:val="18"/>
                <w:szCs w:val="18"/>
              </w:rPr>
            </w:pPr>
            <w:r>
              <w:rPr>
                <w:rFonts w:hint="eastAsia" w:ascii="宋体"/>
                <w:sz w:val="18"/>
                <w:szCs w:val="18"/>
              </w:rPr>
              <w:t>9000元及以上1.5万元以下</w:t>
            </w:r>
          </w:p>
        </w:tc>
      </w:tr>
      <w:tr w14:paraId="676E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33DA65D1">
            <w:pPr>
              <w:spacing w:before="156" w:beforeLines="50" w:after="156" w:afterLines="50"/>
              <w:jc w:val="left"/>
              <w:rPr>
                <w:sz w:val="18"/>
                <w:szCs w:val="18"/>
              </w:rPr>
            </w:pPr>
          </w:p>
        </w:tc>
        <w:tc>
          <w:tcPr>
            <w:tcW w:w="977" w:type="dxa"/>
            <w:vMerge w:val="continue"/>
            <w:vAlign w:val="center"/>
          </w:tcPr>
          <w:p w14:paraId="46C5A801">
            <w:pPr>
              <w:spacing w:before="156" w:beforeLines="50" w:after="156" w:afterLines="50"/>
              <w:jc w:val="left"/>
              <w:rPr>
                <w:sz w:val="18"/>
                <w:szCs w:val="18"/>
              </w:rPr>
            </w:pPr>
          </w:p>
        </w:tc>
        <w:tc>
          <w:tcPr>
            <w:tcW w:w="951" w:type="dxa"/>
            <w:vMerge w:val="continue"/>
            <w:vAlign w:val="center"/>
          </w:tcPr>
          <w:p w14:paraId="3A96C1F7">
            <w:pPr>
              <w:spacing w:before="156" w:beforeLines="50" w:after="156" w:afterLines="50"/>
              <w:rPr>
                <w:rFonts w:ascii="宋体"/>
                <w:sz w:val="18"/>
                <w:szCs w:val="18"/>
              </w:rPr>
            </w:pPr>
          </w:p>
        </w:tc>
        <w:tc>
          <w:tcPr>
            <w:tcW w:w="1518" w:type="dxa"/>
            <w:vMerge w:val="continue"/>
            <w:vAlign w:val="center"/>
          </w:tcPr>
          <w:p w14:paraId="06FBD864">
            <w:pPr>
              <w:spacing w:before="156" w:beforeLines="50" w:after="156" w:afterLines="50"/>
              <w:rPr>
                <w:rFonts w:ascii="宋体"/>
                <w:sz w:val="18"/>
                <w:szCs w:val="18"/>
              </w:rPr>
            </w:pPr>
          </w:p>
        </w:tc>
        <w:tc>
          <w:tcPr>
            <w:tcW w:w="934" w:type="dxa"/>
            <w:vMerge w:val="continue"/>
            <w:vAlign w:val="center"/>
          </w:tcPr>
          <w:p w14:paraId="21FE17C8">
            <w:pPr>
              <w:spacing w:before="156" w:beforeLines="50" w:after="156" w:afterLines="50"/>
              <w:rPr>
                <w:rFonts w:ascii="宋体"/>
                <w:sz w:val="18"/>
                <w:szCs w:val="18"/>
              </w:rPr>
            </w:pPr>
          </w:p>
        </w:tc>
        <w:tc>
          <w:tcPr>
            <w:tcW w:w="4337" w:type="dxa"/>
            <w:vAlign w:val="center"/>
          </w:tcPr>
          <w:p w14:paraId="6A2767E3">
            <w:pPr>
              <w:spacing w:before="156" w:beforeLines="50" w:after="156" w:afterLines="50"/>
              <w:rPr>
                <w:rFonts w:ascii="宋体"/>
                <w:sz w:val="18"/>
                <w:szCs w:val="18"/>
              </w:rPr>
            </w:pPr>
            <w:r>
              <w:rPr>
                <w:rFonts w:hint="eastAsia" w:ascii="宋体"/>
                <w:sz w:val="18"/>
                <w:szCs w:val="18"/>
              </w:rPr>
              <w:t>检修通信设备和消防、救生设备，发生一般以下水上交通事故的。</w:t>
            </w:r>
          </w:p>
        </w:tc>
        <w:tc>
          <w:tcPr>
            <w:tcW w:w="9578" w:type="dxa"/>
            <w:vAlign w:val="center"/>
          </w:tcPr>
          <w:p w14:paraId="66261CFA">
            <w:pPr>
              <w:spacing w:before="156" w:beforeLines="50" w:after="156" w:afterLines="50"/>
              <w:rPr>
                <w:rFonts w:ascii="宋体"/>
                <w:sz w:val="18"/>
                <w:szCs w:val="18"/>
              </w:rPr>
            </w:pPr>
            <w:r>
              <w:rPr>
                <w:rFonts w:hint="eastAsia" w:ascii="宋体"/>
                <w:sz w:val="18"/>
                <w:szCs w:val="18"/>
              </w:rPr>
              <w:t>1.5万元及以上3万元以下</w:t>
            </w:r>
          </w:p>
        </w:tc>
      </w:tr>
      <w:tr w14:paraId="0F2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3F150043">
            <w:pPr>
              <w:spacing w:before="156" w:beforeLines="50" w:after="156" w:afterLines="50"/>
              <w:jc w:val="left"/>
              <w:rPr>
                <w:sz w:val="18"/>
                <w:szCs w:val="18"/>
              </w:rPr>
            </w:pPr>
          </w:p>
        </w:tc>
        <w:tc>
          <w:tcPr>
            <w:tcW w:w="977" w:type="dxa"/>
            <w:vMerge w:val="continue"/>
            <w:tcBorders>
              <w:bottom w:val="single" w:color="auto" w:sz="4" w:space="0"/>
            </w:tcBorders>
            <w:vAlign w:val="center"/>
          </w:tcPr>
          <w:p w14:paraId="48F4F55C">
            <w:pPr>
              <w:spacing w:before="156" w:beforeLines="50" w:after="156" w:afterLines="50"/>
              <w:jc w:val="left"/>
              <w:rPr>
                <w:sz w:val="18"/>
                <w:szCs w:val="18"/>
              </w:rPr>
            </w:pPr>
          </w:p>
        </w:tc>
        <w:tc>
          <w:tcPr>
            <w:tcW w:w="951" w:type="dxa"/>
            <w:vMerge w:val="continue"/>
            <w:tcBorders>
              <w:bottom w:val="single" w:color="auto" w:sz="4" w:space="0"/>
            </w:tcBorders>
            <w:vAlign w:val="center"/>
          </w:tcPr>
          <w:p w14:paraId="3A5C2ADB">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27723FB5">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3AE08DFD">
            <w:pPr>
              <w:spacing w:before="156" w:beforeLines="50" w:after="156" w:afterLines="50"/>
              <w:rPr>
                <w:rFonts w:ascii="宋体"/>
                <w:sz w:val="18"/>
                <w:szCs w:val="18"/>
              </w:rPr>
            </w:pPr>
          </w:p>
        </w:tc>
        <w:tc>
          <w:tcPr>
            <w:tcW w:w="4337" w:type="dxa"/>
            <w:tcBorders>
              <w:bottom w:val="single" w:color="auto" w:sz="4" w:space="0"/>
            </w:tcBorders>
            <w:vAlign w:val="center"/>
          </w:tcPr>
          <w:p w14:paraId="18421A9B">
            <w:pPr>
              <w:spacing w:before="156" w:beforeLines="50" w:after="156" w:afterLines="50"/>
              <w:rPr>
                <w:rFonts w:ascii="宋体"/>
                <w:sz w:val="18"/>
                <w:szCs w:val="18"/>
              </w:rPr>
            </w:pPr>
            <w:r>
              <w:rPr>
                <w:rFonts w:hint="eastAsia" w:ascii="宋体"/>
                <w:sz w:val="18"/>
                <w:szCs w:val="18"/>
              </w:rPr>
              <w:t>1.检修通信设备和消防、救生设备，发生一般及以上水上交通事故的；</w:t>
            </w:r>
          </w:p>
          <w:p w14:paraId="3D234EED">
            <w:pPr>
              <w:spacing w:before="156" w:beforeLines="50" w:after="156" w:afterLines="50"/>
              <w:rPr>
                <w:rFonts w:ascii="宋体"/>
                <w:sz w:val="18"/>
                <w:szCs w:val="18"/>
              </w:rPr>
            </w:pPr>
            <w:r>
              <w:rPr>
                <w:rFonts w:hint="eastAsia" w:ascii="宋体"/>
                <w:sz w:val="18"/>
                <w:szCs w:val="18"/>
              </w:rPr>
              <w:t>2.造成其他严重后果的。</w:t>
            </w:r>
          </w:p>
        </w:tc>
        <w:tc>
          <w:tcPr>
            <w:tcW w:w="9578" w:type="dxa"/>
            <w:tcBorders>
              <w:bottom w:val="single" w:color="auto" w:sz="4" w:space="0"/>
            </w:tcBorders>
            <w:vAlign w:val="center"/>
          </w:tcPr>
          <w:p w14:paraId="0AB6FA81">
            <w:pPr>
              <w:spacing w:before="156" w:beforeLines="50" w:after="156" w:afterLines="50"/>
              <w:rPr>
                <w:rFonts w:ascii="宋体"/>
                <w:sz w:val="18"/>
                <w:szCs w:val="18"/>
              </w:rPr>
            </w:pPr>
            <w:r>
              <w:rPr>
                <w:rFonts w:hint="eastAsia" w:ascii="宋体"/>
                <w:sz w:val="18"/>
                <w:szCs w:val="18"/>
              </w:rPr>
              <w:t>3万元及以上5万元及以下</w:t>
            </w:r>
          </w:p>
        </w:tc>
      </w:tr>
    </w:tbl>
    <w:p w14:paraId="70713F2F">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355"/>
      </w:tblGrid>
      <w:tr w14:paraId="3EBD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5CDAE5D6">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26B8479A">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431E6705">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7A43C84F">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0DAF857B">
            <w:pPr>
              <w:spacing w:before="156" w:beforeLines="50" w:after="156" w:afterLines="50"/>
              <w:jc w:val="center"/>
              <w:rPr>
                <w:rFonts w:ascii="宋体"/>
                <w:b/>
                <w:sz w:val="18"/>
                <w:szCs w:val="18"/>
              </w:rPr>
            </w:pPr>
            <w:r>
              <w:rPr>
                <w:rFonts w:hint="eastAsia" w:ascii="宋体"/>
                <w:b/>
                <w:sz w:val="18"/>
                <w:szCs w:val="18"/>
              </w:rPr>
              <w:t>主要考虑因素</w:t>
            </w:r>
          </w:p>
          <w:p w14:paraId="3302A4F1">
            <w:pPr>
              <w:spacing w:before="156" w:beforeLines="50" w:after="156" w:afterLines="50"/>
              <w:jc w:val="center"/>
              <w:rPr>
                <w:b/>
                <w:sz w:val="18"/>
                <w:szCs w:val="18"/>
              </w:rPr>
            </w:pPr>
            <w:r>
              <w:rPr>
                <w:rFonts w:hint="eastAsia" w:ascii="宋体"/>
                <w:b/>
                <w:sz w:val="18"/>
                <w:szCs w:val="18"/>
              </w:rPr>
              <w:t>（事实、性质、情节、危害程度和实际后果等）</w:t>
            </w:r>
          </w:p>
        </w:tc>
        <w:tc>
          <w:tcPr>
            <w:tcW w:w="9355" w:type="dxa"/>
            <w:vAlign w:val="center"/>
          </w:tcPr>
          <w:p w14:paraId="71865587">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638C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2AD17387">
            <w:pPr>
              <w:spacing w:before="156" w:beforeLines="50" w:after="156" w:afterLines="50"/>
              <w:jc w:val="center"/>
              <w:rPr>
                <w:b/>
                <w:sz w:val="18"/>
                <w:szCs w:val="18"/>
              </w:rPr>
            </w:pPr>
          </w:p>
        </w:tc>
        <w:tc>
          <w:tcPr>
            <w:tcW w:w="977" w:type="dxa"/>
            <w:vMerge w:val="continue"/>
            <w:vAlign w:val="center"/>
          </w:tcPr>
          <w:p w14:paraId="7D4F8979">
            <w:pPr>
              <w:spacing w:before="156" w:beforeLines="50" w:after="156" w:afterLines="50"/>
              <w:jc w:val="center"/>
              <w:rPr>
                <w:b/>
                <w:sz w:val="18"/>
                <w:szCs w:val="18"/>
              </w:rPr>
            </w:pPr>
          </w:p>
        </w:tc>
        <w:tc>
          <w:tcPr>
            <w:tcW w:w="2469" w:type="dxa"/>
            <w:gridSpan w:val="2"/>
            <w:vMerge w:val="continue"/>
            <w:vAlign w:val="center"/>
          </w:tcPr>
          <w:p w14:paraId="261EB64B">
            <w:pPr>
              <w:spacing w:before="156" w:beforeLines="50" w:after="156" w:afterLines="50"/>
              <w:jc w:val="center"/>
              <w:rPr>
                <w:b/>
                <w:sz w:val="18"/>
                <w:szCs w:val="18"/>
              </w:rPr>
            </w:pPr>
          </w:p>
        </w:tc>
        <w:tc>
          <w:tcPr>
            <w:tcW w:w="934" w:type="dxa"/>
            <w:vMerge w:val="continue"/>
            <w:vAlign w:val="center"/>
          </w:tcPr>
          <w:p w14:paraId="66998A83">
            <w:pPr>
              <w:spacing w:before="156" w:beforeLines="50" w:after="156" w:afterLines="50"/>
              <w:jc w:val="left"/>
              <w:rPr>
                <w:b/>
                <w:sz w:val="18"/>
                <w:szCs w:val="18"/>
              </w:rPr>
            </w:pPr>
          </w:p>
        </w:tc>
        <w:tc>
          <w:tcPr>
            <w:tcW w:w="4337" w:type="dxa"/>
            <w:vMerge w:val="continue"/>
            <w:vAlign w:val="center"/>
          </w:tcPr>
          <w:p w14:paraId="37D6C2AA">
            <w:pPr>
              <w:spacing w:before="156" w:beforeLines="50" w:after="156" w:afterLines="50"/>
              <w:jc w:val="left"/>
              <w:rPr>
                <w:rFonts w:ascii="宋体"/>
                <w:b/>
                <w:sz w:val="18"/>
                <w:szCs w:val="18"/>
              </w:rPr>
            </w:pPr>
          </w:p>
        </w:tc>
        <w:tc>
          <w:tcPr>
            <w:tcW w:w="9355" w:type="dxa"/>
            <w:vAlign w:val="center"/>
          </w:tcPr>
          <w:p w14:paraId="12374B6C">
            <w:pPr>
              <w:spacing w:before="156" w:beforeLines="50" w:after="156" w:afterLines="50"/>
              <w:jc w:val="center"/>
              <w:rPr>
                <w:b/>
                <w:sz w:val="18"/>
                <w:szCs w:val="18"/>
              </w:rPr>
            </w:pPr>
            <w:r>
              <w:rPr>
                <w:rFonts w:hint="eastAsia"/>
                <w:b/>
                <w:sz w:val="18"/>
                <w:szCs w:val="18"/>
              </w:rPr>
              <w:t>处罚基准</w:t>
            </w:r>
          </w:p>
        </w:tc>
      </w:tr>
      <w:tr w14:paraId="264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76717FCF">
            <w:pPr>
              <w:spacing w:before="156" w:beforeLines="50" w:after="156" w:afterLines="50"/>
              <w:jc w:val="center"/>
              <w:rPr>
                <w:b/>
                <w:sz w:val="18"/>
                <w:szCs w:val="18"/>
              </w:rPr>
            </w:pPr>
          </w:p>
        </w:tc>
        <w:tc>
          <w:tcPr>
            <w:tcW w:w="977" w:type="dxa"/>
            <w:vMerge w:val="continue"/>
            <w:vAlign w:val="center"/>
          </w:tcPr>
          <w:p w14:paraId="134E677B">
            <w:pPr>
              <w:spacing w:before="156" w:beforeLines="50" w:after="156" w:afterLines="50"/>
              <w:jc w:val="center"/>
              <w:rPr>
                <w:b/>
                <w:sz w:val="18"/>
                <w:szCs w:val="18"/>
              </w:rPr>
            </w:pPr>
          </w:p>
        </w:tc>
        <w:tc>
          <w:tcPr>
            <w:tcW w:w="2469" w:type="dxa"/>
            <w:gridSpan w:val="2"/>
            <w:vMerge w:val="continue"/>
            <w:vAlign w:val="center"/>
          </w:tcPr>
          <w:p w14:paraId="1AAEC565">
            <w:pPr>
              <w:spacing w:before="156" w:beforeLines="50" w:after="156" w:afterLines="50"/>
              <w:jc w:val="center"/>
              <w:rPr>
                <w:b/>
                <w:sz w:val="18"/>
                <w:szCs w:val="18"/>
              </w:rPr>
            </w:pPr>
          </w:p>
        </w:tc>
        <w:tc>
          <w:tcPr>
            <w:tcW w:w="934" w:type="dxa"/>
            <w:vMerge w:val="continue"/>
            <w:vAlign w:val="center"/>
          </w:tcPr>
          <w:p w14:paraId="21EE8E56">
            <w:pPr>
              <w:spacing w:before="156" w:beforeLines="50" w:after="156" w:afterLines="50"/>
              <w:jc w:val="left"/>
              <w:rPr>
                <w:b/>
                <w:sz w:val="18"/>
                <w:szCs w:val="18"/>
              </w:rPr>
            </w:pPr>
          </w:p>
        </w:tc>
        <w:tc>
          <w:tcPr>
            <w:tcW w:w="4337" w:type="dxa"/>
            <w:vMerge w:val="continue"/>
            <w:vAlign w:val="center"/>
          </w:tcPr>
          <w:p w14:paraId="4D360BF8">
            <w:pPr>
              <w:spacing w:before="156" w:beforeLines="50" w:after="156" w:afterLines="50"/>
              <w:jc w:val="left"/>
              <w:rPr>
                <w:rFonts w:ascii="宋体"/>
                <w:b/>
                <w:sz w:val="18"/>
                <w:szCs w:val="18"/>
              </w:rPr>
            </w:pPr>
          </w:p>
        </w:tc>
        <w:tc>
          <w:tcPr>
            <w:tcW w:w="9355" w:type="dxa"/>
            <w:vMerge w:val="restart"/>
            <w:vAlign w:val="center"/>
          </w:tcPr>
          <w:p w14:paraId="21B32511">
            <w:pPr>
              <w:spacing w:before="156" w:beforeLines="50" w:after="156" w:afterLines="50"/>
              <w:jc w:val="center"/>
              <w:rPr>
                <w:b/>
                <w:sz w:val="18"/>
                <w:szCs w:val="18"/>
              </w:rPr>
            </w:pPr>
            <w:r>
              <w:rPr>
                <w:rFonts w:hint="eastAsia"/>
                <w:b/>
                <w:sz w:val="18"/>
                <w:szCs w:val="18"/>
              </w:rPr>
              <w:t>【对象】施工作业单位</w:t>
            </w:r>
          </w:p>
        </w:tc>
      </w:tr>
      <w:tr w14:paraId="4EED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6AD0CD78">
            <w:pPr>
              <w:spacing w:before="156" w:beforeLines="50" w:after="156" w:afterLines="50"/>
              <w:jc w:val="center"/>
              <w:rPr>
                <w:b/>
                <w:sz w:val="18"/>
                <w:szCs w:val="18"/>
              </w:rPr>
            </w:pPr>
          </w:p>
        </w:tc>
        <w:tc>
          <w:tcPr>
            <w:tcW w:w="977" w:type="dxa"/>
            <w:vMerge w:val="continue"/>
            <w:vAlign w:val="center"/>
          </w:tcPr>
          <w:p w14:paraId="05F5E3DE">
            <w:pPr>
              <w:spacing w:before="156" w:beforeLines="50" w:after="156" w:afterLines="50"/>
              <w:jc w:val="center"/>
              <w:rPr>
                <w:b/>
                <w:sz w:val="18"/>
                <w:szCs w:val="18"/>
              </w:rPr>
            </w:pPr>
          </w:p>
        </w:tc>
        <w:tc>
          <w:tcPr>
            <w:tcW w:w="951" w:type="dxa"/>
            <w:vAlign w:val="center"/>
          </w:tcPr>
          <w:p w14:paraId="5CD43653">
            <w:pPr>
              <w:spacing w:before="156" w:beforeLines="50" w:after="156" w:afterLines="50"/>
              <w:jc w:val="center"/>
              <w:rPr>
                <w:b/>
                <w:sz w:val="18"/>
                <w:szCs w:val="18"/>
              </w:rPr>
            </w:pPr>
            <w:r>
              <w:rPr>
                <w:rFonts w:hint="eastAsia"/>
                <w:b/>
                <w:sz w:val="18"/>
                <w:szCs w:val="18"/>
              </w:rPr>
              <w:t>违反条款</w:t>
            </w:r>
          </w:p>
        </w:tc>
        <w:tc>
          <w:tcPr>
            <w:tcW w:w="1518" w:type="dxa"/>
            <w:vAlign w:val="center"/>
          </w:tcPr>
          <w:p w14:paraId="3B46E6DE">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6BBA2FD1">
            <w:pPr>
              <w:spacing w:before="156" w:beforeLines="50" w:after="156" w:afterLines="50"/>
              <w:jc w:val="left"/>
              <w:rPr>
                <w:b/>
                <w:sz w:val="18"/>
                <w:szCs w:val="18"/>
              </w:rPr>
            </w:pPr>
          </w:p>
        </w:tc>
        <w:tc>
          <w:tcPr>
            <w:tcW w:w="4337" w:type="dxa"/>
            <w:vMerge w:val="continue"/>
            <w:vAlign w:val="center"/>
          </w:tcPr>
          <w:p w14:paraId="637BC5A9">
            <w:pPr>
              <w:spacing w:before="156" w:beforeLines="50" w:after="156" w:afterLines="50"/>
              <w:jc w:val="left"/>
              <w:rPr>
                <w:b/>
                <w:sz w:val="18"/>
                <w:szCs w:val="18"/>
              </w:rPr>
            </w:pPr>
          </w:p>
        </w:tc>
        <w:tc>
          <w:tcPr>
            <w:tcW w:w="9355" w:type="dxa"/>
            <w:vMerge w:val="continue"/>
            <w:vAlign w:val="center"/>
          </w:tcPr>
          <w:p w14:paraId="0EABFCF9">
            <w:pPr>
              <w:spacing w:before="156" w:beforeLines="50" w:after="156" w:afterLines="50"/>
              <w:jc w:val="left"/>
              <w:rPr>
                <w:rFonts w:ascii="宋体"/>
                <w:b/>
                <w:sz w:val="18"/>
                <w:szCs w:val="18"/>
              </w:rPr>
            </w:pPr>
          </w:p>
        </w:tc>
      </w:tr>
      <w:tr w14:paraId="5906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44F9C7A0">
            <w:pPr>
              <w:spacing w:before="156" w:beforeLines="50" w:after="156" w:afterLines="50"/>
              <w:jc w:val="center"/>
              <w:rPr>
                <w:sz w:val="18"/>
                <w:szCs w:val="18"/>
              </w:rPr>
            </w:pPr>
            <w:r>
              <w:rPr>
                <w:rFonts w:hint="eastAsia"/>
                <w:sz w:val="18"/>
                <w:szCs w:val="18"/>
              </w:rPr>
              <w:t>42</w:t>
            </w:r>
          </w:p>
        </w:tc>
        <w:tc>
          <w:tcPr>
            <w:tcW w:w="977" w:type="dxa"/>
            <w:vMerge w:val="restart"/>
            <w:vAlign w:val="center"/>
          </w:tcPr>
          <w:p w14:paraId="2392EB0E">
            <w:pPr>
              <w:spacing w:before="156" w:beforeLines="50" w:after="156" w:afterLines="50"/>
              <w:rPr>
                <w:sz w:val="18"/>
                <w:szCs w:val="18"/>
              </w:rPr>
            </w:pPr>
            <w:r>
              <w:rPr>
                <w:rFonts w:hint="eastAsia" w:ascii="宋体"/>
                <w:sz w:val="18"/>
                <w:szCs w:val="18"/>
              </w:rPr>
              <w:t>船舶悬挂彩灯，不按照规定备案</w:t>
            </w:r>
          </w:p>
        </w:tc>
        <w:tc>
          <w:tcPr>
            <w:tcW w:w="951" w:type="dxa"/>
            <w:vMerge w:val="restart"/>
            <w:vAlign w:val="center"/>
          </w:tcPr>
          <w:p w14:paraId="405BFF7D">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12B0E7D7">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7BA6F30D">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2.《中华人民共和国内河海事行政处罚规定》第十九条第一款及第三款第（六）项；</w:t>
            </w:r>
          </w:p>
          <w:p w14:paraId="0AFF198E">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3B9C8B4D">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2A6CFA47">
            <w:pPr>
              <w:spacing w:before="156" w:beforeLines="50" w:after="156" w:afterLines="50"/>
              <w:rPr>
                <w:rFonts w:ascii="宋体"/>
                <w:sz w:val="18"/>
                <w:szCs w:val="18"/>
              </w:rPr>
            </w:pPr>
            <w:r>
              <w:rPr>
                <w:rFonts w:hint="eastAsia" w:ascii="宋体"/>
                <w:sz w:val="18"/>
                <w:szCs w:val="18"/>
              </w:rPr>
              <w:t>具有法定从轻情节的。</w:t>
            </w:r>
          </w:p>
        </w:tc>
        <w:tc>
          <w:tcPr>
            <w:tcW w:w="9355" w:type="dxa"/>
            <w:vAlign w:val="center"/>
          </w:tcPr>
          <w:p w14:paraId="6EBA5DE0">
            <w:pPr>
              <w:spacing w:before="156" w:beforeLines="50" w:after="156" w:afterLines="50"/>
              <w:rPr>
                <w:rFonts w:ascii="宋体"/>
                <w:sz w:val="18"/>
                <w:szCs w:val="18"/>
              </w:rPr>
            </w:pPr>
            <w:r>
              <w:rPr>
                <w:rFonts w:hint="eastAsia" w:ascii="宋体"/>
                <w:sz w:val="18"/>
                <w:szCs w:val="18"/>
              </w:rPr>
              <w:t>5000元及以上9000元以下</w:t>
            </w:r>
          </w:p>
        </w:tc>
      </w:tr>
      <w:tr w14:paraId="19DB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40E97DC8">
            <w:pPr>
              <w:spacing w:before="156" w:beforeLines="50" w:after="156" w:afterLines="50"/>
              <w:jc w:val="left"/>
              <w:rPr>
                <w:sz w:val="18"/>
                <w:szCs w:val="18"/>
              </w:rPr>
            </w:pPr>
          </w:p>
        </w:tc>
        <w:tc>
          <w:tcPr>
            <w:tcW w:w="977" w:type="dxa"/>
            <w:vMerge w:val="continue"/>
            <w:vAlign w:val="center"/>
          </w:tcPr>
          <w:p w14:paraId="421E897A">
            <w:pPr>
              <w:spacing w:before="156" w:beforeLines="50" w:after="156" w:afterLines="50"/>
              <w:jc w:val="left"/>
              <w:rPr>
                <w:sz w:val="18"/>
                <w:szCs w:val="18"/>
              </w:rPr>
            </w:pPr>
          </w:p>
        </w:tc>
        <w:tc>
          <w:tcPr>
            <w:tcW w:w="951" w:type="dxa"/>
            <w:vMerge w:val="continue"/>
            <w:vAlign w:val="center"/>
          </w:tcPr>
          <w:p w14:paraId="6E1CC2B6">
            <w:pPr>
              <w:spacing w:before="156" w:beforeLines="50" w:after="156" w:afterLines="50"/>
              <w:rPr>
                <w:rFonts w:ascii="宋体"/>
                <w:sz w:val="18"/>
                <w:szCs w:val="18"/>
              </w:rPr>
            </w:pPr>
          </w:p>
        </w:tc>
        <w:tc>
          <w:tcPr>
            <w:tcW w:w="1518" w:type="dxa"/>
            <w:vMerge w:val="continue"/>
            <w:vAlign w:val="center"/>
          </w:tcPr>
          <w:p w14:paraId="51241995">
            <w:pPr>
              <w:spacing w:before="156" w:beforeLines="50" w:after="156" w:afterLines="50"/>
              <w:rPr>
                <w:rFonts w:ascii="宋体"/>
                <w:sz w:val="18"/>
                <w:szCs w:val="18"/>
              </w:rPr>
            </w:pPr>
          </w:p>
        </w:tc>
        <w:tc>
          <w:tcPr>
            <w:tcW w:w="934" w:type="dxa"/>
            <w:vMerge w:val="restart"/>
            <w:vAlign w:val="center"/>
          </w:tcPr>
          <w:p w14:paraId="251D63C4">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68312101">
            <w:pPr>
              <w:spacing w:before="156" w:beforeLines="50" w:after="156" w:afterLines="50"/>
              <w:rPr>
                <w:rFonts w:ascii="宋体"/>
                <w:sz w:val="18"/>
                <w:szCs w:val="18"/>
              </w:rPr>
            </w:pPr>
            <w:r>
              <w:rPr>
                <w:rFonts w:hint="eastAsia" w:ascii="宋体"/>
                <w:sz w:val="18"/>
                <w:szCs w:val="18"/>
              </w:rPr>
              <w:t>船舶悬挂彩灯，未向海事管理机构备案的。</w:t>
            </w:r>
          </w:p>
        </w:tc>
        <w:tc>
          <w:tcPr>
            <w:tcW w:w="9355" w:type="dxa"/>
            <w:vAlign w:val="center"/>
          </w:tcPr>
          <w:p w14:paraId="4AB42E7C">
            <w:pPr>
              <w:spacing w:before="156" w:beforeLines="50" w:after="156" w:afterLines="50"/>
              <w:rPr>
                <w:rFonts w:ascii="宋体"/>
                <w:sz w:val="18"/>
                <w:szCs w:val="18"/>
              </w:rPr>
            </w:pPr>
            <w:r>
              <w:rPr>
                <w:rFonts w:hint="eastAsia" w:ascii="宋体"/>
                <w:sz w:val="18"/>
                <w:szCs w:val="18"/>
              </w:rPr>
              <w:t>9000元及以上1.5万元以下</w:t>
            </w:r>
          </w:p>
        </w:tc>
      </w:tr>
      <w:tr w14:paraId="0E45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2C1F6A41">
            <w:pPr>
              <w:spacing w:before="156" w:beforeLines="50" w:after="156" w:afterLines="50"/>
              <w:jc w:val="left"/>
              <w:rPr>
                <w:sz w:val="18"/>
                <w:szCs w:val="18"/>
              </w:rPr>
            </w:pPr>
          </w:p>
        </w:tc>
        <w:tc>
          <w:tcPr>
            <w:tcW w:w="977" w:type="dxa"/>
            <w:vMerge w:val="continue"/>
            <w:vAlign w:val="center"/>
          </w:tcPr>
          <w:p w14:paraId="55498C1A">
            <w:pPr>
              <w:spacing w:before="156" w:beforeLines="50" w:after="156" w:afterLines="50"/>
              <w:jc w:val="left"/>
              <w:rPr>
                <w:sz w:val="18"/>
                <w:szCs w:val="18"/>
              </w:rPr>
            </w:pPr>
          </w:p>
        </w:tc>
        <w:tc>
          <w:tcPr>
            <w:tcW w:w="951" w:type="dxa"/>
            <w:vMerge w:val="continue"/>
            <w:vAlign w:val="center"/>
          </w:tcPr>
          <w:p w14:paraId="7C15F83A">
            <w:pPr>
              <w:spacing w:before="156" w:beforeLines="50" w:after="156" w:afterLines="50"/>
              <w:rPr>
                <w:rFonts w:ascii="宋体"/>
                <w:sz w:val="18"/>
                <w:szCs w:val="18"/>
              </w:rPr>
            </w:pPr>
          </w:p>
        </w:tc>
        <w:tc>
          <w:tcPr>
            <w:tcW w:w="1518" w:type="dxa"/>
            <w:vMerge w:val="continue"/>
            <w:vAlign w:val="center"/>
          </w:tcPr>
          <w:p w14:paraId="4258B62F">
            <w:pPr>
              <w:spacing w:before="156" w:beforeLines="50" w:after="156" w:afterLines="50"/>
              <w:rPr>
                <w:rFonts w:ascii="宋体"/>
                <w:sz w:val="18"/>
                <w:szCs w:val="18"/>
              </w:rPr>
            </w:pPr>
          </w:p>
        </w:tc>
        <w:tc>
          <w:tcPr>
            <w:tcW w:w="934" w:type="dxa"/>
            <w:vMerge w:val="continue"/>
            <w:vAlign w:val="center"/>
          </w:tcPr>
          <w:p w14:paraId="299B24FA">
            <w:pPr>
              <w:spacing w:before="156" w:beforeLines="50" w:after="156" w:afterLines="50"/>
              <w:rPr>
                <w:rFonts w:ascii="宋体"/>
                <w:sz w:val="18"/>
                <w:szCs w:val="18"/>
              </w:rPr>
            </w:pPr>
          </w:p>
        </w:tc>
        <w:tc>
          <w:tcPr>
            <w:tcW w:w="4337" w:type="dxa"/>
            <w:vAlign w:val="center"/>
          </w:tcPr>
          <w:p w14:paraId="09BBFAD4">
            <w:pPr>
              <w:spacing w:before="156" w:beforeLines="50" w:after="156" w:afterLines="50"/>
              <w:rPr>
                <w:rFonts w:ascii="宋体"/>
                <w:sz w:val="18"/>
                <w:szCs w:val="18"/>
              </w:rPr>
            </w:pPr>
            <w:r>
              <w:rPr>
                <w:rFonts w:hint="eastAsia" w:ascii="宋体"/>
                <w:sz w:val="18"/>
                <w:szCs w:val="18"/>
              </w:rPr>
              <w:t>船舶悬挂彩灯，发生一般以下水上交通事故的。</w:t>
            </w:r>
          </w:p>
        </w:tc>
        <w:tc>
          <w:tcPr>
            <w:tcW w:w="9355" w:type="dxa"/>
            <w:vAlign w:val="center"/>
          </w:tcPr>
          <w:p w14:paraId="4E1EA8E8">
            <w:pPr>
              <w:spacing w:before="156" w:beforeLines="50" w:after="156" w:afterLines="50"/>
              <w:rPr>
                <w:rFonts w:ascii="宋体"/>
                <w:sz w:val="18"/>
                <w:szCs w:val="18"/>
              </w:rPr>
            </w:pPr>
            <w:r>
              <w:rPr>
                <w:rFonts w:hint="eastAsia" w:ascii="宋体"/>
                <w:sz w:val="18"/>
                <w:szCs w:val="18"/>
              </w:rPr>
              <w:t>1.5万元及以上3万元以下</w:t>
            </w:r>
          </w:p>
        </w:tc>
      </w:tr>
      <w:tr w14:paraId="3B2E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11C6B968">
            <w:pPr>
              <w:spacing w:before="156" w:beforeLines="50" w:after="156" w:afterLines="50"/>
              <w:jc w:val="left"/>
              <w:rPr>
                <w:sz w:val="18"/>
                <w:szCs w:val="18"/>
              </w:rPr>
            </w:pPr>
          </w:p>
        </w:tc>
        <w:tc>
          <w:tcPr>
            <w:tcW w:w="977" w:type="dxa"/>
            <w:vMerge w:val="continue"/>
            <w:tcBorders>
              <w:bottom w:val="single" w:color="auto" w:sz="4" w:space="0"/>
            </w:tcBorders>
            <w:vAlign w:val="center"/>
          </w:tcPr>
          <w:p w14:paraId="6AF13EC6">
            <w:pPr>
              <w:spacing w:before="156" w:beforeLines="50" w:after="156" w:afterLines="50"/>
              <w:jc w:val="left"/>
              <w:rPr>
                <w:sz w:val="18"/>
                <w:szCs w:val="18"/>
              </w:rPr>
            </w:pPr>
          </w:p>
        </w:tc>
        <w:tc>
          <w:tcPr>
            <w:tcW w:w="951" w:type="dxa"/>
            <w:vMerge w:val="continue"/>
            <w:tcBorders>
              <w:bottom w:val="single" w:color="auto" w:sz="4" w:space="0"/>
            </w:tcBorders>
            <w:vAlign w:val="center"/>
          </w:tcPr>
          <w:p w14:paraId="0591AEBF">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74A6059A">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70DC64F4">
            <w:pPr>
              <w:spacing w:before="156" w:beforeLines="50" w:after="156" w:afterLines="50"/>
              <w:rPr>
                <w:rFonts w:ascii="宋体"/>
                <w:sz w:val="18"/>
                <w:szCs w:val="18"/>
              </w:rPr>
            </w:pPr>
          </w:p>
        </w:tc>
        <w:tc>
          <w:tcPr>
            <w:tcW w:w="4337" w:type="dxa"/>
            <w:tcBorders>
              <w:bottom w:val="single" w:color="auto" w:sz="4" w:space="0"/>
            </w:tcBorders>
            <w:vAlign w:val="center"/>
          </w:tcPr>
          <w:p w14:paraId="7AD6FC0A">
            <w:pPr>
              <w:spacing w:before="156" w:beforeLines="50" w:after="156" w:afterLines="50"/>
              <w:rPr>
                <w:rFonts w:ascii="宋体"/>
                <w:sz w:val="18"/>
                <w:szCs w:val="18"/>
              </w:rPr>
            </w:pPr>
            <w:r>
              <w:rPr>
                <w:rFonts w:hint="eastAsia" w:ascii="宋体"/>
                <w:sz w:val="18"/>
                <w:szCs w:val="18"/>
              </w:rPr>
              <w:t>1.船舶悬挂彩灯，发生一般及以上水上交通事故的；</w:t>
            </w:r>
          </w:p>
          <w:p w14:paraId="7F1D789A">
            <w:pPr>
              <w:spacing w:before="156" w:beforeLines="50" w:after="156" w:afterLines="50"/>
              <w:rPr>
                <w:rFonts w:ascii="宋体"/>
                <w:sz w:val="18"/>
                <w:szCs w:val="18"/>
              </w:rPr>
            </w:pPr>
            <w:r>
              <w:rPr>
                <w:rFonts w:hint="eastAsia" w:ascii="宋体"/>
                <w:sz w:val="18"/>
                <w:szCs w:val="18"/>
              </w:rPr>
              <w:t>2.造成其他严重后果的。</w:t>
            </w:r>
          </w:p>
        </w:tc>
        <w:tc>
          <w:tcPr>
            <w:tcW w:w="9355" w:type="dxa"/>
            <w:tcBorders>
              <w:bottom w:val="single" w:color="auto" w:sz="4" w:space="0"/>
            </w:tcBorders>
            <w:vAlign w:val="center"/>
          </w:tcPr>
          <w:p w14:paraId="58877766">
            <w:pPr>
              <w:spacing w:before="156" w:beforeLines="50" w:after="156" w:afterLines="50"/>
              <w:rPr>
                <w:rFonts w:ascii="宋体"/>
                <w:sz w:val="18"/>
                <w:szCs w:val="18"/>
              </w:rPr>
            </w:pPr>
            <w:r>
              <w:rPr>
                <w:rFonts w:hint="eastAsia" w:ascii="宋体"/>
                <w:sz w:val="18"/>
                <w:szCs w:val="18"/>
              </w:rPr>
              <w:t>3万元及以上5万元及以下</w:t>
            </w:r>
          </w:p>
        </w:tc>
      </w:tr>
    </w:tbl>
    <w:p w14:paraId="46A550DF">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183"/>
      </w:tblGrid>
      <w:tr w14:paraId="7500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128FFB31">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7D7C9C34">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191D3D15">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563FE005">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45C9934B">
            <w:pPr>
              <w:spacing w:before="156" w:beforeLines="50" w:after="156" w:afterLines="50"/>
              <w:jc w:val="center"/>
              <w:rPr>
                <w:rFonts w:ascii="宋体"/>
                <w:b/>
                <w:sz w:val="18"/>
                <w:szCs w:val="18"/>
              </w:rPr>
            </w:pPr>
            <w:r>
              <w:rPr>
                <w:rFonts w:hint="eastAsia" w:ascii="宋体"/>
                <w:b/>
                <w:sz w:val="18"/>
                <w:szCs w:val="18"/>
              </w:rPr>
              <w:t>主要考虑因素</w:t>
            </w:r>
          </w:p>
          <w:p w14:paraId="4D38F747">
            <w:pPr>
              <w:spacing w:before="156" w:beforeLines="50" w:after="156" w:afterLines="50"/>
              <w:jc w:val="center"/>
              <w:rPr>
                <w:b/>
                <w:sz w:val="18"/>
                <w:szCs w:val="18"/>
              </w:rPr>
            </w:pPr>
            <w:r>
              <w:rPr>
                <w:rFonts w:hint="eastAsia" w:ascii="宋体"/>
                <w:b/>
                <w:sz w:val="18"/>
                <w:szCs w:val="18"/>
              </w:rPr>
              <w:t>（事实、性质、情节、危害程度和实际后果等）</w:t>
            </w:r>
          </w:p>
        </w:tc>
        <w:tc>
          <w:tcPr>
            <w:tcW w:w="9183" w:type="dxa"/>
            <w:vAlign w:val="center"/>
          </w:tcPr>
          <w:p w14:paraId="4DB84790">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2354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1D3EA1A7">
            <w:pPr>
              <w:spacing w:before="156" w:beforeLines="50" w:after="156" w:afterLines="50"/>
              <w:jc w:val="center"/>
              <w:rPr>
                <w:b/>
                <w:sz w:val="18"/>
                <w:szCs w:val="18"/>
              </w:rPr>
            </w:pPr>
          </w:p>
        </w:tc>
        <w:tc>
          <w:tcPr>
            <w:tcW w:w="977" w:type="dxa"/>
            <w:vMerge w:val="continue"/>
            <w:vAlign w:val="center"/>
          </w:tcPr>
          <w:p w14:paraId="66CCBF32">
            <w:pPr>
              <w:spacing w:before="156" w:beforeLines="50" w:after="156" w:afterLines="50"/>
              <w:jc w:val="center"/>
              <w:rPr>
                <w:b/>
                <w:sz w:val="18"/>
                <w:szCs w:val="18"/>
              </w:rPr>
            </w:pPr>
          </w:p>
        </w:tc>
        <w:tc>
          <w:tcPr>
            <w:tcW w:w="2469" w:type="dxa"/>
            <w:gridSpan w:val="2"/>
            <w:vMerge w:val="continue"/>
            <w:vAlign w:val="center"/>
          </w:tcPr>
          <w:p w14:paraId="5340E390">
            <w:pPr>
              <w:spacing w:before="156" w:beforeLines="50" w:after="156" w:afterLines="50"/>
              <w:jc w:val="center"/>
              <w:rPr>
                <w:b/>
                <w:sz w:val="18"/>
                <w:szCs w:val="18"/>
              </w:rPr>
            </w:pPr>
          </w:p>
        </w:tc>
        <w:tc>
          <w:tcPr>
            <w:tcW w:w="934" w:type="dxa"/>
            <w:vMerge w:val="continue"/>
            <w:vAlign w:val="center"/>
          </w:tcPr>
          <w:p w14:paraId="5D17AC85">
            <w:pPr>
              <w:spacing w:before="156" w:beforeLines="50" w:after="156" w:afterLines="50"/>
              <w:jc w:val="left"/>
              <w:rPr>
                <w:b/>
                <w:sz w:val="18"/>
                <w:szCs w:val="18"/>
              </w:rPr>
            </w:pPr>
          </w:p>
        </w:tc>
        <w:tc>
          <w:tcPr>
            <w:tcW w:w="4337" w:type="dxa"/>
            <w:vMerge w:val="continue"/>
            <w:vAlign w:val="center"/>
          </w:tcPr>
          <w:p w14:paraId="56B5C008">
            <w:pPr>
              <w:spacing w:before="156" w:beforeLines="50" w:after="156" w:afterLines="50"/>
              <w:jc w:val="left"/>
              <w:rPr>
                <w:rFonts w:ascii="宋体"/>
                <w:b/>
                <w:sz w:val="18"/>
                <w:szCs w:val="18"/>
              </w:rPr>
            </w:pPr>
          </w:p>
        </w:tc>
        <w:tc>
          <w:tcPr>
            <w:tcW w:w="9183" w:type="dxa"/>
            <w:vAlign w:val="center"/>
          </w:tcPr>
          <w:p w14:paraId="6844FB65">
            <w:pPr>
              <w:spacing w:before="156" w:beforeLines="50" w:after="156" w:afterLines="50"/>
              <w:jc w:val="center"/>
              <w:rPr>
                <w:b/>
                <w:sz w:val="18"/>
                <w:szCs w:val="18"/>
              </w:rPr>
            </w:pPr>
            <w:r>
              <w:rPr>
                <w:rFonts w:hint="eastAsia"/>
                <w:b/>
                <w:sz w:val="18"/>
                <w:szCs w:val="18"/>
              </w:rPr>
              <w:t>处罚基准</w:t>
            </w:r>
          </w:p>
        </w:tc>
      </w:tr>
      <w:tr w14:paraId="789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6059DE76">
            <w:pPr>
              <w:spacing w:before="156" w:beforeLines="50" w:after="156" w:afterLines="50"/>
              <w:jc w:val="center"/>
              <w:rPr>
                <w:b/>
                <w:sz w:val="18"/>
                <w:szCs w:val="18"/>
              </w:rPr>
            </w:pPr>
          </w:p>
        </w:tc>
        <w:tc>
          <w:tcPr>
            <w:tcW w:w="977" w:type="dxa"/>
            <w:vMerge w:val="continue"/>
            <w:vAlign w:val="center"/>
          </w:tcPr>
          <w:p w14:paraId="63667A41">
            <w:pPr>
              <w:spacing w:before="156" w:beforeLines="50" w:after="156" w:afterLines="50"/>
              <w:jc w:val="center"/>
              <w:rPr>
                <w:b/>
                <w:sz w:val="18"/>
                <w:szCs w:val="18"/>
              </w:rPr>
            </w:pPr>
          </w:p>
        </w:tc>
        <w:tc>
          <w:tcPr>
            <w:tcW w:w="2469" w:type="dxa"/>
            <w:gridSpan w:val="2"/>
            <w:vMerge w:val="continue"/>
            <w:vAlign w:val="center"/>
          </w:tcPr>
          <w:p w14:paraId="1FEBC712">
            <w:pPr>
              <w:spacing w:before="156" w:beforeLines="50" w:after="156" w:afterLines="50"/>
              <w:jc w:val="center"/>
              <w:rPr>
                <w:b/>
                <w:sz w:val="18"/>
                <w:szCs w:val="18"/>
              </w:rPr>
            </w:pPr>
          </w:p>
        </w:tc>
        <w:tc>
          <w:tcPr>
            <w:tcW w:w="934" w:type="dxa"/>
            <w:vMerge w:val="continue"/>
            <w:vAlign w:val="center"/>
          </w:tcPr>
          <w:p w14:paraId="72014F90">
            <w:pPr>
              <w:spacing w:before="156" w:beforeLines="50" w:after="156" w:afterLines="50"/>
              <w:jc w:val="left"/>
              <w:rPr>
                <w:b/>
                <w:sz w:val="18"/>
                <w:szCs w:val="18"/>
              </w:rPr>
            </w:pPr>
          </w:p>
        </w:tc>
        <w:tc>
          <w:tcPr>
            <w:tcW w:w="4337" w:type="dxa"/>
            <w:vMerge w:val="continue"/>
            <w:vAlign w:val="center"/>
          </w:tcPr>
          <w:p w14:paraId="7782B081">
            <w:pPr>
              <w:spacing w:before="156" w:beforeLines="50" w:after="156" w:afterLines="50"/>
              <w:jc w:val="left"/>
              <w:rPr>
                <w:rFonts w:ascii="宋体"/>
                <w:b/>
                <w:sz w:val="18"/>
                <w:szCs w:val="18"/>
              </w:rPr>
            </w:pPr>
          </w:p>
        </w:tc>
        <w:tc>
          <w:tcPr>
            <w:tcW w:w="9183" w:type="dxa"/>
            <w:vMerge w:val="restart"/>
            <w:vAlign w:val="center"/>
          </w:tcPr>
          <w:p w14:paraId="3817BC2B">
            <w:pPr>
              <w:spacing w:before="156" w:beforeLines="50" w:after="156" w:afterLines="50"/>
              <w:jc w:val="center"/>
              <w:rPr>
                <w:b/>
                <w:sz w:val="18"/>
                <w:szCs w:val="18"/>
              </w:rPr>
            </w:pPr>
            <w:r>
              <w:rPr>
                <w:rFonts w:hint="eastAsia"/>
                <w:b/>
                <w:sz w:val="18"/>
                <w:szCs w:val="18"/>
              </w:rPr>
              <w:t>【对象】施工作业单位</w:t>
            </w:r>
          </w:p>
        </w:tc>
      </w:tr>
      <w:tr w14:paraId="7FFC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6D03AC43">
            <w:pPr>
              <w:spacing w:before="156" w:beforeLines="50" w:after="156" w:afterLines="50"/>
              <w:jc w:val="center"/>
              <w:rPr>
                <w:b/>
                <w:sz w:val="18"/>
                <w:szCs w:val="18"/>
              </w:rPr>
            </w:pPr>
          </w:p>
        </w:tc>
        <w:tc>
          <w:tcPr>
            <w:tcW w:w="977" w:type="dxa"/>
            <w:vMerge w:val="continue"/>
            <w:vAlign w:val="center"/>
          </w:tcPr>
          <w:p w14:paraId="00309412">
            <w:pPr>
              <w:spacing w:before="156" w:beforeLines="50" w:after="156" w:afterLines="50"/>
              <w:jc w:val="center"/>
              <w:rPr>
                <w:b/>
                <w:sz w:val="18"/>
                <w:szCs w:val="18"/>
              </w:rPr>
            </w:pPr>
          </w:p>
        </w:tc>
        <w:tc>
          <w:tcPr>
            <w:tcW w:w="951" w:type="dxa"/>
            <w:vAlign w:val="center"/>
          </w:tcPr>
          <w:p w14:paraId="1E07B4F3">
            <w:pPr>
              <w:spacing w:before="156" w:beforeLines="50" w:after="156" w:afterLines="50"/>
              <w:jc w:val="center"/>
              <w:rPr>
                <w:b/>
                <w:sz w:val="18"/>
                <w:szCs w:val="18"/>
              </w:rPr>
            </w:pPr>
            <w:r>
              <w:rPr>
                <w:rFonts w:hint="eastAsia"/>
                <w:b/>
                <w:sz w:val="18"/>
                <w:szCs w:val="18"/>
              </w:rPr>
              <w:t>违反条款</w:t>
            </w:r>
          </w:p>
        </w:tc>
        <w:tc>
          <w:tcPr>
            <w:tcW w:w="1518" w:type="dxa"/>
            <w:vAlign w:val="center"/>
          </w:tcPr>
          <w:p w14:paraId="7CB6F1D6">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2CF2EC53">
            <w:pPr>
              <w:spacing w:before="156" w:beforeLines="50" w:after="156" w:afterLines="50"/>
              <w:jc w:val="left"/>
              <w:rPr>
                <w:b/>
                <w:sz w:val="18"/>
                <w:szCs w:val="18"/>
              </w:rPr>
            </w:pPr>
          </w:p>
        </w:tc>
        <w:tc>
          <w:tcPr>
            <w:tcW w:w="4337" w:type="dxa"/>
            <w:vMerge w:val="continue"/>
            <w:vAlign w:val="center"/>
          </w:tcPr>
          <w:p w14:paraId="45B709DD">
            <w:pPr>
              <w:spacing w:before="156" w:beforeLines="50" w:after="156" w:afterLines="50"/>
              <w:jc w:val="left"/>
              <w:rPr>
                <w:b/>
                <w:sz w:val="18"/>
                <w:szCs w:val="18"/>
              </w:rPr>
            </w:pPr>
          </w:p>
        </w:tc>
        <w:tc>
          <w:tcPr>
            <w:tcW w:w="9183" w:type="dxa"/>
            <w:vMerge w:val="continue"/>
            <w:vAlign w:val="center"/>
          </w:tcPr>
          <w:p w14:paraId="3E31902A">
            <w:pPr>
              <w:spacing w:before="156" w:beforeLines="50" w:after="156" w:afterLines="50"/>
              <w:jc w:val="left"/>
              <w:rPr>
                <w:rFonts w:ascii="宋体"/>
                <w:b/>
                <w:sz w:val="18"/>
                <w:szCs w:val="18"/>
              </w:rPr>
            </w:pPr>
          </w:p>
        </w:tc>
      </w:tr>
      <w:tr w14:paraId="577A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1CDE1C86">
            <w:pPr>
              <w:spacing w:before="156" w:beforeLines="50" w:after="156" w:afterLines="50"/>
              <w:jc w:val="center"/>
              <w:rPr>
                <w:sz w:val="18"/>
                <w:szCs w:val="18"/>
              </w:rPr>
            </w:pPr>
            <w:r>
              <w:rPr>
                <w:rFonts w:hint="eastAsia"/>
                <w:sz w:val="18"/>
                <w:szCs w:val="18"/>
              </w:rPr>
              <w:t>43</w:t>
            </w:r>
          </w:p>
        </w:tc>
        <w:tc>
          <w:tcPr>
            <w:tcW w:w="977" w:type="dxa"/>
            <w:vMerge w:val="restart"/>
            <w:vAlign w:val="center"/>
          </w:tcPr>
          <w:p w14:paraId="138411F9">
            <w:pPr>
              <w:spacing w:before="156" w:beforeLines="50" w:after="156" w:afterLines="50"/>
              <w:rPr>
                <w:sz w:val="18"/>
                <w:szCs w:val="18"/>
              </w:rPr>
            </w:pPr>
            <w:r>
              <w:rPr>
                <w:rFonts w:hint="eastAsia" w:ascii="宋体"/>
                <w:sz w:val="18"/>
                <w:szCs w:val="18"/>
              </w:rPr>
              <w:t>船舶放艇（筏）进行救生演习，不按照规定备案</w:t>
            </w:r>
          </w:p>
        </w:tc>
        <w:tc>
          <w:tcPr>
            <w:tcW w:w="951" w:type="dxa"/>
            <w:vMerge w:val="restart"/>
            <w:vAlign w:val="center"/>
          </w:tcPr>
          <w:p w14:paraId="1094BA71">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3B5E71A2">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50C5A86C">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2.《中华人民共和国内河海事行政处罚规定》第十九条第一款及第三款第（七）项；</w:t>
            </w:r>
          </w:p>
          <w:p w14:paraId="5467A8EF">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76B027A4">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188BFDF2">
            <w:pPr>
              <w:spacing w:before="156" w:beforeLines="50" w:after="156" w:afterLines="50"/>
              <w:rPr>
                <w:rFonts w:ascii="宋体"/>
                <w:sz w:val="18"/>
                <w:szCs w:val="18"/>
              </w:rPr>
            </w:pPr>
            <w:r>
              <w:rPr>
                <w:rFonts w:hint="eastAsia" w:ascii="宋体"/>
                <w:sz w:val="18"/>
                <w:szCs w:val="18"/>
              </w:rPr>
              <w:t>具有法定从轻情节的。</w:t>
            </w:r>
          </w:p>
        </w:tc>
        <w:tc>
          <w:tcPr>
            <w:tcW w:w="9183" w:type="dxa"/>
            <w:vAlign w:val="center"/>
          </w:tcPr>
          <w:p w14:paraId="58A5482F">
            <w:pPr>
              <w:spacing w:before="156" w:beforeLines="50" w:after="156" w:afterLines="50"/>
              <w:rPr>
                <w:rFonts w:ascii="宋体"/>
                <w:sz w:val="18"/>
                <w:szCs w:val="18"/>
              </w:rPr>
            </w:pPr>
            <w:r>
              <w:rPr>
                <w:rFonts w:hint="eastAsia" w:ascii="宋体"/>
                <w:sz w:val="18"/>
                <w:szCs w:val="18"/>
              </w:rPr>
              <w:t>5000元及以上9000元以下</w:t>
            </w:r>
          </w:p>
        </w:tc>
      </w:tr>
      <w:tr w14:paraId="0DBD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32824991">
            <w:pPr>
              <w:spacing w:before="156" w:beforeLines="50" w:after="156" w:afterLines="50"/>
              <w:jc w:val="left"/>
              <w:rPr>
                <w:sz w:val="18"/>
                <w:szCs w:val="18"/>
              </w:rPr>
            </w:pPr>
          </w:p>
        </w:tc>
        <w:tc>
          <w:tcPr>
            <w:tcW w:w="977" w:type="dxa"/>
            <w:vMerge w:val="continue"/>
            <w:vAlign w:val="center"/>
          </w:tcPr>
          <w:p w14:paraId="28ECEFF3">
            <w:pPr>
              <w:spacing w:before="156" w:beforeLines="50" w:after="156" w:afterLines="50"/>
              <w:jc w:val="left"/>
              <w:rPr>
                <w:sz w:val="18"/>
                <w:szCs w:val="18"/>
              </w:rPr>
            </w:pPr>
          </w:p>
        </w:tc>
        <w:tc>
          <w:tcPr>
            <w:tcW w:w="951" w:type="dxa"/>
            <w:vMerge w:val="continue"/>
            <w:vAlign w:val="center"/>
          </w:tcPr>
          <w:p w14:paraId="399C88E5">
            <w:pPr>
              <w:spacing w:before="156" w:beforeLines="50" w:after="156" w:afterLines="50"/>
              <w:rPr>
                <w:rFonts w:ascii="宋体"/>
                <w:sz w:val="18"/>
                <w:szCs w:val="18"/>
              </w:rPr>
            </w:pPr>
          </w:p>
        </w:tc>
        <w:tc>
          <w:tcPr>
            <w:tcW w:w="1518" w:type="dxa"/>
            <w:vMerge w:val="continue"/>
            <w:vAlign w:val="center"/>
          </w:tcPr>
          <w:p w14:paraId="09A373BB">
            <w:pPr>
              <w:spacing w:before="156" w:beforeLines="50" w:after="156" w:afterLines="50"/>
              <w:rPr>
                <w:rFonts w:ascii="宋体"/>
                <w:sz w:val="18"/>
                <w:szCs w:val="18"/>
              </w:rPr>
            </w:pPr>
          </w:p>
        </w:tc>
        <w:tc>
          <w:tcPr>
            <w:tcW w:w="934" w:type="dxa"/>
            <w:vMerge w:val="restart"/>
            <w:vAlign w:val="center"/>
          </w:tcPr>
          <w:p w14:paraId="0703ECF3">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6566D91F">
            <w:pPr>
              <w:spacing w:before="156" w:beforeLines="50" w:after="156" w:afterLines="50"/>
              <w:rPr>
                <w:rFonts w:ascii="宋体"/>
                <w:sz w:val="18"/>
                <w:szCs w:val="18"/>
              </w:rPr>
            </w:pPr>
            <w:r>
              <w:rPr>
                <w:rFonts w:hint="eastAsia" w:ascii="宋体"/>
                <w:sz w:val="18"/>
                <w:szCs w:val="18"/>
              </w:rPr>
              <w:t>船舶放艇（筏）进行救生演习，未向海事管理机构备案的。</w:t>
            </w:r>
          </w:p>
        </w:tc>
        <w:tc>
          <w:tcPr>
            <w:tcW w:w="9183" w:type="dxa"/>
            <w:vAlign w:val="center"/>
          </w:tcPr>
          <w:p w14:paraId="78F09132">
            <w:pPr>
              <w:spacing w:before="156" w:beforeLines="50" w:after="156" w:afterLines="50"/>
              <w:rPr>
                <w:rFonts w:ascii="宋体"/>
                <w:sz w:val="18"/>
                <w:szCs w:val="18"/>
              </w:rPr>
            </w:pPr>
            <w:r>
              <w:rPr>
                <w:rFonts w:hint="eastAsia" w:ascii="宋体"/>
                <w:sz w:val="18"/>
                <w:szCs w:val="18"/>
              </w:rPr>
              <w:t>9000元及以上1.5万元以下</w:t>
            </w:r>
          </w:p>
        </w:tc>
      </w:tr>
      <w:tr w14:paraId="017A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713EE343">
            <w:pPr>
              <w:spacing w:before="156" w:beforeLines="50" w:after="156" w:afterLines="50"/>
              <w:jc w:val="left"/>
              <w:rPr>
                <w:sz w:val="18"/>
                <w:szCs w:val="18"/>
              </w:rPr>
            </w:pPr>
          </w:p>
        </w:tc>
        <w:tc>
          <w:tcPr>
            <w:tcW w:w="977" w:type="dxa"/>
            <w:vMerge w:val="continue"/>
            <w:vAlign w:val="center"/>
          </w:tcPr>
          <w:p w14:paraId="5D9ED442">
            <w:pPr>
              <w:spacing w:before="156" w:beforeLines="50" w:after="156" w:afterLines="50"/>
              <w:jc w:val="left"/>
              <w:rPr>
                <w:sz w:val="18"/>
                <w:szCs w:val="18"/>
              </w:rPr>
            </w:pPr>
          </w:p>
        </w:tc>
        <w:tc>
          <w:tcPr>
            <w:tcW w:w="951" w:type="dxa"/>
            <w:vMerge w:val="continue"/>
            <w:vAlign w:val="center"/>
          </w:tcPr>
          <w:p w14:paraId="4B462814">
            <w:pPr>
              <w:spacing w:before="156" w:beforeLines="50" w:after="156" w:afterLines="50"/>
              <w:rPr>
                <w:rFonts w:ascii="宋体"/>
                <w:sz w:val="18"/>
                <w:szCs w:val="18"/>
              </w:rPr>
            </w:pPr>
          </w:p>
        </w:tc>
        <w:tc>
          <w:tcPr>
            <w:tcW w:w="1518" w:type="dxa"/>
            <w:vMerge w:val="continue"/>
            <w:vAlign w:val="center"/>
          </w:tcPr>
          <w:p w14:paraId="7EB1710E">
            <w:pPr>
              <w:spacing w:before="156" w:beforeLines="50" w:after="156" w:afterLines="50"/>
              <w:rPr>
                <w:rFonts w:ascii="宋体"/>
                <w:sz w:val="18"/>
                <w:szCs w:val="18"/>
              </w:rPr>
            </w:pPr>
          </w:p>
        </w:tc>
        <w:tc>
          <w:tcPr>
            <w:tcW w:w="934" w:type="dxa"/>
            <w:vMerge w:val="continue"/>
            <w:vAlign w:val="center"/>
          </w:tcPr>
          <w:p w14:paraId="75DD4D7D">
            <w:pPr>
              <w:spacing w:before="156" w:beforeLines="50" w:after="156" w:afterLines="50"/>
              <w:rPr>
                <w:rFonts w:ascii="宋体"/>
                <w:sz w:val="18"/>
                <w:szCs w:val="18"/>
              </w:rPr>
            </w:pPr>
          </w:p>
        </w:tc>
        <w:tc>
          <w:tcPr>
            <w:tcW w:w="4337" w:type="dxa"/>
            <w:vAlign w:val="center"/>
          </w:tcPr>
          <w:p w14:paraId="6C5B79D2">
            <w:pPr>
              <w:spacing w:before="156" w:beforeLines="50" w:after="156" w:afterLines="50"/>
              <w:rPr>
                <w:rFonts w:ascii="宋体"/>
                <w:sz w:val="18"/>
                <w:szCs w:val="18"/>
              </w:rPr>
            </w:pPr>
            <w:r>
              <w:rPr>
                <w:rFonts w:hint="eastAsia" w:ascii="宋体"/>
                <w:sz w:val="18"/>
                <w:szCs w:val="18"/>
              </w:rPr>
              <w:t>船舶放艇（筏）进行救生演习，发生一般以下水上交通事故的。</w:t>
            </w:r>
          </w:p>
        </w:tc>
        <w:tc>
          <w:tcPr>
            <w:tcW w:w="9183" w:type="dxa"/>
            <w:vAlign w:val="center"/>
          </w:tcPr>
          <w:p w14:paraId="0900FE39">
            <w:pPr>
              <w:spacing w:before="156" w:beforeLines="50" w:after="156" w:afterLines="50"/>
              <w:rPr>
                <w:rFonts w:ascii="宋体"/>
                <w:sz w:val="18"/>
                <w:szCs w:val="18"/>
              </w:rPr>
            </w:pPr>
            <w:r>
              <w:rPr>
                <w:rFonts w:hint="eastAsia" w:ascii="宋体"/>
                <w:sz w:val="18"/>
                <w:szCs w:val="18"/>
              </w:rPr>
              <w:t>1.5万元及以上3万元以下</w:t>
            </w:r>
          </w:p>
        </w:tc>
      </w:tr>
      <w:tr w14:paraId="138C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75A949F0">
            <w:pPr>
              <w:spacing w:before="156" w:beforeLines="50" w:after="156" w:afterLines="50"/>
              <w:jc w:val="left"/>
              <w:rPr>
                <w:sz w:val="18"/>
                <w:szCs w:val="18"/>
              </w:rPr>
            </w:pPr>
          </w:p>
        </w:tc>
        <w:tc>
          <w:tcPr>
            <w:tcW w:w="977" w:type="dxa"/>
            <w:vMerge w:val="continue"/>
            <w:tcBorders>
              <w:bottom w:val="single" w:color="auto" w:sz="4" w:space="0"/>
            </w:tcBorders>
            <w:vAlign w:val="center"/>
          </w:tcPr>
          <w:p w14:paraId="42A0DE8D">
            <w:pPr>
              <w:spacing w:before="156" w:beforeLines="50" w:after="156" w:afterLines="50"/>
              <w:jc w:val="left"/>
              <w:rPr>
                <w:sz w:val="18"/>
                <w:szCs w:val="18"/>
              </w:rPr>
            </w:pPr>
          </w:p>
        </w:tc>
        <w:tc>
          <w:tcPr>
            <w:tcW w:w="951" w:type="dxa"/>
            <w:vMerge w:val="continue"/>
            <w:tcBorders>
              <w:bottom w:val="single" w:color="auto" w:sz="4" w:space="0"/>
            </w:tcBorders>
            <w:vAlign w:val="center"/>
          </w:tcPr>
          <w:p w14:paraId="2FEAA539">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7D10B7A5">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230B9C8D">
            <w:pPr>
              <w:spacing w:before="156" w:beforeLines="50" w:after="156" w:afterLines="50"/>
              <w:rPr>
                <w:rFonts w:ascii="宋体"/>
                <w:sz w:val="18"/>
                <w:szCs w:val="18"/>
              </w:rPr>
            </w:pPr>
          </w:p>
        </w:tc>
        <w:tc>
          <w:tcPr>
            <w:tcW w:w="4337" w:type="dxa"/>
            <w:tcBorders>
              <w:bottom w:val="single" w:color="auto" w:sz="4" w:space="0"/>
            </w:tcBorders>
            <w:vAlign w:val="center"/>
          </w:tcPr>
          <w:p w14:paraId="68A4181C">
            <w:pPr>
              <w:spacing w:before="156" w:beforeLines="50" w:after="156" w:afterLines="50"/>
              <w:rPr>
                <w:rFonts w:ascii="宋体"/>
                <w:sz w:val="18"/>
                <w:szCs w:val="18"/>
              </w:rPr>
            </w:pPr>
            <w:r>
              <w:rPr>
                <w:rFonts w:hint="eastAsia" w:ascii="宋体"/>
                <w:sz w:val="18"/>
                <w:szCs w:val="18"/>
              </w:rPr>
              <w:t>1.船舶放艇（筏）进行救生演习，发生一般及以上水上交通事故的；</w:t>
            </w:r>
          </w:p>
          <w:p w14:paraId="4E0B19ED">
            <w:pPr>
              <w:spacing w:before="156" w:beforeLines="50" w:after="156" w:afterLines="50"/>
              <w:rPr>
                <w:rFonts w:ascii="宋体"/>
                <w:sz w:val="18"/>
                <w:szCs w:val="18"/>
              </w:rPr>
            </w:pPr>
            <w:r>
              <w:rPr>
                <w:rFonts w:hint="eastAsia" w:ascii="宋体"/>
                <w:sz w:val="18"/>
                <w:szCs w:val="18"/>
              </w:rPr>
              <w:t>2.造成其他严重后果的。</w:t>
            </w:r>
          </w:p>
        </w:tc>
        <w:tc>
          <w:tcPr>
            <w:tcW w:w="9183" w:type="dxa"/>
            <w:tcBorders>
              <w:bottom w:val="single" w:color="auto" w:sz="4" w:space="0"/>
            </w:tcBorders>
            <w:vAlign w:val="center"/>
          </w:tcPr>
          <w:p w14:paraId="41DE14CC">
            <w:pPr>
              <w:spacing w:before="156" w:beforeLines="50" w:after="156" w:afterLines="50"/>
              <w:rPr>
                <w:rFonts w:ascii="宋体"/>
                <w:sz w:val="18"/>
                <w:szCs w:val="18"/>
              </w:rPr>
            </w:pPr>
            <w:r>
              <w:rPr>
                <w:rFonts w:hint="eastAsia" w:ascii="宋体"/>
                <w:sz w:val="18"/>
                <w:szCs w:val="18"/>
              </w:rPr>
              <w:t>3万元及以上5万元及以下</w:t>
            </w:r>
          </w:p>
        </w:tc>
      </w:tr>
    </w:tbl>
    <w:p w14:paraId="2E1A84D8">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9698"/>
      </w:tblGrid>
      <w:tr w14:paraId="7038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6EC5E503">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02EB2DC9">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2FE84E09">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32730C9A">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44631692">
            <w:pPr>
              <w:spacing w:before="156" w:beforeLines="50" w:after="156" w:afterLines="50"/>
              <w:jc w:val="center"/>
              <w:rPr>
                <w:rFonts w:ascii="宋体"/>
                <w:b/>
                <w:sz w:val="18"/>
                <w:szCs w:val="18"/>
              </w:rPr>
            </w:pPr>
            <w:r>
              <w:rPr>
                <w:rFonts w:hint="eastAsia" w:ascii="宋体"/>
                <w:b/>
                <w:sz w:val="18"/>
                <w:szCs w:val="18"/>
              </w:rPr>
              <w:t>主要考虑因素</w:t>
            </w:r>
          </w:p>
          <w:p w14:paraId="689B70A4">
            <w:pPr>
              <w:spacing w:before="156" w:beforeLines="50" w:after="156" w:afterLines="50"/>
              <w:jc w:val="center"/>
              <w:rPr>
                <w:b/>
                <w:sz w:val="18"/>
                <w:szCs w:val="18"/>
              </w:rPr>
            </w:pPr>
            <w:r>
              <w:rPr>
                <w:rFonts w:hint="eastAsia" w:ascii="宋体"/>
                <w:b/>
                <w:sz w:val="18"/>
                <w:szCs w:val="18"/>
              </w:rPr>
              <w:t>（事实、性质、情节、危害程度和实际后果等）</w:t>
            </w:r>
          </w:p>
        </w:tc>
        <w:tc>
          <w:tcPr>
            <w:tcW w:w="9698" w:type="dxa"/>
            <w:vAlign w:val="center"/>
          </w:tcPr>
          <w:p w14:paraId="3DE650BC">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2C92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01824922">
            <w:pPr>
              <w:spacing w:before="156" w:beforeLines="50" w:after="156" w:afterLines="50"/>
              <w:jc w:val="center"/>
              <w:rPr>
                <w:b/>
                <w:sz w:val="18"/>
                <w:szCs w:val="18"/>
              </w:rPr>
            </w:pPr>
          </w:p>
        </w:tc>
        <w:tc>
          <w:tcPr>
            <w:tcW w:w="977" w:type="dxa"/>
            <w:vMerge w:val="continue"/>
            <w:vAlign w:val="center"/>
          </w:tcPr>
          <w:p w14:paraId="052783D1">
            <w:pPr>
              <w:spacing w:before="156" w:beforeLines="50" w:after="156" w:afterLines="50"/>
              <w:jc w:val="center"/>
              <w:rPr>
                <w:b/>
                <w:sz w:val="18"/>
                <w:szCs w:val="18"/>
              </w:rPr>
            </w:pPr>
          </w:p>
        </w:tc>
        <w:tc>
          <w:tcPr>
            <w:tcW w:w="2469" w:type="dxa"/>
            <w:gridSpan w:val="2"/>
            <w:vMerge w:val="continue"/>
            <w:vAlign w:val="center"/>
          </w:tcPr>
          <w:p w14:paraId="260D597D">
            <w:pPr>
              <w:spacing w:before="156" w:beforeLines="50" w:after="156" w:afterLines="50"/>
              <w:jc w:val="center"/>
              <w:rPr>
                <w:b/>
                <w:sz w:val="18"/>
                <w:szCs w:val="18"/>
              </w:rPr>
            </w:pPr>
          </w:p>
        </w:tc>
        <w:tc>
          <w:tcPr>
            <w:tcW w:w="934" w:type="dxa"/>
            <w:vMerge w:val="continue"/>
            <w:vAlign w:val="center"/>
          </w:tcPr>
          <w:p w14:paraId="307CB079">
            <w:pPr>
              <w:spacing w:before="156" w:beforeLines="50" w:after="156" w:afterLines="50"/>
              <w:jc w:val="left"/>
              <w:rPr>
                <w:b/>
                <w:sz w:val="18"/>
                <w:szCs w:val="18"/>
              </w:rPr>
            </w:pPr>
          </w:p>
        </w:tc>
        <w:tc>
          <w:tcPr>
            <w:tcW w:w="4337" w:type="dxa"/>
            <w:vMerge w:val="continue"/>
            <w:vAlign w:val="center"/>
          </w:tcPr>
          <w:p w14:paraId="229D4FED">
            <w:pPr>
              <w:spacing w:before="156" w:beforeLines="50" w:after="156" w:afterLines="50"/>
              <w:jc w:val="left"/>
              <w:rPr>
                <w:rFonts w:ascii="宋体"/>
                <w:b/>
                <w:sz w:val="18"/>
                <w:szCs w:val="18"/>
              </w:rPr>
            </w:pPr>
          </w:p>
        </w:tc>
        <w:tc>
          <w:tcPr>
            <w:tcW w:w="9698" w:type="dxa"/>
            <w:vAlign w:val="center"/>
          </w:tcPr>
          <w:p w14:paraId="6E725599">
            <w:pPr>
              <w:spacing w:before="156" w:beforeLines="50" w:after="156" w:afterLines="50"/>
              <w:jc w:val="center"/>
              <w:rPr>
                <w:b/>
                <w:sz w:val="18"/>
                <w:szCs w:val="18"/>
              </w:rPr>
            </w:pPr>
            <w:r>
              <w:rPr>
                <w:rFonts w:hint="eastAsia"/>
                <w:b/>
                <w:sz w:val="18"/>
                <w:szCs w:val="18"/>
              </w:rPr>
              <w:t>处罚基准</w:t>
            </w:r>
          </w:p>
        </w:tc>
      </w:tr>
      <w:tr w14:paraId="75CF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52C312F9">
            <w:pPr>
              <w:spacing w:before="156" w:beforeLines="50" w:after="156" w:afterLines="50"/>
              <w:jc w:val="center"/>
              <w:rPr>
                <w:b/>
                <w:sz w:val="18"/>
                <w:szCs w:val="18"/>
              </w:rPr>
            </w:pPr>
          </w:p>
        </w:tc>
        <w:tc>
          <w:tcPr>
            <w:tcW w:w="977" w:type="dxa"/>
            <w:vMerge w:val="continue"/>
            <w:vAlign w:val="center"/>
          </w:tcPr>
          <w:p w14:paraId="3967A8C0">
            <w:pPr>
              <w:spacing w:before="156" w:beforeLines="50" w:after="156" w:afterLines="50"/>
              <w:jc w:val="center"/>
              <w:rPr>
                <w:b/>
                <w:sz w:val="18"/>
                <w:szCs w:val="18"/>
              </w:rPr>
            </w:pPr>
          </w:p>
        </w:tc>
        <w:tc>
          <w:tcPr>
            <w:tcW w:w="2469" w:type="dxa"/>
            <w:gridSpan w:val="2"/>
            <w:vMerge w:val="continue"/>
            <w:vAlign w:val="center"/>
          </w:tcPr>
          <w:p w14:paraId="1777CD81">
            <w:pPr>
              <w:spacing w:before="156" w:beforeLines="50" w:after="156" w:afterLines="50"/>
              <w:jc w:val="center"/>
              <w:rPr>
                <w:b/>
                <w:sz w:val="18"/>
                <w:szCs w:val="18"/>
              </w:rPr>
            </w:pPr>
          </w:p>
        </w:tc>
        <w:tc>
          <w:tcPr>
            <w:tcW w:w="934" w:type="dxa"/>
            <w:vMerge w:val="continue"/>
            <w:vAlign w:val="center"/>
          </w:tcPr>
          <w:p w14:paraId="4CF9B7E6">
            <w:pPr>
              <w:spacing w:before="156" w:beforeLines="50" w:after="156" w:afterLines="50"/>
              <w:jc w:val="left"/>
              <w:rPr>
                <w:b/>
                <w:sz w:val="18"/>
                <w:szCs w:val="18"/>
              </w:rPr>
            </w:pPr>
          </w:p>
        </w:tc>
        <w:tc>
          <w:tcPr>
            <w:tcW w:w="4337" w:type="dxa"/>
            <w:vMerge w:val="continue"/>
            <w:vAlign w:val="center"/>
          </w:tcPr>
          <w:p w14:paraId="34A43D4A">
            <w:pPr>
              <w:spacing w:before="156" w:beforeLines="50" w:after="156" w:afterLines="50"/>
              <w:jc w:val="left"/>
              <w:rPr>
                <w:rFonts w:ascii="宋体"/>
                <w:b/>
                <w:sz w:val="18"/>
                <w:szCs w:val="18"/>
              </w:rPr>
            </w:pPr>
          </w:p>
        </w:tc>
        <w:tc>
          <w:tcPr>
            <w:tcW w:w="9698" w:type="dxa"/>
            <w:vMerge w:val="restart"/>
            <w:vAlign w:val="center"/>
          </w:tcPr>
          <w:p w14:paraId="076CCC2D">
            <w:pPr>
              <w:spacing w:before="156" w:beforeLines="50" w:after="156" w:afterLines="50"/>
              <w:jc w:val="center"/>
              <w:rPr>
                <w:b/>
                <w:sz w:val="18"/>
                <w:szCs w:val="18"/>
              </w:rPr>
            </w:pPr>
            <w:r>
              <w:rPr>
                <w:rFonts w:hint="eastAsia"/>
                <w:b/>
                <w:sz w:val="18"/>
                <w:szCs w:val="18"/>
              </w:rPr>
              <w:t>【对象】施工作业单位</w:t>
            </w:r>
          </w:p>
        </w:tc>
      </w:tr>
      <w:tr w14:paraId="3B1F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58A3CEC8">
            <w:pPr>
              <w:spacing w:before="156" w:beforeLines="50" w:after="156" w:afterLines="50"/>
              <w:jc w:val="center"/>
              <w:rPr>
                <w:b/>
                <w:sz w:val="18"/>
                <w:szCs w:val="18"/>
              </w:rPr>
            </w:pPr>
          </w:p>
        </w:tc>
        <w:tc>
          <w:tcPr>
            <w:tcW w:w="977" w:type="dxa"/>
            <w:vMerge w:val="continue"/>
            <w:vAlign w:val="center"/>
          </w:tcPr>
          <w:p w14:paraId="67921B9E">
            <w:pPr>
              <w:spacing w:before="156" w:beforeLines="50" w:after="156" w:afterLines="50"/>
              <w:jc w:val="center"/>
              <w:rPr>
                <w:b/>
                <w:sz w:val="18"/>
                <w:szCs w:val="18"/>
              </w:rPr>
            </w:pPr>
          </w:p>
        </w:tc>
        <w:tc>
          <w:tcPr>
            <w:tcW w:w="951" w:type="dxa"/>
            <w:vAlign w:val="center"/>
          </w:tcPr>
          <w:p w14:paraId="140A95B1">
            <w:pPr>
              <w:spacing w:before="156" w:beforeLines="50" w:after="156" w:afterLines="50"/>
              <w:jc w:val="center"/>
              <w:rPr>
                <w:b/>
                <w:sz w:val="18"/>
                <w:szCs w:val="18"/>
              </w:rPr>
            </w:pPr>
            <w:r>
              <w:rPr>
                <w:rFonts w:hint="eastAsia"/>
                <w:b/>
                <w:sz w:val="18"/>
                <w:szCs w:val="18"/>
              </w:rPr>
              <w:t>违反条款</w:t>
            </w:r>
          </w:p>
        </w:tc>
        <w:tc>
          <w:tcPr>
            <w:tcW w:w="1518" w:type="dxa"/>
            <w:vAlign w:val="center"/>
          </w:tcPr>
          <w:p w14:paraId="08DA22E7">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6832538E">
            <w:pPr>
              <w:spacing w:before="156" w:beforeLines="50" w:after="156" w:afterLines="50"/>
              <w:jc w:val="left"/>
              <w:rPr>
                <w:b/>
                <w:sz w:val="18"/>
                <w:szCs w:val="18"/>
              </w:rPr>
            </w:pPr>
          </w:p>
        </w:tc>
        <w:tc>
          <w:tcPr>
            <w:tcW w:w="4337" w:type="dxa"/>
            <w:vMerge w:val="continue"/>
            <w:vAlign w:val="center"/>
          </w:tcPr>
          <w:p w14:paraId="204D3BCF">
            <w:pPr>
              <w:spacing w:before="156" w:beforeLines="50" w:after="156" w:afterLines="50"/>
              <w:jc w:val="left"/>
              <w:rPr>
                <w:b/>
                <w:sz w:val="18"/>
                <w:szCs w:val="18"/>
              </w:rPr>
            </w:pPr>
          </w:p>
        </w:tc>
        <w:tc>
          <w:tcPr>
            <w:tcW w:w="9698" w:type="dxa"/>
            <w:vMerge w:val="continue"/>
            <w:vAlign w:val="center"/>
          </w:tcPr>
          <w:p w14:paraId="58C02F00">
            <w:pPr>
              <w:spacing w:before="156" w:beforeLines="50" w:after="156" w:afterLines="50"/>
              <w:jc w:val="left"/>
              <w:rPr>
                <w:rFonts w:ascii="宋体"/>
                <w:b/>
                <w:sz w:val="18"/>
                <w:szCs w:val="18"/>
              </w:rPr>
            </w:pPr>
          </w:p>
        </w:tc>
      </w:tr>
      <w:tr w14:paraId="4A0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156389E7">
            <w:pPr>
              <w:spacing w:before="156" w:beforeLines="50" w:after="156" w:afterLines="50"/>
              <w:jc w:val="center"/>
              <w:rPr>
                <w:sz w:val="18"/>
                <w:szCs w:val="18"/>
              </w:rPr>
            </w:pPr>
            <w:r>
              <w:rPr>
                <w:rFonts w:hint="eastAsia"/>
                <w:sz w:val="18"/>
                <w:szCs w:val="18"/>
              </w:rPr>
              <w:t>44</w:t>
            </w:r>
          </w:p>
        </w:tc>
        <w:tc>
          <w:tcPr>
            <w:tcW w:w="977" w:type="dxa"/>
            <w:vMerge w:val="restart"/>
            <w:vAlign w:val="center"/>
          </w:tcPr>
          <w:p w14:paraId="13EF82E8">
            <w:pPr>
              <w:spacing w:before="156" w:beforeLines="50" w:after="156" w:afterLines="50"/>
              <w:rPr>
                <w:sz w:val="18"/>
                <w:szCs w:val="18"/>
              </w:rPr>
            </w:pPr>
            <w:r>
              <w:rPr>
                <w:rFonts w:hint="eastAsia" w:ascii="宋体"/>
                <w:sz w:val="18"/>
                <w:szCs w:val="18"/>
              </w:rPr>
              <w:t>船舶烧焊或者明火作业，不按照规定备案</w:t>
            </w:r>
          </w:p>
        </w:tc>
        <w:tc>
          <w:tcPr>
            <w:tcW w:w="951" w:type="dxa"/>
            <w:vMerge w:val="restart"/>
            <w:vAlign w:val="center"/>
          </w:tcPr>
          <w:p w14:paraId="496162A6">
            <w:pPr>
              <w:spacing w:before="156" w:beforeLines="50" w:after="156" w:afterLines="50"/>
              <w:rPr>
                <w:rFonts w:ascii="宋体"/>
                <w:sz w:val="18"/>
                <w:szCs w:val="18"/>
              </w:rPr>
            </w:pPr>
            <w:r>
              <w:rPr>
                <w:rFonts w:hint="eastAsia" w:ascii="宋体"/>
                <w:sz w:val="18"/>
                <w:szCs w:val="18"/>
              </w:rPr>
              <w:t>《中华人民共和国内河交通安全管理条例》第二十八条第（四）项</w:t>
            </w:r>
          </w:p>
        </w:tc>
        <w:tc>
          <w:tcPr>
            <w:tcW w:w="1518" w:type="dxa"/>
            <w:vMerge w:val="restart"/>
            <w:vAlign w:val="center"/>
          </w:tcPr>
          <w:p w14:paraId="6A66C0DE">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1067759A">
            <w:pPr>
              <w:spacing w:before="156" w:beforeLines="50" w:after="156" w:afterLines="50"/>
              <w:rPr>
                <w:rFonts w:ascii="宋体"/>
                <w:sz w:val="18"/>
                <w:szCs w:val="18"/>
              </w:rPr>
            </w:pPr>
            <w:r>
              <w:rPr>
                <w:rFonts w:hint="eastAsia" w:ascii="宋体"/>
                <w:sz w:val="18"/>
                <w:szCs w:val="18"/>
              </w:rPr>
              <w:t>2.《中华人民共和国内河海事行政处罚规定》第十九条第一款及第三款第（三）项；</w:t>
            </w:r>
          </w:p>
          <w:p w14:paraId="42B9AE13">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6D3A3D1C">
            <w:pPr>
              <w:spacing w:before="156" w:beforeLines="50" w:after="156" w:afterLines="50"/>
              <w:jc w:val="center"/>
              <w:rPr>
                <w:rFonts w:ascii="宋体"/>
                <w:sz w:val="18"/>
                <w:szCs w:val="18"/>
              </w:rPr>
            </w:pPr>
            <w:r>
              <w:rPr>
                <w:rFonts w:hint="eastAsia"/>
                <w:sz w:val="18"/>
                <w:szCs w:val="18"/>
              </w:rPr>
              <w:t>从轻</w:t>
            </w:r>
          </w:p>
        </w:tc>
        <w:tc>
          <w:tcPr>
            <w:tcW w:w="4337" w:type="dxa"/>
            <w:vAlign w:val="center"/>
          </w:tcPr>
          <w:p w14:paraId="02C9E9DB">
            <w:pPr>
              <w:spacing w:before="156" w:beforeLines="50" w:after="156" w:afterLines="50"/>
              <w:jc w:val="left"/>
              <w:rPr>
                <w:rFonts w:ascii="宋体"/>
                <w:sz w:val="18"/>
                <w:szCs w:val="18"/>
              </w:rPr>
            </w:pPr>
            <w:r>
              <w:rPr>
                <w:rFonts w:hint="eastAsia"/>
                <w:sz w:val="18"/>
                <w:szCs w:val="18"/>
              </w:rPr>
              <w:t>具有法定从轻情节的。</w:t>
            </w:r>
          </w:p>
        </w:tc>
        <w:tc>
          <w:tcPr>
            <w:tcW w:w="9698" w:type="dxa"/>
            <w:vAlign w:val="center"/>
          </w:tcPr>
          <w:p w14:paraId="273B588D">
            <w:pPr>
              <w:spacing w:before="156" w:beforeLines="50" w:after="156" w:afterLines="50"/>
              <w:jc w:val="left"/>
              <w:rPr>
                <w:rFonts w:ascii="宋体"/>
                <w:sz w:val="18"/>
                <w:szCs w:val="18"/>
              </w:rPr>
            </w:pPr>
            <w:r>
              <w:rPr>
                <w:rFonts w:hint="eastAsia" w:ascii="宋体"/>
                <w:sz w:val="18"/>
                <w:szCs w:val="18"/>
              </w:rPr>
              <w:t>5000元及以上9000元以下</w:t>
            </w:r>
          </w:p>
        </w:tc>
      </w:tr>
      <w:tr w14:paraId="2263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63B29AB0">
            <w:pPr>
              <w:spacing w:before="156" w:beforeLines="50" w:after="156" w:afterLines="50"/>
              <w:jc w:val="left"/>
              <w:rPr>
                <w:sz w:val="18"/>
                <w:szCs w:val="18"/>
              </w:rPr>
            </w:pPr>
          </w:p>
        </w:tc>
        <w:tc>
          <w:tcPr>
            <w:tcW w:w="977" w:type="dxa"/>
            <w:vMerge w:val="continue"/>
            <w:vAlign w:val="center"/>
          </w:tcPr>
          <w:p w14:paraId="35101492">
            <w:pPr>
              <w:spacing w:before="156" w:beforeLines="50" w:after="156" w:afterLines="50"/>
              <w:jc w:val="left"/>
              <w:rPr>
                <w:sz w:val="18"/>
                <w:szCs w:val="18"/>
              </w:rPr>
            </w:pPr>
          </w:p>
        </w:tc>
        <w:tc>
          <w:tcPr>
            <w:tcW w:w="951" w:type="dxa"/>
            <w:vMerge w:val="continue"/>
            <w:vAlign w:val="center"/>
          </w:tcPr>
          <w:p w14:paraId="0CA51C82">
            <w:pPr>
              <w:spacing w:before="156" w:beforeLines="50" w:after="156" w:afterLines="50"/>
              <w:jc w:val="left"/>
              <w:rPr>
                <w:sz w:val="18"/>
                <w:szCs w:val="18"/>
              </w:rPr>
            </w:pPr>
          </w:p>
        </w:tc>
        <w:tc>
          <w:tcPr>
            <w:tcW w:w="1518" w:type="dxa"/>
            <w:vMerge w:val="continue"/>
            <w:vAlign w:val="center"/>
          </w:tcPr>
          <w:p w14:paraId="13BD92EB">
            <w:pPr>
              <w:spacing w:before="156" w:beforeLines="50" w:after="156" w:afterLines="50"/>
              <w:jc w:val="left"/>
              <w:rPr>
                <w:sz w:val="18"/>
                <w:szCs w:val="18"/>
              </w:rPr>
            </w:pPr>
          </w:p>
        </w:tc>
        <w:tc>
          <w:tcPr>
            <w:tcW w:w="934" w:type="dxa"/>
            <w:vMerge w:val="restart"/>
            <w:vAlign w:val="center"/>
          </w:tcPr>
          <w:p w14:paraId="7406EA8F">
            <w:pPr>
              <w:spacing w:before="156" w:beforeLines="50" w:after="156" w:afterLines="50"/>
              <w:jc w:val="center"/>
              <w:rPr>
                <w:sz w:val="18"/>
                <w:szCs w:val="18"/>
              </w:rPr>
            </w:pPr>
            <w:r>
              <w:rPr>
                <w:rFonts w:hint="eastAsia"/>
                <w:sz w:val="18"/>
                <w:szCs w:val="18"/>
              </w:rPr>
              <w:t>一般</w:t>
            </w:r>
          </w:p>
        </w:tc>
        <w:tc>
          <w:tcPr>
            <w:tcW w:w="4337" w:type="dxa"/>
            <w:vAlign w:val="center"/>
          </w:tcPr>
          <w:p w14:paraId="72AFB5B4">
            <w:pPr>
              <w:spacing w:before="156" w:beforeLines="50" w:after="156" w:afterLines="50"/>
              <w:rPr>
                <w:rFonts w:ascii="宋体"/>
                <w:sz w:val="18"/>
                <w:szCs w:val="18"/>
              </w:rPr>
            </w:pPr>
            <w:r>
              <w:rPr>
                <w:rFonts w:hint="eastAsia" w:ascii="宋体"/>
                <w:sz w:val="18"/>
                <w:szCs w:val="18"/>
              </w:rPr>
              <w:t>船舶烧焊或者明火作业，未向海事管理机构备案的。</w:t>
            </w:r>
          </w:p>
        </w:tc>
        <w:tc>
          <w:tcPr>
            <w:tcW w:w="9698" w:type="dxa"/>
            <w:vAlign w:val="center"/>
          </w:tcPr>
          <w:p w14:paraId="240F5C8F">
            <w:pPr>
              <w:spacing w:before="156" w:beforeLines="50" w:after="156" w:afterLines="50"/>
              <w:jc w:val="left"/>
              <w:rPr>
                <w:rFonts w:ascii="宋体"/>
                <w:sz w:val="18"/>
                <w:szCs w:val="18"/>
              </w:rPr>
            </w:pPr>
            <w:r>
              <w:rPr>
                <w:rFonts w:hint="eastAsia" w:ascii="宋体"/>
                <w:sz w:val="18"/>
                <w:szCs w:val="18"/>
              </w:rPr>
              <w:t>9000元及以上1.5万元以下</w:t>
            </w:r>
          </w:p>
        </w:tc>
      </w:tr>
      <w:tr w14:paraId="0FA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29A96FD6">
            <w:pPr>
              <w:spacing w:before="156" w:beforeLines="50" w:after="156" w:afterLines="50"/>
              <w:jc w:val="left"/>
              <w:rPr>
                <w:sz w:val="18"/>
                <w:szCs w:val="18"/>
              </w:rPr>
            </w:pPr>
          </w:p>
        </w:tc>
        <w:tc>
          <w:tcPr>
            <w:tcW w:w="977" w:type="dxa"/>
            <w:vMerge w:val="continue"/>
            <w:vAlign w:val="center"/>
          </w:tcPr>
          <w:p w14:paraId="75F85D76">
            <w:pPr>
              <w:spacing w:before="156" w:beforeLines="50" w:after="156" w:afterLines="50"/>
              <w:jc w:val="left"/>
              <w:rPr>
                <w:sz w:val="18"/>
                <w:szCs w:val="18"/>
              </w:rPr>
            </w:pPr>
          </w:p>
        </w:tc>
        <w:tc>
          <w:tcPr>
            <w:tcW w:w="951" w:type="dxa"/>
            <w:vMerge w:val="continue"/>
            <w:vAlign w:val="center"/>
          </w:tcPr>
          <w:p w14:paraId="0D19CEB8">
            <w:pPr>
              <w:spacing w:before="156" w:beforeLines="50" w:after="156" w:afterLines="50"/>
              <w:jc w:val="left"/>
              <w:rPr>
                <w:sz w:val="18"/>
                <w:szCs w:val="18"/>
              </w:rPr>
            </w:pPr>
          </w:p>
        </w:tc>
        <w:tc>
          <w:tcPr>
            <w:tcW w:w="1518" w:type="dxa"/>
            <w:vMerge w:val="continue"/>
            <w:vAlign w:val="center"/>
          </w:tcPr>
          <w:p w14:paraId="24C0F2BE">
            <w:pPr>
              <w:spacing w:before="156" w:beforeLines="50" w:after="156" w:afterLines="50"/>
              <w:jc w:val="left"/>
              <w:rPr>
                <w:sz w:val="18"/>
                <w:szCs w:val="18"/>
              </w:rPr>
            </w:pPr>
          </w:p>
        </w:tc>
        <w:tc>
          <w:tcPr>
            <w:tcW w:w="934" w:type="dxa"/>
            <w:vMerge w:val="continue"/>
            <w:vAlign w:val="center"/>
          </w:tcPr>
          <w:p w14:paraId="5389C49B">
            <w:pPr>
              <w:spacing w:before="156" w:beforeLines="50" w:after="156" w:afterLines="50"/>
              <w:jc w:val="center"/>
              <w:rPr>
                <w:sz w:val="18"/>
                <w:szCs w:val="18"/>
              </w:rPr>
            </w:pPr>
          </w:p>
        </w:tc>
        <w:tc>
          <w:tcPr>
            <w:tcW w:w="4337" w:type="dxa"/>
            <w:vAlign w:val="center"/>
          </w:tcPr>
          <w:p w14:paraId="4378C3D1">
            <w:pPr>
              <w:spacing w:before="156" w:beforeLines="50" w:after="156" w:afterLines="50"/>
              <w:rPr>
                <w:rFonts w:ascii="宋体"/>
                <w:sz w:val="18"/>
                <w:szCs w:val="18"/>
              </w:rPr>
            </w:pPr>
            <w:r>
              <w:rPr>
                <w:rFonts w:hint="eastAsia" w:ascii="宋体"/>
                <w:sz w:val="18"/>
                <w:szCs w:val="18"/>
              </w:rPr>
              <w:t>船舶烧焊或者明火作业，发生一般以下水上交通事故的。</w:t>
            </w:r>
          </w:p>
        </w:tc>
        <w:tc>
          <w:tcPr>
            <w:tcW w:w="9698" w:type="dxa"/>
            <w:vAlign w:val="center"/>
          </w:tcPr>
          <w:p w14:paraId="57B2C00D">
            <w:pPr>
              <w:spacing w:before="156" w:beforeLines="50" w:after="156" w:afterLines="50"/>
              <w:jc w:val="left"/>
              <w:rPr>
                <w:rFonts w:ascii="宋体"/>
                <w:sz w:val="18"/>
                <w:szCs w:val="18"/>
              </w:rPr>
            </w:pPr>
            <w:r>
              <w:rPr>
                <w:rFonts w:hint="eastAsia" w:ascii="宋体"/>
                <w:sz w:val="18"/>
                <w:szCs w:val="18"/>
              </w:rPr>
              <w:t>1.5万元及以上3万元以下</w:t>
            </w:r>
          </w:p>
        </w:tc>
      </w:tr>
      <w:tr w14:paraId="0EF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4CD4F242">
            <w:pPr>
              <w:spacing w:before="156" w:beforeLines="50" w:after="156" w:afterLines="50"/>
              <w:jc w:val="left"/>
              <w:rPr>
                <w:sz w:val="18"/>
                <w:szCs w:val="18"/>
              </w:rPr>
            </w:pPr>
          </w:p>
        </w:tc>
        <w:tc>
          <w:tcPr>
            <w:tcW w:w="977" w:type="dxa"/>
            <w:vMerge w:val="continue"/>
            <w:tcBorders>
              <w:bottom w:val="single" w:color="auto" w:sz="4" w:space="0"/>
            </w:tcBorders>
            <w:vAlign w:val="center"/>
          </w:tcPr>
          <w:p w14:paraId="7E698B8E">
            <w:pPr>
              <w:spacing w:before="156" w:beforeLines="50" w:after="156" w:afterLines="50"/>
              <w:jc w:val="left"/>
              <w:rPr>
                <w:sz w:val="18"/>
                <w:szCs w:val="18"/>
              </w:rPr>
            </w:pPr>
          </w:p>
        </w:tc>
        <w:tc>
          <w:tcPr>
            <w:tcW w:w="951" w:type="dxa"/>
            <w:vMerge w:val="continue"/>
            <w:tcBorders>
              <w:bottom w:val="single" w:color="auto" w:sz="4" w:space="0"/>
            </w:tcBorders>
            <w:vAlign w:val="center"/>
          </w:tcPr>
          <w:p w14:paraId="4D5A9585">
            <w:pPr>
              <w:spacing w:before="156" w:beforeLines="50" w:after="156" w:afterLines="50"/>
              <w:jc w:val="left"/>
              <w:rPr>
                <w:sz w:val="18"/>
                <w:szCs w:val="18"/>
              </w:rPr>
            </w:pPr>
          </w:p>
        </w:tc>
        <w:tc>
          <w:tcPr>
            <w:tcW w:w="1518" w:type="dxa"/>
            <w:vMerge w:val="continue"/>
            <w:tcBorders>
              <w:bottom w:val="single" w:color="auto" w:sz="4" w:space="0"/>
            </w:tcBorders>
            <w:vAlign w:val="center"/>
          </w:tcPr>
          <w:p w14:paraId="3FD3B3BA">
            <w:pPr>
              <w:spacing w:before="156" w:beforeLines="50" w:after="156" w:afterLines="50"/>
              <w:jc w:val="left"/>
              <w:rPr>
                <w:sz w:val="18"/>
                <w:szCs w:val="18"/>
              </w:rPr>
            </w:pPr>
          </w:p>
        </w:tc>
        <w:tc>
          <w:tcPr>
            <w:tcW w:w="934" w:type="dxa"/>
            <w:vMerge w:val="continue"/>
            <w:tcBorders>
              <w:bottom w:val="single" w:color="auto" w:sz="4" w:space="0"/>
            </w:tcBorders>
            <w:vAlign w:val="center"/>
          </w:tcPr>
          <w:p w14:paraId="0D927DB2">
            <w:pPr>
              <w:spacing w:before="156" w:beforeLines="50" w:after="156" w:afterLines="50"/>
              <w:jc w:val="center"/>
              <w:rPr>
                <w:sz w:val="18"/>
                <w:szCs w:val="18"/>
              </w:rPr>
            </w:pPr>
          </w:p>
        </w:tc>
        <w:tc>
          <w:tcPr>
            <w:tcW w:w="4337" w:type="dxa"/>
            <w:tcBorders>
              <w:bottom w:val="single" w:color="auto" w:sz="4" w:space="0"/>
            </w:tcBorders>
            <w:vAlign w:val="center"/>
          </w:tcPr>
          <w:p w14:paraId="7823F2E3">
            <w:pPr>
              <w:spacing w:before="156" w:beforeLines="50" w:after="156" w:afterLines="50"/>
              <w:rPr>
                <w:rFonts w:ascii="宋体"/>
                <w:sz w:val="18"/>
                <w:szCs w:val="18"/>
              </w:rPr>
            </w:pPr>
            <w:r>
              <w:rPr>
                <w:rFonts w:hint="eastAsia" w:ascii="宋体"/>
                <w:sz w:val="18"/>
                <w:szCs w:val="18"/>
              </w:rPr>
              <w:t>1 船舶烧焊或者明火作业，发生一般及以上水上交通事故的；</w:t>
            </w:r>
          </w:p>
          <w:p w14:paraId="6874343D">
            <w:pPr>
              <w:spacing w:before="156" w:beforeLines="50" w:after="156" w:afterLines="50"/>
              <w:rPr>
                <w:rFonts w:ascii="宋体"/>
                <w:sz w:val="18"/>
                <w:szCs w:val="18"/>
              </w:rPr>
            </w:pPr>
            <w:r>
              <w:rPr>
                <w:rFonts w:hint="eastAsia" w:ascii="宋体"/>
                <w:sz w:val="18"/>
                <w:szCs w:val="18"/>
              </w:rPr>
              <w:t>2.造成其他严重后果的。</w:t>
            </w:r>
          </w:p>
        </w:tc>
        <w:tc>
          <w:tcPr>
            <w:tcW w:w="9698" w:type="dxa"/>
            <w:tcBorders>
              <w:bottom w:val="single" w:color="auto" w:sz="4" w:space="0"/>
            </w:tcBorders>
            <w:vAlign w:val="center"/>
          </w:tcPr>
          <w:p w14:paraId="68E6345D">
            <w:pPr>
              <w:spacing w:before="156" w:beforeLines="50" w:after="156" w:afterLines="50"/>
              <w:jc w:val="left"/>
              <w:rPr>
                <w:rFonts w:ascii="宋体"/>
                <w:sz w:val="18"/>
                <w:szCs w:val="18"/>
              </w:rPr>
            </w:pPr>
            <w:r>
              <w:rPr>
                <w:rFonts w:hint="eastAsia" w:ascii="宋体"/>
                <w:sz w:val="18"/>
                <w:szCs w:val="18"/>
              </w:rPr>
              <w:t>3万元及以上5万元及以下</w:t>
            </w:r>
          </w:p>
        </w:tc>
      </w:tr>
    </w:tbl>
    <w:p w14:paraId="61F95A26">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160"/>
      </w:tblGrid>
      <w:tr w14:paraId="39E0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3909C5AC">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5E4E12B2">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2A6D1184">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20F4F32C">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6AABC45E">
            <w:pPr>
              <w:spacing w:before="156" w:beforeLines="50" w:after="156" w:afterLines="50"/>
              <w:jc w:val="center"/>
              <w:rPr>
                <w:rFonts w:ascii="宋体"/>
                <w:b/>
                <w:sz w:val="18"/>
                <w:szCs w:val="18"/>
              </w:rPr>
            </w:pPr>
            <w:r>
              <w:rPr>
                <w:rFonts w:hint="eastAsia" w:ascii="宋体"/>
                <w:b/>
                <w:sz w:val="18"/>
                <w:szCs w:val="18"/>
              </w:rPr>
              <w:t>主要考虑因素</w:t>
            </w:r>
          </w:p>
          <w:p w14:paraId="0A691632">
            <w:pPr>
              <w:spacing w:before="156" w:beforeLines="50" w:after="156" w:afterLines="50"/>
              <w:jc w:val="center"/>
              <w:rPr>
                <w:b/>
                <w:sz w:val="18"/>
                <w:szCs w:val="18"/>
              </w:rPr>
            </w:pPr>
            <w:r>
              <w:rPr>
                <w:rFonts w:hint="eastAsia" w:ascii="宋体"/>
                <w:b/>
                <w:sz w:val="18"/>
                <w:szCs w:val="18"/>
              </w:rPr>
              <w:t>（事实、性质、情节、危害程度和实际后果等）</w:t>
            </w:r>
          </w:p>
        </w:tc>
        <w:tc>
          <w:tcPr>
            <w:tcW w:w="10160" w:type="dxa"/>
            <w:vAlign w:val="center"/>
          </w:tcPr>
          <w:p w14:paraId="0351E307">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5B6A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608FA0BC">
            <w:pPr>
              <w:spacing w:before="156" w:beforeLines="50" w:after="156" w:afterLines="50"/>
              <w:jc w:val="center"/>
              <w:rPr>
                <w:b/>
                <w:sz w:val="18"/>
                <w:szCs w:val="18"/>
              </w:rPr>
            </w:pPr>
          </w:p>
        </w:tc>
        <w:tc>
          <w:tcPr>
            <w:tcW w:w="977" w:type="dxa"/>
            <w:vMerge w:val="continue"/>
            <w:vAlign w:val="center"/>
          </w:tcPr>
          <w:p w14:paraId="4E90C7B6">
            <w:pPr>
              <w:spacing w:before="156" w:beforeLines="50" w:after="156" w:afterLines="50"/>
              <w:jc w:val="center"/>
              <w:rPr>
                <w:b/>
                <w:sz w:val="18"/>
                <w:szCs w:val="18"/>
              </w:rPr>
            </w:pPr>
          </w:p>
        </w:tc>
        <w:tc>
          <w:tcPr>
            <w:tcW w:w="2469" w:type="dxa"/>
            <w:gridSpan w:val="2"/>
            <w:vMerge w:val="continue"/>
            <w:vAlign w:val="center"/>
          </w:tcPr>
          <w:p w14:paraId="3DFB8DB5">
            <w:pPr>
              <w:spacing w:before="156" w:beforeLines="50" w:after="156" w:afterLines="50"/>
              <w:jc w:val="center"/>
              <w:rPr>
                <w:b/>
                <w:sz w:val="18"/>
                <w:szCs w:val="18"/>
              </w:rPr>
            </w:pPr>
          </w:p>
        </w:tc>
        <w:tc>
          <w:tcPr>
            <w:tcW w:w="934" w:type="dxa"/>
            <w:vMerge w:val="continue"/>
            <w:vAlign w:val="center"/>
          </w:tcPr>
          <w:p w14:paraId="0EF4F80C">
            <w:pPr>
              <w:spacing w:before="156" w:beforeLines="50" w:after="156" w:afterLines="50"/>
              <w:jc w:val="left"/>
              <w:rPr>
                <w:b/>
                <w:sz w:val="18"/>
                <w:szCs w:val="18"/>
              </w:rPr>
            </w:pPr>
          </w:p>
        </w:tc>
        <w:tc>
          <w:tcPr>
            <w:tcW w:w="4337" w:type="dxa"/>
            <w:vMerge w:val="continue"/>
            <w:vAlign w:val="center"/>
          </w:tcPr>
          <w:p w14:paraId="6B739139">
            <w:pPr>
              <w:spacing w:before="156" w:beforeLines="50" w:after="156" w:afterLines="50"/>
              <w:jc w:val="left"/>
              <w:rPr>
                <w:rFonts w:ascii="宋体"/>
                <w:b/>
                <w:sz w:val="18"/>
                <w:szCs w:val="18"/>
              </w:rPr>
            </w:pPr>
          </w:p>
        </w:tc>
        <w:tc>
          <w:tcPr>
            <w:tcW w:w="10160" w:type="dxa"/>
            <w:vAlign w:val="center"/>
          </w:tcPr>
          <w:p w14:paraId="600E198E">
            <w:pPr>
              <w:spacing w:before="156" w:beforeLines="50" w:after="156" w:afterLines="50"/>
              <w:jc w:val="center"/>
              <w:rPr>
                <w:b/>
                <w:sz w:val="18"/>
                <w:szCs w:val="18"/>
              </w:rPr>
            </w:pPr>
            <w:r>
              <w:rPr>
                <w:rFonts w:hint="eastAsia"/>
                <w:b/>
                <w:sz w:val="18"/>
                <w:szCs w:val="18"/>
              </w:rPr>
              <w:t>处罚基准</w:t>
            </w:r>
          </w:p>
        </w:tc>
      </w:tr>
      <w:tr w14:paraId="734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7C38FEE9">
            <w:pPr>
              <w:spacing w:before="156" w:beforeLines="50" w:after="156" w:afterLines="50"/>
              <w:jc w:val="center"/>
              <w:rPr>
                <w:b/>
                <w:sz w:val="18"/>
                <w:szCs w:val="18"/>
              </w:rPr>
            </w:pPr>
          </w:p>
        </w:tc>
        <w:tc>
          <w:tcPr>
            <w:tcW w:w="977" w:type="dxa"/>
            <w:vMerge w:val="continue"/>
            <w:vAlign w:val="center"/>
          </w:tcPr>
          <w:p w14:paraId="3F2A36A0">
            <w:pPr>
              <w:spacing w:before="156" w:beforeLines="50" w:after="156" w:afterLines="50"/>
              <w:jc w:val="center"/>
              <w:rPr>
                <w:b/>
                <w:sz w:val="18"/>
                <w:szCs w:val="18"/>
              </w:rPr>
            </w:pPr>
          </w:p>
        </w:tc>
        <w:tc>
          <w:tcPr>
            <w:tcW w:w="2469" w:type="dxa"/>
            <w:gridSpan w:val="2"/>
            <w:vMerge w:val="continue"/>
            <w:vAlign w:val="center"/>
          </w:tcPr>
          <w:p w14:paraId="54E8132A">
            <w:pPr>
              <w:spacing w:before="156" w:beforeLines="50" w:after="156" w:afterLines="50"/>
              <w:jc w:val="center"/>
              <w:rPr>
                <w:b/>
                <w:sz w:val="18"/>
                <w:szCs w:val="18"/>
              </w:rPr>
            </w:pPr>
          </w:p>
        </w:tc>
        <w:tc>
          <w:tcPr>
            <w:tcW w:w="934" w:type="dxa"/>
            <w:vMerge w:val="continue"/>
            <w:vAlign w:val="center"/>
          </w:tcPr>
          <w:p w14:paraId="3908A8D4">
            <w:pPr>
              <w:spacing w:before="156" w:beforeLines="50" w:after="156" w:afterLines="50"/>
              <w:jc w:val="left"/>
              <w:rPr>
                <w:b/>
                <w:sz w:val="18"/>
                <w:szCs w:val="18"/>
              </w:rPr>
            </w:pPr>
          </w:p>
        </w:tc>
        <w:tc>
          <w:tcPr>
            <w:tcW w:w="4337" w:type="dxa"/>
            <w:vMerge w:val="continue"/>
            <w:vAlign w:val="center"/>
          </w:tcPr>
          <w:p w14:paraId="51148180">
            <w:pPr>
              <w:spacing w:before="156" w:beforeLines="50" w:after="156" w:afterLines="50"/>
              <w:jc w:val="left"/>
              <w:rPr>
                <w:rFonts w:ascii="宋体"/>
                <w:b/>
                <w:sz w:val="18"/>
                <w:szCs w:val="18"/>
              </w:rPr>
            </w:pPr>
          </w:p>
        </w:tc>
        <w:tc>
          <w:tcPr>
            <w:tcW w:w="10160" w:type="dxa"/>
            <w:vMerge w:val="restart"/>
            <w:vAlign w:val="center"/>
          </w:tcPr>
          <w:p w14:paraId="792C9FED">
            <w:pPr>
              <w:spacing w:before="156" w:beforeLines="50" w:after="156" w:afterLines="50"/>
              <w:jc w:val="center"/>
              <w:rPr>
                <w:b/>
                <w:sz w:val="18"/>
                <w:szCs w:val="18"/>
              </w:rPr>
            </w:pPr>
            <w:r>
              <w:rPr>
                <w:rFonts w:hint="eastAsia"/>
                <w:b/>
                <w:sz w:val="18"/>
                <w:szCs w:val="18"/>
              </w:rPr>
              <w:t>【对象】施工作业单位</w:t>
            </w:r>
          </w:p>
        </w:tc>
      </w:tr>
      <w:tr w14:paraId="7F49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04654E55">
            <w:pPr>
              <w:spacing w:before="156" w:beforeLines="50" w:after="156" w:afterLines="50"/>
              <w:jc w:val="center"/>
              <w:rPr>
                <w:b/>
                <w:sz w:val="18"/>
                <w:szCs w:val="18"/>
              </w:rPr>
            </w:pPr>
          </w:p>
        </w:tc>
        <w:tc>
          <w:tcPr>
            <w:tcW w:w="977" w:type="dxa"/>
            <w:vMerge w:val="continue"/>
            <w:vAlign w:val="center"/>
          </w:tcPr>
          <w:p w14:paraId="11284A0D">
            <w:pPr>
              <w:spacing w:before="156" w:beforeLines="50" w:after="156" w:afterLines="50"/>
              <w:jc w:val="center"/>
              <w:rPr>
                <w:b/>
                <w:sz w:val="18"/>
                <w:szCs w:val="18"/>
              </w:rPr>
            </w:pPr>
          </w:p>
        </w:tc>
        <w:tc>
          <w:tcPr>
            <w:tcW w:w="951" w:type="dxa"/>
            <w:vAlign w:val="center"/>
          </w:tcPr>
          <w:p w14:paraId="3BE6D8D9">
            <w:pPr>
              <w:spacing w:before="156" w:beforeLines="50" w:after="156" w:afterLines="50"/>
              <w:jc w:val="center"/>
              <w:rPr>
                <w:b/>
                <w:sz w:val="18"/>
                <w:szCs w:val="18"/>
              </w:rPr>
            </w:pPr>
            <w:r>
              <w:rPr>
                <w:rFonts w:hint="eastAsia"/>
                <w:b/>
                <w:sz w:val="18"/>
                <w:szCs w:val="18"/>
              </w:rPr>
              <w:t>违反条款</w:t>
            </w:r>
          </w:p>
        </w:tc>
        <w:tc>
          <w:tcPr>
            <w:tcW w:w="1518" w:type="dxa"/>
            <w:vAlign w:val="center"/>
          </w:tcPr>
          <w:p w14:paraId="694F5AA0">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438F3F88">
            <w:pPr>
              <w:spacing w:before="156" w:beforeLines="50" w:after="156" w:afterLines="50"/>
              <w:jc w:val="left"/>
              <w:rPr>
                <w:b/>
                <w:sz w:val="18"/>
                <w:szCs w:val="18"/>
              </w:rPr>
            </w:pPr>
          </w:p>
        </w:tc>
        <w:tc>
          <w:tcPr>
            <w:tcW w:w="4337" w:type="dxa"/>
            <w:vMerge w:val="continue"/>
            <w:vAlign w:val="center"/>
          </w:tcPr>
          <w:p w14:paraId="62183693">
            <w:pPr>
              <w:spacing w:before="156" w:beforeLines="50" w:after="156" w:afterLines="50"/>
              <w:jc w:val="left"/>
              <w:rPr>
                <w:b/>
                <w:sz w:val="18"/>
                <w:szCs w:val="18"/>
              </w:rPr>
            </w:pPr>
          </w:p>
        </w:tc>
        <w:tc>
          <w:tcPr>
            <w:tcW w:w="10160" w:type="dxa"/>
            <w:vMerge w:val="continue"/>
            <w:vAlign w:val="center"/>
          </w:tcPr>
          <w:p w14:paraId="283CE41E">
            <w:pPr>
              <w:spacing w:before="156" w:beforeLines="50" w:after="156" w:afterLines="50"/>
              <w:jc w:val="left"/>
              <w:rPr>
                <w:rFonts w:ascii="宋体"/>
                <w:b/>
                <w:sz w:val="18"/>
                <w:szCs w:val="18"/>
              </w:rPr>
            </w:pPr>
          </w:p>
        </w:tc>
      </w:tr>
      <w:tr w14:paraId="6835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00043D0D">
            <w:pPr>
              <w:spacing w:before="156" w:beforeLines="50" w:after="156" w:afterLines="50"/>
              <w:jc w:val="center"/>
              <w:rPr>
                <w:sz w:val="18"/>
                <w:szCs w:val="18"/>
              </w:rPr>
            </w:pPr>
            <w:r>
              <w:rPr>
                <w:rFonts w:hint="eastAsia"/>
                <w:sz w:val="18"/>
                <w:szCs w:val="18"/>
              </w:rPr>
              <w:t>45</w:t>
            </w:r>
          </w:p>
        </w:tc>
        <w:tc>
          <w:tcPr>
            <w:tcW w:w="977" w:type="dxa"/>
            <w:vMerge w:val="restart"/>
            <w:vAlign w:val="center"/>
          </w:tcPr>
          <w:p w14:paraId="1884F7B1">
            <w:pPr>
              <w:spacing w:before="156" w:beforeLines="50" w:after="156" w:afterLines="50"/>
              <w:rPr>
                <w:sz w:val="18"/>
                <w:szCs w:val="18"/>
              </w:rPr>
            </w:pPr>
            <w:r>
              <w:rPr>
                <w:rFonts w:hint="eastAsia" w:ascii="宋体"/>
                <w:sz w:val="18"/>
                <w:szCs w:val="18"/>
              </w:rPr>
              <w:t>气象观测、测量、地质调查，不按照规定备案</w:t>
            </w:r>
          </w:p>
        </w:tc>
        <w:tc>
          <w:tcPr>
            <w:tcW w:w="951" w:type="dxa"/>
            <w:vMerge w:val="restart"/>
            <w:vAlign w:val="center"/>
          </w:tcPr>
          <w:p w14:paraId="00526BF3">
            <w:pPr>
              <w:spacing w:before="156" w:beforeLines="50" w:after="156" w:afterLines="50"/>
              <w:rPr>
                <w:rFonts w:ascii="宋体"/>
                <w:sz w:val="18"/>
                <w:szCs w:val="18"/>
              </w:rPr>
            </w:pPr>
            <w:r>
              <w:rPr>
                <w:rFonts w:hint="eastAsia" w:ascii="宋体"/>
                <w:sz w:val="18"/>
                <w:szCs w:val="18"/>
              </w:rPr>
              <w:t>《中华人民共和国内河交通安全管理条例》第二十八条第（一）项</w:t>
            </w:r>
          </w:p>
        </w:tc>
        <w:tc>
          <w:tcPr>
            <w:tcW w:w="1518" w:type="dxa"/>
            <w:vMerge w:val="restart"/>
            <w:vAlign w:val="center"/>
          </w:tcPr>
          <w:p w14:paraId="58A473A1">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2FA805F0">
            <w:pPr>
              <w:spacing w:before="156" w:beforeLines="50" w:after="156" w:afterLines="50"/>
              <w:rPr>
                <w:rFonts w:ascii="宋体"/>
                <w:sz w:val="18"/>
                <w:szCs w:val="18"/>
              </w:rPr>
            </w:pPr>
            <w:r>
              <w:rPr>
                <w:rFonts w:hint="eastAsia" w:ascii="宋体"/>
                <w:sz w:val="18"/>
                <w:szCs w:val="18"/>
              </w:rPr>
              <w:t>2.《中华人民共和国内河海事行政处罚规定》第十九条第一款及第二款第（一）项；</w:t>
            </w:r>
          </w:p>
          <w:p w14:paraId="5E64F87D">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599347A6">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08A53E10">
            <w:pPr>
              <w:spacing w:before="156" w:beforeLines="50" w:after="156" w:afterLines="50"/>
              <w:rPr>
                <w:rFonts w:ascii="宋体"/>
                <w:sz w:val="18"/>
                <w:szCs w:val="18"/>
              </w:rPr>
            </w:pPr>
            <w:r>
              <w:rPr>
                <w:rFonts w:hint="eastAsia" w:ascii="宋体"/>
                <w:sz w:val="18"/>
                <w:szCs w:val="18"/>
              </w:rPr>
              <w:t>具有法定从轻情节的。</w:t>
            </w:r>
          </w:p>
        </w:tc>
        <w:tc>
          <w:tcPr>
            <w:tcW w:w="10160" w:type="dxa"/>
            <w:vAlign w:val="center"/>
          </w:tcPr>
          <w:p w14:paraId="1A74073F">
            <w:pPr>
              <w:spacing w:before="156" w:beforeLines="50" w:after="156" w:afterLines="50"/>
              <w:jc w:val="left"/>
              <w:rPr>
                <w:rFonts w:ascii="宋体"/>
                <w:sz w:val="18"/>
                <w:szCs w:val="18"/>
              </w:rPr>
            </w:pPr>
            <w:r>
              <w:rPr>
                <w:rFonts w:hint="eastAsia" w:ascii="宋体"/>
                <w:sz w:val="18"/>
                <w:szCs w:val="18"/>
              </w:rPr>
              <w:t>5000元及以上9000元以下</w:t>
            </w:r>
          </w:p>
        </w:tc>
      </w:tr>
      <w:tr w14:paraId="241C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12735C25">
            <w:pPr>
              <w:spacing w:before="156" w:beforeLines="50" w:after="156" w:afterLines="50"/>
              <w:jc w:val="left"/>
              <w:rPr>
                <w:sz w:val="18"/>
                <w:szCs w:val="18"/>
              </w:rPr>
            </w:pPr>
          </w:p>
        </w:tc>
        <w:tc>
          <w:tcPr>
            <w:tcW w:w="977" w:type="dxa"/>
            <w:vMerge w:val="continue"/>
            <w:vAlign w:val="center"/>
          </w:tcPr>
          <w:p w14:paraId="4DDAB9EE">
            <w:pPr>
              <w:spacing w:before="156" w:beforeLines="50" w:after="156" w:afterLines="50"/>
              <w:jc w:val="left"/>
              <w:rPr>
                <w:sz w:val="18"/>
                <w:szCs w:val="18"/>
              </w:rPr>
            </w:pPr>
          </w:p>
        </w:tc>
        <w:tc>
          <w:tcPr>
            <w:tcW w:w="951" w:type="dxa"/>
            <w:vMerge w:val="continue"/>
            <w:vAlign w:val="center"/>
          </w:tcPr>
          <w:p w14:paraId="2EB6A0A2">
            <w:pPr>
              <w:spacing w:before="156" w:beforeLines="50" w:after="156" w:afterLines="50"/>
              <w:rPr>
                <w:rFonts w:ascii="宋体"/>
                <w:sz w:val="18"/>
                <w:szCs w:val="18"/>
              </w:rPr>
            </w:pPr>
          </w:p>
        </w:tc>
        <w:tc>
          <w:tcPr>
            <w:tcW w:w="1518" w:type="dxa"/>
            <w:vMerge w:val="continue"/>
            <w:vAlign w:val="center"/>
          </w:tcPr>
          <w:p w14:paraId="5DC59B81">
            <w:pPr>
              <w:spacing w:before="156" w:beforeLines="50" w:after="156" w:afterLines="50"/>
              <w:rPr>
                <w:rFonts w:ascii="宋体"/>
                <w:sz w:val="18"/>
                <w:szCs w:val="18"/>
              </w:rPr>
            </w:pPr>
          </w:p>
        </w:tc>
        <w:tc>
          <w:tcPr>
            <w:tcW w:w="934" w:type="dxa"/>
            <w:vMerge w:val="restart"/>
            <w:vAlign w:val="center"/>
          </w:tcPr>
          <w:p w14:paraId="27E2BD4F">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765559CE">
            <w:pPr>
              <w:spacing w:before="156" w:beforeLines="50" w:after="156" w:afterLines="50"/>
              <w:rPr>
                <w:rFonts w:ascii="宋体"/>
                <w:sz w:val="18"/>
                <w:szCs w:val="18"/>
              </w:rPr>
            </w:pPr>
            <w:r>
              <w:rPr>
                <w:rFonts w:hint="eastAsia" w:ascii="宋体"/>
                <w:sz w:val="18"/>
                <w:szCs w:val="18"/>
              </w:rPr>
              <w:t>气象观测、测量、地质调查，未向海事管理机构备案的。</w:t>
            </w:r>
          </w:p>
        </w:tc>
        <w:tc>
          <w:tcPr>
            <w:tcW w:w="10160" w:type="dxa"/>
            <w:vAlign w:val="center"/>
          </w:tcPr>
          <w:p w14:paraId="11797212">
            <w:pPr>
              <w:spacing w:before="156" w:beforeLines="50" w:after="156" w:afterLines="50"/>
              <w:jc w:val="left"/>
              <w:rPr>
                <w:rFonts w:ascii="宋体"/>
                <w:sz w:val="18"/>
                <w:szCs w:val="18"/>
              </w:rPr>
            </w:pPr>
            <w:r>
              <w:rPr>
                <w:rFonts w:hint="eastAsia" w:ascii="宋体"/>
                <w:sz w:val="18"/>
                <w:szCs w:val="18"/>
              </w:rPr>
              <w:t>9000元及以上1.5万元以下</w:t>
            </w:r>
          </w:p>
        </w:tc>
      </w:tr>
      <w:tr w14:paraId="7291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732A753C">
            <w:pPr>
              <w:spacing w:before="156" w:beforeLines="50" w:after="156" w:afterLines="50"/>
              <w:jc w:val="left"/>
              <w:rPr>
                <w:sz w:val="18"/>
                <w:szCs w:val="18"/>
              </w:rPr>
            </w:pPr>
          </w:p>
        </w:tc>
        <w:tc>
          <w:tcPr>
            <w:tcW w:w="977" w:type="dxa"/>
            <w:vMerge w:val="continue"/>
            <w:vAlign w:val="center"/>
          </w:tcPr>
          <w:p w14:paraId="48CE139E">
            <w:pPr>
              <w:spacing w:before="156" w:beforeLines="50" w:after="156" w:afterLines="50"/>
              <w:jc w:val="left"/>
              <w:rPr>
                <w:sz w:val="18"/>
                <w:szCs w:val="18"/>
              </w:rPr>
            </w:pPr>
          </w:p>
        </w:tc>
        <w:tc>
          <w:tcPr>
            <w:tcW w:w="951" w:type="dxa"/>
            <w:vMerge w:val="continue"/>
            <w:vAlign w:val="center"/>
          </w:tcPr>
          <w:p w14:paraId="65DCB67E">
            <w:pPr>
              <w:spacing w:before="156" w:beforeLines="50" w:after="156" w:afterLines="50"/>
              <w:rPr>
                <w:rFonts w:ascii="宋体"/>
                <w:sz w:val="18"/>
                <w:szCs w:val="18"/>
              </w:rPr>
            </w:pPr>
          </w:p>
        </w:tc>
        <w:tc>
          <w:tcPr>
            <w:tcW w:w="1518" w:type="dxa"/>
            <w:vMerge w:val="continue"/>
            <w:vAlign w:val="center"/>
          </w:tcPr>
          <w:p w14:paraId="6110A641">
            <w:pPr>
              <w:spacing w:before="156" w:beforeLines="50" w:after="156" w:afterLines="50"/>
              <w:rPr>
                <w:rFonts w:ascii="宋体"/>
                <w:sz w:val="18"/>
                <w:szCs w:val="18"/>
              </w:rPr>
            </w:pPr>
          </w:p>
        </w:tc>
        <w:tc>
          <w:tcPr>
            <w:tcW w:w="934" w:type="dxa"/>
            <w:vMerge w:val="continue"/>
            <w:vAlign w:val="center"/>
          </w:tcPr>
          <w:p w14:paraId="5880EB90">
            <w:pPr>
              <w:spacing w:before="156" w:beforeLines="50" w:after="156" w:afterLines="50"/>
              <w:rPr>
                <w:rFonts w:ascii="宋体"/>
                <w:sz w:val="18"/>
                <w:szCs w:val="18"/>
              </w:rPr>
            </w:pPr>
          </w:p>
        </w:tc>
        <w:tc>
          <w:tcPr>
            <w:tcW w:w="4337" w:type="dxa"/>
            <w:vAlign w:val="center"/>
          </w:tcPr>
          <w:p w14:paraId="7DBB1078">
            <w:pPr>
              <w:spacing w:before="156" w:beforeLines="50" w:after="156" w:afterLines="50"/>
              <w:rPr>
                <w:rFonts w:ascii="宋体"/>
                <w:sz w:val="18"/>
                <w:szCs w:val="18"/>
              </w:rPr>
            </w:pPr>
            <w:r>
              <w:rPr>
                <w:rFonts w:hint="eastAsia" w:ascii="宋体"/>
                <w:sz w:val="18"/>
                <w:szCs w:val="18"/>
              </w:rPr>
              <w:t>气象观测、测量、地质调查，发生一般以下水上交通事故的。</w:t>
            </w:r>
          </w:p>
        </w:tc>
        <w:tc>
          <w:tcPr>
            <w:tcW w:w="10160" w:type="dxa"/>
            <w:vAlign w:val="center"/>
          </w:tcPr>
          <w:p w14:paraId="2C1109ED">
            <w:pPr>
              <w:spacing w:before="156" w:beforeLines="50" w:after="156" w:afterLines="50"/>
              <w:jc w:val="left"/>
              <w:rPr>
                <w:rFonts w:ascii="宋体"/>
                <w:sz w:val="18"/>
                <w:szCs w:val="18"/>
              </w:rPr>
            </w:pPr>
            <w:r>
              <w:rPr>
                <w:rFonts w:hint="eastAsia" w:ascii="宋体"/>
                <w:sz w:val="18"/>
                <w:szCs w:val="18"/>
              </w:rPr>
              <w:t>1.5万元及以上3万元以下</w:t>
            </w:r>
          </w:p>
        </w:tc>
      </w:tr>
      <w:tr w14:paraId="04D2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7B7FA836">
            <w:pPr>
              <w:spacing w:before="156" w:beforeLines="50" w:after="156" w:afterLines="50"/>
              <w:jc w:val="left"/>
              <w:rPr>
                <w:sz w:val="18"/>
                <w:szCs w:val="18"/>
              </w:rPr>
            </w:pPr>
          </w:p>
        </w:tc>
        <w:tc>
          <w:tcPr>
            <w:tcW w:w="977" w:type="dxa"/>
            <w:vMerge w:val="continue"/>
            <w:tcBorders>
              <w:bottom w:val="single" w:color="auto" w:sz="4" w:space="0"/>
            </w:tcBorders>
            <w:vAlign w:val="center"/>
          </w:tcPr>
          <w:p w14:paraId="2287FF82">
            <w:pPr>
              <w:spacing w:before="156" w:beforeLines="50" w:after="156" w:afterLines="50"/>
              <w:jc w:val="left"/>
              <w:rPr>
                <w:sz w:val="18"/>
                <w:szCs w:val="18"/>
              </w:rPr>
            </w:pPr>
          </w:p>
        </w:tc>
        <w:tc>
          <w:tcPr>
            <w:tcW w:w="951" w:type="dxa"/>
            <w:vMerge w:val="continue"/>
            <w:tcBorders>
              <w:bottom w:val="single" w:color="auto" w:sz="4" w:space="0"/>
            </w:tcBorders>
            <w:vAlign w:val="center"/>
          </w:tcPr>
          <w:p w14:paraId="73C63B8C">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1C5D2040">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63B7D611">
            <w:pPr>
              <w:spacing w:before="156" w:beforeLines="50" w:after="156" w:afterLines="50"/>
              <w:rPr>
                <w:rFonts w:ascii="宋体"/>
                <w:sz w:val="18"/>
                <w:szCs w:val="18"/>
              </w:rPr>
            </w:pPr>
          </w:p>
        </w:tc>
        <w:tc>
          <w:tcPr>
            <w:tcW w:w="4337" w:type="dxa"/>
            <w:tcBorders>
              <w:bottom w:val="single" w:color="auto" w:sz="4" w:space="0"/>
            </w:tcBorders>
            <w:vAlign w:val="center"/>
          </w:tcPr>
          <w:p w14:paraId="69D1AEBA">
            <w:pPr>
              <w:spacing w:before="156" w:beforeLines="50" w:after="156" w:afterLines="50"/>
              <w:rPr>
                <w:rFonts w:ascii="宋体"/>
                <w:sz w:val="18"/>
                <w:szCs w:val="18"/>
              </w:rPr>
            </w:pPr>
            <w:r>
              <w:rPr>
                <w:rFonts w:hint="eastAsia" w:ascii="宋体"/>
                <w:sz w:val="18"/>
                <w:szCs w:val="18"/>
              </w:rPr>
              <w:t>1.气象观测、测量、地质调查，发生一般及以上水上交通事故的；</w:t>
            </w:r>
          </w:p>
          <w:p w14:paraId="39E9DF9A">
            <w:pPr>
              <w:spacing w:before="156" w:beforeLines="50" w:after="156" w:afterLines="50"/>
              <w:rPr>
                <w:rFonts w:ascii="宋体"/>
                <w:sz w:val="18"/>
                <w:szCs w:val="18"/>
              </w:rPr>
            </w:pPr>
            <w:r>
              <w:rPr>
                <w:rFonts w:hint="eastAsia" w:ascii="宋体"/>
                <w:sz w:val="18"/>
                <w:szCs w:val="18"/>
              </w:rPr>
              <w:t>2.造成其他严重后果的。</w:t>
            </w:r>
          </w:p>
        </w:tc>
        <w:tc>
          <w:tcPr>
            <w:tcW w:w="10160" w:type="dxa"/>
            <w:tcBorders>
              <w:bottom w:val="single" w:color="auto" w:sz="4" w:space="0"/>
            </w:tcBorders>
            <w:vAlign w:val="center"/>
          </w:tcPr>
          <w:p w14:paraId="62F73BF5">
            <w:pPr>
              <w:spacing w:before="156" w:beforeLines="50" w:after="156" w:afterLines="50"/>
              <w:jc w:val="left"/>
              <w:rPr>
                <w:rFonts w:ascii="宋体"/>
                <w:sz w:val="18"/>
                <w:szCs w:val="18"/>
              </w:rPr>
            </w:pPr>
            <w:r>
              <w:rPr>
                <w:rFonts w:hint="eastAsia" w:ascii="宋体"/>
                <w:sz w:val="18"/>
                <w:szCs w:val="18"/>
              </w:rPr>
              <w:t>3万元及以上5万元及以下</w:t>
            </w:r>
          </w:p>
        </w:tc>
      </w:tr>
    </w:tbl>
    <w:p w14:paraId="309C9957">
      <w:pPr>
        <w:spacing w:before="156" w:beforeLines="50" w:after="156" w:afterLines="50"/>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77"/>
        <w:gridCol w:w="951"/>
        <w:gridCol w:w="1518"/>
        <w:gridCol w:w="934"/>
        <w:gridCol w:w="4337"/>
        <w:gridCol w:w="10075"/>
      </w:tblGrid>
      <w:tr w14:paraId="72A4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91" w:type="dxa"/>
            <w:vMerge w:val="restart"/>
            <w:vAlign w:val="center"/>
          </w:tcPr>
          <w:p w14:paraId="42CA7F88">
            <w:pPr>
              <w:spacing w:before="156" w:beforeLines="50" w:after="156" w:afterLines="50"/>
              <w:jc w:val="center"/>
              <w:rPr>
                <w:b/>
                <w:sz w:val="18"/>
                <w:szCs w:val="18"/>
              </w:rPr>
            </w:pPr>
            <w:r>
              <w:rPr>
                <w:rFonts w:hint="eastAsia"/>
                <w:b/>
                <w:sz w:val="18"/>
                <w:szCs w:val="18"/>
              </w:rPr>
              <w:t>序号</w:t>
            </w:r>
          </w:p>
        </w:tc>
        <w:tc>
          <w:tcPr>
            <w:tcW w:w="977" w:type="dxa"/>
            <w:vMerge w:val="restart"/>
            <w:vAlign w:val="center"/>
          </w:tcPr>
          <w:p w14:paraId="52CCBEE8">
            <w:pPr>
              <w:spacing w:before="156" w:beforeLines="50" w:after="156" w:afterLines="50"/>
              <w:jc w:val="center"/>
              <w:rPr>
                <w:b/>
                <w:sz w:val="18"/>
                <w:szCs w:val="18"/>
              </w:rPr>
            </w:pPr>
            <w:r>
              <w:rPr>
                <w:rFonts w:hint="eastAsia"/>
                <w:b/>
                <w:sz w:val="18"/>
                <w:szCs w:val="18"/>
              </w:rPr>
              <w:t>案由</w:t>
            </w:r>
          </w:p>
        </w:tc>
        <w:tc>
          <w:tcPr>
            <w:tcW w:w="2469" w:type="dxa"/>
            <w:gridSpan w:val="2"/>
            <w:vMerge w:val="restart"/>
            <w:vAlign w:val="center"/>
          </w:tcPr>
          <w:p w14:paraId="54928D12">
            <w:pPr>
              <w:spacing w:before="156" w:beforeLines="50" w:after="156" w:afterLines="50"/>
              <w:jc w:val="center"/>
              <w:rPr>
                <w:b/>
                <w:sz w:val="18"/>
                <w:szCs w:val="18"/>
              </w:rPr>
            </w:pPr>
            <w:r>
              <w:rPr>
                <w:rFonts w:hint="eastAsia"/>
                <w:b/>
                <w:sz w:val="18"/>
                <w:szCs w:val="18"/>
              </w:rPr>
              <w:t>法律依据</w:t>
            </w:r>
          </w:p>
        </w:tc>
        <w:tc>
          <w:tcPr>
            <w:tcW w:w="934" w:type="dxa"/>
            <w:vMerge w:val="restart"/>
            <w:vAlign w:val="center"/>
          </w:tcPr>
          <w:p w14:paraId="30A8F9AC">
            <w:pPr>
              <w:spacing w:before="156" w:beforeLines="50" w:after="156" w:afterLines="50"/>
              <w:jc w:val="left"/>
              <w:rPr>
                <w:b/>
                <w:sz w:val="18"/>
                <w:szCs w:val="18"/>
              </w:rPr>
            </w:pPr>
            <w:r>
              <w:rPr>
                <w:rFonts w:hint="eastAsia"/>
                <w:b/>
                <w:sz w:val="18"/>
                <w:szCs w:val="18"/>
              </w:rPr>
              <w:t>违法行为情节</w:t>
            </w:r>
          </w:p>
        </w:tc>
        <w:tc>
          <w:tcPr>
            <w:tcW w:w="4337" w:type="dxa"/>
            <w:vMerge w:val="restart"/>
            <w:vAlign w:val="center"/>
          </w:tcPr>
          <w:p w14:paraId="272501F2">
            <w:pPr>
              <w:spacing w:before="156" w:beforeLines="50" w:after="156" w:afterLines="50"/>
              <w:jc w:val="center"/>
              <w:rPr>
                <w:rFonts w:ascii="宋体"/>
                <w:b/>
                <w:sz w:val="18"/>
                <w:szCs w:val="18"/>
              </w:rPr>
            </w:pPr>
            <w:r>
              <w:rPr>
                <w:rFonts w:hint="eastAsia" w:ascii="宋体"/>
                <w:b/>
                <w:sz w:val="18"/>
                <w:szCs w:val="18"/>
              </w:rPr>
              <w:t>主要考虑因素</w:t>
            </w:r>
          </w:p>
          <w:p w14:paraId="137C0532">
            <w:pPr>
              <w:spacing w:before="156" w:beforeLines="50" w:after="156" w:afterLines="50"/>
              <w:jc w:val="center"/>
              <w:rPr>
                <w:b/>
                <w:sz w:val="18"/>
                <w:szCs w:val="18"/>
              </w:rPr>
            </w:pPr>
            <w:r>
              <w:rPr>
                <w:rFonts w:hint="eastAsia" w:ascii="宋体"/>
                <w:b/>
                <w:sz w:val="18"/>
                <w:szCs w:val="18"/>
              </w:rPr>
              <w:t>（事实、性质、情节、危害程度和实际后果等）</w:t>
            </w:r>
          </w:p>
        </w:tc>
        <w:tc>
          <w:tcPr>
            <w:tcW w:w="10075" w:type="dxa"/>
            <w:vAlign w:val="center"/>
          </w:tcPr>
          <w:p w14:paraId="6164850A">
            <w:pPr>
              <w:spacing w:before="156" w:beforeLines="50" w:after="156" w:afterLines="50"/>
              <w:jc w:val="center"/>
              <w:rPr>
                <w:b/>
                <w:sz w:val="18"/>
                <w:szCs w:val="18"/>
              </w:rPr>
            </w:pPr>
            <w:r>
              <w:rPr>
                <w:rFonts w:hint="eastAsia"/>
                <w:b/>
                <w:sz w:val="18"/>
                <w:szCs w:val="18"/>
              </w:rPr>
              <w:t>【法定幅度和种类】责令改正，处5000元以上5万元以下罚款。</w:t>
            </w:r>
          </w:p>
        </w:tc>
      </w:tr>
      <w:tr w14:paraId="7F31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1" w:type="dxa"/>
            <w:vMerge w:val="continue"/>
            <w:vAlign w:val="center"/>
          </w:tcPr>
          <w:p w14:paraId="1D868836">
            <w:pPr>
              <w:spacing w:before="156" w:beforeLines="50" w:after="156" w:afterLines="50"/>
              <w:jc w:val="center"/>
              <w:rPr>
                <w:b/>
                <w:sz w:val="18"/>
                <w:szCs w:val="18"/>
              </w:rPr>
            </w:pPr>
          </w:p>
        </w:tc>
        <w:tc>
          <w:tcPr>
            <w:tcW w:w="977" w:type="dxa"/>
            <w:vMerge w:val="continue"/>
            <w:vAlign w:val="center"/>
          </w:tcPr>
          <w:p w14:paraId="4A96E4E4">
            <w:pPr>
              <w:spacing w:before="156" w:beforeLines="50" w:after="156" w:afterLines="50"/>
              <w:jc w:val="center"/>
              <w:rPr>
                <w:b/>
                <w:sz w:val="18"/>
                <w:szCs w:val="18"/>
              </w:rPr>
            </w:pPr>
          </w:p>
        </w:tc>
        <w:tc>
          <w:tcPr>
            <w:tcW w:w="2469" w:type="dxa"/>
            <w:gridSpan w:val="2"/>
            <w:vMerge w:val="continue"/>
            <w:vAlign w:val="center"/>
          </w:tcPr>
          <w:p w14:paraId="180AF7A7">
            <w:pPr>
              <w:spacing w:before="156" w:beforeLines="50" w:after="156" w:afterLines="50"/>
              <w:jc w:val="center"/>
              <w:rPr>
                <w:b/>
                <w:sz w:val="18"/>
                <w:szCs w:val="18"/>
              </w:rPr>
            </w:pPr>
          </w:p>
        </w:tc>
        <w:tc>
          <w:tcPr>
            <w:tcW w:w="934" w:type="dxa"/>
            <w:vMerge w:val="continue"/>
            <w:vAlign w:val="center"/>
          </w:tcPr>
          <w:p w14:paraId="62FFAFA1">
            <w:pPr>
              <w:spacing w:before="156" w:beforeLines="50" w:after="156" w:afterLines="50"/>
              <w:jc w:val="left"/>
              <w:rPr>
                <w:b/>
                <w:sz w:val="18"/>
                <w:szCs w:val="18"/>
              </w:rPr>
            </w:pPr>
          </w:p>
        </w:tc>
        <w:tc>
          <w:tcPr>
            <w:tcW w:w="4337" w:type="dxa"/>
            <w:vMerge w:val="continue"/>
            <w:vAlign w:val="center"/>
          </w:tcPr>
          <w:p w14:paraId="360A06B5">
            <w:pPr>
              <w:spacing w:before="156" w:beforeLines="50" w:after="156" w:afterLines="50"/>
              <w:jc w:val="left"/>
              <w:rPr>
                <w:rFonts w:ascii="宋体"/>
                <w:b/>
                <w:sz w:val="18"/>
                <w:szCs w:val="18"/>
              </w:rPr>
            </w:pPr>
          </w:p>
        </w:tc>
        <w:tc>
          <w:tcPr>
            <w:tcW w:w="10075" w:type="dxa"/>
            <w:vAlign w:val="center"/>
          </w:tcPr>
          <w:p w14:paraId="7DB2CCC6">
            <w:pPr>
              <w:spacing w:before="156" w:beforeLines="50" w:after="156" w:afterLines="50"/>
              <w:jc w:val="center"/>
              <w:rPr>
                <w:b/>
                <w:sz w:val="18"/>
                <w:szCs w:val="18"/>
              </w:rPr>
            </w:pPr>
            <w:r>
              <w:rPr>
                <w:rFonts w:hint="eastAsia"/>
                <w:b/>
                <w:sz w:val="18"/>
                <w:szCs w:val="18"/>
              </w:rPr>
              <w:t>处罚基准</w:t>
            </w:r>
          </w:p>
        </w:tc>
      </w:tr>
      <w:tr w14:paraId="756D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1" w:type="dxa"/>
            <w:vMerge w:val="continue"/>
            <w:vAlign w:val="center"/>
          </w:tcPr>
          <w:p w14:paraId="5610E2DC">
            <w:pPr>
              <w:spacing w:before="156" w:beforeLines="50" w:after="156" w:afterLines="50"/>
              <w:jc w:val="center"/>
              <w:rPr>
                <w:b/>
                <w:sz w:val="18"/>
                <w:szCs w:val="18"/>
              </w:rPr>
            </w:pPr>
          </w:p>
        </w:tc>
        <w:tc>
          <w:tcPr>
            <w:tcW w:w="977" w:type="dxa"/>
            <w:vMerge w:val="continue"/>
            <w:vAlign w:val="center"/>
          </w:tcPr>
          <w:p w14:paraId="4532FDBE">
            <w:pPr>
              <w:spacing w:before="156" w:beforeLines="50" w:after="156" w:afterLines="50"/>
              <w:jc w:val="center"/>
              <w:rPr>
                <w:b/>
                <w:sz w:val="18"/>
                <w:szCs w:val="18"/>
              </w:rPr>
            </w:pPr>
          </w:p>
        </w:tc>
        <w:tc>
          <w:tcPr>
            <w:tcW w:w="2469" w:type="dxa"/>
            <w:gridSpan w:val="2"/>
            <w:vMerge w:val="continue"/>
            <w:vAlign w:val="center"/>
          </w:tcPr>
          <w:p w14:paraId="3FABA78C">
            <w:pPr>
              <w:spacing w:before="156" w:beforeLines="50" w:after="156" w:afterLines="50"/>
              <w:jc w:val="center"/>
              <w:rPr>
                <w:b/>
                <w:sz w:val="18"/>
                <w:szCs w:val="18"/>
              </w:rPr>
            </w:pPr>
          </w:p>
        </w:tc>
        <w:tc>
          <w:tcPr>
            <w:tcW w:w="934" w:type="dxa"/>
            <w:vMerge w:val="continue"/>
            <w:vAlign w:val="center"/>
          </w:tcPr>
          <w:p w14:paraId="296893B4">
            <w:pPr>
              <w:spacing w:before="156" w:beforeLines="50" w:after="156" w:afterLines="50"/>
              <w:jc w:val="left"/>
              <w:rPr>
                <w:b/>
                <w:sz w:val="18"/>
                <w:szCs w:val="18"/>
              </w:rPr>
            </w:pPr>
          </w:p>
        </w:tc>
        <w:tc>
          <w:tcPr>
            <w:tcW w:w="4337" w:type="dxa"/>
            <w:vMerge w:val="continue"/>
            <w:vAlign w:val="center"/>
          </w:tcPr>
          <w:p w14:paraId="4EA25004">
            <w:pPr>
              <w:spacing w:before="156" w:beforeLines="50" w:after="156" w:afterLines="50"/>
              <w:jc w:val="left"/>
              <w:rPr>
                <w:rFonts w:ascii="宋体"/>
                <w:b/>
                <w:sz w:val="18"/>
                <w:szCs w:val="18"/>
              </w:rPr>
            </w:pPr>
          </w:p>
        </w:tc>
        <w:tc>
          <w:tcPr>
            <w:tcW w:w="10075" w:type="dxa"/>
            <w:vMerge w:val="restart"/>
            <w:vAlign w:val="center"/>
          </w:tcPr>
          <w:p w14:paraId="289780C9">
            <w:pPr>
              <w:spacing w:before="156" w:beforeLines="50" w:after="156" w:afterLines="50"/>
              <w:jc w:val="center"/>
              <w:rPr>
                <w:b/>
                <w:sz w:val="18"/>
                <w:szCs w:val="18"/>
              </w:rPr>
            </w:pPr>
            <w:r>
              <w:rPr>
                <w:rFonts w:hint="eastAsia"/>
                <w:b/>
                <w:sz w:val="18"/>
                <w:szCs w:val="18"/>
              </w:rPr>
              <w:t>【对象】施工作业单位</w:t>
            </w:r>
          </w:p>
        </w:tc>
      </w:tr>
      <w:tr w14:paraId="2FBC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1" w:type="dxa"/>
            <w:vMerge w:val="continue"/>
            <w:vAlign w:val="center"/>
          </w:tcPr>
          <w:p w14:paraId="35E324C6">
            <w:pPr>
              <w:spacing w:before="156" w:beforeLines="50" w:after="156" w:afterLines="50"/>
              <w:jc w:val="center"/>
              <w:rPr>
                <w:b/>
                <w:sz w:val="18"/>
                <w:szCs w:val="18"/>
              </w:rPr>
            </w:pPr>
          </w:p>
        </w:tc>
        <w:tc>
          <w:tcPr>
            <w:tcW w:w="977" w:type="dxa"/>
            <w:vMerge w:val="continue"/>
            <w:vAlign w:val="center"/>
          </w:tcPr>
          <w:p w14:paraId="70405E1C">
            <w:pPr>
              <w:spacing w:before="156" w:beforeLines="50" w:after="156" w:afterLines="50"/>
              <w:jc w:val="center"/>
              <w:rPr>
                <w:b/>
                <w:sz w:val="18"/>
                <w:szCs w:val="18"/>
              </w:rPr>
            </w:pPr>
          </w:p>
        </w:tc>
        <w:tc>
          <w:tcPr>
            <w:tcW w:w="951" w:type="dxa"/>
            <w:vAlign w:val="center"/>
          </w:tcPr>
          <w:p w14:paraId="1D9E4ADA">
            <w:pPr>
              <w:spacing w:before="156" w:beforeLines="50" w:after="156" w:afterLines="50"/>
              <w:jc w:val="center"/>
              <w:rPr>
                <w:b/>
                <w:sz w:val="18"/>
                <w:szCs w:val="18"/>
              </w:rPr>
            </w:pPr>
            <w:r>
              <w:rPr>
                <w:rFonts w:hint="eastAsia"/>
                <w:b/>
                <w:sz w:val="18"/>
                <w:szCs w:val="18"/>
              </w:rPr>
              <w:t>违反条款</w:t>
            </w:r>
          </w:p>
        </w:tc>
        <w:tc>
          <w:tcPr>
            <w:tcW w:w="1518" w:type="dxa"/>
            <w:vAlign w:val="center"/>
          </w:tcPr>
          <w:p w14:paraId="4E4F0103">
            <w:pPr>
              <w:spacing w:before="156" w:beforeLines="50" w:after="156" w:afterLines="50"/>
              <w:jc w:val="center"/>
              <w:rPr>
                <w:b/>
                <w:sz w:val="18"/>
                <w:szCs w:val="18"/>
              </w:rPr>
            </w:pPr>
            <w:r>
              <w:rPr>
                <w:rFonts w:hint="eastAsia"/>
                <w:b/>
                <w:sz w:val="18"/>
                <w:szCs w:val="18"/>
              </w:rPr>
              <w:t>处罚依据</w:t>
            </w:r>
          </w:p>
        </w:tc>
        <w:tc>
          <w:tcPr>
            <w:tcW w:w="934" w:type="dxa"/>
            <w:vMerge w:val="continue"/>
            <w:vAlign w:val="center"/>
          </w:tcPr>
          <w:p w14:paraId="5B96DBC3">
            <w:pPr>
              <w:spacing w:before="156" w:beforeLines="50" w:after="156" w:afterLines="50"/>
              <w:jc w:val="left"/>
              <w:rPr>
                <w:b/>
                <w:sz w:val="18"/>
                <w:szCs w:val="18"/>
              </w:rPr>
            </w:pPr>
          </w:p>
        </w:tc>
        <w:tc>
          <w:tcPr>
            <w:tcW w:w="4337" w:type="dxa"/>
            <w:vMerge w:val="continue"/>
            <w:vAlign w:val="center"/>
          </w:tcPr>
          <w:p w14:paraId="690B02BB">
            <w:pPr>
              <w:spacing w:before="156" w:beforeLines="50" w:after="156" w:afterLines="50"/>
              <w:jc w:val="left"/>
              <w:rPr>
                <w:b/>
                <w:sz w:val="18"/>
                <w:szCs w:val="18"/>
              </w:rPr>
            </w:pPr>
          </w:p>
        </w:tc>
        <w:tc>
          <w:tcPr>
            <w:tcW w:w="10075" w:type="dxa"/>
            <w:vMerge w:val="continue"/>
            <w:vAlign w:val="center"/>
          </w:tcPr>
          <w:p w14:paraId="22EEABFA">
            <w:pPr>
              <w:spacing w:before="156" w:beforeLines="50" w:after="156" w:afterLines="50"/>
              <w:jc w:val="left"/>
              <w:rPr>
                <w:rFonts w:ascii="宋体"/>
                <w:b/>
                <w:sz w:val="18"/>
                <w:szCs w:val="18"/>
              </w:rPr>
            </w:pPr>
          </w:p>
        </w:tc>
      </w:tr>
      <w:tr w14:paraId="4E4F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1" w:type="dxa"/>
            <w:vMerge w:val="restart"/>
            <w:vAlign w:val="center"/>
          </w:tcPr>
          <w:p w14:paraId="16B88109">
            <w:pPr>
              <w:spacing w:before="156" w:beforeLines="50" w:after="156" w:afterLines="50"/>
              <w:jc w:val="center"/>
              <w:rPr>
                <w:sz w:val="18"/>
                <w:szCs w:val="18"/>
              </w:rPr>
            </w:pPr>
            <w:r>
              <w:rPr>
                <w:rFonts w:hint="eastAsia"/>
                <w:sz w:val="18"/>
                <w:szCs w:val="18"/>
              </w:rPr>
              <w:t>46</w:t>
            </w:r>
          </w:p>
        </w:tc>
        <w:tc>
          <w:tcPr>
            <w:tcW w:w="977" w:type="dxa"/>
            <w:vMerge w:val="restart"/>
            <w:vAlign w:val="center"/>
          </w:tcPr>
          <w:p w14:paraId="450EB9BF">
            <w:pPr>
              <w:spacing w:before="156" w:beforeLines="50" w:after="156" w:afterLines="50"/>
              <w:rPr>
                <w:sz w:val="18"/>
                <w:szCs w:val="18"/>
              </w:rPr>
            </w:pPr>
            <w:r>
              <w:rPr>
                <w:rFonts w:hint="eastAsia" w:ascii="宋体"/>
                <w:sz w:val="18"/>
                <w:szCs w:val="18"/>
              </w:rPr>
              <w:t>大面积清除水面垃圾，不按照规定备案</w:t>
            </w:r>
          </w:p>
        </w:tc>
        <w:tc>
          <w:tcPr>
            <w:tcW w:w="951" w:type="dxa"/>
            <w:vMerge w:val="restart"/>
            <w:vAlign w:val="center"/>
          </w:tcPr>
          <w:p w14:paraId="4A2202D5">
            <w:pPr>
              <w:spacing w:before="156" w:beforeLines="50" w:after="156" w:afterLines="50"/>
              <w:rPr>
                <w:rFonts w:ascii="宋体"/>
                <w:sz w:val="18"/>
                <w:szCs w:val="18"/>
              </w:rPr>
            </w:pPr>
            <w:r>
              <w:rPr>
                <w:rFonts w:hint="eastAsia" w:ascii="宋体"/>
                <w:sz w:val="18"/>
                <w:szCs w:val="18"/>
              </w:rPr>
              <w:t>《中华人民共和国内河交通安全管理条例》第二十八条第（三）项</w:t>
            </w:r>
          </w:p>
        </w:tc>
        <w:tc>
          <w:tcPr>
            <w:tcW w:w="1518" w:type="dxa"/>
            <w:vMerge w:val="restart"/>
            <w:vAlign w:val="center"/>
          </w:tcPr>
          <w:p w14:paraId="685B47A1">
            <w:pPr>
              <w:spacing w:before="156" w:beforeLines="50" w:after="156" w:afterLines="50"/>
              <w:rPr>
                <w:rFonts w:ascii="宋体"/>
                <w:sz w:val="18"/>
                <w:szCs w:val="18"/>
              </w:rPr>
            </w:pPr>
            <w:r>
              <w:rPr>
                <w:rFonts w:hint="eastAsia" w:ascii="宋体"/>
                <w:sz w:val="18"/>
                <w:szCs w:val="18"/>
              </w:rPr>
              <w:t>1.《中华人民共和国内河交通安全管理条例》第七十条；</w:t>
            </w:r>
          </w:p>
          <w:p w14:paraId="3A8227D5">
            <w:pPr>
              <w:spacing w:before="156" w:beforeLines="50" w:after="156" w:afterLines="50"/>
              <w:rPr>
                <w:rFonts w:ascii="宋体"/>
                <w:sz w:val="18"/>
                <w:szCs w:val="18"/>
              </w:rPr>
            </w:pPr>
            <w:r>
              <w:rPr>
                <w:rFonts w:hint="eastAsia" w:ascii="宋体"/>
                <w:sz w:val="18"/>
                <w:szCs w:val="18"/>
              </w:rPr>
              <w:t>2.《中华人民共和国内河海事行政处罚规定》第十九条第一款及第二款第（二）项；</w:t>
            </w:r>
          </w:p>
          <w:p w14:paraId="22BB78A7">
            <w:pPr>
              <w:spacing w:before="156" w:beforeLines="50" w:after="156" w:afterLines="50"/>
              <w:rPr>
                <w:rFonts w:ascii="宋体"/>
                <w:sz w:val="18"/>
                <w:szCs w:val="18"/>
              </w:rPr>
            </w:pPr>
            <w:r>
              <w:rPr>
                <w:rFonts w:hint="eastAsia" w:ascii="宋体"/>
                <w:sz w:val="18"/>
                <w:szCs w:val="18"/>
              </w:rPr>
              <w:t>3.《中华人民共和国行政处罚法》第三十二条（从轻）。</w:t>
            </w:r>
          </w:p>
        </w:tc>
        <w:tc>
          <w:tcPr>
            <w:tcW w:w="934" w:type="dxa"/>
            <w:vAlign w:val="center"/>
          </w:tcPr>
          <w:p w14:paraId="7A7F04D9">
            <w:pPr>
              <w:spacing w:before="156" w:beforeLines="50" w:after="156" w:afterLines="50"/>
              <w:jc w:val="center"/>
              <w:rPr>
                <w:rFonts w:ascii="宋体"/>
                <w:sz w:val="18"/>
                <w:szCs w:val="18"/>
              </w:rPr>
            </w:pPr>
            <w:r>
              <w:rPr>
                <w:rFonts w:hint="eastAsia" w:ascii="宋体"/>
                <w:sz w:val="18"/>
                <w:szCs w:val="18"/>
              </w:rPr>
              <w:t>从轻</w:t>
            </w:r>
          </w:p>
        </w:tc>
        <w:tc>
          <w:tcPr>
            <w:tcW w:w="4337" w:type="dxa"/>
            <w:vAlign w:val="center"/>
          </w:tcPr>
          <w:p w14:paraId="1FF65E97">
            <w:pPr>
              <w:spacing w:before="156" w:beforeLines="50" w:after="156" w:afterLines="50"/>
              <w:rPr>
                <w:rFonts w:ascii="宋体"/>
                <w:sz w:val="18"/>
                <w:szCs w:val="18"/>
              </w:rPr>
            </w:pPr>
            <w:r>
              <w:rPr>
                <w:rFonts w:hint="eastAsia" w:ascii="宋体"/>
                <w:sz w:val="18"/>
                <w:szCs w:val="18"/>
              </w:rPr>
              <w:t>具有法定从轻情节的。</w:t>
            </w:r>
          </w:p>
        </w:tc>
        <w:tc>
          <w:tcPr>
            <w:tcW w:w="10075" w:type="dxa"/>
            <w:vAlign w:val="center"/>
          </w:tcPr>
          <w:p w14:paraId="6C341955">
            <w:pPr>
              <w:spacing w:before="156" w:beforeLines="50" w:after="156" w:afterLines="50"/>
              <w:rPr>
                <w:rFonts w:ascii="宋体"/>
                <w:sz w:val="18"/>
                <w:szCs w:val="18"/>
              </w:rPr>
            </w:pPr>
            <w:r>
              <w:rPr>
                <w:rFonts w:hint="eastAsia" w:ascii="宋体"/>
                <w:sz w:val="18"/>
                <w:szCs w:val="18"/>
              </w:rPr>
              <w:t>5000元及以上9000元以下</w:t>
            </w:r>
          </w:p>
        </w:tc>
      </w:tr>
      <w:tr w14:paraId="0A04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691" w:type="dxa"/>
            <w:vMerge w:val="continue"/>
          </w:tcPr>
          <w:p w14:paraId="4415D2FE">
            <w:pPr>
              <w:spacing w:before="156" w:beforeLines="50" w:after="156" w:afterLines="50"/>
              <w:jc w:val="left"/>
              <w:rPr>
                <w:sz w:val="18"/>
                <w:szCs w:val="18"/>
              </w:rPr>
            </w:pPr>
          </w:p>
        </w:tc>
        <w:tc>
          <w:tcPr>
            <w:tcW w:w="977" w:type="dxa"/>
            <w:vMerge w:val="continue"/>
            <w:vAlign w:val="center"/>
          </w:tcPr>
          <w:p w14:paraId="71CBD7E3">
            <w:pPr>
              <w:spacing w:before="156" w:beforeLines="50" w:after="156" w:afterLines="50"/>
              <w:jc w:val="left"/>
              <w:rPr>
                <w:sz w:val="18"/>
                <w:szCs w:val="18"/>
              </w:rPr>
            </w:pPr>
          </w:p>
        </w:tc>
        <w:tc>
          <w:tcPr>
            <w:tcW w:w="951" w:type="dxa"/>
            <w:vMerge w:val="continue"/>
            <w:vAlign w:val="center"/>
          </w:tcPr>
          <w:p w14:paraId="3D6684BE">
            <w:pPr>
              <w:spacing w:before="156" w:beforeLines="50" w:after="156" w:afterLines="50"/>
              <w:rPr>
                <w:rFonts w:ascii="宋体"/>
                <w:sz w:val="18"/>
                <w:szCs w:val="18"/>
              </w:rPr>
            </w:pPr>
          </w:p>
        </w:tc>
        <w:tc>
          <w:tcPr>
            <w:tcW w:w="1518" w:type="dxa"/>
            <w:vMerge w:val="continue"/>
            <w:vAlign w:val="center"/>
          </w:tcPr>
          <w:p w14:paraId="20646039">
            <w:pPr>
              <w:spacing w:before="156" w:beforeLines="50" w:after="156" w:afterLines="50"/>
              <w:rPr>
                <w:rFonts w:ascii="宋体"/>
                <w:sz w:val="18"/>
                <w:szCs w:val="18"/>
              </w:rPr>
            </w:pPr>
          </w:p>
        </w:tc>
        <w:tc>
          <w:tcPr>
            <w:tcW w:w="934" w:type="dxa"/>
            <w:vMerge w:val="restart"/>
            <w:vAlign w:val="center"/>
          </w:tcPr>
          <w:p w14:paraId="2B743B8D">
            <w:pPr>
              <w:spacing w:before="156" w:beforeLines="50" w:after="156" w:afterLines="50"/>
              <w:jc w:val="center"/>
              <w:rPr>
                <w:rFonts w:ascii="宋体"/>
                <w:sz w:val="18"/>
                <w:szCs w:val="18"/>
              </w:rPr>
            </w:pPr>
            <w:r>
              <w:rPr>
                <w:rFonts w:hint="eastAsia" w:ascii="宋体"/>
                <w:sz w:val="18"/>
                <w:szCs w:val="18"/>
              </w:rPr>
              <w:t>一般</w:t>
            </w:r>
          </w:p>
        </w:tc>
        <w:tc>
          <w:tcPr>
            <w:tcW w:w="4337" w:type="dxa"/>
            <w:vAlign w:val="center"/>
          </w:tcPr>
          <w:p w14:paraId="7DDAD758">
            <w:pPr>
              <w:spacing w:before="156" w:beforeLines="50" w:after="156" w:afterLines="50"/>
              <w:rPr>
                <w:rFonts w:ascii="宋体"/>
                <w:sz w:val="18"/>
                <w:szCs w:val="18"/>
              </w:rPr>
            </w:pPr>
            <w:r>
              <w:rPr>
                <w:rFonts w:hint="eastAsia" w:ascii="宋体"/>
                <w:sz w:val="18"/>
                <w:szCs w:val="18"/>
              </w:rPr>
              <w:t>大面积清除水面垃圾，未向海事管理机构备案的。</w:t>
            </w:r>
          </w:p>
        </w:tc>
        <w:tc>
          <w:tcPr>
            <w:tcW w:w="10075" w:type="dxa"/>
            <w:vAlign w:val="center"/>
          </w:tcPr>
          <w:p w14:paraId="08B556A6">
            <w:pPr>
              <w:spacing w:before="156" w:beforeLines="50" w:after="156" w:afterLines="50"/>
              <w:rPr>
                <w:rFonts w:ascii="宋体"/>
                <w:sz w:val="18"/>
                <w:szCs w:val="18"/>
              </w:rPr>
            </w:pPr>
            <w:r>
              <w:rPr>
                <w:rFonts w:hint="eastAsia" w:ascii="宋体"/>
                <w:sz w:val="18"/>
                <w:szCs w:val="18"/>
              </w:rPr>
              <w:t>9000元及以上1.5万元以下</w:t>
            </w:r>
          </w:p>
        </w:tc>
      </w:tr>
      <w:tr w14:paraId="39A2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91" w:type="dxa"/>
            <w:vMerge w:val="continue"/>
          </w:tcPr>
          <w:p w14:paraId="3DC0ACE3">
            <w:pPr>
              <w:spacing w:before="156" w:beforeLines="50" w:after="156" w:afterLines="50"/>
              <w:jc w:val="left"/>
              <w:rPr>
                <w:sz w:val="18"/>
                <w:szCs w:val="18"/>
              </w:rPr>
            </w:pPr>
          </w:p>
        </w:tc>
        <w:tc>
          <w:tcPr>
            <w:tcW w:w="977" w:type="dxa"/>
            <w:vMerge w:val="continue"/>
            <w:vAlign w:val="center"/>
          </w:tcPr>
          <w:p w14:paraId="54DF9BA8">
            <w:pPr>
              <w:spacing w:before="156" w:beforeLines="50" w:after="156" w:afterLines="50"/>
              <w:jc w:val="left"/>
              <w:rPr>
                <w:sz w:val="18"/>
                <w:szCs w:val="18"/>
              </w:rPr>
            </w:pPr>
          </w:p>
        </w:tc>
        <w:tc>
          <w:tcPr>
            <w:tcW w:w="951" w:type="dxa"/>
            <w:vMerge w:val="continue"/>
            <w:vAlign w:val="center"/>
          </w:tcPr>
          <w:p w14:paraId="0A3C04EE">
            <w:pPr>
              <w:spacing w:before="156" w:beforeLines="50" w:after="156" w:afterLines="50"/>
              <w:rPr>
                <w:rFonts w:ascii="宋体"/>
                <w:sz w:val="18"/>
                <w:szCs w:val="18"/>
              </w:rPr>
            </w:pPr>
          </w:p>
        </w:tc>
        <w:tc>
          <w:tcPr>
            <w:tcW w:w="1518" w:type="dxa"/>
            <w:vMerge w:val="continue"/>
            <w:vAlign w:val="center"/>
          </w:tcPr>
          <w:p w14:paraId="182F4B21">
            <w:pPr>
              <w:spacing w:before="156" w:beforeLines="50" w:after="156" w:afterLines="50"/>
              <w:rPr>
                <w:rFonts w:ascii="宋体"/>
                <w:sz w:val="18"/>
                <w:szCs w:val="18"/>
              </w:rPr>
            </w:pPr>
          </w:p>
        </w:tc>
        <w:tc>
          <w:tcPr>
            <w:tcW w:w="934" w:type="dxa"/>
            <w:vMerge w:val="continue"/>
            <w:vAlign w:val="center"/>
          </w:tcPr>
          <w:p w14:paraId="5D2B1D42">
            <w:pPr>
              <w:spacing w:before="156" w:beforeLines="50" w:after="156" w:afterLines="50"/>
              <w:rPr>
                <w:rFonts w:ascii="宋体"/>
                <w:sz w:val="18"/>
                <w:szCs w:val="18"/>
              </w:rPr>
            </w:pPr>
          </w:p>
        </w:tc>
        <w:tc>
          <w:tcPr>
            <w:tcW w:w="4337" w:type="dxa"/>
            <w:vAlign w:val="center"/>
          </w:tcPr>
          <w:p w14:paraId="7882704C">
            <w:pPr>
              <w:spacing w:before="156" w:beforeLines="50" w:after="156" w:afterLines="50"/>
              <w:rPr>
                <w:rFonts w:ascii="宋体"/>
                <w:sz w:val="18"/>
                <w:szCs w:val="18"/>
              </w:rPr>
            </w:pPr>
            <w:r>
              <w:rPr>
                <w:rFonts w:hint="eastAsia" w:ascii="宋体"/>
                <w:sz w:val="18"/>
                <w:szCs w:val="18"/>
              </w:rPr>
              <w:t>大面积清除水面垃圾，发生一般以下水上交通事故的。</w:t>
            </w:r>
          </w:p>
        </w:tc>
        <w:tc>
          <w:tcPr>
            <w:tcW w:w="10075" w:type="dxa"/>
            <w:vAlign w:val="center"/>
          </w:tcPr>
          <w:p w14:paraId="14AA0DFD">
            <w:pPr>
              <w:spacing w:before="156" w:beforeLines="50" w:after="156" w:afterLines="50"/>
              <w:rPr>
                <w:rFonts w:ascii="宋体"/>
                <w:sz w:val="18"/>
                <w:szCs w:val="18"/>
              </w:rPr>
            </w:pPr>
            <w:r>
              <w:rPr>
                <w:rFonts w:hint="eastAsia" w:ascii="宋体"/>
                <w:sz w:val="18"/>
                <w:szCs w:val="18"/>
              </w:rPr>
              <w:t>1.5万元及以上3万元以下</w:t>
            </w:r>
          </w:p>
        </w:tc>
      </w:tr>
      <w:tr w14:paraId="3571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691" w:type="dxa"/>
            <w:vMerge w:val="continue"/>
            <w:tcBorders>
              <w:bottom w:val="single" w:color="auto" w:sz="4" w:space="0"/>
            </w:tcBorders>
          </w:tcPr>
          <w:p w14:paraId="2245107A">
            <w:pPr>
              <w:spacing w:before="156" w:beforeLines="50" w:after="156" w:afterLines="50"/>
              <w:jc w:val="left"/>
              <w:rPr>
                <w:sz w:val="18"/>
                <w:szCs w:val="18"/>
              </w:rPr>
            </w:pPr>
          </w:p>
        </w:tc>
        <w:tc>
          <w:tcPr>
            <w:tcW w:w="977" w:type="dxa"/>
            <w:vMerge w:val="continue"/>
            <w:tcBorders>
              <w:bottom w:val="single" w:color="auto" w:sz="4" w:space="0"/>
            </w:tcBorders>
            <w:vAlign w:val="center"/>
          </w:tcPr>
          <w:p w14:paraId="6748A2E6">
            <w:pPr>
              <w:spacing w:before="156" w:beforeLines="50" w:after="156" w:afterLines="50"/>
              <w:jc w:val="left"/>
              <w:rPr>
                <w:sz w:val="18"/>
                <w:szCs w:val="18"/>
              </w:rPr>
            </w:pPr>
          </w:p>
        </w:tc>
        <w:tc>
          <w:tcPr>
            <w:tcW w:w="951" w:type="dxa"/>
            <w:vMerge w:val="continue"/>
            <w:tcBorders>
              <w:bottom w:val="single" w:color="auto" w:sz="4" w:space="0"/>
            </w:tcBorders>
            <w:vAlign w:val="center"/>
          </w:tcPr>
          <w:p w14:paraId="7D0E9278">
            <w:pPr>
              <w:spacing w:before="156" w:beforeLines="50" w:after="156" w:afterLines="50"/>
              <w:rPr>
                <w:rFonts w:ascii="宋体"/>
                <w:sz w:val="18"/>
                <w:szCs w:val="18"/>
              </w:rPr>
            </w:pPr>
          </w:p>
        </w:tc>
        <w:tc>
          <w:tcPr>
            <w:tcW w:w="1518" w:type="dxa"/>
            <w:vMerge w:val="continue"/>
            <w:tcBorders>
              <w:bottom w:val="single" w:color="auto" w:sz="4" w:space="0"/>
            </w:tcBorders>
            <w:vAlign w:val="center"/>
          </w:tcPr>
          <w:p w14:paraId="1BB494AC">
            <w:pPr>
              <w:spacing w:before="156" w:beforeLines="50" w:after="156" w:afterLines="50"/>
              <w:rPr>
                <w:rFonts w:ascii="宋体"/>
                <w:sz w:val="18"/>
                <w:szCs w:val="18"/>
              </w:rPr>
            </w:pPr>
          </w:p>
        </w:tc>
        <w:tc>
          <w:tcPr>
            <w:tcW w:w="934" w:type="dxa"/>
            <w:vMerge w:val="continue"/>
            <w:tcBorders>
              <w:bottom w:val="single" w:color="auto" w:sz="4" w:space="0"/>
            </w:tcBorders>
            <w:vAlign w:val="center"/>
          </w:tcPr>
          <w:p w14:paraId="0676FAE4">
            <w:pPr>
              <w:spacing w:before="156" w:beforeLines="50" w:after="156" w:afterLines="50"/>
              <w:rPr>
                <w:rFonts w:ascii="宋体"/>
                <w:sz w:val="18"/>
                <w:szCs w:val="18"/>
              </w:rPr>
            </w:pPr>
          </w:p>
        </w:tc>
        <w:tc>
          <w:tcPr>
            <w:tcW w:w="4337" w:type="dxa"/>
            <w:tcBorders>
              <w:bottom w:val="single" w:color="auto" w:sz="4" w:space="0"/>
            </w:tcBorders>
            <w:vAlign w:val="center"/>
          </w:tcPr>
          <w:p w14:paraId="3183CA56">
            <w:pPr>
              <w:spacing w:before="156" w:beforeLines="50" w:after="156" w:afterLines="50"/>
              <w:rPr>
                <w:rFonts w:ascii="宋体"/>
                <w:sz w:val="18"/>
                <w:szCs w:val="18"/>
              </w:rPr>
            </w:pPr>
            <w:r>
              <w:rPr>
                <w:rFonts w:hint="eastAsia" w:ascii="宋体"/>
                <w:sz w:val="18"/>
                <w:szCs w:val="18"/>
              </w:rPr>
              <w:t>1.大面积清除水面垃圾，发生一般及以上水上交通事故的；</w:t>
            </w:r>
          </w:p>
          <w:p w14:paraId="6D6B984F">
            <w:pPr>
              <w:spacing w:before="156" w:beforeLines="50" w:after="156" w:afterLines="50"/>
              <w:rPr>
                <w:rFonts w:ascii="宋体"/>
                <w:sz w:val="18"/>
                <w:szCs w:val="18"/>
              </w:rPr>
            </w:pPr>
            <w:r>
              <w:rPr>
                <w:rFonts w:hint="eastAsia" w:ascii="宋体"/>
                <w:sz w:val="18"/>
                <w:szCs w:val="18"/>
              </w:rPr>
              <w:t>2.造成其他严重后果的。</w:t>
            </w:r>
          </w:p>
        </w:tc>
        <w:tc>
          <w:tcPr>
            <w:tcW w:w="10075" w:type="dxa"/>
            <w:tcBorders>
              <w:bottom w:val="single" w:color="auto" w:sz="4" w:space="0"/>
            </w:tcBorders>
            <w:vAlign w:val="center"/>
          </w:tcPr>
          <w:p w14:paraId="3E501DAB">
            <w:pPr>
              <w:spacing w:before="156" w:beforeLines="50" w:after="156" w:afterLines="50"/>
              <w:rPr>
                <w:rFonts w:ascii="宋体"/>
                <w:sz w:val="18"/>
                <w:szCs w:val="18"/>
              </w:rPr>
            </w:pPr>
            <w:r>
              <w:rPr>
                <w:rFonts w:hint="eastAsia" w:ascii="宋体"/>
                <w:sz w:val="18"/>
                <w:szCs w:val="18"/>
              </w:rPr>
              <w:t>3万元及以上5万元及以下</w:t>
            </w:r>
          </w:p>
        </w:tc>
      </w:tr>
    </w:tbl>
    <w:p w14:paraId="35151E9D">
      <w:pPr>
        <w:widowControl/>
        <w:jc w:val="left"/>
        <w:rPr>
          <w:rFonts w:hAnsi="仿宋_GB2312" w:eastAsia="仿宋_GB2312"/>
          <w:spacing w:val="-6"/>
          <w:sz w:val="32"/>
          <w:szCs w:val="30"/>
        </w:rPr>
      </w:pPr>
      <w:r>
        <w:rPr>
          <w:rFonts w:hAnsi="仿宋_GB2312" w:eastAsia="仿宋_GB2312"/>
          <w:spacing w:val="-6"/>
          <w:sz w:val="32"/>
          <w:szCs w:val="30"/>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003"/>
        <w:gridCol w:w="1222"/>
        <w:gridCol w:w="1558"/>
        <w:gridCol w:w="959"/>
        <w:gridCol w:w="1925"/>
        <w:gridCol w:w="2268"/>
        <w:gridCol w:w="2268"/>
        <w:gridCol w:w="2268"/>
        <w:gridCol w:w="2819"/>
        <w:gridCol w:w="3226"/>
      </w:tblGrid>
      <w:tr w14:paraId="2654E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09" w:type="dxa"/>
            <w:vMerge w:val="restart"/>
            <w:vAlign w:val="center"/>
          </w:tcPr>
          <w:p w14:paraId="5F0679A1">
            <w:pPr>
              <w:spacing w:before="156" w:beforeLines="50" w:after="156" w:afterLines="50"/>
              <w:jc w:val="center"/>
              <w:rPr>
                <w:rFonts w:ascii="宋体"/>
                <w:b/>
                <w:sz w:val="18"/>
                <w:szCs w:val="18"/>
              </w:rPr>
            </w:pPr>
            <w:r>
              <w:rPr>
                <w:rFonts w:hint="eastAsia" w:ascii="宋体"/>
                <w:b/>
                <w:sz w:val="18"/>
                <w:szCs w:val="18"/>
              </w:rPr>
              <w:t>序号</w:t>
            </w:r>
          </w:p>
        </w:tc>
        <w:tc>
          <w:tcPr>
            <w:tcW w:w="1003" w:type="dxa"/>
            <w:vMerge w:val="restart"/>
            <w:vAlign w:val="center"/>
          </w:tcPr>
          <w:p w14:paraId="67B6ADD0">
            <w:pPr>
              <w:spacing w:before="156" w:beforeLines="50" w:after="156" w:afterLines="50"/>
              <w:jc w:val="center"/>
              <w:rPr>
                <w:rFonts w:ascii="宋体"/>
                <w:b/>
                <w:sz w:val="18"/>
                <w:szCs w:val="18"/>
              </w:rPr>
            </w:pPr>
            <w:r>
              <w:rPr>
                <w:rFonts w:hint="eastAsia" w:ascii="宋体"/>
                <w:b/>
                <w:sz w:val="18"/>
                <w:szCs w:val="18"/>
              </w:rPr>
              <w:t>案由</w:t>
            </w:r>
          </w:p>
        </w:tc>
        <w:tc>
          <w:tcPr>
            <w:tcW w:w="2780" w:type="dxa"/>
            <w:gridSpan w:val="2"/>
            <w:vMerge w:val="restart"/>
            <w:vAlign w:val="center"/>
          </w:tcPr>
          <w:p w14:paraId="2F21E962">
            <w:pPr>
              <w:spacing w:before="156" w:beforeLines="50" w:after="156" w:afterLines="50"/>
              <w:jc w:val="center"/>
              <w:rPr>
                <w:rFonts w:ascii="宋体"/>
                <w:b/>
                <w:sz w:val="18"/>
                <w:szCs w:val="18"/>
              </w:rPr>
            </w:pPr>
            <w:r>
              <w:rPr>
                <w:rFonts w:hint="eastAsia" w:ascii="宋体"/>
                <w:b/>
                <w:sz w:val="18"/>
                <w:szCs w:val="18"/>
              </w:rPr>
              <w:t>法律依据</w:t>
            </w:r>
          </w:p>
        </w:tc>
        <w:tc>
          <w:tcPr>
            <w:tcW w:w="959" w:type="dxa"/>
            <w:vMerge w:val="restart"/>
            <w:vAlign w:val="center"/>
          </w:tcPr>
          <w:p w14:paraId="443DC997">
            <w:pPr>
              <w:spacing w:before="156" w:beforeLines="50" w:after="156" w:afterLines="50"/>
              <w:jc w:val="center"/>
              <w:rPr>
                <w:rFonts w:ascii="宋体"/>
                <w:b/>
                <w:sz w:val="18"/>
                <w:szCs w:val="18"/>
              </w:rPr>
            </w:pPr>
            <w:r>
              <w:rPr>
                <w:rFonts w:hint="eastAsia" w:ascii="宋体"/>
                <w:b/>
                <w:sz w:val="18"/>
                <w:szCs w:val="18"/>
              </w:rPr>
              <w:t>违法行为情节</w:t>
            </w:r>
          </w:p>
        </w:tc>
        <w:tc>
          <w:tcPr>
            <w:tcW w:w="1925" w:type="dxa"/>
            <w:vMerge w:val="restart"/>
            <w:vAlign w:val="center"/>
          </w:tcPr>
          <w:p w14:paraId="139C4F6C">
            <w:pPr>
              <w:spacing w:before="156" w:beforeLines="50" w:after="156" w:afterLines="50"/>
              <w:jc w:val="center"/>
              <w:rPr>
                <w:rFonts w:ascii="宋体"/>
                <w:b/>
                <w:sz w:val="18"/>
                <w:szCs w:val="18"/>
              </w:rPr>
            </w:pPr>
            <w:r>
              <w:rPr>
                <w:rFonts w:hint="eastAsia" w:ascii="宋体"/>
                <w:b/>
                <w:sz w:val="18"/>
                <w:szCs w:val="18"/>
              </w:rPr>
              <w:t>主要考虑因素</w:t>
            </w:r>
          </w:p>
          <w:p w14:paraId="58A3D3D0">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2849" w:type="dxa"/>
            <w:gridSpan w:val="5"/>
            <w:vAlign w:val="center"/>
          </w:tcPr>
          <w:p w14:paraId="64724D34">
            <w:pPr>
              <w:spacing w:before="156" w:beforeLines="50" w:after="156" w:afterLines="50"/>
              <w:rPr>
                <w:rFonts w:ascii="宋体"/>
                <w:b/>
                <w:sz w:val="18"/>
                <w:szCs w:val="18"/>
              </w:rPr>
            </w:pPr>
            <w:r>
              <w:rPr>
                <w:rFonts w:hint="eastAsia" w:ascii="宋体"/>
                <w:b/>
                <w:sz w:val="18"/>
                <w:szCs w:val="18"/>
              </w:rPr>
              <w:t>【法定幅度和种类】责令限期改正，对船舶、浮动设施所有人或者经营人处</w:t>
            </w:r>
            <w:r>
              <w:rPr>
                <w:rFonts w:ascii="宋体"/>
                <w:b/>
                <w:sz w:val="18"/>
                <w:szCs w:val="18"/>
              </w:rPr>
              <w:t>1</w:t>
            </w:r>
            <w:r>
              <w:rPr>
                <w:rFonts w:hint="eastAsia" w:ascii="宋体"/>
                <w:b/>
                <w:sz w:val="18"/>
                <w:szCs w:val="18"/>
              </w:rPr>
              <w:t>万元以上</w:t>
            </w:r>
            <w:r>
              <w:rPr>
                <w:rFonts w:ascii="宋体"/>
                <w:b/>
                <w:sz w:val="18"/>
                <w:szCs w:val="18"/>
              </w:rPr>
              <w:t>10</w:t>
            </w:r>
            <w:r>
              <w:rPr>
                <w:rFonts w:hint="eastAsia" w:ascii="宋体"/>
                <w:b/>
                <w:sz w:val="18"/>
                <w:szCs w:val="18"/>
              </w:rPr>
              <w:t>万元以下的罚款；逾期不改正的，责令停航或者停止作业。</w:t>
            </w:r>
          </w:p>
        </w:tc>
      </w:tr>
      <w:tr w14:paraId="20942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709" w:type="dxa"/>
            <w:vMerge w:val="continue"/>
            <w:vAlign w:val="center"/>
          </w:tcPr>
          <w:p w14:paraId="583D5735">
            <w:pPr>
              <w:spacing w:before="156" w:beforeLines="50" w:after="156" w:afterLines="50"/>
              <w:jc w:val="center"/>
              <w:rPr>
                <w:rFonts w:ascii="宋体"/>
                <w:b/>
                <w:sz w:val="18"/>
                <w:szCs w:val="18"/>
              </w:rPr>
            </w:pPr>
          </w:p>
        </w:tc>
        <w:tc>
          <w:tcPr>
            <w:tcW w:w="1003" w:type="dxa"/>
            <w:vMerge w:val="continue"/>
            <w:vAlign w:val="center"/>
          </w:tcPr>
          <w:p w14:paraId="7F3789E5">
            <w:pPr>
              <w:spacing w:before="156" w:beforeLines="50" w:after="156" w:afterLines="50"/>
              <w:jc w:val="center"/>
              <w:rPr>
                <w:rFonts w:ascii="宋体"/>
                <w:b/>
                <w:sz w:val="18"/>
                <w:szCs w:val="18"/>
              </w:rPr>
            </w:pPr>
          </w:p>
        </w:tc>
        <w:tc>
          <w:tcPr>
            <w:tcW w:w="2780" w:type="dxa"/>
            <w:gridSpan w:val="2"/>
            <w:vMerge w:val="continue"/>
            <w:vAlign w:val="center"/>
          </w:tcPr>
          <w:p w14:paraId="6F1DE435">
            <w:pPr>
              <w:spacing w:before="156" w:beforeLines="50" w:after="156" w:afterLines="50"/>
              <w:jc w:val="center"/>
              <w:rPr>
                <w:rFonts w:ascii="宋体"/>
                <w:b/>
                <w:sz w:val="18"/>
                <w:szCs w:val="18"/>
              </w:rPr>
            </w:pPr>
          </w:p>
        </w:tc>
        <w:tc>
          <w:tcPr>
            <w:tcW w:w="959" w:type="dxa"/>
            <w:vMerge w:val="continue"/>
            <w:vAlign w:val="center"/>
          </w:tcPr>
          <w:p w14:paraId="440E9191">
            <w:pPr>
              <w:spacing w:before="156" w:beforeLines="50" w:after="156" w:afterLines="50"/>
              <w:jc w:val="center"/>
              <w:rPr>
                <w:rFonts w:ascii="宋体"/>
                <w:b/>
                <w:sz w:val="18"/>
                <w:szCs w:val="18"/>
              </w:rPr>
            </w:pPr>
          </w:p>
        </w:tc>
        <w:tc>
          <w:tcPr>
            <w:tcW w:w="1925" w:type="dxa"/>
            <w:vMerge w:val="continue"/>
            <w:vAlign w:val="center"/>
          </w:tcPr>
          <w:p w14:paraId="757829BD">
            <w:pPr>
              <w:spacing w:before="156" w:beforeLines="50" w:after="156" w:afterLines="50"/>
              <w:jc w:val="center"/>
              <w:rPr>
                <w:rFonts w:ascii="宋体"/>
                <w:b/>
                <w:sz w:val="18"/>
                <w:szCs w:val="18"/>
              </w:rPr>
            </w:pPr>
          </w:p>
        </w:tc>
        <w:tc>
          <w:tcPr>
            <w:tcW w:w="6804" w:type="dxa"/>
            <w:gridSpan w:val="3"/>
            <w:vAlign w:val="center"/>
          </w:tcPr>
          <w:p w14:paraId="5760EC01">
            <w:pPr>
              <w:spacing w:before="156" w:beforeLines="50" w:after="156" w:afterLines="50"/>
              <w:jc w:val="center"/>
              <w:rPr>
                <w:rFonts w:ascii="宋体"/>
                <w:b/>
                <w:sz w:val="18"/>
                <w:szCs w:val="18"/>
              </w:rPr>
            </w:pPr>
            <w:r>
              <w:rPr>
                <w:rFonts w:hint="eastAsia" w:ascii="宋体"/>
                <w:b/>
                <w:sz w:val="18"/>
                <w:szCs w:val="18"/>
              </w:rPr>
              <w:t>处罚基准</w:t>
            </w:r>
          </w:p>
        </w:tc>
        <w:tc>
          <w:tcPr>
            <w:tcW w:w="6045" w:type="dxa"/>
            <w:gridSpan w:val="2"/>
            <w:vAlign w:val="center"/>
          </w:tcPr>
          <w:p w14:paraId="15654899">
            <w:pPr>
              <w:spacing w:before="156" w:beforeLines="50" w:after="156" w:afterLines="50"/>
              <w:jc w:val="center"/>
              <w:rPr>
                <w:rFonts w:ascii="宋体"/>
                <w:b/>
                <w:sz w:val="18"/>
                <w:szCs w:val="18"/>
              </w:rPr>
            </w:pPr>
            <w:r>
              <w:rPr>
                <w:rFonts w:hint="eastAsia" w:ascii="宋体"/>
                <w:b/>
                <w:sz w:val="18"/>
                <w:szCs w:val="18"/>
              </w:rPr>
              <w:t>减轻处罚基准</w:t>
            </w:r>
          </w:p>
        </w:tc>
      </w:tr>
      <w:tr w14:paraId="587F3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709" w:type="dxa"/>
            <w:vMerge w:val="continue"/>
            <w:vAlign w:val="center"/>
          </w:tcPr>
          <w:p w14:paraId="3E84C8C9">
            <w:pPr>
              <w:spacing w:before="156" w:beforeLines="50" w:after="156" w:afterLines="50"/>
              <w:jc w:val="left"/>
              <w:rPr>
                <w:rFonts w:ascii="宋体"/>
                <w:b/>
                <w:sz w:val="18"/>
                <w:szCs w:val="18"/>
              </w:rPr>
            </w:pPr>
          </w:p>
        </w:tc>
        <w:tc>
          <w:tcPr>
            <w:tcW w:w="1003" w:type="dxa"/>
            <w:vMerge w:val="continue"/>
            <w:vAlign w:val="center"/>
          </w:tcPr>
          <w:p w14:paraId="31CB19D3">
            <w:pPr>
              <w:spacing w:before="156" w:beforeLines="50" w:after="156" w:afterLines="50"/>
              <w:jc w:val="left"/>
              <w:rPr>
                <w:rFonts w:ascii="宋体"/>
                <w:b/>
                <w:sz w:val="18"/>
                <w:szCs w:val="18"/>
              </w:rPr>
            </w:pPr>
          </w:p>
        </w:tc>
        <w:tc>
          <w:tcPr>
            <w:tcW w:w="2780" w:type="dxa"/>
            <w:gridSpan w:val="2"/>
            <w:vMerge w:val="continue"/>
            <w:vAlign w:val="center"/>
          </w:tcPr>
          <w:p w14:paraId="6B85F6E1">
            <w:pPr>
              <w:spacing w:before="156" w:beforeLines="50" w:after="156" w:afterLines="50"/>
              <w:jc w:val="left"/>
              <w:rPr>
                <w:rFonts w:ascii="宋体"/>
                <w:b/>
                <w:sz w:val="18"/>
                <w:szCs w:val="18"/>
              </w:rPr>
            </w:pPr>
          </w:p>
        </w:tc>
        <w:tc>
          <w:tcPr>
            <w:tcW w:w="959" w:type="dxa"/>
            <w:vMerge w:val="continue"/>
            <w:vAlign w:val="center"/>
          </w:tcPr>
          <w:p w14:paraId="0F775728">
            <w:pPr>
              <w:spacing w:before="156" w:beforeLines="50" w:after="156" w:afterLines="50"/>
              <w:jc w:val="left"/>
              <w:rPr>
                <w:rFonts w:ascii="宋体"/>
                <w:b/>
                <w:sz w:val="18"/>
                <w:szCs w:val="18"/>
              </w:rPr>
            </w:pPr>
          </w:p>
        </w:tc>
        <w:tc>
          <w:tcPr>
            <w:tcW w:w="1925" w:type="dxa"/>
            <w:vMerge w:val="continue"/>
            <w:vAlign w:val="center"/>
          </w:tcPr>
          <w:p w14:paraId="72B1E048">
            <w:pPr>
              <w:spacing w:before="156" w:beforeLines="50" w:after="156" w:afterLines="50"/>
              <w:jc w:val="left"/>
              <w:rPr>
                <w:rFonts w:ascii="宋体"/>
                <w:b/>
                <w:sz w:val="18"/>
                <w:szCs w:val="18"/>
              </w:rPr>
            </w:pPr>
          </w:p>
        </w:tc>
        <w:tc>
          <w:tcPr>
            <w:tcW w:w="6804" w:type="dxa"/>
            <w:gridSpan w:val="3"/>
            <w:vAlign w:val="center"/>
          </w:tcPr>
          <w:p w14:paraId="7AF82603">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6045" w:type="dxa"/>
            <w:gridSpan w:val="2"/>
            <w:vAlign w:val="center"/>
          </w:tcPr>
          <w:p w14:paraId="574C1F0D">
            <w:pPr>
              <w:spacing w:before="156" w:beforeLines="50" w:after="156" w:afterLines="50"/>
              <w:jc w:val="center"/>
              <w:rPr>
                <w:rFonts w:ascii="宋体"/>
                <w:b/>
                <w:sz w:val="18"/>
                <w:szCs w:val="18"/>
              </w:rPr>
            </w:pPr>
            <w:r>
              <w:rPr>
                <w:rFonts w:hint="eastAsia" w:ascii="宋体"/>
                <w:b/>
                <w:sz w:val="18"/>
                <w:szCs w:val="18"/>
              </w:rPr>
              <w:t>【对象】船舶经营人或所有人</w:t>
            </w:r>
          </w:p>
        </w:tc>
      </w:tr>
      <w:tr w14:paraId="3D379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6" w:hRule="atLeast"/>
          <w:jc w:val="center"/>
        </w:trPr>
        <w:tc>
          <w:tcPr>
            <w:tcW w:w="709" w:type="dxa"/>
            <w:vMerge w:val="continue"/>
            <w:vAlign w:val="center"/>
          </w:tcPr>
          <w:p w14:paraId="79F9C45C">
            <w:pPr>
              <w:spacing w:before="156" w:beforeLines="50" w:after="156" w:afterLines="50"/>
              <w:jc w:val="left"/>
              <w:rPr>
                <w:rFonts w:ascii="宋体"/>
                <w:b/>
                <w:sz w:val="18"/>
                <w:szCs w:val="18"/>
              </w:rPr>
            </w:pPr>
          </w:p>
        </w:tc>
        <w:tc>
          <w:tcPr>
            <w:tcW w:w="1003" w:type="dxa"/>
            <w:vMerge w:val="continue"/>
            <w:vAlign w:val="center"/>
          </w:tcPr>
          <w:p w14:paraId="5CC526E8">
            <w:pPr>
              <w:spacing w:before="156" w:beforeLines="50" w:after="156" w:afterLines="50"/>
              <w:jc w:val="left"/>
              <w:rPr>
                <w:rFonts w:ascii="宋体"/>
                <w:b/>
                <w:sz w:val="18"/>
                <w:szCs w:val="18"/>
              </w:rPr>
            </w:pPr>
          </w:p>
        </w:tc>
        <w:tc>
          <w:tcPr>
            <w:tcW w:w="1222" w:type="dxa"/>
            <w:vAlign w:val="center"/>
          </w:tcPr>
          <w:p w14:paraId="5DED7ABB">
            <w:pPr>
              <w:spacing w:before="156" w:beforeLines="50" w:after="156" w:afterLines="50"/>
              <w:jc w:val="center"/>
              <w:rPr>
                <w:rFonts w:ascii="宋体"/>
                <w:b/>
                <w:sz w:val="18"/>
                <w:szCs w:val="18"/>
              </w:rPr>
            </w:pPr>
            <w:r>
              <w:rPr>
                <w:rFonts w:hint="eastAsia" w:ascii="宋体"/>
                <w:b/>
                <w:sz w:val="18"/>
                <w:szCs w:val="18"/>
              </w:rPr>
              <w:t>违反条款</w:t>
            </w:r>
          </w:p>
        </w:tc>
        <w:tc>
          <w:tcPr>
            <w:tcW w:w="1558" w:type="dxa"/>
            <w:vAlign w:val="center"/>
          </w:tcPr>
          <w:p w14:paraId="06B8D68D">
            <w:pPr>
              <w:spacing w:before="156" w:beforeLines="50" w:after="156" w:afterLines="50"/>
              <w:jc w:val="center"/>
              <w:rPr>
                <w:rFonts w:ascii="宋体"/>
                <w:b/>
                <w:sz w:val="18"/>
                <w:szCs w:val="18"/>
              </w:rPr>
            </w:pPr>
            <w:r>
              <w:rPr>
                <w:rFonts w:hint="eastAsia" w:ascii="宋体"/>
                <w:b/>
                <w:sz w:val="18"/>
                <w:szCs w:val="18"/>
              </w:rPr>
              <w:t>处罚依据</w:t>
            </w:r>
          </w:p>
        </w:tc>
        <w:tc>
          <w:tcPr>
            <w:tcW w:w="959" w:type="dxa"/>
            <w:vMerge w:val="continue"/>
            <w:vAlign w:val="center"/>
          </w:tcPr>
          <w:p w14:paraId="71EF3BD0">
            <w:pPr>
              <w:spacing w:before="156" w:beforeLines="50" w:after="156" w:afterLines="50"/>
              <w:jc w:val="left"/>
              <w:rPr>
                <w:rFonts w:ascii="宋体"/>
                <w:b/>
                <w:sz w:val="18"/>
                <w:szCs w:val="18"/>
              </w:rPr>
            </w:pPr>
          </w:p>
        </w:tc>
        <w:tc>
          <w:tcPr>
            <w:tcW w:w="1925" w:type="dxa"/>
            <w:vMerge w:val="continue"/>
            <w:vAlign w:val="center"/>
          </w:tcPr>
          <w:p w14:paraId="25818080">
            <w:pPr>
              <w:spacing w:before="156" w:beforeLines="50" w:after="156" w:afterLines="50"/>
              <w:jc w:val="left"/>
              <w:rPr>
                <w:rFonts w:ascii="宋体"/>
                <w:b/>
                <w:sz w:val="18"/>
                <w:szCs w:val="18"/>
              </w:rPr>
            </w:pPr>
          </w:p>
        </w:tc>
        <w:tc>
          <w:tcPr>
            <w:tcW w:w="2268" w:type="dxa"/>
            <w:vAlign w:val="center"/>
          </w:tcPr>
          <w:p w14:paraId="66971D1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14:paraId="0D14676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vAlign w:val="center"/>
          </w:tcPr>
          <w:p w14:paraId="24A271C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819" w:type="dxa"/>
            <w:vAlign w:val="center"/>
          </w:tcPr>
          <w:p w14:paraId="1A0AEC9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226" w:type="dxa"/>
            <w:vAlign w:val="center"/>
          </w:tcPr>
          <w:p w14:paraId="5D5F836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60E6C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709" w:type="dxa"/>
            <w:vMerge w:val="restart"/>
            <w:vAlign w:val="center"/>
          </w:tcPr>
          <w:p w14:paraId="34EE6064">
            <w:pPr>
              <w:spacing w:before="156" w:beforeLines="50" w:after="156" w:afterLines="50"/>
              <w:jc w:val="center"/>
              <w:rPr>
                <w:rFonts w:ascii="宋体"/>
                <w:sz w:val="18"/>
                <w:szCs w:val="18"/>
              </w:rPr>
            </w:pPr>
            <w:r>
              <w:rPr>
                <w:rFonts w:hint="eastAsia" w:ascii="宋体"/>
                <w:sz w:val="18"/>
                <w:szCs w:val="18"/>
              </w:rPr>
              <w:t>47</w:t>
            </w:r>
          </w:p>
        </w:tc>
        <w:tc>
          <w:tcPr>
            <w:tcW w:w="1003" w:type="dxa"/>
            <w:vMerge w:val="restart"/>
            <w:vAlign w:val="center"/>
          </w:tcPr>
          <w:p w14:paraId="16760E7B">
            <w:pPr>
              <w:spacing w:before="156" w:beforeLines="50" w:after="156" w:afterLines="50"/>
              <w:rPr>
                <w:rFonts w:ascii="宋体"/>
                <w:sz w:val="18"/>
                <w:szCs w:val="18"/>
              </w:rPr>
            </w:pPr>
            <w:r>
              <w:rPr>
                <w:rFonts w:hint="eastAsia" w:ascii="宋体"/>
                <w:sz w:val="18"/>
                <w:szCs w:val="18"/>
              </w:rPr>
              <w:t>船舶所配船员的数量低于船舶最低安全配员证书规定的定额要求</w:t>
            </w:r>
          </w:p>
        </w:tc>
        <w:tc>
          <w:tcPr>
            <w:tcW w:w="1222" w:type="dxa"/>
            <w:vMerge w:val="restart"/>
            <w:vAlign w:val="center"/>
          </w:tcPr>
          <w:p w14:paraId="2A099DA9">
            <w:pPr>
              <w:spacing w:before="156" w:beforeLines="50" w:after="156" w:afterLines="50"/>
              <w:rPr>
                <w:rFonts w:ascii="宋体"/>
                <w:sz w:val="18"/>
                <w:szCs w:val="18"/>
              </w:rPr>
            </w:pPr>
            <w:r>
              <w:rPr>
                <w:rFonts w:hint="eastAsia" w:ascii="宋体"/>
                <w:sz w:val="18"/>
                <w:szCs w:val="18"/>
              </w:rPr>
              <w:t>《中华人民共和国内河交通安全管理条例》第六条第（三）项</w:t>
            </w:r>
          </w:p>
        </w:tc>
        <w:tc>
          <w:tcPr>
            <w:tcW w:w="1558" w:type="dxa"/>
            <w:vMerge w:val="restart"/>
            <w:vAlign w:val="center"/>
          </w:tcPr>
          <w:p w14:paraId="40BD944C">
            <w:pPr>
              <w:spacing w:before="156" w:beforeLines="50" w:after="156" w:afterLines="50"/>
              <w:rPr>
                <w:rFonts w:ascii="宋体"/>
                <w:sz w:val="18"/>
                <w:szCs w:val="18"/>
              </w:rPr>
            </w:pPr>
            <w:r>
              <w:rPr>
                <w:rFonts w:hint="eastAsia" w:ascii="宋体"/>
                <w:sz w:val="18"/>
                <w:szCs w:val="18"/>
              </w:rPr>
              <w:t>1.《中华人民共和国内河交通安全管理条例》第六十五条；</w:t>
            </w:r>
          </w:p>
          <w:p w14:paraId="2FA8C756">
            <w:pPr>
              <w:spacing w:before="156" w:beforeLines="50" w:after="156" w:afterLines="50"/>
              <w:rPr>
                <w:rFonts w:ascii="宋体"/>
                <w:sz w:val="18"/>
                <w:szCs w:val="18"/>
              </w:rPr>
            </w:pPr>
            <w:r>
              <w:rPr>
                <w:rFonts w:hint="eastAsia" w:ascii="宋体"/>
                <w:sz w:val="18"/>
                <w:szCs w:val="18"/>
              </w:rPr>
              <w:t>2.《中华人民共和国内河海事行政处罚规定》第十四条第一款和第二款第（一）项；</w:t>
            </w:r>
          </w:p>
          <w:p w14:paraId="1B999392">
            <w:pPr>
              <w:pStyle w:val="13"/>
              <w:spacing w:before="156" w:beforeLines="50" w:after="156" w:afterLines="50"/>
              <w:rPr>
                <w:sz w:val="18"/>
                <w:szCs w:val="18"/>
              </w:rPr>
            </w:pPr>
            <w:r>
              <w:rPr>
                <w:rFonts w:hint="eastAsia"/>
                <w:sz w:val="18"/>
                <w:szCs w:val="18"/>
              </w:rPr>
              <w:t>3.《中华人民共和国行政处罚法》第三十二条（从轻）。</w:t>
            </w:r>
          </w:p>
          <w:p w14:paraId="6089FFAF">
            <w:pPr>
              <w:spacing w:before="156" w:beforeLines="50" w:after="156" w:afterLines="50"/>
              <w:rPr>
                <w:rFonts w:ascii="宋体"/>
                <w:sz w:val="18"/>
                <w:szCs w:val="18"/>
              </w:rPr>
            </w:pPr>
          </w:p>
          <w:p w14:paraId="7DA54D9D">
            <w:pPr>
              <w:spacing w:before="156" w:beforeLines="50" w:after="156" w:afterLines="50"/>
              <w:rPr>
                <w:rFonts w:ascii="宋体"/>
                <w:sz w:val="18"/>
                <w:szCs w:val="18"/>
              </w:rPr>
            </w:pPr>
          </w:p>
        </w:tc>
        <w:tc>
          <w:tcPr>
            <w:tcW w:w="959" w:type="dxa"/>
            <w:vAlign w:val="center"/>
          </w:tcPr>
          <w:p w14:paraId="7A9142E4">
            <w:pPr>
              <w:spacing w:before="156" w:beforeLines="50" w:after="156" w:afterLines="50"/>
              <w:jc w:val="center"/>
              <w:rPr>
                <w:rFonts w:ascii="宋体"/>
                <w:sz w:val="18"/>
                <w:szCs w:val="18"/>
              </w:rPr>
            </w:pPr>
            <w:r>
              <w:rPr>
                <w:rFonts w:hint="eastAsia" w:ascii="宋体"/>
                <w:sz w:val="18"/>
                <w:szCs w:val="18"/>
              </w:rPr>
              <w:t>从轻</w:t>
            </w:r>
          </w:p>
        </w:tc>
        <w:tc>
          <w:tcPr>
            <w:tcW w:w="1925" w:type="dxa"/>
            <w:vAlign w:val="center"/>
          </w:tcPr>
          <w:p w14:paraId="0364B33F">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268" w:type="dxa"/>
            <w:vAlign w:val="center"/>
          </w:tcPr>
          <w:p w14:paraId="098FF1C2">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268" w:type="dxa"/>
            <w:vAlign w:val="center"/>
          </w:tcPr>
          <w:p w14:paraId="0124C0A9">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268" w:type="dxa"/>
            <w:vAlign w:val="center"/>
          </w:tcPr>
          <w:p w14:paraId="55EC3F88">
            <w:pPr>
              <w:spacing w:before="156" w:beforeLines="50" w:after="156" w:afterLines="50"/>
              <w:jc w:val="left"/>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819" w:type="dxa"/>
            <w:vMerge w:val="restart"/>
            <w:vAlign w:val="center"/>
          </w:tcPr>
          <w:p w14:paraId="7B831618">
            <w:pPr>
              <w:spacing w:before="156" w:beforeLines="50" w:after="156" w:afterLines="50"/>
              <w:jc w:val="left"/>
              <w:rPr>
                <w:rFonts w:ascii="宋体"/>
                <w:kern w:val="0"/>
                <w:sz w:val="18"/>
                <w:szCs w:val="18"/>
              </w:rPr>
            </w:pPr>
            <w:r>
              <w:rPr>
                <w:rFonts w:hint="eastAsia" w:ascii="宋体"/>
                <w:kern w:val="0"/>
                <w:sz w:val="18"/>
                <w:szCs w:val="18"/>
              </w:rPr>
              <w:t>1.所缺船员（包括未持合格职务证书船员）均为水手或者机工的：2</w:t>
            </w:r>
            <w:r>
              <w:rPr>
                <w:rFonts w:ascii="宋体"/>
                <w:kern w:val="0"/>
                <w:sz w:val="18"/>
                <w:szCs w:val="18"/>
              </w:rPr>
              <w:t>000</w:t>
            </w:r>
            <w:r>
              <w:rPr>
                <w:rFonts w:hint="eastAsia" w:ascii="宋体"/>
                <w:kern w:val="0"/>
                <w:sz w:val="18"/>
                <w:szCs w:val="18"/>
              </w:rPr>
              <w:t>元及以上</w:t>
            </w:r>
            <w:r>
              <w:rPr>
                <w:rFonts w:ascii="宋体"/>
                <w:kern w:val="0"/>
                <w:sz w:val="18"/>
                <w:szCs w:val="18"/>
              </w:rPr>
              <w:t>4000</w:t>
            </w:r>
            <w:r>
              <w:rPr>
                <w:rFonts w:hint="eastAsia" w:ascii="宋体"/>
                <w:kern w:val="0"/>
                <w:sz w:val="18"/>
                <w:szCs w:val="18"/>
              </w:rPr>
              <w:t>元以下；</w:t>
            </w:r>
          </w:p>
          <w:p w14:paraId="48E1F017">
            <w:pPr>
              <w:spacing w:before="156" w:beforeLines="50" w:after="156" w:afterLines="50"/>
              <w:jc w:val="left"/>
              <w:rPr>
                <w:rFonts w:ascii="宋体"/>
                <w:kern w:val="0"/>
                <w:sz w:val="18"/>
                <w:szCs w:val="18"/>
              </w:rPr>
            </w:pPr>
            <w:r>
              <w:rPr>
                <w:rFonts w:hint="eastAsia" w:ascii="宋体"/>
                <w:kern w:val="0"/>
                <w:sz w:val="18"/>
                <w:szCs w:val="18"/>
              </w:rPr>
              <w:t>2.缺</w:t>
            </w:r>
            <w:r>
              <w:rPr>
                <w:rFonts w:ascii="宋体"/>
                <w:kern w:val="0"/>
                <w:sz w:val="18"/>
                <w:szCs w:val="18"/>
              </w:rPr>
              <w:t>1</w:t>
            </w:r>
            <w:r>
              <w:rPr>
                <w:rFonts w:hint="eastAsia" w:ascii="宋体"/>
                <w:kern w:val="0"/>
                <w:sz w:val="18"/>
                <w:szCs w:val="18"/>
              </w:rPr>
              <w:t>名高级船员（包括未持合格职务证书船员）：3</w:t>
            </w:r>
            <w:r>
              <w:rPr>
                <w:rFonts w:ascii="宋体"/>
                <w:kern w:val="0"/>
                <w:sz w:val="18"/>
                <w:szCs w:val="18"/>
              </w:rPr>
              <w:t>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p w14:paraId="2DEE8E96">
            <w:pPr>
              <w:spacing w:before="156" w:beforeLines="50" w:after="156" w:afterLines="50"/>
              <w:jc w:val="left"/>
              <w:rPr>
                <w:rFonts w:ascii="宋体"/>
                <w:kern w:val="0"/>
                <w:sz w:val="18"/>
                <w:szCs w:val="18"/>
              </w:rPr>
            </w:pPr>
            <w:r>
              <w:rPr>
                <w:rFonts w:hint="eastAsia" w:ascii="宋体"/>
                <w:kern w:val="0"/>
                <w:sz w:val="18"/>
                <w:szCs w:val="18"/>
              </w:rPr>
              <w:t>3.缺船长（驾驶员）或</w:t>
            </w:r>
            <w:r>
              <w:rPr>
                <w:rFonts w:ascii="宋体"/>
                <w:kern w:val="0"/>
                <w:sz w:val="18"/>
                <w:szCs w:val="18"/>
              </w:rPr>
              <w:t>2</w:t>
            </w:r>
            <w:r>
              <w:rPr>
                <w:rFonts w:hint="eastAsia" w:ascii="宋体"/>
                <w:kern w:val="0"/>
                <w:sz w:val="18"/>
                <w:szCs w:val="18"/>
              </w:rPr>
              <w:t>名高级船员（包括未持合格职务证书船员）：4</w:t>
            </w:r>
            <w:r>
              <w:rPr>
                <w:rFonts w:ascii="宋体"/>
                <w:kern w:val="0"/>
                <w:sz w:val="18"/>
                <w:szCs w:val="18"/>
              </w:rPr>
              <w:t>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p w14:paraId="5CECBE86">
            <w:pPr>
              <w:spacing w:before="156" w:beforeLines="50" w:after="156" w:afterLines="50"/>
              <w:jc w:val="left"/>
              <w:rPr>
                <w:rFonts w:ascii="宋体"/>
                <w:kern w:val="0"/>
                <w:sz w:val="18"/>
                <w:szCs w:val="18"/>
              </w:rPr>
            </w:pPr>
            <w:r>
              <w:rPr>
                <w:rFonts w:hint="eastAsia" w:ascii="宋体"/>
                <w:kern w:val="0"/>
                <w:sz w:val="18"/>
                <w:szCs w:val="18"/>
              </w:rPr>
              <w:t>4.</w:t>
            </w:r>
            <w:r>
              <w:rPr>
                <w:rFonts w:hint="eastAsia" w:ascii="宋体"/>
                <w:bCs/>
                <w:kern w:val="0"/>
                <w:sz w:val="18"/>
                <w:szCs w:val="18"/>
              </w:rPr>
              <w:t>缺船长和1名高级船员</w:t>
            </w:r>
            <w:r>
              <w:rPr>
                <w:rFonts w:hint="eastAsia" w:ascii="宋体"/>
                <w:kern w:val="0"/>
                <w:sz w:val="18"/>
                <w:szCs w:val="18"/>
              </w:rPr>
              <w:t>（包括未持合格职务证书船员）：5000元及以上7000元及以下；</w:t>
            </w:r>
          </w:p>
          <w:p w14:paraId="22CC2DBC">
            <w:pPr>
              <w:spacing w:before="156" w:beforeLines="50" w:after="156" w:afterLines="50"/>
              <w:jc w:val="left"/>
              <w:rPr>
                <w:rFonts w:ascii="宋体"/>
                <w:sz w:val="18"/>
                <w:szCs w:val="18"/>
              </w:rPr>
            </w:pPr>
            <w:r>
              <w:rPr>
                <w:rFonts w:hint="eastAsia" w:ascii="宋体"/>
                <w:kern w:val="0"/>
                <w:sz w:val="18"/>
                <w:szCs w:val="18"/>
              </w:rPr>
              <w:t>5.缺船长、高级船员等</w:t>
            </w:r>
            <w:r>
              <w:rPr>
                <w:rFonts w:ascii="宋体"/>
                <w:kern w:val="0"/>
                <w:sz w:val="18"/>
                <w:szCs w:val="18"/>
              </w:rPr>
              <w:t>2</w:t>
            </w:r>
            <w:r>
              <w:rPr>
                <w:rFonts w:hint="eastAsia" w:ascii="宋体"/>
                <w:kern w:val="0"/>
                <w:sz w:val="18"/>
                <w:szCs w:val="18"/>
              </w:rPr>
              <w:t>名以上（包括未持合格职务证书船员）：6000元及以上</w:t>
            </w:r>
            <w:r>
              <w:rPr>
                <w:rFonts w:ascii="宋体"/>
                <w:kern w:val="0"/>
                <w:sz w:val="18"/>
                <w:szCs w:val="18"/>
              </w:rPr>
              <w:t>1</w:t>
            </w:r>
            <w:r>
              <w:rPr>
                <w:rFonts w:hint="eastAsia" w:ascii="宋体"/>
                <w:kern w:val="0"/>
                <w:sz w:val="18"/>
                <w:szCs w:val="18"/>
              </w:rPr>
              <w:t>万元以下。</w:t>
            </w:r>
          </w:p>
        </w:tc>
        <w:tc>
          <w:tcPr>
            <w:tcW w:w="3226" w:type="dxa"/>
            <w:vMerge w:val="restart"/>
            <w:vAlign w:val="center"/>
          </w:tcPr>
          <w:p w14:paraId="2BEBDFEC">
            <w:pPr>
              <w:spacing w:before="156" w:beforeLines="50" w:after="156" w:afterLines="50"/>
              <w:jc w:val="left"/>
              <w:rPr>
                <w:rFonts w:ascii="宋体"/>
                <w:kern w:val="0"/>
                <w:sz w:val="18"/>
                <w:szCs w:val="18"/>
              </w:rPr>
            </w:pPr>
            <w:r>
              <w:rPr>
                <w:rFonts w:hint="eastAsia" w:ascii="宋体"/>
                <w:kern w:val="0"/>
                <w:sz w:val="18"/>
                <w:szCs w:val="18"/>
              </w:rPr>
              <w:t>1.所缺船员（包括未持合格职务证书船员）均为水手或者机工的：</w:t>
            </w:r>
            <w:r>
              <w:rPr>
                <w:rFonts w:ascii="宋体"/>
                <w:kern w:val="0"/>
                <w:sz w:val="18"/>
                <w:szCs w:val="18"/>
              </w:rPr>
              <w:t>3000</w:t>
            </w:r>
            <w:r>
              <w:rPr>
                <w:rFonts w:hint="eastAsia" w:ascii="宋体"/>
                <w:kern w:val="0"/>
                <w:sz w:val="18"/>
                <w:szCs w:val="18"/>
              </w:rPr>
              <w:t>元及以上5</w:t>
            </w:r>
            <w:r>
              <w:rPr>
                <w:rFonts w:ascii="宋体"/>
                <w:kern w:val="0"/>
                <w:sz w:val="18"/>
                <w:szCs w:val="18"/>
              </w:rPr>
              <w:t>000</w:t>
            </w:r>
            <w:r>
              <w:rPr>
                <w:rFonts w:hint="eastAsia" w:ascii="宋体"/>
                <w:kern w:val="0"/>
                <w:sz w:val="18"/>
                <w:szCs w:val="18"/>
              </w:rPr>
              <w:t>元以下；</w:t>
            </w:r>
          </w:p>
          <w:p w14:paraId="51E9EF97">
            <w:pPr>
              <w:spacing w:before="156" w:beforeLines="50" w:after="156" w:afterLines="50"/>
              <w:jc w:val="left"/>
              <w:rPr>
                <w:rFonts w:ascii="宋体"/>
                <w:kern w:val="0"/>
                <w:sz w:val="18"/>
                <w:szCs w:val="18"/>
              </w:rPr>
            </w:pPr>
            <w:r>
              <w:rPr>
                <w:rFonts w:hint="eastAsia" w:ascii="宋体"/>
                <w:kern w:val="0"/>
                <w:sz w:val="18"/>
                <w:szCs w:val="18"/>
              </w:rPr>
              <w:t>2.缺</w:t>
            </w:r>
            <w:r>
              <w:rPr>
                <w:rFonts w:ascii="宋体"/>
                <w:kern w:val="0"/>
                <w:sz w:val="18"/>
                <w:szCs w:val="18"/>
              </w:rPr>
              <w:t>1</w:t>
            </w:r>
            <w:r>
              <w:rPr>
                <w:rFonts w:hint="eastAsia" w:ascii="宋体"/>
                <w:kern w:val="0"/>
                <w:sz w:val="18"/>
                <w:szCs w:val="18"/>
              </w:rPr>
              <w:t>名高级船员（包括未持合格职务证书船员）：</w:t>
            </w:r>
            <w:r>
              <w:rPr>
                <w:rFonts w:ascii="宋体"/>
                <w:kern w:val="0"/>
                <w:sz w:val="18"/>
                <w:szCs w:val="18"/>
              </w:rPr>
              <w:t>4000</w:t>
            </w:r>
            <w:r>
              <w:rPr>
                <w:rFonts w:hint="eastAsia" w:ascii="宋体"/>
                <w:kern w:val="0"/>
                <w:sz w:val="18"/>
                <w:szCs w:val="18"/>
              </w:rPr>
              <w:t>元及以上6</w:t>
            </w:r>
            <w:r>
              <w:rPr>
                <w:rFonts w:ascii="宋体"/>
                <w:kern w:val="0"/>
                <w:sz w:val="18"/>
                <w:szCs w:val="18"/>
              </w:rPr>
              <w:t>000</w:t>
            </w:r>
            <w:r>
              <w:rPr>
                <w:rFonts w:hint="eastAsia" w:ascii="宋体"/>
                <w:kern w:val="0"/>
                <w:sz w:val="18"/>
                <w:szCs w:val="18"/>
              </w:rPr>
              <w:t>元以下；</w:t>
            </w:r>
          </w:p>
          <w:p w14:paraId="32CA888D">
            <w:pPr>
              <w:spacing w:before="156" w:beforeLines="50" w:after="156" w:afterLines="50"/>
              <w:jc w:val="left"/>
              <w:rPr>
                <w:rFonts w:ascii="宋体"/>
                <w:kern w:val="0"/>
                <w:sz w:val="18"/>
                <w:szCs w:val="18"/>
              </w:rPr>
            </w:pPr>
            <w:r>
              <w:rPr>
                <w:rFonts w:hint="eastAsia" w:ascii="宋体"/>
                <w:kern w:val="0"/>
                <w:sz w:val="18"/>
                <w:szCs w:val="18"/>
              </w:rPr>
              <w:t>3.缺船长（驾驶员）或</w:t>
            </w:r>
            <w:r>
              <w:rPr>
                <w:rFonts w:ascii="宋体"/>
                <w:kern w:val="0"/>
                <w:sz w:val="18"/>
                <w:szCs w:val="18"/>
              </w:rPr>
              <w:t>2</w:t>
            </w:r>
            <w:r>
              <w:rPr>
                <w:rFonts w:hint="eastAsia" w:ascii="宋体"/>
                <w:kern w:val="0"/>
                <w:sz w:val="18"/>
                <w:szCs w:val="18"/>
              </w:rPr>
              <w:t>名高级船员（包括未持合格职务证书船员）：</w:t>
            </w:r>
            <w:r>
              <w:rPr>
                <w:rFonts w:ascii="宋体"/>
                <w:kern w:val="0"/>
                <w:sz w:val="18"/>
                <w:szCs w:val="18"/>
              </w:rPr>
              <w:t>5000</w:t>
            </w:r>
            <w:r>
              <w:rPr>
                <w:rFonts w:hint="eastAsia" w:ascii="宋体"/>
                <w:kern w:val="0"/>
                <w:sz w:val="18"/>
                <w:szCs w:val="18"/>
              </w:rPr>
              <w:t>元及以上7000元以下；</w:t>
            </w:r>
          </w:p>
          <w:p w14:paraId="5B3E0516">
            <w:pPr>
              <w:spacing w:before="156" w:beforeLines="50" w:after="156" w:afterLines="50"/>
              <w:jc w:val="left"/>
              <w:rPr>
                <w:rFonts w:ascii="宋体"/>
                <w:kern w:val="0"/>
                <w:sz w:val="18"/>
                <w:szCs w:val="18"/>
              </w:rPr>
            </w:pPr>
            <w:r>
              <w:rPr>
                <w:rFonts w:hint="eastAsia" w:ascii="宋体"/>
                <w:kern w:val="0"/>
                <w:sz w:val="18"/>
                <w:szCs w:val="18"/>
              </w:rPr>
              <w:t>4.</w:t>
            </w:r>
            <w:r>
              <w:rPr>
                <w:rFonts w:hint="eastAsia" w:ascii="宋体"/>
                <w:bCs/>
                <w:kern w:val="0"/>
                <w:sz w:val="18"/>
                <w:szCs w:val="18"/>
              </w:rPr>
              <w:t>缺船长和1名高级船员</w:t>
            </w:r>
            <w:r>
              <w:rPr>
                <w:rFonts w:hint="eastAsia" w:ascii="宋体"/>
                <w:kern w:val="0"/>
                <w:sz w:val="18"/>
                <w:szCs w:val="18"/>
              </w:rPr>
              <w:t>（包括未持合格职务证书船员）：6000元及以上8000元及以下；</w:t>
            </w:r>
          </w:p>
          <w:p w14:paraId="4AF02C36">
            <w:pPr>
              <w:spacing w:before="156" w:beforeLines="50" w:after="156" w:afterLines="50"/>
              <w:jc w:val="left"/>
              <w:rPr>
                <w:rFonts w:ascii="宋体"/>
                <w:sz w:val="18"/>
                <w:szCs w:val="18"/>
              </w:rPr>
            </w:pPr>
            <w:r>
              <w:rPr>
                <w:rFonts w:hint="eastAsia" w:ascii="宋体"/>
                <w:kern w:val="0"/>
                <w:sz w:val="18"/>
                <w:szCs w:val="18"/>
              </w:rPr>
              <w:t>5.缺船长、高级船员等</w:t>
            </w:r>
            <w:r>
              <w:rPr>
                <w:rFonts w:ascii="宋体"/>
                <w:kern w:val="0"/>
                <w:sz w:val="18"/>
                <w:szCs w:val="18"/>
              </w:rPr>
              <w:t>2</w:t>
            </w:r>
            <w:r>
              <w:rPr>
                <w:rFonts w:hint="eastAsia" w:ascii="宋体"/>
                <w:kern w:val="0"/>
                <w:sz w:val="18"/>
                <w:szCs w:val="18"/>
              </w:rPr>
              <w:t>名以上（包括未持合格职务证书船员）：7000元及以上</w:t>
            </w:r>
            <w:r>
              <w:rPr>
                <w:rFonts w:ascii="宋体"/>
                <w:kern w:val="0"/>
                <w:sz w:val="18"/>
                <w:szCs w:val="18"/>
              </w:rPr>
              <w:t>1</w:t>
            </w:r>
            <w:r>
              <w:rPr>
                <w:rFonts w:hint="eastAsia" w:ascii="宋体"/>
                <w:kern w:val="0"/>
                <w:sz w:val="18"/>
                <w:szCs w:val="18"/>
              </w:rPr>
              <w:t>万元以下。</w:t>
            </w:r>
          </w:p>
        </w:tc>
      </w:tr>
      <w:tr w14:paraId="374BB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709" w:type="dxa"/>
            <w:vMerge w:val="continue"/>
          </w:tcPr>
          <w:p w14:paraId="6E6E6ED1">
            <w:pPr>
              <w:spacing w:before="156" w:beforeLines="50" w:after="156" w:afterLines="50"/>
              <w:jc w:val="left"/>
              <w:rPr>
                <w:rFonts w:ascii="宋体"/>
                <w:sz w:val="18"/>
                <w:szCs w:val="18"/>
              </w:rPr>
            </w:pPr>
          </w:p>
        </w:tc>
        <w:tc>
          <w:tcPr>
            <w:tcW w:w="1003" w:type="dxa"/>
            <w:vMerge w:val="continue"/>
            <w:vAlign w:val="center"/>
          </w:tcPr>
          <w:p w14:paraId="70926CB5">
            <w:pPr>
              <w:spacing w:before="156" w:beforeLines="50" w:after="156" w:afterLines="50"/>
              <w:jc w:val="left"/>
              <w:rPr>
                <w:rFonts w:ascii="宋体"/>
                <w:sz w:val="18"/>
                <w:szCs w:val="18"/>
              </w:rPr>
            </w:pPr>
          </w:p>
        </w:tc>
        <w:tc>
          <w:tcPr>
            <w:tcW w:w="1222" w:type="dxa"/>
            <w:vMerge w:val="continue"/>
            <w:vAlign w:val="center"/>
          </w:tcPr>
          <w:p w14:paraId="2F6300A4">
            <w:pPr>
              <w:spacing w:before="156" w:beforeLines="50" w:after="156" w:afterLines="50"/>
              <w:jc w:val="left"/>
              <w:rPr>
                <w:rFonts w:ascii="宋体"/>
                <w:sz w:val="18"/>
                <w:szCs w:val="18"/>
              </w:rPr>
            </w:pPr>
          </w:p>
        </w:tc>
        <w:tc>
          <w:tcPr>
            <w:tcW w:w="1558" w:type="dxa"/>
            <w:vMerge w:val="continue"/>
            <w:vAlign w:val="center"/>
          </w:tcPr>
          <w:p w14:paraId="5C3619D3">
            <w:pPr>
              <w:spacing w:before="156" w:beforeLines="50" w:after="156" w:afterLines="50"/>
              <w:jc w:val="left"/>
              <w:rPr>
                <w:rFonts w:ascii="宋体"/>
                <w:sz w:val="18"/>
                <w:szCs w:val="18"/>
              </w:rPr>
            </w:pPr>
          </w:p>
        </w:tc>
        <w:tc>
          <w:tcPr>
            <w:tcW w:w="959" w:type="dxa"/>
            <w:vMerge w:val="restart"/>
            <w:vAlign w:val="center"/>
          </w:tcPr>
          <w:p w14:paraId="365BF486">
            <w:pPr>
              <w:spacing w:before="156" w:beforeLines="50" w:after="156" w:afterLines="50"/>
              <w:jc w:val="center"/>
              <w:rPr>
                <w:rFonts w:ascii="宋体"/>
                <w:sz w:val="18"/>
                <w:szCs w:val="18"/>
              </w:rPr>
            </w:pPr>
            <w:r>
              <w:rPr>
                <w:rFonts w:hint="eastAsia" w:ascii="宋体"/>
                <w:sz w:val="18"/>
                <w:szCs w:val="18"/>
              </w:rPr>
              <w:t>一般</w:t>
            </w:r>
          </w:p>
        </w:tc>
        <w:tc>
          <w:tcPr>
            <w:tcW w:w="1925" w:type="dxa"/>
            <w:vAlign w:val="center"/>
          </w:tcPr>
          <w:p w14:paraId="2D652B33">
            <w:pPr>
              <w:spacing w:before="156" w:beforeLines="50" w:after="156" w:afterLines="50"/>
              <w:jc w:val="left"/>
              <w:rPr>
                <w:rFonts w:ascii="宋体"/>
                <w:kern w:val="0"/>
                <w:sz w:val="18"/>
                <w:szCs w:val="18"/>
              </w:rPr>
            </w:pPr>
            <w:r>
              <w:rPr>
                <w:rFonts w:hint="eastAsia" w:ascii="宋体"/>
                <w:kern w:val="0"/>
                <w:sz w:val="18"/>
                <w:szCs w:val="18"/>
              </w:rPr>
              <w:t>所缺船员（包括未持合格职务证书船员）均为水手或者机工的。</w:t>
            </w:r>
          </w:p>
        </w:tc>
        <w:tc>
          <w:tcPr>
            <w:tcW w:w="2268" w:type="dxa"/>
            <w:vAlign w:val="center"/>
          </w:tcPr>
          <w:p w14:paraId="13C0E0DE">
            <w:pPr>
              <w:spacing w:before="156" w:beforeLines="50" w:after="156" w:afterLines="50"/>
              <w:jc w:val="left"/>
              <w:rPr>
                <w:rFonts w:ascii="宋体"/>
                <w:sz w:val="18"/>
                <w:szCs w:val="18"/>
              </w:rPr>
            </w:pPr>
            <w:r>
              <w:rPr>
                <w:rFonts w:ascii="宋体"/>
                <w:sz w:val="18"/>
                <w:szCs w:val="18"/>
              </w:rPr>
              <w:t>1.5</w:t>
            </w:r>
            <w:r>
              <w:rPr>
                <w:rFonts w:hint="eastAsia" w:ascii="宋体"/>
                <w:sz w:val="18"/>
                <w:szCs w:val="18"/>
              </w:rPr>
              <w:t>万元及以上</w:t>
            </w:r>
            <w:r>
              <w:rPr>
                <w:rFonts w:ascii="宋体"/>
                <w:sz w:val="18"/>
                <w:szCs w:val="18"/>
              </w:rPr>
              <w:t>2</w:t>
            </w:r>
            <w:r>
              <w:rPr>
                <w:rFonts w:hint="eastAsia" w:ascii="宋体"/>
                <w:sz w:val="18"/>
                <w:szCs w:val="18"/>
              </w:rPr>
              <w:t>万元以下。</w:t>
            </w:r>
          </w:p>
        </w:tc>
        <w:tc>
          <w:tcPr>
            <w:tcW w:w="2268" w:type="dxa"/>
            <w:vAlign w:val="center"/>
          </w:tcPr>
          <w:p w14:paraId="75EF982B">
            <w:pPr>
              <w:spacing w:before="156" w:beforeLines="50" w:after="156" w:afterLines="50"/>
              <w:jc w:val="left"/>
              <w:rPr>
                <w:rFonts w:ascii="宋体"/>
                <w:bCs/>
                <w:kern w:val="0"/>
                <w:sz w:val="18"/>
                <w:szCs w:val="18"/>
              </w:rPr>
            </w:pPr>
            <w:r>
              <w:rPr>
                <w:rFonts w:ascii="宋体"/>
                <w:bCs/>
                <w:kern w:val="0"/>
                <w:sz w:val="18"/>
                <w:szCs w:val="18"/>
              </w:rPr>
              <w:t>1</w:t>
            </w:r>
            <w:r>
              <w:rPr>
                <w:rFonts w:hint="eastAsia" w:ascii="宋体"/>
                <w:bCs/>
                <w:kern w:val="0"/>
                <w:sz w:val="18"/>
                <w:szCs w:val="18"/>
              </w:rPr>
              <w:t>.缺</w:t>
            </w:r>
            <w:r>
              <w:rPr>
                <w:rFonts w:ascii="宋体"/>
                <w:bCs/>
                <w:kern w:val="0"/>
                <w:sz w:val="18"/>
                <w:szCs w:val="18"/>
              </w:rPr>
              <w:t>1-</w:t>
            </w:r>
            <w:r>
              <w:rPr>
                <w:rFonts w:hint="eastAsia" w:ascii="宋体"/>
                <w:bCs/>
                <w:kern w:val="0"/>
                <w:sz w:val="18"/>
                <w:szCs w:val="18"/>
              </w:rPr>
              <w:t>2名，</w:t>
            </w:r>
            <w:r>
              <w:rPr>
                <w:rFonts w:ascii="宋体"/>
                <w:bCs/>
                <w:kern w:val="0"/>
                <w:sz w:val="18"/>
                <w:szCs w:val="18"/>
              </w:rPr>
              <w:t>1.5</w:t>
            </w:r>
            <w:r>
              <w:rPr>
                <w:rFonts w:hint="eastAsia" w:ascii="宋体"/>
                <w:bCs/>
                <w:kern w:val="0"/>
                <w:sz w:val="18"/>
                <w:szCs w:val="18"/>
              </w:rPr>
              <w:t>万元及以上</w:t>
            </w:r>
            <w:r>
              <w:rPr>
                <w:rFonts w:ascii="宋体"/>
                <w:bCs/>
                <w:kern w:val="0"/>
                <w:sz w:val="18"/>
                <w:szCs w:val="18"/>
              </w:rPr>
              <w:t>2</w:t>
            </w:r>
            <w:r>
              <w:rPr>
                <w:rFonts w:hint="eastAsia" w:ascii="宋体"/>
                <w:bCs/>
                <w:kern w:val="0"/>
                <w:sz w:val="18"/>
                <w:szCs w:val="18"/>
              </w:rPr>
              <w:t>万元以下；</w:t>
            </w:r>
          </w:p>
          <w:p w14:paraId="0099E9C3">
            <w:pPr>
              <w:spacing w:before="156" w:beforeLines="50" w:after="156" w:afterLines="50"/>
              <w:jc w:val="left"/>
              <w:rPr>
                <w:rFonts w:ascii="宋体"/>
                <w:sz w:val="18"/>
                <w:szCs w:val="18"/>
              </w:rPr>
            </w:pPr>
            <w:r>
              <w:rPr>
                <w:rFonts w:ascii="宋体"/>
                <w:bCs/>
                <w:kern w:val="0"/>
                <w:sz w:val="18"/>
                <w:szCs w:val="18"/>
              </w:rPr>
              <w:t>2</w:t>
            </w:r>
            <w:r>
              <w:rPr>
                <w:rFonts w:hint="eastAsia" w:ascii="宋体"/>
                <w:bCs/>
                <w:kern w:val="0"/>
                <w:sz w:val="18"/>
                <w:szCs w:val="18"/>
              </w:rPr>
              <w:t>.缺3名及以上，</w:t>
            </w:r>
            <w:r>
              <w:rPr>
                <w:rFonts w:ascii="宋体"/>
                <w:bCs/>
                <w:kern w:val="0"/>
                <w:sz w:val="18"/>
                <w:szCs w:val="18"/>
              </w:rPr>
              <w:t>2</w:t>
            </w:r>
            <w:r>
              <w:rPr>
                <w:rFonts w:hint="eastAsia" w:ascii="宋体"/>
                <w:bCs/>
                <w:kern w:val="0"/>
                <w:sz w:val="18"/>
                <w:szCs w:val="18"/>
              </w:rPr>
              <w:t>万元及以上</w:t>
            </w:r>
            <w:r>
              <w:rPr>
                <w:rFonts w:ascii="宋体"/>
                <w:bCs/>
                <w:kern w:val="0"/>
                <w:sz w:val="18"/>
                <w:szCs w:val="18"/>
              </w:rPr>
              <w:t>2.5</w:t>
            </w:r>
            <w:r>
              <w:rPr>
                <w:rFonts w:hint="eastAsia" w:ascii="宋体"/>
                <w:bCs/>
                <w:kern w:val="0"/>
                <w:sz w:val="18"/>
                <w:szCs w:val="18"/>
              </w:rPr>
              <w:t>万元以下。</w:t>
            </w:r>
          </w:p>
        </w:tc>
        <w:tc>
          <w:tcPr>
            <w:tcW w:w="2268" w:type="dxa"/>
            <w:vAlign w:val="center"/>
          </w:tcPr>
          <w:p w14:paraId="12FF9177">
            <w:pPr>
              <w:spacing w:before="156" w:beforeLines="50" w:after="156" w:afterLines="50"/>
              <w:jc w:val="left"/>
              <w:rPr>
                <w:rFonts w:ascii="宋体"/>
                <w:bCs/>
                <w:kern w:val="0"/>
                <w:sz w:val="18"/>
                <w:szCs w:val="18"/>
              </w:rPr>
            </w:pPr>
            <w:r>
              <w:rPr>
                <w:rFonts w:ascii="宋体"/>
                <w:bCs/>
                <w:kern w:val="0"/>
                <w:sz w:val="18"/>
                <w:szCs w:val="18"/>
              </w:rPr>
              <w:t>1</w:t>
            </w:r>
            <w:r>
              <w:rPr>
                <w:rFonts w:hint="eastAsia" w:ascii="宋体"/>
                <w:bCs/>
                <w:kern w:val="0"/>
                <w:sz w:val="18"/>
                <w:szCs w:val="18"/>
              </w:rPr>
              <w:t>.缺</w:t>
            </w:r>
            <w:r>
              <w:rPr>
                <w:rFonts w:ascii="宋体"/>
                <w:bCs/>
                <w:kern w:val="0"/>
                <w:sz w:val="18"/>
                <w:szCs w:val="18"/>
              </w:rPr>
              <w:t xml:space="preserve"> 1-</w:t>
            </w:r>
            <w:r>
              <w:rPr>
                <w:rFonts w:hint="eastAsia" w:ascii="宋体"/>
                <w:bCs/>
                <w:kern w:val="0"/>
                <w:sz w:val="18"/>
                <w:szCs w:val="18"/>
              </w:rPr>
              <w:t>2名，</w:t>
            </w:r>
            <w:r>
              <w:rPr>
                <w:rFonts w:ascii="宋体"/>
                <w:bCs/>
                <w:kern w:val="0"/>
                <w:sz w:val="18"/>
                <w:szCs w:val="18"/>
              </w:rPr>
              <w:t>1.5</w:t>
            </w:r>
            <w:r>
              <w:rPr>
                <w:rFonts w:hint="eastAsia" w:ascii="宋体"/>
                <w:bCs/>
                <w:kern w:val="0"/>
                <w:sz w:val="18"/>
                <w:szCs w:val="18"/>
              </w:rPr>
              <w:t>万元及以上</w:t>
            </w:r>
            <w:r>
              <w:rPr>
                <w:rFonts w:ascii="宋体"/>
                <w:bCs/>
                <w:kern w:val="0"/>
                <w:sz w:val="18"/>
                <w:szCs w:val="18"/>
              </w:rPr>
              <w:t>2</w:t>
            </w:r>
            <w:r>
              <w:rPr>
                <w:rFonts w:hint="eastAsia" w:ascii="宋体"/>
                <w:bCs/>
                <w:kern w:val="0"/>
                <w:sz w:val="18"/>
                <w:szCs w:val="18"/>
              </w:rPr>
              <w:t>万元以下；</w:t>
            </w:r>
          </w:p>
          <w:p w14:paraId="5A5C5E3A">
            <w:pPr>
              <w:spacing w:before="156" w:beforeLines="50" w:after="156" w:afterLines="50"/>
              <w:jc w:val="left"/>
              <w:rPr>
                <w:rFonts w:ascii="宋体"/>
                <w:sz w:val="18"/>
                <w:szCs w:val="18"/>
              </w:rPr>
            </w:pPr>
            <w:r>
              <w:rPr>
                <w:rFonts w:ascii="宋体"/>
                <w:bCs/>
                <w:kern w:val="0"/>
                <w:sz w:val="18"/>
                <w:szCs w:val="18"/>
              </w:rPr>
              <w:t>2</w:t>
            </w:r>
            <w:r>
              <w:rPr>
                <w:rFonts w:hint="eastAsia" w:ascii="宋体"/>
                <w:bCs/>
                <w:kern w:val="0"/>
                <w:sz w:val="18"/>
                <w:szCs w:val="18"/>
              </w:rPr>
              <w:t>.缺3名及以上，</w:t>
            </w:r>
            <w:r>
              <w:rPr>
                <w:rFonts w:ascii="宋体"/>
                <w:bCs/>
                <w:kern w:val="0"/>
                <w:sz w:val="18"/>
                <w:szCs w:val="18"/>
              </w:rPr>
              <w:t>2</w:t>
            </w:r>
            <w:r>
              <w:rPr>
                <w:rFonts w:hint="eastAsia" w:ascii="宋体"/>
                <w:bCs/>
                <w:kern w:val="0"/>
                <w:sz w:val="18"/>
                <w:szCs w:val="18"/>
              </w:rPr>
              <w:t>万元及以上</w:t>
            </w:r>
            <w:r>
              <w:rPr>
                <w:rFonts w:ascii="宋体"/>
                <w:bCs/>
                <w:kern w:val="0"/>
                <w:sz w:val="18"/>
                <w:szCs w:val="18"/>
              </w:rPr>
              <w:t>3</w:t>
            </w:r>
            <w:r>
              <w:rPr>
                <w:rFonts w:hint="eastAsia" w:ascii="宋体"/>
                <w:bCs/>
                <w:kern w:val="0"/>
                <w:sz w:val="18"/>
                <w:szCs w:val="18"/>
              </w:rPr>
              <w:t>万元以下。</w:t>
            </w:r>
          </w:p>
        </w:tc>
        <w:tc>
          <w:tcPr>
            <w:tcW w:w="2819" w:type="dxa"/>
            <w:vMerge w:val="continue"/>
            <w:vAlign w:val="center"/>
          </w:tcPr>
          <w:p w14:paraId="0D9230D5">
            <w:pPr>
              <w:spacing w:before="156" w:beforeLines="50" w:after="156" w:afterLines="50"/>
              <w:jc w:val="left"/>
              <w:rPr>
                <w:rFonts w:ascii="宋体"/>
                <w:sz w:val="18"/>
                <w:szCs w:val="18"/>
              </w:rPr>
            </w:pPr>
          </w:p>
        </w:tc>
        <w:tc>
          <w:tcPr>
            <w:tcW w:w="3226" w:type="dxa"/>
            <w:vMerge w:val="continue"/>
            <w:vAlign w:val="center"/>
          </w:tcPr>
          <w:p w14:paraId="7FCB6EB5">
            <w:pPr>
              <w:spacing w:before="156" w:beforeLines="50" w:after="156" w:afterLines="50"/>
              <w:jc w:val="left"/>
              <w:rPr>
                <w:rFonts w:ascii="宋体"/>
                <w:sz w:val="18"/>
                <w:szCs w:val="18"/>
              </w:rPr>
            </w:pPr>
          </w:p>
        </w:tc>
      </w:tr>
      <w:tr w14:paraId="05150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709" w:type="dxa"/>
            <w:vMerge w:val="continue"/>
          </w:tcPr>
          <w:p w14:paraId="2F70F46F">
            <w:pPr>
              <w:spacing w:before="156" w:beforeLines="50" w:after="156" w:afterLines="50"/>
              <w:jc w:val="left"/>
              <w:rPr>
                <w:rFonts w:ascii="宋体"/>
                <w:sz w:val="18"/>
                <w:szCs w:val="18"/>
              </w:rPr>
            </w:pPr>
          </w:p>
        </w:tc>
        <w:tc>
          <w:tcPr>
            <w:tcW w:w="1003" w:type="dxa"/>
            <w:vMerge w:val="continue"/>
            <w:vAlign w:val="center"/>
          </w:tcPr>
          <w:p w14:paraId="0DDBE57B">
            <w:pPr>
              <w:spacing w:before="156" w:beforeLines="50" w:after="156" w:afterLines="50"/>
              <w:jc w:val="left"/>
              <w:rPr>
                <w:rFonts w:ascii="宋体"/>
                <w:sz w:val="18"/>
                <w:szCs w:val="18"/>
              </w:rPr>
            </w:pPr>
          </w:p>
        </w:tc>
        <w:tc>
          <w:tcPr>
            <w:tcW w:w="1222" w:type="dxa"/>
            <w:vMerge w:val="continue"/>
            <w:vAlign w:val="center"/>
          </w:tcPr>
          <w:p w14:paraId="7810127C">
            <w:pPr>
              <w:spacing w:before="156" w:beforeLines="50" w:after="156" w:afterLines="50"/>
              <w:jc w:val="left"/>
              <w:rPr>
                <w:rFonts w:ascii="宋体"/>
                <w:sz w:val="18"/>
                <w:szCs w:val="18"/>
              </w:rPr>
            </w:pPr>
          </w:p>
        </w:tc>
        <w:tc>
          <w:tcPr>
            <w:tcW w:w="1558" w:type="dxa"/>
            <w:vMerge w:val="continue"/>
            <w:vAlign w:val="center"/>
          </w:tcPr>
          <w:p w14:paraId="7053B957">
            <w:pPr>
              <w:spacing w:before="156" w:beforeLines="50" w:after="156" w:afterLines="50"/>
              <w:jc w:val="left"/>
              <w:rPr>
                <w:rFonts w:ascii="宋体"/>
                <w:sz w:val="18"/>
                <w:szCs w:val="18"/>
              </w:rPr>
            </w:pPr>
          </w:p>
        </w:tc>
        <w:tc>
          <w:tcPr>
            <w:tcW w:w="959" w:type="dxa"/>
            <w:vMerge w:val="continue"/>
            <w:vAlign w:val="center"/>
          </w:tcPr>
          <w:p w14:paraId="388FFE0D">
            <w:pPr>
              <w:spacing w:before="156" w:beforeLines="50" w:after="156" w:afterLines="50"/>
              <w:jc w:val="center"/>
              <w:rPr>
                <w:rFonts w:ascii="宋体"/>
                <w:sz w:val="18"/>
                <w:szCs w:val="18"/>
              </w:rPr>
            </w:pPr>
          </w:p>
        </w:tc>
        <w:tc>
          <w:tcPr>
            <w:tcW w:w="1925" w:type="dxa"/>
            <w:vAlign w:val="center"/>
          </w:tcPr>
          <w:p w14:paraId="3D2DDC53">
            <w:pPr>
              <w:widowControl/>
              <w:spacing w:before="156" w:beforeLines="50" w:after="156" w:afterLines="50"/>
              <w:jc w:val="left"/>
              <w:rPr>
                <w:rFonts w:ascii="宋体"/>
                <w:kern w:val="0"/>
                <w:sz w:val="18"/>
                <w:szCs w:val="18"/>
              </w:rPr>
            </w:pPr>
            <w:r>
              <w:rPr>
                <w:rFonts w:hint="eastAsia" w:ascii="宋体"/>
                <w:kern w:val="0"/>
                <w:sz w:val="18"/>
                <w:szCs w:val="18"/>
              </w:rPr>
              <w:t>缺船长（驾驶员）、高级船员（包括未持合格职务证书船员）等</w:t>
            </w:r>
            <w:r>
              <w:rPr>
                <w:rFonts w:ascii="宋体"/>
                <w:kern w:val="0"/>
                <w:sz w:val="18"/>
                <w:szCs w:val="18"/>
              </w:rPr>
              <w:t>2</w:t>
            </w:r>
            <w:r>
              <w:rPr>
                <w:rFonts w:hint="eastAsia" w:ascii="宋体"/>
                <w:kern w:val="0"/>
                <w:sz w:val="18"/>
                <w:szCs w:val="18"/>
              </w:rPr>
              <w:t>名及以下，且未发生事故的。</w:t>
            </w:r>
          </w:p>
        </w:tc>
        <w:tc>
          <w:tcPr>
            <w:tcW w:w="2268" w:type="dxa"/>
            <w:vAlign w:val="center"/>
          </w:tcPr>
          <w:p w14:paraId="2C505979">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名高级船员：2万元及以上2.5万元以下；</w:t>
            </w:r>
          </w:p>
          <w:p w14:paraId="2EA37D02">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名高级船员：2.5万元及以上3万元以下；</w:t>
            </w:r>
          </w:p>
          <w:p w14:paraId="7EF18435">
            <w:pPr>
              <w:numPr>
                <w:ilvl w:val="0"/>
                <w:numId w:val="14"/>
              </w:numPr>
              <w:spacing w:before="156" w:beforeLines="50" w:after="156" w:afterLines="50"/>
              <w:jc w:val="left"/>
              <w:rPr>
                <w:rFonts w:ascii="宋体"/>
                <w:bCs/>
                <w:kern w:val="0"/>
                <w:sz w:val="18"/>
                <w:szCs w:val="18"/>
              </w:rPr>
            </w:pPr>
            <w:r>
              <w:rPr>
                <w:rFonts w:hint="eastAsia" w:ascii="宋体"/>
                <w:bCs/>
                <w:kern w:val="0"/>
                <w:sz w:val="18"/>
                <w:szCs w:val="18"/>
              </w:rPr>
              <w:t>缺船长（驾驶员）和1名高级船员3.5万元及以上</w:t>
            </w:r>
            <w:r>
              <w:rPr>
                <w:rFonts w:ascii="宋体"/>
                <w:bCs/>
                <w:kern w:val="0"/>
                <w:sz w:val="18"/>
                <w:szCs w:val="18"/>
              </w:rPr>
              <w:t>3</w:t>
            </w:r>
            <w:r>
              <w:rPr>
                <w:rFonts w:hint="eastAsia" w:ascii="宋体"/>
                <w:bCs/>
                <w:kern w:val="0"/>
                <w:sz w:val="18"/>
                <w:szCs w:val="18"/>
              </w:rPr>
              <w:t>万元以下。</w:t>
            </w:r>
          </w:p>
        </w:tc>
        <w:tc>
          <w:tcPr>
            <w:tcW w:w="2268" w:type="dxa"/>
            <w:vAlign w:val="center"/>
          </w:tcPr>
          <w:p w14:paraId="74E1007F">
            <w:pPr>
              <w:numPr>
                <w:ilvl w:val="0"/>
                <w:numId w:val="2"/>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w:t>
            </w:r>
            <w:r>
              <w:rPr>
                <w:rFonts w:ascii="宋体"/>
                <w:bCs/>
                <w:kern w:val="0"/>
                <w:sz w:val="18"/>
                <w:szCs w:val="18"/>
              </w:rPr>
              <w:t>2</w:t>
            </w:r>
            <w:r>
              <w:rPr>
                <w:rFonts w:hint="eastAsia" w:ascii="宋体"/>
                <w:bCs/>
                <w:kern w:val="0"/>
                <w:sz w:val="18"/>
                <w:szCs w:val="18"/>
              </w:rPr>
              <w:t>.5万元及以上3万元以下；</w:t>
            </w:r>
          </w:p>
          <w:p w14:paraId="2D4B1346">
            <w:pPr>
              <w:numPr>
                <w:ilvl w:val="0"/>
                <w:numId w:val="2"/>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名高级船员：3万元及以上</w:t>
            </w:r>
            <w:r>
              <w:rPr>
                <w:rFonts w:ascii="宋体"/>
                <w:bCs/>
                <w:kern w:val="0"/>
                <w:sz w:val="18"/>
                <w:szCs w:val="18"/>
              </w:rPr>
              <w:t>3</w:t>
            </w:r>
            <w:r>
              <w:rPr>
                <w:rFonts w:hint="eastAsia" w:ascii="宋体"/>
                <w:bCs/>
                <w:kern w:val="0"/>
                <w:sz w:val="18"/>
                <w:szCs w:val="18"/>
              </w:rPr>
              <w:t>.5万元以下；</w:t>
            </w:r>
          </w:p>
          <w:p w14:paraId="04184345">
            <w:pPr>
              <w:spacing w:before="156" w:beforeLines="50" w:after="156" w:afterLines="50"/>
              <w:jc w:val="left"/>
              <w:rPr>
                <w:rFonts w:ascii="宋体"/>
                <w:bCs/>
                <w:kern w:val="0"/>
                <w:sz w:val="18"/>
                <w:szCs w:val="18"/>
              </w:rPr>
            </w:pPr>
            <w:r>
              <w:rPr>
                <w:rFonts w:hint="eastAsia" w:ascii="宋体"/>
                <w:bCs/>
                <w:kern w:val="0"/>
                <w:sz w:val="18"/>
                <w:szCs w:val="18"/>
              </w:rPr>
              <w:t>3.缺船长和1名高级船员3.5万元及以上4万元以下。</w:t>
            </w:r>
          </w:p>
        </w:tc>
        <w:tc>
          <w:tcPr>
            <w:tcW w:w="2268" w:type="dxa"/>
            <w:vAlign w:val="center"/>
          </w:tcPr>
          <w:p w14:paraId="6ED084FD">
            <w:pPr>
              <w:numPr>
                <w:ilvl w:val="0"/>
                <w:numId w:val="21"/>
              </w:numPr>
              <w:spacing w:before="156" w:beforeLines="50" w:after="156" w:afterLines="50"/>
              <w:jc w:val="left"/>
              <w:rPr>
                <w:rFonts w:ascii="宋体"/>
                <w:bCs/>
                <w:kern w:val="0"/>
                <w:sz w:val="18"/>
                <w:szCs w:val="18"/>
              </w:rPr>
            </w:pPr>
            <w:r>
              <w:rPr>
                <w:rFonts w:hint="eastAsia" w:ascii="宋体"/>
                <w:bCs/>
                <w:kern w:val="0"/>
                <w:sz w:val="18"/>
                <w:szCs w:val="18"/>
              </w:rPr>
              <w:t>缺</w:t>
            </w:r>
            <w:r>
              <w:rPr>
                <w:rFonts w:ascii="宋体"/>
                <w:bCs/>
                <w:kern w:val="0"/>
                <w:sz w:val="18"/>
                <w:szCs w:val="18"/>
              </w:rPr>
              <w:t>1</w:t>
            </w:r>
            <w:r>
              <w:rPr>
                <w:rFonts w:hint="eastAsia" w:ascii="宋体"/>
                <w:bCs/>
                <w:kern w:val="0"/>
                <w:sz w:val="18"/>
                <w:szCs w:val="18"/>
              </w:rPr>
              <w:t>名高级船员：3万元及以上3.5万元以下；</w:t>
            </w:r>
          </w:p>
          <w:p w14:paraId="06B7628E">
            <w:pPr>
              <w:numPr>
                <w:ilvl w:val="0"/>
                <w:numId w:val="21"/>
              </w:numPr>
              <w:spacing w:before="156" w:beforeLines="50" w:after="156" w:afterLines="50"/>
              <w:jc w:val="left"/>
              <w:rPr>
                <w:rFonts w:ascii="宋体"/>
                <w:bCs/>
                <w:kern w:val="0"/>
                <w:sz w:val="18"/>
                <w:szCs w:val="18"/>
              </w:rPr>
            </w:pPr>
            <w:r>
              <w:rPr>
                <w:rFonts w:hint="eastAsia" w:ascii="宋体"/>
                <w:bCs/>
                <w:kern w:val="0"/>
                <w:sz w:val="18"/>
                <w:szCs w:val="18"/>
              </w:rPr>
              <w:t>缺船长或</w:t>
            </w:r>
            <w:r>
              <w:rPr>
                <w:rFonts w:ascii="宋体"/>
                <w:bCs/>
                <w:kern w:val="0"/>
                <w:sz w:val="18"/>
                <w:szCs w:val="18"/>
              </w:rPr>
              <w:t>2</w:t>
            </w:r>
            <w:r>
              <w:rPr>
                <w:rFonts w:hint="eastAsia" w:ascii="宋体"/>
                <w:bCs/>
                <w:kern w:val="0"/>
                <w:sz w:val="18"/>
                <w:szCs w:val="18"/>
              </w:rPr>
              <w:t>名高级船员：3.5万元及以上4万元以下；</w:t>
            </w:r>
          </w:p>
          <w:p w14:paraId="08A112C9">
            <w:pPr>
              <w:spacing w:before="156" w:beforeLines="50" w:after="156" w:afterLines="50"/>
              <w:jc w:val="left"/>
              <w:rPr>
                <w:rFonts w:ascii="宋体"/>
                <w:bCs/>
                <w:kern w:val="0"/>
                <w:sz w:val="18"/>
                <w:szCs w:val="18"/>
              </w:rPr>
            </w:pPr>
            <w:r>
              <w:rPr>
                <w:rFonts w:hint="eastAsia" w:ascii="宋体"/>
                <w:bCs/>
                <w:kern w:val="0"/>
                <w:sz w:val="18"/>
                <w:szCs w:val="18"/>
              </w:rPr>
              <w:t>3.缺船长和1名高级船员4万元及以上4.5万元以下。</w:t>
            </w:r>
          </w:p>
        </w:tc>
        <w:tc>
          <w:tcPr>
            <w:tcW w:w="2819" w:type="dxa"/>
            <w:vMerge w:val="continue"/>
            <w:vAlign w:val="center"/>
          </w:tcPr>
          <w:p w14:paraId="6C91245E">
            <w:pPr>
              <w:spacing w:before="156" w:beforeLines="50" w:after="156" w:afterLines="50"/>
              <w:jc w:val="left"/>
              <w:rPr>
                <w:rFonts w:ascii="宋体"/>
                <w:sz w:val="18"/>
                <w:szCs w:val="18"/>
              </w:rPr>
            </w:pPr>
          </w:p>
        </w:tc>
        <w:tc>
          <w:tcPr>
            <w:tcW w:w="3226" w:type="dxa"/>
            <w:vMerge w:val="continue"/>
            <w:vAlign w:val="center"/>
          </w:tcPr>
          <w:p w14:paraId="7A2F6C41">
            <w:pPr>
              <w:spacing w:before="156" w:beforeLines="50" w:after="156" w:afterLines="50"/>
              <w:jc w:val="left"/>
              <w:rPr>
                <w:rFonts w:ascii="宋体"/>
                <w:sz w:val="18"/>
                <w:szCs w:val="18"/>
              </w:rPr>
            </w:pPr>
          </w:p>
        </w:tc>
      </w:tr>
      <w:tr w14:paraId="5EF0C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9" w:hRule="atLeast"/>
          <w:jc w:val="center"/>
        </w:trPr>
        <w:tc>
          <w:tcPr>
            <w:tcW w:w="709" w:type="dxa"/>
            <w:vMerge w:val="continue"/>
          </w:tcPr>
          <w:p w14:paraId="0A577184">
            <w:pPr>
              <w:spacing w:before="156" w:beforeLines="50" w:after="156" w:afterLines="50"/>
              <w:jc w:val="left"/>
              <w:rPr>
                <w:rFonts w:ascii="宋体"/>
                <w:sz w:val="18"/>
                <w:szCs w:val="18"/>
              </w:rPr>
            </w:pPr>
          </w:p>
        </w:tc>
        <w:tc>
          <w:tcPr>
            <w:tcW w:w="1003" w:type="dxa"/>
            <w:vMerge w:val="continue"/>
            <w:vAlign w:val="center"/>
          </w:tcPr>
          <w:p w14:paraId="0941FAF1">
            <w:pPr>
              <w:spacing w:before="156" w:beforeLines="50" w:after="156" w:afterLines="50"/>
              <w:jc w:val="left"/>
              <w:rPr>
                <w:rFonts w:ascii="宋体"/>
                <w:sz w:val="18"/>
                <w:szCs w:val="18"/>
              </w:rPr>
            </w:pPr>
          </w:p>
        </w:tc>
        <w:tc>
          <w:tcPr>
            <w:tcW w:w="1222" w:type="dxa"/>
            <w:vMerge w:val="continue"/>
            <w:vAlign w:val="center"/>
          </w:tcPr>
          <w:p w14:paraId="5DFEE28F">
            <w:pPr>
              <w:spacing w:before="156" w:beforeLines="50" w:after="156" w:afterLines="50"/>
              <w:jc w:val="left"/>
              <w:rPr>
                <w:rFonts w:ascii="宋体"/>
                <w:sz w:val="18"/>
                <w:szCs w:val="18"/>
              </w:rPr>
            </w:pPr>
          </w:p>
        </w:tc>
        <w:tc>
          <w:tcPr>
            <w:tcW w:w="1558" w:type="dxa"/>
            <w:vMerge w:val="continue"/>
            <w:vAlign w:val="center"/>
          </w:tcPr>
          <w:p w14:paraId="636A05EC">
            <w:pPr>
              <w:spacing w:before="156" w:beforeLines="50" w:after="156" w:afterLines="50"/>
              <w:jc w:val="left"/>
              <w:rPr>
                <w:rFonts w:ascii="宋体"/>
                <w:sz w:val="18"/>
                <w:szCs w:val="18"/>
              </w:rPr>
            </w:pPr>
          </w:p>
        </w:tc>
        <w:tc>
          <w:tcPr>
            <w:tcW w:w="959" w:type="dxa"/>
            <w:vMerge w:val="continue"/>
            <w:vAlign w:val="center"/>
          </w:tcPr>
          <w:p w14:paraId="7BBBB922">
            <w:pPr>
              <w:spacing w:before="156" w:beforeLines="50" w:after="156" w:afterLines="50"/>
              <w:jc w:val="center"/>
              <w:rPr>
                <w:rFonts w:ascii="宋体"/>
                <w:sz w:val="18"/>
                <w:szCs w:val="18"/>
              </w:rPr>
            </w:pPr>
          </w:p>
        </w:tc>
        <w:tc>
          <w:tcPr>
            <w:tcW w:w="1925" w:type="dxa"/>
            <w:vAlign w:val="center"/>
          </w:tcPr>
          <w:p w14:paraId="6CB7DF7C">
            <w:pPr>
              <w:widowControl/>
              <w:spacing w:before="156" w:beforeLines="50" w:after="156" w:afterLines="50"/>
              <w:jc w:val="left"/>
              <w:rPr>
                <w:rFonts w:ascii="宋体"/>
                <w:kern w:val="0"/>
                <w:sz w:val="18"/>
                <w:szCs w:val="18"/>
              </w:rPr>
            </w:pPr>
            <w:r>
              <w:rPr>
                <w:rFonts w:hint="eastAsia" w:ascii="宋体"/>
                <w:kern w:val="0"/>
                <w:sz w:val="18"/>
                <w:szCs w:val="18"/>
              </w:rPr>
              <w:t>1.缺船长、高级船员等</w:t>
            </w:r>
            <w:r>
              <w:rPr>
                <w:rFonts w:ascii="宋体"/>
                <w:kern w:val="0"/>
                <w:sz w:val="18"/>
                <w:szCs w:val="18"/>
              </w:rPr>
              <w:t>2</w:t>
            </w:r>
            <w:r>
              <w:rPr>
                <w:rFonts w:hint="eastAsia" w:ascii="宋体"/>
                <w:kern w:val="0"/>
                <w:sz w:val="18"/>
                <w:szCs w:val="18"/>
              </w:rPr>
              <w:t>名以上（包括未持合格职务证书船员）；</w:t>
            </w:r>
          </w:p>
          <w:p w14:paraId="61A96EDC">
            <w:pPr>
              <w:spacing w:before="156" w:beforeLines="50" w:after="156" w:afterLines="50"/>
              <w:jc w:val="left"/>
              <w:rPr>
                <w:rFonts w:ascii="宋体"/>
                <w:kern w:val="0"/>
                <w:sz w:val="18"/>
                <w:szCs w:val="18"/>
              </w:rPr>
            </w:pPr>
            <w:r>
              <w:rPr>
                <w:rFonts w:hint="eastAsia" w:ascii="宋体"/>
                <w:kern w:val="0"/>
                <w:sz w:val="18"/>
                <w:szCs w:val="18"/>
              </w:rPr>
              <w:t>2.发生事故的。</w:t>
            </w:r>
          </w:p>
        </w:tc>
        <w:tc>
          <w:tcPr>
            <w:tcW w:w="2268" w:type="dxa"/>
            <w:vAlign w:val="center"/>
          </w:tcPr>
          <w:p w14:paraId="76F04258">
            <w:pPr>
              <w:spacing w:before="156" w:beforeLines="50" w:after="156" w:afterLines="50"/>
              <w:jc w:val="left"/>
              <w:rPr>
                <w:rFonts w:ascii="宋体"/>
                <w:sz w:val="18"/>
                <w:szCs w:val="18"/>
              </w:rPr>
            </w:pPr>
            <w:r>
              <w:rPr>
                <w:rFonts w:ascii="宋体"/>
                <w:sz w:val="18"/>
                <w:szCs w:val="18"/>
              </w:rPr>
              <w:t>3</w:t>
            </w: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268" w:type="dxa"/>
            <w:vAlign w:val="center"/>
          </w:tcPr>
          <w:p w14:paraId="0AF3AEBA">
            <w:pPr>
              <w:spacing w:before="156" w:beforeLines="50" w:after="156" w:afterLines="50"/>
              <w:jc w:val="left"/>
              <w:rPr>
                <w:rFonts w:ascii="宋体"/>
                <w:sz w:val="18"/>
                <w:szCs w:val="18"/>
              </w:rPr>
            </w:pPr>
            <w:r>
              <w:rPr>
                <w:rFonts w:hint="eastAsia" w:ascii="宋体"/>
                <w:sz w:val="18"/>
                <w:szCs w:val="18"/>
              </w:rPr>
              <w:t>4万元及以上</w:t>
            </w:r>
            <w:r>
              <w:rPr>
                <w:rFonts w:ascii="宋体"/>
                <w:sz w:val="18"/>
                <w:szCs w:val="18"/>
              </w:rPr>
              <w:t>10</w:t>
            </w:r>
            <w:r>
              <w:rPr>
                <w:rFonts w:hint="eastAsia" w:ascii="宋体"/>
                <w:sz w:val="18"/>
                <w:szCs w:val="18"/>
              </w:rPr>
              <w:t>万元及以下。</w:t>
            </w:r>
          </w:p>
        </w:tc>
        <w:tc>
          <w:tcPr>
            <w:tcW w:w="2268" w:type="dxa"/>
            <w:vAlign w:val="center"/>
          </w:tcPr>
          <w:p w14:paraId="2848F654">
            <w:pPr>
              <w:spacing w:before="156" w:beforeLines="50" w:after="156" w:afterLines="50"/>
              <w:jc w:val="left"/>
              <w:rPr>
                <w:rFonts w:ascii="宋体"/>
                <w:sz w:val="18"/>
                <w:szCs w:val="18"/>
              </w:rPr>
            </w:pPr>
            <w:r>
              <w:rPr>
                <w:rFonts w:ascii="宋体"/>
                <w:sz w:val="18"/>
                <w:szCs w:val="18"/>
              </w:rPr>
              <w:t>4</w:t>
            </w: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819" w:type="dxa"/>
            <w:vMerge w:val="continue"/>
          </w:tcPr>
          <w:p w14:paraId="7C9F44ED">
            <w:pPr>
              <w:spacing w:before="156" w:beforeLines="50" w:after="156" w:afterLines="50"/>
              <w:jc w:val="left"/>
              <w:rPr>
                <w:rFonts w:ascii="宋体"/>
                <w:sz w:val="18"/>
                <w:szCs w:val="18"/>
              </w:rPr>
            </w:pPr>
          </w:p>
        </w:tc>
        <w:tc>
          <w:tcPr>
            <w:tcW w:w="3226" w:type="dxa"/>
            <w:vMerge w:val="continue"/>
          </w:tcPr>
          <w:p w14:paraId="293AF306">
            <w:pPr>
              <w:spacing w:before="156" w:beforeLines="50" w:after="156" w:afterLines="50"/>
              <w:jc w:val="left"/>
              <w:rPr>
                <w:rFonts w:ascii="宋体"/>
                <w:sz w:val="18"/>
                <w:szCs w:val="18"/>
              </w:rPr>
            </w:pPr>
          </w:p>
        </w:tc>
      </w:tr>
    </w:tbl>
    <w:p w14:paraId="034BF1DA">
      <w:pPr>
        <w:spacing w:before="156" w:beforeLines="50" w:after="156" w:afterLines="50"/>
        <w:jc w:val="left"/>
        <w:rPr>
          <w:rFonts w:ascii="宋体"/>
          <w:b/>
          <w:sz w:val="18"/>
          <w:szCs w:val="18"/>
        </w:rPr>
        <w:sectPr>
          <w:footerReference r:id="rId3" w:type="default"/>
          <w:footerReference r:id="rId4" w:type="even"/>
          <w:type w:val="continuous"/>
          <w:pgSz w:w="23815" w:h="16842" w:orient="landscape"/>
          <w:pgMar w:top="1440" w:right="1800" w:bottom="1440" w:left="1800" w:header="851" w:footer="992" w:gutter="0"/>
          <w:cols w:space="720" w:num="1"/>
          <w:docGrid w:type="lines" w:linePitch="312" w:charSpace="0"/>
        </w:sectPr>
      </w:pPr>
    </w:p>
    <w:p w14:paraId="6085C01E">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09"/>
        <w:gridCol w:w="1751"/>
        <w:gridCol w:w="2218"/>
        <w:gridCol w:w="656"/>
        <w:gridCol w:w="3666"/>
        <w:gridCol w:w="4335"/>
        <w:gridCol w:w="4320"/>
      </w:tblGrid>
      <w:tr w14:paraId="6B030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vAlign w:val="center"/>
          </w:tcPr>
          <w:p w14:paraId="00286A97">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09" w:type="dxa"/>
            <w:vMerge w:val="restart"/>
            <w:vAlign w:val="center"/>
          </w:tcPr>
          <w:p w14:paraId="553FC42D">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2"/>
            <w:vMerge w:val="restart"/>
            <w:vAlign w:val="center"/>
          </w:tcPr>
          <w:p w14:paraId="6BE7763C">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vMerge w:val="restart"/>
            <w:vAlign w:val="center"/>
          </w:tcPr>
          <w:p w14:paraId="36CBAE34">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vMerge w:val="restart"/>
            <w:vAlign w:val="center"/>
          </w:tcPr>
          <w:p w14:paraId="49F1822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1F8DF192">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8655" w:type="dxa"/>
            <w:gridSpan w:val="2"/>
            <w:tcBorders>
              <w:bottom w:val="single" w:color="auto" w:sz="4" w:space="0"/>
              <w:right w:val="single" w:color="auto" w:sz="4" w:space="0"/>
            </w:tcBorders>
            <w:vAlign w:val="center"/>
          </w:tcPr>
          <w:p w14:paraId="12CAF1E6">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责令限期改正，对船舶、浮动设施所有人或者经营人处1万元以上10万元以下的罚款；逾期不改正的，责令停航或者停止作业。</w:t>
            </w:r>
          </w:p>
        </w:tc>
      </w:tr>
      <w:tr w14:paraId="0E4B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84" w:type="dxa"/>
            <w:vMerge w:val="continue"/>
            <w:vAlign w:val="center"/>
          </w:tcPr>
          <w:p w14:paraId="4546D1F3">
            <w:pPr>
              <w:spacing w:before="156" w:beforeLines="50" w:after="156" w:afterLines="50"/>
              <w:jc w:val="left"/>
              <w:rPr>
                <w:rFonts w:ascii="宋体"/>
                <w:b/>
                <w:kern w:val="0"/>
                <w:sz w:val="18"/>
                <w:szCs w:val="18"/>
              </w:rPr>
            </w:pPr>
          </w:p>
        </w:tc>
        <w:tc>
          <w:tcPr>
            <w:tcW w:w="1409" w:type="dxa"/>
            <w:vMerge w:val="continue"/>
          </w:tcPr>
          <w:p w14:paraId="3DC89FA6">
            <w:pPr>
              <w:spacing w:before="156" w:beforeLines="50" w:after="156" w:afterLines="50"/>
              <w:jc w:val="left"/>
              <w:rPr>
                <w:rFonts w:ascii="宋体"/>
                <w:b/>
                <w:kern w:val="0"/>
                <w:sz w:val="18"/>
                <w:szCs w:val="18"/>
              </w:rPr>
            </w:pPr>
          </w:p>
        </w:tc>
        <w:tc>
          <w:tcPr>
            <w:tcW w:w="3969" w:type="dxa"/>
            <w:gridSpan w:val="2"/>
            <w:vMerge w:val="continue"/>
            <w:vAlign w:val="center"/>
          </w:tcPr>
          <w:p w14:paraId="04064D4C">
            <w:pPr>
              <w:spacing w:before="156" w:beforeLines="50" w:after="156" w:afterLines="50"/>
              <w:jc w:val="left"/>
              <w:rPr>
                <w:rFonts w:ascii="宋体"/>
                <w:b/>
                <w:kern w:val="0"/>
                <w:sz w:val="18"/>
                <w:szCs w:val="18"/>
              </w:rPr>
            </w:pPr>
          </w:p>
        </w:tc>
        <w:tc>
          <w:tcPr>
            <w:tcW w:w="656" w:type="dxa"/>
            <w:vMerge w:val="continue"/>
            <w:vAlign w:val="center"/>
          </w:tcPr>
          <w:p w14:paraId="79DC40B1">
            <w:pPr>
              <w:spacing w:before="156" w:beforeLines="50" w:after="156" w:afterLines="50"/>
              <w:jc w:val="left"/>
              <w:rPr>
                <w:rFonts w:ascii="宋体"/>
                <w:b/>
                <w:kern w:val="0"/>
                <w:sz w:val="18"/>
                <w:szCs w:val="18"/>
              </w:rPr>
            </w:pPr>
          </w:p>
        </w:tc>
        <w:tc>
          <w:tcPr>
            <w:tcW w:w="3666" w:type="dxa"/>
            <w:vMerge w:val="continue"/>
            <w:vAlign w:val="center"/>
          </w:tcPr>
          <w:p w14:paraId="4EE02F8A">
            <w:pPr>
              <w:spacing w:before="156" w:beforeLines="50" w:after="156" w:afterLines="50"/>
              <w:jc w:val="left"/>
              <w:rPr>
                <w:rFonts w:ascii="宋体"/>
                <w:b/>
                <w:kern w:val="0"/>
                <w:sz w:val="18"/>
                <w:szCs w:val="18"/>
              </w:rPr>
            </w:pPr>
          </w:p>
        </w:tc>
        <w:tc>
          <w:tcPr>
            <w:tcW w:w="4335" w:type="dxa"/>
            <w:tcBorders>
              <w:top w:val="single" w:color="auto" w:sz="4" w:space="0"/>
              <w:bottom w:val="single" w:color="auto" w:sz="4" w:space="0"/>
              <w:right w:val="single" w:color="auto" w:sz="4" w:space="0"/>
            </w:tcBorders>
            <w:vAlign w:val="center"/>
          </w:tcPr>
          <w:p w14:paraId="160C9FAB">
            <w:pPr>
              <w:spacing w:before="156" w:beforeLines="50" w:after="156" w:afterLines="50"/>
              <w:jc w:val="center"/>
              <w:rPr>
                <w:b/>
                <w:sz w:val="18"/>
                <w:szCs w:val="18"/>
              </w:rPr>
            </w:pPr>
            <w:r>
              <w:rPr>
                <w:rFonts w:hint="eastAsia" w:ascii="宋体"/>
                <w:b/>
                <w:kern w:val="0"/>
                <w:sz w:val="18"/>
                <w:szCs w:val="18"/>
              </w:rPr>
              <w:t>处罚基准</w:t>
            </w:r>
          </w:p>
        </w:tc>
        <w:tc>
          <w:tcPr>
            <w:tcW w:w="4320" w:type="dxa"/>
            <w:tcBorders>
              <w:top w:val="single" w:color="auto" w:sz="4" w:space="0"/>
              <w:bottom w:val="single" w:color="auto" w:sz="4" w:space="0"/>
              <w:right w:val="single" w:color="auto" w:sz="4" w:space="0"/>
            </w:tcBorders>
            <w:vAlign w:val="center"/>
          </w:tcPr>
          <w:p w14:paraId="7457B020">
            <w:pPr>
              <w:spacing w:before="156" w:beforeLines="50" w:after="156" w:afterLines="50"/>
              <w:jc w:val="center"/>
              <w:rPr>
                <w:b/>
                <w:sz w:val="18"/>
                <w:szCs w:val="18"/>
              </w:rPr>
            </w:pPr>
            <w:r>
              <w:rPr>
                <w:rFonts w:hint="eastAsia" w:ascii="宋体"/>
                <w:b/>
                <w:kern w:val="0"/>
                <w:sz w:val="18"/>
                <w:szCs w:val="18"/>
              </w:rPr>
              <w:t>减轻处罚基准</w:t>
            </w:r>
          </w:p>
        </w:tc>
      </w:tr>
      <w:tr w14:paraId="7DDC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684" w:type="dxa"/>
            <w:vMerge w:val="continue"/>
            <w:vAlign w:val="center"/>
          </w:tcPr>
          <w:p w14:paraId="4FF050C1">
            <w:pPr>
              <w:spacing w:before="156" w:beforeLines="50" w:after="156" w:afterLines="50"/>
              <w:jc w:val="left"/>
              <w:rPr>
                <w:rFonts w:ascii="宋体"/>
                <w:b/>
                <w:kern w:val="0"/>
                <w:sz w:val="18"/>
                <w:szCs w:val="18"/>
              </w:rPr>
            </w:pPr>
          </w:p>
        </w:tc>
        <w:tc>
          <w:tcPr>
            <w:tcW w:w="1409" w:type="dxa"/>
            <w:vMerge w:val="continue"/>
          </w:tcPr>
          <w:p w14:paraId="24ECBDAC">
            <w:pPr>
              <w:spacing w:before="156" w:beforeLines="50" w:after="156" w:afterLines="50"/>
              <w:jc w:val="left"/>
              <w:rPr>
                <w:rFonts w:ascii="宋体"/>
                <w:b/>
                <w:kern w:val="0"/>
                <w:sz w:val="18"/>
                <w:szCs w:val="18"/>
              </w:rPr>
            </w:pPr>
          </w:p>
        </w:tc>
        <w:tc>
          <w:tcPr>
            <w:tcW w:w="1751" w:type="dxa"/>
            <w:vAlign w:val="center"/>
          </w:tcPr>
          <w:p w14:paraId="56012350">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vAlign w:val="center"/>
          </w:tcPr>
          <w:p w14:paraId="6D23B064">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vMerge w:val="continue"/>
            <w:vAlign w:val="center"/>
          </w:tcPr>
          <w:p w14:paraId="529F5348">
            <w:pPr>
              <w:spacing w:before="156" w:beforeLines="50" w:after="156" w:afterLines="50"/>
              <w:jc w:val="left"/>
              <w:rPr>
                <w:rFonts w:ascii="宋体"/>
                <w:b/>
                <w:kern w:val="0"/>
                <w:sz w:val="18"/>
                <w:szCs w:val="18"/>
              </w:rPr>
            </w:pPr>
          </w:p>
        </w:tc>
        <w:tc>
          <w:tcPr>
            <w:tcW w:w="3666" w:type="dxa"/>
            <w:vMerge w:val="continue"/>
            <w:vAlign w:val="center"/>
          </w:tcPr>
          <w:p w14:paraId="1852B873">
            <w:pPr>
              <w:spacing w:before="156" w:beforeLines="50" w:after="156" w:afterLines="50"/>
              <w:jc w:val="left"/>
              <w:rPr>
                <w:rFonts w:ascii="宋体"/>
                <w:b/>
                <w:kern w:val="0"/>
                <w:sz w:val="18"/>
                <w:szCs w:val="18"/>
              </w:rPr>
            </w:pPr>
          </w:p>
        </w:tc>
        <w:tc>
          <w:tcPr>
            <w:tcW w:w="4335" w:type="dxa"/>
            <w:tcBorders>
              <w:top w:val="single" w:color="auto" w:sz="4" w:space="0"/>
              <w:right w:val="single" w:color="auto" w:sz="4" w:space="0"/>
            </w:tcBorders>
            <w:vAlign w:val="center"/>
          </w:tcPr>
          <w:p w14:paraId="694F95D4">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4320" w:type="dxa"/>
            <w:tcBorders>
              <w:top w:val="single" w:color="auto" w:sz="4" w:space="0"/>
              <w:right w:val="single" w:color="auto" w:sz="4" w:space="0"/>
            </w:tcBorders>
            <w:vAlign w:val="center"/>
          </w:tcPr>
          <w:p w14:paraId="21998C28">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14:paraId="4DC6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vAlign w:val="center"/>
          </w:tcPr>
          <w:p w14:paraId="79D34010">
            <w:pPr>
              <w:spacing w:before="156" w:beforeLines="50" w:after="156" w:afterLines="50"/>
              <w:jc w:val="center"/>
              <w:rPr>
                <w:rFonts w:ascii="宋体"/>
                <w:kern w:val="0"/>
                <w:sz w:val="18"/>
                <w:szCs w:val="18"/>
              </w:rPr>
            </w:pPr>
            <w:r>
              <w:rPr>
                <w:rFonts w:hint="eastAsia" w:ascii="宋体"/>
                <w:kern w:val="0"/>
                <w:sz w:val="18"/>
                <w:szCs w:val="18"/>
              </w:rPr>
              <w:t>48</w:t>
            </w:r>
          </w:p>
        </w:tc>
        <w:tc>
          <w:tcPr>
            <w:tcW w:w="1409" w:type="dxa"/>
            <w:vMerge w:val="restart"/>
            <w:vAlign w:val="center"/>
          </w:tcPr>
          <w:p w14:paraId="5EB33324">
            <w:pPr>
              <w:pStyle w:val="13"/>
              <w:spacing w:before="156" w:beforeLines="50" w:after="156" w:afterLines="50"/>
              <w:rPr>
                <w:sz w:val="18"/>
                <w:szCs w:val="18"/>
              </w:rPr>
            </w:pPr>
            <w:r>
              <w:rPr>
                <w:rFonts w:hint="eastAsia"/>
                <w:sz w:val="18"/>
                <w:szCs w:val="18"/>
              </w:rPr>
              <w:t>船舶未持有有效的《船舶最低安全配员证书》</w:t>
            </w:r>
          </w:p>
        </w:tc>
        <w:tc>
          <w:tcPr>
            <w:tcW w:w="1751" w:type="dxa"/>
            <w:vMerge w:val="restart"/>
            <w:vAlign w:val="center"/>
          </w:tcPr>
          <w:p w14:paraId="388DB679">
            <w:pPr>
              <w:pStyle w:val="13"/>
              <w:spacing w:before="156" w:beforeLines="50" w:after="156" w:afterLines="50"/>
              <w:rPr>
                <w:sz w:val="18"/>
                <w:szCs w:val="18"/>
              </w:rPr>
            </w:pPr>
            <w:r>
              <w:rPr>
                <w:rFonts w:hint="eastAsia"/>
                <w:sz w:val="18"/>
                <w:szCs w:val="18"/>
              </w:rPr>
              <w:t>《中华人民共和国内河交通安全管理条例》第六条第（三）项</w:t>
            </w:r>
          </w:p>
        </w:tc>
        <w:tc>
          <w:tcPr>
            <w:tcW w:w="2218" w:type="dxa"/>
            <w:vMerge w:val="restart"/>
            <w:vAlign w:val="center"/>
          </w:tcPr>
          <w:p w14:paraId="540F919F">
            <w:pPr>
              <w:pStyle w:val="13"/>
              <w:spacing w:before="156" w:beforeLines="50" w:after="156" w:afterLines="50"/>
              <w:rPr>
                <w:sz w:val="18"/>
                <w:szCs w:val="18"/>
              </w:rPr>
            </w:pPr>
            <w:r>
              <w:rPr>
                <w:rFonts w:hint="eastAsia"/>
                <w:sz w:val="18"/>
                <w:szCs w:val="18"/>
              </w:rPr>
              <w:t>1.《中华人民共和国内河交通安全管理条例》第六十五条；</w:t>
            </w:r>
          </w:p>
          <w:p w14:paraId="718930CF">
            <w:pPr>
              <w:pStyle w:val="13"/>
              <w:spacing w:before="156" w:beforeLines="50" w:after="156" w:afterLines="50"/>
              <w:rPr>
                <w:sz w:val="18"/>
                <w:szCs w:val="18"/>
              </w:rPr>
            </w:pPr>
            <w:r>
              <w:rPr>
                <w:rFonts w:hint="eastAsia"/>
                <w:sz w:val="18"/>
                <w:szCs w:val="18"/>
              </w:rPr>
              <w:t>2.《中华人民共和国内河海事行政处罚规定》第十四条第一款和第二款第（二）项；</w:t>
            </w:r>
          </w:p>
          <w:p w14:paraId="2E5C394B">
            <w:pPr>
              <w:pStyle w:val="13"/>
              <w:spacing w:before="156" w:beforeLines="50" w:after="156" w:afterLines="50"/>
              <w:rPr>
                <w:sz w:val="18"/>
                <w:szCs w:val="18"/>
              </w:rPr>
            </w:pPr>
            <w:r>
              <w:rPr>
                <w:rFonts w:hint="eastAsia"/>
                <w:sz w:val="18"/>
                <w:szCs w:val="18"/>
              </w:rPr>
              <w:t>3.《中华人民共和国行政处罚法》第三十二条（从轻）。</w:t>
            </w:r>
          </w:p>
          <w:p w14:paraId="3BD4E226">
            <w:pPr>
              <w:pStyle w:val="13"/>
              <w:spacing w:before="156" w:beforeLines="50" w:after="156" w:afterLines="50"/>
              <w:rPr>
                <w:sz w:val="18"/>
                <w:szCs w:val="18"/>
              </w:rPr>
            </w:pPr>
          </w:p>
        </w:tc>
        <w:tc>
          <w:tcPr>
            <w:tcW w:w="656" w:type="dxa"/>
            <w:vAlign w:val="center"/>
          </w:tcPr>
          <w:p w14:paraId="77F2CD7E">
            <w:pPr>
              <w:spacing w:before="156" w:beforeLines="50" w:after="156" w:afterLines="50"/>
              <w:jc w:val="left"/>
              <w:rPr>
                <w:rFonts w:ascii="宋体"/>
                <w:kern w:val="0"/>
                <w:sz w:val="18"/>
                <w:szCs w:val="18"/>
              </w:rPr>
            </w:pPr>
            <w:r>
              <w:rPr>
                <w:rFonts w:hint="eastAsia" w:ascii="宋体"/>
                <w:kern w:val="0"/>
                <w:sz w:val="18"/>
                <w:szCs w:val="18"/>
              </w:rPr>
              <w:t>从轻</w:t>
            </w:r>
          </w:p>
        </w:tc>
        <w:tc>
          <w:tcPr>
            <w:tcW w:w="3666" w:type="dxa"/>
            <w:vAlign w:val="center"/>
          </w:tcPr>
          <w:p w14:paraId="4BACF9DC">
            <w:pPr>
              <w:pStyle w:val="13"/>
              <w:spacing w:before="156" w:beforeLines="50" w:after="156" w:afterLines="50"/>
              <w:jc w:val="left"/>
              <w:rPr>
                <w:rFonts w:ascii="宋体"/>
                <w:sz w:val="18"/>
                <w:szCs w:val="18"/>
              </w:rPr>
            </w:pPr>
            <w:r>
              <w:rPr>
                <w:rFonts w:hint="eastAsia"/>
                <w:sz w:val="18"/>
                <w:szCs w:val="18"/>
              </w:rPr>
              <w:t>具有法定从轻情节的。</w:t>
            </w:r>
          </w:p>
        </w:tc>
        <w:tc>
          <w:tcPr>
            <w:tcW w:w="4335" w:type="dxa"/>
            <w:tcBorders>
              <w:bottom w:val="single" w:color="auto" w:sz="4" w:space="0"/>
              <w:right w:val="single" w:color="auto" w:sz="4" w:space="0"/>
            </w:tcBorders>
            <w:vAlign w:val="center"/>
          </w:tcPr>
          <w:p w14:paraId="7A4D4C24">
            <w:pPr>
              <w:spacing w:before="156" w:beforeLines="50" w:after="156" w:afterLines="50"/>
              <w:jc w:val="left"/>
              <w:rPr>
                <w:sz w:val="18"/>
                <w:szCs w:val="18"/>
              </w:rPr>
            </w:pPr>
            <w:r>
              <w:rPr>
                <w:rFonts w:hint="eastAsia"/>
                <w:sz w:val="18"/>
                <w:szCs w:val="18"/>
              </w:rPr>
              <w:t>1万元及以上1</w:t>
            </w:r>
            <w:r>
              <w:rPr>
                <w:sz w:val="18"/>
                <w:szCs w:val="18"/>
              </w:rPr>
              <w:t>.5</w:t>
            </w:r>
            <w:r>
              <w:rPr>
                <w:rFonts w:hint="eastAsia"/>
                <w:sz w:val="18"/>
                <w:szCs w:val="18"/>
              </w:rPr>
              <w:t>万元以下</w:t>
            </w:r>
          </w:p>
        </w:tc>
        <w:tc>
          <w:tcPr>
            <w:tcW w:w="4320" w:type="dxa"/>
            <w:vMerge w:val="restart"/>
            <w:tcBorders>
              <w:right w:val="single" w:color="auto" w:sz="4" w:space="0"/>
            </w:tcBorders>
            <w:vAlign w:val="center"/>
          </w:tcPr>
          <w:p w14:paraId="0EBFF0AE">
            <w:pPr>
              <w:spacing w:before="156" w:beforeLines="50" w:after="156" w:afterLines="50"/>
              <w:jc w:val="left"/>
              <w:rPr>
                <w:rFonts w:ascii="宋体"/>
                <w:sz w:val="18"/>
                <w:szCs w:val="18"/>
              </w:rPr>
            </w:pPr>
            <w:r>
              <w:rPr>
                <w:rFonts w:hint="eastAsia"/>
                <w:sz w:val="18"/>
                <w:szCs w:val="18"/>
              </w:rPr>
              <w:t>未持有有效的《船舶最低安全配员证书》</w:t>
            </w:r>
            <w:r>
              <w:rPr>
                <w:rFonts w:hint="eastAsia" w:ascii="宋体"/>
                <w:sz w:val="18"/>
                <w:szCs w:val="18"/>
              </w:rPr>
              <w:t>，但</w:t>
            </w:r>
            <w:r>
              <w:rPr>
                <w:rFonts w:hint="eastAsia"/>
                <w:sz w:val="18"/>
                <w:szCs w:val="18"/>
              </w:rPr>
              <w:t>实际配员达到《中华人民共和国船舶最低安全配员规则》要求</w:t>
            </w:r>
            <w:r>
              <w:rPr>
                <w:rFonts w:hint="eastAsia" w:ascii="宋体"/>
                <w:sz w:val="18"/>
                <w:szCs w:val="18"/>
              </w:rPr>
              <w:t>的：2</w:t>
            </w:r>
            <w:r>
              <w:rPr>
                <w:rFonts w:ascii="宋体"/>
                <w:sz w:val="18"/>
                <w:szCs w:val="18"/>
              </w:rPr>
              <w:t>000</w:t>
            </w:r>
            <w:r>
              <w:rPr>
                <w:rFonts w:hint="eastAsia" w:ascii="宋体"/>
                <w:sz w:val="18"/>
                <w:szCs w:val="18"/>
              </w:rPr>
              <w:t>元及以上1万元以下</w:t>
            </w:r>
          </w:p>
        </w:tc>
      </w:tr>
      <w:tr w14:paraId="77D6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4" w:type="dxa"/>
            <w:vMerge w:val="continue"/>
            <w:vAlign w:val="center"/>
          </w:tcPr>
          <w:p w14:paraId="62373B22">
            <w:pPr>
              <w:spacing w:before="156" w:beforeLines="50" w:after="156" w:afterLines="50"/>
              <w:jc w:val="left"/>
              <w:rPr>
                <w:rFonts w:ascii="宋体"/>
                <w:kern w:val="0"/>
                <w:sz w:val="18"/>
                <w:szCs w:val="18"/>
              </w:rPr>
            </w:pPr>
          </w:p>
        </w:tc>
        <w:tc>
          <w:tcPr>
            <w:tcW w:w="1409" w:type="dxa"/>
            <w:vMerge w:val="continue"/>
            <w:vAlign w:val="center"/>
          </w:tcPr>
          <w:p w14:paraId="13D02730">
            <w:pPr>
              <w:spacing w:before="156" w:beforeLines="50" w:after="156" w:afterLines="50"/>
              <w:jc w:val="left"/>
              <w:rPr>
                <w:rFonts w:ascii="宋体"/>
                <w:kern w:val="0"/>
                <w:sz w:val="18"/>
                <w:szCs w:val="18"/>
              </w:rPr>
            </w:pPr>
          </w:p>
        </w:tc>
        <w:tc>
          <w:tcPr>
            <w:tcW w:w="1751" w:type="dxa"/>
            <w:vMerge w:val="continue"/>
            <w:vAlign w:val="center"/>
          </w:tcPr>
          <w:p w14:paraId="4D694F76">
            <w:pPr>
              <w:widowControl/>
              <w:spacing w:before="156" w:beforeLines="50" w:after="156" w:afterLines="50"/>
              <w:jc w:val="left"/>
              <w:rPr>
                <w:rFonts w:ascii="宋体"/>
                <w:kern w:val="0"/>
                <w:sz w:val="18"/>
                <w:szCs w:val="18"/>
              </w:rPr>
            </w:pPr>
          </w:p>
        </w:tc>
        <w:tc>
          <w:tcPr>
            <w:tcW w:w="2218" w:type="dxa"/>
            <w:vMerge w:val="continue"/>
            <w:vAlign w:val="center"/>
          </w:tcPr>
          <w:p w14:paraId="0FC4928D">
            <w:pPr>
              <w:spacing w:before="156" w:beforeLines="50" w:after="156" w:afterLines="50"/>
              <w:jc w:val="left"/>
              <w:rPr>
                <w:rFonts w:ascii="宋体"/>
                <w:kern w:val="0"/>
                <w:sz w:val="18"/>
                <w:szCs w:val="18"/>
              </w:rPr>
            </w:pPr>
          </w:p>
        </w:tc>
        <w:tc>
          <w:tcPr>
            <w:tcW w:w="656" w:type="dxa"/>
            <w:vMerge w:val="restart"/>
            <w:vAlign w:val="center"/>
          </w:tcPr>
          <w:p w14:paraId="0F09398D">
            <w:pPr>
              <w:spacing w:before="156" w:beforeLines="50" w:after="156" w:afterLines="50"/>
              <w:jc w:val="left"/>
              <w:rPr>
                <w:rFonts w:ascii="宋体"/>
                <w:kern w:val="0"/>
                <w:sz w:val="18"/>
                <w:szCs w:val="18"/>
              </w:rPr>
            </w:pPr>
            <w:r>
              <w:rPr>
                <w:rFonts w:hint="eastAsia" w:ascii="宋体"/>
                <w:kern w:val="0"/>
                <w:sz w:val="18"/>
                <w:szCs w:val="18"/>
              </w:rPr>
              <w:t>一般</w:t>
            </w:r>
          </w:p>
          <w:p w14:paraId="739B53E0">
            <w:pPr>
              <w:spacing w:before="156" w:beforeLines="50" w:after="156" w:afterLines="50"/>
              <w:jc w:val="left"/>
              <w:rPr>
                <w:rFonts w:ascii="宋体"/>
                <w:kern w:val="0"/>
                <w:sz w:val="18"/>
                <w:szCs w:val="18"/>
              </w:rPr>
            </w:pPr>
          </w:p>
        </w:tc>
        <w:tc>
          <w:tcPr>
            <w:tcW w:w="3666" w:type="dxa"/>
            <w:tcBorders>
              <w:top w:val="single" w:color="auto" w:sz="4" w:space="0"/>
              <w:bottom w:val="single" w:color="auto" w:sz="4" w:space="0"/>
            </w:tcBorders>
            <w:vAlign w:val="center"/>
          </w:tcPr>
          <w:p w14:paraId="08DF95FD">
            <w:pPr>
              <w:pStyle w:val="13"/>
              <w:spacing w:before="156" w:beforeLines="50" w:after="156" w:afterLines="50"/>
              <w:jc w:val="left"/>
              <w:rPr>
                <w:sz w:val="18"/>
                <w:szCs w:val="18"/>
              </w:rPr>
            </w:pPr>
            <w:r>
              <w:rPr>
                <w:rFonts w:hint="eastAsia"/>
                <w:sz w:val="18"/>
                <w:szCs w:val="18"/>
              </w:rPr>
              <w:t>持有的《船舶最低安全配员证书》已失效，未按规定办理的。</w:t>
            </w:r>
          </w:p>
        </w:tc>
        <w:tc>
          <w:tcPr>
            <w:tcW w:w="4335" w:type="dxa"/>
            <w:tcBorders>
              <w:right w:val="single" w:color="auto" w:sz="4" w:space="0"/>
            </w:tcBorders>
            <w:vAlign w:val="center"/>
          </w:tcPr>
          <w:p w14:paraId="052AA8AA">
            <w:pPr>
              <w:spacing w:before="156" w:beforeLines="50" w:after="156" w:afterLines="50"/>
              <w:jc w:val="left"/>
              <w:rPr>
                <w:sz w:val="18"/>
                <w:szCs w:val="18"/>
              </w:rPr>
            </w:pPr>
            <w:r>
              <w:rPr>
                <w:rFonts w:hint="eastAsia"/>
                <w:sz w:val="18"/>
                <w:szCs w:val="18"/>
              </w:rPr>
              <w:t>1</w:t>
            </w:r>
            <w:r>
              <w:rPr>
                <w:sz w:val="18"/>
                <w:szCs w:val="18"/>
              </w:rPr>
              <w:t>.5</w:t>
            </w:r>
            <w:r>
              <w:rPr>
                <w:rFonts w:hint="eastAsia"/>
                <w:sz w:val="18"/>
                <w:szCs w:val="18"/>
              </w:rPr>
              <w:t>万元及以上2万元以下</w:t>
            </w:r>
          </w:p>
        </w:tc>
        <w:tc>
          <w:tcPr>
            <w:tcW w:w="4320" w:type="dxa"/>
            <w:vMerge w:val="continue"/>
            <w:tcBorders>
              <w:right w:val="single" w:color="auto" w:sz="4" w:space="0"/>
            </w:tcBorders>
            <w:vAlign w:val="center"/>
          </w:tcPr>
          <w:p w14:paraId="561E1E54">
            <w:pPr>
              <w:spacing w:before="156" w:beforeLines="50" w:after="156" w:afterLines="50"/>
              <w:jc w:val="left"/>
              <w:rPr>
                <w:rFonts w:ascii="宋体"/>
                <w:sz w:val="18"/>
                <w:szCs w:val="18"/>
              </w:rPr>
            </w:pPr>
          </w:p>
        </w:tc>
      </w:tr>
      <w:tr w14:paraId="0581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84" w:type="dxa"/>
            <w:vMerge w:val="continue"/>
            <w:vAlign w:val="center"/>
          </w:tcPr>
          <w:p w14:paraId="778F5F94">
            <w:pPr>
              <w:spacing w:before="156" w:beforeLines="50" w:after="156" w:afterLines="50"/>
              <w:jc w:val="left"/>
              <w:rPr>
                <w:rFonts w:ascii="宋体"/>
                <w:kern w:val="0"/>
                <w:sz w:val="18"/>
                <w:szCs w:val="18"/>
              </w:rPr>
            </w:pPr>
          </w:p>
        </w:tc>
        <w:tc>
          <w:tcPr>
            <w:tcW w:w="1409" w:type="dxa"/>
            <w:vMerge w:val="continue"/>
            <w:vAlign w:val="center"/>
          </w:tcPr>
          <w:p w14:paraId="0BC8BD06">
            <w:pPr>
              <w:spacing w:before="156" w:beforeLines="50" w:after="156" w:afterLines="50"/>
              <w:jc w:val="left"/>
              <w:rPr>
                <w:rFonts w:ascii="宋体"/>
                <w:kern w:val="0"/>
                <w:sz w:val="18"/>
                <w:szCs w:val="18"/>
              </w:rPr>
            </w:pPr>
          </w:p>
        </w:tc>
        <w:tc>
          <w:tcPr>
            <w:tcW w:w="1751" w:type="dxa"/>
            <w:vMerge w:val="continue"/>
            <w:vAlign w:val="center"/>
          </w:tcPr>
          <w:p w14:paraId="12DDD458">
            <w:pPr>
              <w:spacing w:before="156" w:beforeLines="50" w:after="156" w:afterLines="50"/>
              <w:jc w:val="left"/>
              <w:rPr>
                <w:rFonts w:ascii="宋体"/>
                <w:kern w:val="0"/>
                <w:sz w:val="18"/>
                <w:szCs w:val="18"/>
              </w:rPr>
            </w:pPr>
          </w:p>
        </w:tc>
        <w:tc>
          <w:tcPr>
            <w:tcW w:w="2218" w:type="dxa"/>
            <w:vMerge w:val="continue"/>
            <w:vAlign w:val="center"/>
          </w:tcPr>
          <w:p w14:paraId="5E7471B0">
            <w:pPr>
              <w:spacing w:before="156" w:beforeLines="50" w:after="156" w:afterLines="50"/>
              <w:jc w:val="left"/>
              <w:rPr>
                <w:rFonts w:ascii="宋体"/>
                <w:kern w:val="0"/>
                <w:sz w:val="18"/>
                <w:szCs w:val="18"/>
              </w:rPr>
            </w:pPr>
          </w:p>
        </w:tc>
        <w:tc>
          <w:tcPr>
            <w:tcW w:w="656" w:type="dxa"/>
            <w:vMerge w:val="continue"/>
            <w:vAlign w:val="center"/>
          </w:tcPr>
          <w:p w14:paraId="73DF9307">
            <w:pPr>
              <w:spacing w:before="156" w:beforeLines="50" w:after="156" w:afterLines="50"/>
              <w:jc w:val="left"/>
              <w:rPr>
                <w:rFonts w:ascii="宋体"/>
                <w:kern w:val="0"/>
                <w:sz w:val="18"/>
                <w:szCs w:val="18"/>
              </w:rPr>
            </w:pPr>
          </w:p>
        </w:tc>
        <w:tc>
          <w:tcPr>
            <w:tcW w:w="3666" w:type="dxa"/>
            <w:tcBorders>
              <w:top w:val="single" w:color="auto" w:sz="4" w:space="0"/>
            </w:tcBorders>
            <w:vAlign w:val="center"/>
          </w:tcPr>
          <w:p w14:paraId="45E99FAC">
            <w:pPr>
              <w:pStyle w:val="13"/>
              <w:spacing w:before="156" w:beforeLines="50" w:after="156" w:afterLines="50"/>
              <w:jc w:val="left"/>
              <w:rPr>
                <w:rFonts w:ascii="宋体"/>
                <w:sz w:val="18"/>
                <w:szCs w:val="18"/>
              </w:rPr>
            </w:pPr>
            <w:r>
              <w:rPr>
                <w:rFonts w:hint="eastAsia"/>
                <w:sz w:val="18"/>
                <w:szCs w:val="18"/>
              </w:rPr>
              <w:t>未取得《船舶最低安全配员证书》的。</w:t>
            </w:r>
          </w:p>
        </w:tc>
        <w:tc>
          <w:tcPr>
            <w:tcW w:w="4335" w:type="dxa"/>
            <w:tcBorders>
              <w:top w:val="single" w:color="auto" w:sz="4" w:space="0"/>
              <w:right w:val="single" w:color="auto" w:sz="4" w:space="0"/>
            </w:tcBorders>
            <w:vAlign w:val="center"/>
          </w:tcPr>
          <w:p w14:paraId="525CEEB9">
            <w:pPr>
              <w:spacing w:before="156" w:beforeLines="50" w:after="156" w:afterLines="50"/>
              <w:jc w:val="left"/>
              <w:rPr>
                <w:sz w:val="18"/>
                <w:szCs w:val="18"/>
              </w:rPr>
            </w:pPr>
            <w:r>
              <w:rPr>
                <w:rFonts w:hint="eastAsia"/>
                <w:sz w:val="18"/>
                <w:szCs w:val="18"/>
              </w:rPr>
              <w:t>2万元及以上2.</w:t>
            </w:r>
            <w:r>
              <w:rPr>
                <w:sz w:val="18"/>
                <w:szCs w:val="18"/>
              </w:rPr>
              <w:t>5</w:t>
            </w:r>
            <w:r>
              <w:rPr>
                <w:rFonts w:hint="eastAsia"/>
                <w:sz w:val="18"/>
                <w:szCs w:val="18"/>
              </w:rPr>
              <w:t>万元以下</w:t>
            </w:r>
          </w:p>
        </w:tc>
        <w:tc>
          <w:tcPr>
            <w:tcW w:w="4320" w:type="dxa"/>
            <w:vMerge w:val="continue"/>
            <w:tcBorders>
              <w:right w:val="single" w:color="auto" w:sz="4" w:space="0"/>
            </w:tcBorders>
            <w:vAlign w:val="center"/>
          </w:tcPr>
          <w:p w14:paraId="76482F60">
            <w:pPr>
              <w:spacing w:before="156" w:beforeLines="50" w:after="156" w:afterLines="50"/>
              <w:jc w:val="left"/>
              <w:rPr>
                <w:sz w:val="18"/>
                <w:szCs w:val="18"/>
              </w:rPr>
            </w:pPr>
          </w:p>
        </w:tc>
      </w:tr>
      <w:tr w14:paraId="3F08A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684" w:type="dxa"/>
            <w:vMerge w:val="continue"/>
            <w:tcBorders>
              <w:bottom w:val="single" w:color="000000" w:sz="4" w:space="0"/>
            </w:tcBorders>
            <w:vAlign w:val="center"/>
          </w:tcPr>
          <w:p w14:paraId="64FFE852">
            <w:pPr>
              <w:spacing w:before="156" w:beforeLines="50" w:after="156" w:afterLines="50"/>
              <w:jc w:val="left"/>
              <w:rPr>
                <w:rFonts w:ascii="宋体"/>
                <w:kern w:val="0"/>
                <w:sz w:val="18"/>
                <w:szCs w:val="18"/>
              </w:rPr>
            </w:pPr>
          </w:p>
        </w:tc>
        <w:tc>
          <w:tcPr>
            <w:tcW w:w="1409" w:type="dxa"/>
            <w:vMerge w:val="continue"/>
            <w:tcBorders>
              <w:bottom w:val="single" w:color="000000" w:sz="4" w:space="0"/>
            </w:tcBorders>
            <w:vAlign w:val="center"/>
          </w:tcPr>
          <w:p w14:paraId="1923883D">
            <w:pPr>
              <w:spacing w:before="156" w:beforeLines="50" w:after="156" w:afterLines="50"/>
              <w:jc w:val="left"/>
              <w:rPr>
                <w:rFonts w:ascii="宋体"/>
                <w:kern w:val="0"/>
                <w:sz w:val="18"/>
                <w:szCs w:val="18"/>
              </w:rPr>
            </w:pPr>
          </w:p>
        </w:tc>
        <w:tc>
          <w:tcPr>
            <w:tcW w:w="1751" w:type="dxa"/>
            <w:vMerge w:val="continue"/>
            <w:tcBorders>
              <w:bottom w:val="single" w:color="000000" w:sz="4" w:space="0"/>
            </w:tcBorders>
            <w:vAlign w:val="center"/>
          </w:tcPr>
          <w:p w14:paraId="1503D7B8">
            <w:pPr>
              <w:spacing w:before="156" w:beforeLines="50" w:after="156" w:afterLines="50"/>
              <w:jc w:val="left"/>
              <w:rPr>
                <w:rFonts w:ascii="宋体"/>
                <w:kern w:val="0"/>
                <w:sz w:val="18"/>
                <w:szCs w:val="18"/>
              </w:rPr>
            </w:pPr>
          </w:p>
        </w:tc>
        <w:tc>
          <w:tcPr>
            <w:tcW w:w="2218" w:type="dxa"/>
            <w:vMerge w:val="continue"/>
            <w:tcBorders>
              <w:bottom w:val="single" w:color="000000" w:sz="4" w:space="0"/>
            </w:tcBorders>
            <w:vAlign w:val="center"/>
          </w:tcPr>
          <w:p w14:paraId="3896C4AA">
            <w:pPr>
              <w:spacing w:before="156" w:beforeLines="50" w:after="156" w:afterLines="50"/>
              <w:jc w:val="left"/>
              <w:rPr>
                <w:rFonts w:ascii="宋体"/>
                <w:kern w:val="0"/>
                <w:sz w:val="18"/>
                <w:szCs w:val="18"/>
              </w:rPr>
            </w:pPr>
          </w:p>
        </w:tc>
        <w:tc>
          <w:tcPr>
            <w:tcW w:w="656" w:type="dxa"/>
            <w:vMerge w:val="continue"/>
            <w:tcBorders>
              <w:bottom w:val="single" w:color="000000" w:sz="4" w:space="0"/>
            </w:tcBorders>
            <w:vAlign w:val="center"/>
          </w:tcPr>
          <w:p w14:paraId="03BAFA19">
            <w:pPr>
              <w:spacing w:before="156" w:beforeLines="50" w:after="156" w:afterLines="50"/>
              <w:jc w:val="left"/>
              <w:rPr>
                <w:rFonts w:ascii="宋体"/>
                <w:kern w:val="0"/>
                <w:sz w:val="18"/>
                <w:szCs w:val="18"/>
              </w:rPr>
            </w:pPr>
          </w:p>
        </w:tc>
        <w:tc>
          <w:tcPr>
            <w:tcW w:w="3666" w:type="dxa"/>
            <w:tcBorders>
              <w:top w:val="single" w:color="auto" w:sz="4" w:space="0"/>
              <w:left w:val="single" w:color="auto" w:sz="4" w:space="0"/>
              <w:bottom w:val="single" w:color="000000" w:sz="4" w:space="0"/>
            </w:tcBorders>
            <w:vAlign w:val="center"/>
          </w:tcPr>
          <w:p w14:paraId="514975F0">
            <w:pPr>
              <w:pStyle w:val="13"/>
              <w:spacing w:before="156" w:beforeLines="50" w:after="156" w:afterLines="50"/>
              <w:jc w:val="left"/>
              <w:rPr>
                <w:sz w:val="18"/>
                <w:szCs w:val="18"/>
              </w:rPr>
            </w:pPr>
            <w:r>
              <w:rPr>
                <w:rFonts w:hint="eastAsia"/>
                <w:sz w:val="18"/>
                <w:szCs w:val="18"/>
              </w:rPr>
              <w:t>持有通过伪造、变造等不正当手段取得的《船舶最低安全配员证书》的。</w:t>
            </w:r>
          </w:p>
          <w:p w14:paraId="1E35B24A">
            <w:pPr>
              <w:pStyle w:val="13"/>
              <w:spacing w:before="156" w:beforeLines="50" w:after="156" w:afterLines="50"/>
              <w:jc w:val="left"/>
              <w:rPr>
                <w:rFonts w:ascii="宋体"/>
                <w:sz w:val="18"/>
                <w:szCs w:val="18"/>
              </w:rPr>
            </w:pPr>
          </w:p>
        </w:tc>
        <w:tc>
          <w:tcPr>
            <w:tcW w:w="4335" w:type="dxa"/>
            <w:tcBorders>
              <w:top w:val="single" w:color="auto" w:sz="4" w:space="0"/>
              <w:bottom w:val="single" w:color="000000" w:sz="4" w:space="0"/>
              <w:right w:val="single" w:color="auto" w:sz="4" w:space="0"/>
            </w:tcBorders>
            <w:vAlign w:val="center"/>
          </w:tcPr>
          <w:p w14:paraId="21CF1DC5">
            <w:pPr>
              <w:spacing w:before="156" w:beforeLines="50" w:after="156" w:afterLines="50"/>
              <w:jc w:val="left"/>
              <w:rPr>
                <w:sz w:val="18"/>
                <w:szCs w:val="18"/>
              </w:rPr>
            </w:pPr>
            <w:r>
              <w:rPr>
                <w:rFonts w:hint="eastAsia"/>
                <w:sz w:val="18"/>
                <w:szCs w:val="18"/>
              </w:rPr>
              <w:t>2.</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4320" w:type="dxa"/>
            <w:vMerge w:val="continue"/>
            <w:tcBorders>
              <w:bottom w:val="single" w:color="000000" w:sz="4" w:space="0"/>
              <w:right w:val="single" w:color="auto" w:sz="4" w:space="0"/>
            </w:tcBorders>
            <w:vAlign w:val="center"/>
          </w:tcPr>
          <w:p w14:paraId="6F5FB0D1">
            <w:pPr>
              <w:spacing w:before="156" w:beforeLines="50" w:after="156" w:afterLines="50"/>
              <w:jc w:val="left"/>
              <w:rPr>
                <w:rFonts w:ascii="宋体"/>
                <w:sz w:val="18"/>
                <w:szCs w:val="18"/>
              </w:rPr>
            </w:pPr>
          </w:p>
        </w:tc>
      </w:tr>
    </w:tbl>
    <w:p w14:paraId="504EB5A0">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7"/>
        <w:gridCol w:w="1000"/>
        <w:gridCol w:w="1220"/>
        <w:gridCol w:w="1413"/>
        <w:gridCol w:w="1098"/>
        <w:gridCol w:w="1990"/>
        <w:gridCol w:w="2552"/>
        <w:gridCol w:w="2268"/>
        <w:gridCol w:w="2401"/>
        <w:gridCol w:w="1915"/>
        <w:gridCol w:w="1985"/>
        <w:gridCol w:w="1729"/>
      </w:tblGrid>
      <w:tr w14:paraId="4A13C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57" w:type="dxa"/>
            <w:vMerge w:val="restart"/>
            <w:vAlign w:val="center"/>
          </w:tcPr>
          <w:p w14:paraId="4583977D">
            <w:pPr>
              <w:spacing w:before="156" w:beforeLines="50" w:after="156" w:afterLines="50"/>
              <w:jc w:val="center"/>
              <w:rPr>
                <w:rFonts w:ascii="宋体"/>
                <w:b/>
                <w:sz w:val="18"/>
                <w:szCs w:val="18"/>
              </w:rPr>
            </w:pPr>
            <w:r>
              <w:rPr>
                <w:rFonts w:hint="eastAsia" w:ascii="宋体"/>
                <w:b/>
                <w:sz w:val="18"/>
                <w:szCs w:val="18"/>
              </w:rPr>
              <w:t>序号</w:t>
            </w:r>
          </w:p>
        </w:tc>
        <w:tc>
          <w:tcPr>
            <w:tcW w:w="1000" w:type="dxa"/>
            <w:vMerge w:val="restart"/>
            <w:vAlign w:val="center"/>
          </w:tcPr>
          <w:p w14:paraId="0099CAE0">
            <w:pPr>
              <w:spacing w:before="156" w:beforeLines="50" w:after="156" w:afterLines="50"/>
              <w:jc w:val="center"/>
              <w:rPr>
                <w:rFonts w:ascii="宋体"/>
                <w:b/>
                <w:sz w:val="18"/>
                <w:szCs w:val="18"/>
              </w:rPr>
            </w:pPr>
            <w:r>
              <w:rPr>
                <w:rFonts w:hint="eastAsia" w:ascii="宋体"/>
                <w:b/>
                <w:sz w:val="18"/>
                <w:szCs w:val="18"/>
              </w:rPr>
              <w:t>案由</w:t>
            </w:r>
          </w:p>
        </w:tc>
        <w:tc>
          <w:tcPr>
            <w:tcW w:w="2633" w:type="dxa"/>
            <w:gridSpan w:val="2"/>
            <w:vMerge w:val="restart"/>
            <w:vAlign w:val="center"/>
          </w:tcPr>
          <w:p w14:paraId="32EF07BD">
            <w:pPr>
              <w:spacing w:before="156" w:beforeLines="50" w:after="156" w:afterLines="50"/>
              <w:jc w:val="center"/>
              <w:rPr>
                <w:rFonts w:ascii="宋体"/>
                <w:b/>
                <w:sz w:val="18"/>
                <w:szCs w:val="18"/>
              </w:rPr>
            </w:pPr>
            <w:r>
              <w:rPr>
                <w:rFonts w:hint="eastAsia" w:ascii="宋体"/>
                <w:b/>
                <w:sz w:val="18"/>
                <w:szCs w:val="18"/>
              </w:rPr>
              <w:t>法律依据</w:t>
            </w:r>
          </w:p>
        </w:tc>
        <w:tc>
          <w:tcPr>
            <w:tcW w:w="1098" w:type="dxa"/>
            <w:vMerge w:val="restart"/>
            <w:vAlign w:val="center"/>
          </w:tcPr>
          <w:p w14:paraId="10AF858F">
            <w:pPr>
              <w:spacing w:before="156" w:beforeLines="50" w:after="156" w:afterLines="50"/>
              <w:jc w:val="center"/>
              <w:rPr>
                <w:rFonts w:ascii="宋体"/>
                <w:b/>
                <w:sz w:val="18"/>
                <w:szCs w:val="18"/>
              </w:rPr>
            </w:pPr>
            <w:r>
              <w:rPr>
                <w:rFonts w:hint="eastAsia" w:ascii="宋体"/>
                <w:b/>
                <w:sz w:val="18"/>
                <w:szCs w:val="18"/>
              </w:rPr>
              <w:t>违法行</w:t>
            </w:r>
          </w:p>
          <w:p w14:paraId="33326D91">
            <w:pPr>
              <w:spacing w:before="156" w:beforeLines="50" w:after="156" w:afterLines="50"/>
              <w:jc w:val="center"/>
              <w:rPr>
                <w:rFonts w:ascii="宋体"/>
                <w:b/>
                <w:sz w:val="18"/>
                <w:szCs w:val="18"/>
              </w:rPr>
            </w:pPr>
            <w:r>
              <w:rPr>
                <w:rFonts w:hint="eastAsia" w:ascii="宋体"/>
                <w:b/>
                <w:sz w:val="18"/>
                <w:szCs w:val="18"/>
              </w:rPr>
              <w:t>为情节</w:t>
            </w:r>
          </w:p>
        </w:tc>
        <w:tc>
          <w:tcPr>
            <w:tcW w:w="1990" w:type="dxa"/>
            <w:vMerge w:val="restart"/>
            <w:vAlign w:val="center"/>
          </w:tcPr>
          <w:p w14:paraId="1F217F4B">
            <w:pPr>
              <w:spacing w:before="156" w:beforeLines="50" w:after="156" w:afterLines="50"/>
              <w:jc w:val="center"/>
              <w:rPr>
                <w:rFonts w:ascii="宋体"/>
                <w:b/>
                <w:sz w:val="18"/>
                <w:szCs w:val="18"/>
              </w:rPr>
            </w:pPr>
            <w:r>
              <w:rPr>
                <w:rFonts w:hint="eastAsia" w:ascii="宋体"/>
                <w:b/>
                <w:sz w:val="18"/>
                <w:szCs w:val="18"/>
              </w:rPr>
              <w:t>主要考虑因素</w:t>
            </w:r>
          </w:p>
          <w:p w14:paraId="7EE63557">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2850" w:type="dxa"/>
            <w:gridSpan w:val="6"/>
            <w:vAlign w:val="center"/>
          </w:tcPr>
          <w:p w14:paraId="3C1D2A17">
            <w:pPr>
              <w:spacing w:before="156" w:beforeLines="50" w:after="156" w:afterLines="50"/>
              <w:rPr>
                <w:rFonts w:ascii="宋体"/>
                <w:b/>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发生重大伤亡事故或者造成其他严重后果的，依照刑法关于重大劳动安全事故罪或者其他罪的规定，依法追究刑事责任。</w:t>
            </w:r>
          </w:p>
        </w:tc>
      </w:tr>
      <w:tr w14:paraId="1D927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57" w:type="dxa"/>
            <w:vMerge w:val="continue"/>
            <w:vAlign w:val="center"/>
          </w:tcPr>
          <w:p w14:paraId="4F1DBDE1">
            <w:pPr>
              <w:spacing w:before="156" w:beforeLines="50" w:after="156" w:afterLines="50"/>
              <w:jc w:val="center"/>
              <w:rPr>
                <w:rFonts w:ascii="宋体"/>
                <w:b/>
                <w:sz w:val="18"/>
                <w:szCs w:val="18"/>
              </w:rPr>
            </w:pPr>
          </w:p>
        </w:tc>
        <w:tc>
          <w:tcPr>
            <w:tcW w:w="1000" w:type="dxa"/>
            <w:vMerge w:val="continue"/>
            <w:vAlign w:val="center"/>
          </w:tcPr>
          <w:p w14:paraId="29C7DC78">
            <w:pPr>
              <w:spacing w:before="156" w:beforeLines="50" w:after="156" w:afterLines="50"/>
              <w:jc w:val="center"/>
              <w:rPr>
                <w:rFonts w:ascii="宋体"/>
                <w:b/>
                <w:sz w:val="18"/>
                <w:szCs w:val="18"/>
              </w:rPr>
            </w:pPr>
          </w:p>
        </w:tc>
        <w:tc>
          <w:tcPr>
            <w:tcW w:w="2633" w:type="dxa"/>
            <w:gridSpan w:val="2"/>
            <w:vMerge w:val="continue"/>
            <w:vAlign w:val="center"/>
          </w:tcPr>
          <w:p w14:paraId="2AA89110">
            <w:pPr>
              <w:spacing w:before="156" w:beforeLines="50" w:after="156" w:afterLines="50"/>
              <w:jc w:val="center"/>
              <w:rPr>
                <w:rFonts w:ascii="宋体"/>
                <w:b/>
                <w:sz w:val="18"/>
                <w:szCs w:val="18"/>
              </w:rPr>
            </w:pPr>
          </w:p>
        </w:tc>
        <w:tc>
          <w:tcPr>
            <w:tcW w:w="1098" w:type="dxa"/>
            <w:vMerge w:val="continue"/>
            <w:vAlign w:val="center"/>
          </w:tcPr>
          <w:p w14:paraId="523DCB50">
            <w:pPr>
              <w:spacing w:before="156" w:beforeLines="50" w:after="156" w:afterLines="50"/>
              <w:jc w:val="center"/>
              <w:rPr>
                <w:rFonts w:ascii="宋体"/>
                <w:b/>
                <w:sz w:val="18"/>
                <w:szCs w:val="18"/>
              </w:rPr>
            </w:pPr>
          </w:p>
        </w:tc>
        <w:tc>
          <w:tcPr>
            <w:tcW w:w="1990" w:type="dxa"/>
            <w:vMerge w:val="continue"/>
            <w:vAlign w:val="center"/>
          </w:tcPr>
          <w:p w14:paraId="1DA3E8B6">
            <w:pPr>
              <w:spacing w:before="156" w:beforeLines="50" w:after="156" w:afterLines="50"/>
              <w:jc w:val="center"/>
              <w:rPr>
                <w:rFonts w:ascii="宋体"/>
                <w:b/>
                <w:sz w:val="18"/>
                <w:szCs w:val="18"/>
              </w:rPr>
            </w:pPr>
          </w:p>
        </w:tc>
        <w:tc>
          <w:tcPr>
            <w:tcW w:w="9136" w:type="dxa"/>
            <w:gridSpan w:val="4"/>
            <w:vAlign w:val="center"/>
          </w:tcPr>
          <w:p w14:paraId="31A5BA3B">
            <w:pPr>
              <w:spacing w:before="156" w:beforeLines="50" w:after="156" w:afterLines="50"/>
              <w:jc w:val="center"/>
              <w:rPr>
                <w:rFonts w:ascii="宋体"/>
                <w:b/>
                <w:sz w:val="18"/>
                <w:szCs w:val="18"/>
              </w:rPr>
            </w:pPr>
            <w:r>
              <w:rPr>
                <w:rFonts w:hint="eastAsia" w:ascii="宋体"/>
                <w:b/>
                <w:sz w:val="18"/>
                <w:szCs w:val="18"/>
              </w:rPr>
              <w:t>处罚基准</w:t>
            </w:r>
          </w:p>
        </w:tc>
        <w:tc>
          <w:tcPr>
            <w:tcW w:w="3714" w:type="dxa"/>
            <w:gridSpan w:val="2"/>
            <w:vAlign w:val="center"/>
          </w:tcPr>
          <w:p w14:paraId="14DC9FD1">
            <w:pPr>
              <w:spacing w:before="156" w:beforeLines="50" w:after="156" w:afterLines="50"/>
              <w:jc w:val="center"/>
              <w:rPr>
                <w:rFonts w:ascii="宋体"/>
                <w:b/>
                <w:sz w:val="18"/>
                <w:szCs w:val="18"/>
              </w:rPr>
            </w:pPr>
            <w:r>
              <w:rPr>
                <w:rFonts w:hint="eastAsia" w:ascii="宋体"/>
                <w:b/>
                <w:sz w:val="18"/>
                <w:szCs w:val="18"/>
              </w:rPr>
              <w:t>减轻处罚基准</w:t>
            </w:r>
          </w:p>
        </w:tc>
      </w:tr>
      <w:tr w14:paraId="619F0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657" w:type="dxa"/>
            <w:vMerge w:val="continue"/>
            <w:vAlign w:val="center"/>
          </w:tcPr>
          <w:p w14:paraId="6FC3163A">
            <w:pPr>
              <w:spacing w:before="156" w:beforeLines="50" w:after="156" w:afterLines="50"/>
              <w:jc w:val="left"/>
              <w:rPr>
                <w:rFonts w:ascii="宋体"/>
                <w:b/>
                <w:sz w:val="18"/>
                <w:szCs w:val="18"/>
              </w:rPr>
            </w:pPr>
          </w:p>
        </w:tc>
        <w:tc>
          <w:tcPr>
            <w:tcW w:w="1000" w:type="dxa"/>
            <w:vMerge w:val="continue"/>
            <w:vAlign w:val="center"/>
          </w:tcPr>
          <w:p w14:paraId="5EE74DBD">
            <w:pPr>
              <w:spacing w:before="156" w:beforeLines="50" w:after="156" w:afterLines="50"/>
              <w:jc w:val="left"/>
              <w:rPr>
                <w:rFonts w:ascii="宋体"/>
                <w:b/>
                <w:sz w:val="18"/>
                <w:szCs w:val="18"/>
              </w:rPr>
            </w:pPr>
          </w:p>
        </w:tc>
        <w:tc>
          <w:tcPr>
            <w:tcW w:w="2633" w:type="dxa"/>
            <w:gridSpan w:val="2"/>
            <w:vMerge w:val="continue"/>
            <w:vAlign w:val="center"/>
          </w:tcPr>
          <w:p w14:paraId="09930A42">
            <w:pPr>
              <w:spacing w:before="156" w:beforeLines="50" w:after="156" w:afterLines="50"/>
              <w:jc w:val="left"/>
              <w:rPr>
                <w:rFonts w:ascii="宋体"/>
                <w:b/>
                <w:sz w:val="18"/>
                <w:szCs w:val="18"/>
              </w:rPr>
            </w:pPr>
          </w:p>
        </w:tc>
        <w:tc>
          <w:tcPr>
            <w:tcW w:w="1098" w:type="dxa"/>
            <w:vMerge w:val="continue"/>
            <w:vAlign w:val="center"/>
          </w:tcPr>
          <w:p w14:paraId="0ABC096E">
            <w:pPr>
              <w:spacing w:before="156" w:beforeLines="50" w:after="156" w:afterLines="50"/>
              <w:jc w:val="left"/>
              <w:rPr>
                <w:rFonts w:ascii="宋体"/>
                <w:b/>
                <w:sz w:val="18"/>
                <w:szCs w:val="18"/>
              </w:rPr>
            </w:pPr>
          </w:p>
        </w:tc>
        <w:tc>
          <w:tcPr>
            <w:tcW w:w="1990" w:type="dxa"/>
            <w:vMerge w:val="continue"/>
            <w:vAlign w:val="center"/>
          </w:tcPr>
          <w:p w14:paraId="17F16AE8">
            <w:pPr>
              <w:spacing w:before="156" w:beforeLines="50" w:after="156" w:afterLines="50"/>
              <w:jc w:val="left"/>
              <w:rPr>
                <w:rFonts w:ascii="宋体"/>
                <w:b/>
                <w:sz w:val="18"/>
                <w:szCs w:val="18"/>
              </w:rPr>
            </w:pPr>
          </w:p>
        </w:tc>
        <w:tc>
          <w:tcPr>
            <w:tcW w:w="9136" w:type="dxa"/>
            <w:gridSpan w:val="4"/>
            <w:vAlign w:val="center"/>
          </w:tcPr>
          <w:p w14:paraId="1A3574AB">
            <w:pPr>
              <w:spacing w:before="156" w:beforeLines="50" w:after="156" w:afterLines="50"/>
              <w:jc w:val="center"/>
              <w:rPr>
                <w:rFonts w:ascii="宋体"/>
                <w:b/>
                <w:sz w:val="18"/>
                <w:szCs w:val="18"/>
              </w:rPr>
            </w:pPr>
            <w:r>
              <w:rPr>
                <w:rFonts w:hint="eastAsia" w:ascii="宋体"/>
                <w:b/>
                <w:sz w:val="18"/>
                <w:szCs w:val="18"/>
              </w:rPr>
              <w:t>【对象】船舶经营人或所有人</w:t>
            </w:r>
          </w:p>
        </w:tc>
        <w:tc>
          <w:tcPr>
            <w:tcW w:w="3714" w:type="dxa"/>
            <w:gridSpan w:val="2"/>
            <w:vAlign w:val="center"/>
          </w:tcPr>
          <w:p w14:paraId="3261D450">
            <w:pPr>
              <w:spacing w:before="156" w:beforeLines="50" w:after="156" w:afterLines="50"/>
              <w:jc w:val="center"/>
              <w:rPr>
                <w:rFonts w:ascii="宋体"/>
                <w:b/>
                <w:sz w:val="18"/>
                <w:szCs w:val="18"/>
              </w:rPr>
            </w:pPr>
            <w:r>
              <w:rPr>
                <w:rFonts w:hint="eastAsia" w:ascii="宋体"/>
                <w:b/>
                <w:sz w:val="18"/>
                <w:szCs w:val="18"/>
              </w:rPr>
              <w:t>【对象】船舶经营人或所有人</w:t>
            </w:r>
          </w:p>
        </w:tc>
      </w:tr>
      <w:tr w14:paraId="051A6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4" w:hRule="atLeast"/>
          <w:jc w:val="center"/>
        </w:trPr>
        <w:tc>
          <w:tcPr>
            <w:tcW w:w="657" w:type="dxa"/>
            <w:vMerge w:val="continue"/>
            <w:vAlign w:val="center"/>
          </w:tcPr>
          <w:p w14:paraId="317876C5">
            <w:pPr>
              <w:spacing w:before="156" w:beforeLines="50" w:after="156" w:afterLines="50"/>
              <w:jc w:val="left"/>
              <w:rPr>
                <w:rFonts w:ascii="宋体"/>
                <w:b/>
                <w:sz w:val="18"/>
                <w:szCs w:val="18"/>
              </w:rPr>
            </w:pPr>
          </w:p>
        </w:tc>
        <w:tc>
          <w:tcPr>
            <w:tcW w:w="1000" w:type="dxa"/>
            <w:vMerge w:val="continue"/>
            <w:vAlign w:val="center"/>
          </w:tcPr>
          <w:p w14:paraId="44221A96">
            <w:pPr>
              <w:spacing w:before="156" w:beforeLines="50" w:after="156" w:afterLines="50"/>
              <w:jc w:val="left"/>
              <w:rPr>
                <w:rFonts w:ascii="宋体"/>
                <w:b/>
                <w:sz w:val="18"/>
                <w:szCs w:val="18"/>
              </w:rPr>
            </w:pPr>
          </w:p>
        </w:tc>
        <w:tc>
          <w:tcPr>
            <w:tcW w:w="1220" w:type="dxa"/>
            <w:vAlign w:val="center"/>
          </w:tcPr>
          <w:p w14:paraId="0AB11028">
            <w:pPr>
              <w:spacing w:before="156" w:beforeLines="50" w:after="156" w:afterLines="50"/>
              <w:jc w:val="center"/>
              <w:rPr>
                <w:rFonts w:ascii="宋体"/>
                <w:b/>
                <w:sz w:val="18"/>
                <w:szCs w:val="18"/>
              </w:rPr>
            </w:pPr>
            <w:r>
              <w:rPr>
                <w:rFonts w:hint="eastAsia" w:ascii="宋体"/>
                <w:b/>
                <w:sz w:val="18"/>
                <w:szCs w:val="18"/>
              </w:rPr>
              <w:t>违反条款</w:t>
            </w:r>
          </w:p>
        </w:tc>
        <w:tc>
          <w:tcPr>
            <w:tcW w:w="1413" w:type="dxa"/>
            <w:vAlign w:val="center"/>
          </w:tcPr>
          <w:p w14:paraId="75329E37">
            <w:pPr>
              <w:spacing w:before="156" w:beforeLines="50" w:after="156" w:afterLines="50"/>
              <w:jc w:val="center"/>
              <w:rPr>
                <w:rFonts w:ascii="宋体"/>
                <w:b/>
                <w:sz w:val="18"/>
                <w:szCs w:val="18"/>
              </w:rPr>
            </w:pPr>
            <w:r>
              <w:rPr>
                <w:rFonts w:hint="eastAsia" w:ascii="宋体"/>
                <w:b/>
                <w:sz w:val="18"/>
                <w:szCs w:val="18"/>
              </w:rPr>
              <w:t>处罚依据</w:t>
            </w:r>
          </w:p>
        </w:tc>
        <w:tc>
          <w:tcPr>
            <w:tcW w:w="1098" w:type="dxa"/>
            <w:vMerge w:val="continue"/>
            <w:vAlign w:val="center"/>
          </w:tcPr>
          <w:p w14:paraId="1E3E757A">
            <w:pPr>
              <w:spacing w:before="156" w:beforeLines="50" w:after="156" w:afterLines="50"/>
              <w:jc w:val="left"/>
              <w:rPr>
                <w:rFonts w:ascii="宋体"/>
                <w:b/>
                <w:sz w:val="18"/>
                <w:szCs w:val="18"/>
              </w:rPr>
            </w:pPr>
          </w:p>
        </w:tc>
        <w:tc>
          <w:tcPr>
            <w:tcW w:w="1990" w:type="dxa"/>
            <w:vMerge w:val="continue"/>
            <w:vAlign w:val="center"/>
          </w:tcPr>
          <w:p w14:paraId="234B990D">
            <w:pPr>
              <w:spacing w:before="156" w:beforeLines="50" w:after="156" w:afterLines="50"/>
              <w:jc w:val="left"/>
              <w:rPr>
                <w:rFonts w:ascii="宋体"/>
                <w:b/>
                <w:sz w:val="18"/>
                <w:szCs w:val="18"/>
              </w:rPr>
            </w:pPr>
          </w:p>
        </w:tc>
        <w:tc>
          <w:tcPr>
            <w:tcW w:w="2552" w:type="dxa"/>
            <w:vAlign w:val="center"/>
          </w:tcPr>
          <w:p w14:paraId="3857F7D2">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14:paraId="08DA061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01" w:type="dxa"/>
            <w:tcBorders>
              <w:right w:val="single" w:color="auto" w:sz="4" w:space="0"/>
            </w:tcBorders>
            <w:vAlign w:val="center"/>
          </w:tcPr>
          <w:p w14:paraId="5B4C25F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5" w:type="dxa"/>
            <w:tcBorders>
              <w:left w:val="single" w:color="auto" w:sz="4" w:space="0"/>
            </w:tcBorders>
            <w:vAlign w:val="center"/>
          </w:tcPr>
          <w:p w14:paraId="62171B25">
            <w:pPr>
              <w:spacing w:before="156" w:beforeLines="50" w:after="156" w:afterLines="50"/>
              <w:rPr>
                <w:rFonts w:ascii="宋体"/>
                <w:b/>
                <w:sz w:val="18"/>
                <w:szCs w:val="18"/>
              </w:rPr>
            </w:pPr>
            <w:r>
              <w:rPr>
                <w:rFonts w:hint="eastAsia" w:ascii="宋体"/>
                <w:b/>
                <w:sz w:val="18"/>
                <w:szCs w:val="18"/>
              </w:rPr>
              <w:t>【对象】责任船员</w:t>
            </w:r>
          </w:p>
        </w:tc>
        <w:tc>
          <w:tcPr>
            <w:tcW w:w="1985" w:type="dxa"/>
            <w:vAlign w:val="center"/>
          </w:tcPr>
          <w:p w14:paraId="5A5A0C6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729" w:type="dxa"/>
            <w:vAlign w:val="center"/>
          </w:tcPr>
          <w:p w14:paraId="3DB3927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6B555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657" w:type="dxa"/>
            <w:vMerge w:val="restart"/>
            <w:vAlign w:val="center"/>
          </w:tcPr>
          <w:p w14:paraId="15ECBA54">
            <w:pPr>
              <w:spacing w:before="156" w:beforeLines="50" w:after="156" w:afterLines="50"/>
              <w:jc w:val="center"/>
              <w:rPr>
                <w:rFonts w:ascii="宋体"/>
                <w:sz w:val="18"/>
                <w:szCs w:val="18"/>
              </w:rPr>
            </w:pPr>
            <w:r>
              <w:rPr>
                <w:rFonts w:hint="eastAsia" w:ascii="宋体"/>
                <w:sz w:val="18"/>
                <w:szCs w:val="18"/>
              </w:rPr>
              <w:t>49</w:t>
            </w:r>
          </w:p>
        </w:tc>
        <w:tc>
          <w:tcPr>
            <w:tcW w:w="1000" w:type="dxa"/>
            <w:vMerge w:val="restart"/>
            <w:vAlign w:val="center"/>
          </w:tcPr>
          <w:p w14:paraId="1AD3AF58">
            <w:pPr>
              <w:spacing w:before="156" w:beforeLines="50" w:after="156" w:afterLines="50"/>
              <w:jc w:val="left"/>
              <w:rPr>
                <w:rFonts w:ascii="宋体"/>
                <w:sz w:val="18"/>
                <w:szCs w:val="18"/>
              </w:rPr>
            </w:pPr>
            <w:r>
              <w:rPr>
                <w:rFonts w:hint="eastAsia" w:ascii="宋体"/>
                <w:sz w:val="18"/>
                <w:szCs w:val="18"/>
              </w:rPr>
              <w:t>超核定载重线载运货物</w:t>
            </w:r>
          </w:p>
          <w:p w14:paraId="547FDB06">
            <w:pPr>
              <w:spacing w:before="156" w:beforeLines="50" w:after="156" w:afterLines="50"/>
              <w:jc w:val="left"/>
              <w:rPr>
                <w:rFonts w:ascii="宋体"/>
                <w:sz w:val="18"/>
                <w:szCs w:val="18"/>
              </w:rPr>
            </w:pPr>
          </w:p>
        </w:tc>
        <w:tc>
          <w:tcPr>
            <w:tcW w:w="1220" w:type="dxa"/>
            <w:vMerge w:val="restart"/>
            <w:vAlign w:val="center"/>
          </w:tcPr>
          <w:p w14:paraId="4427EEBD">
            <w:pPr>
              <w:spacing w:before="156" w:beforeLines="50" w:after="156" w:afterLines="50"/>
              <w:jc w:val="left"/>
              <w:rPr>
                <w:rFonts w:ascii="宋体"/>
                <w:sz w:val="18"/>
                <w:szCs w:val="18"/>
              </w:rPr>
            </w:pPr>
            <w:r>
              <w:rPr>
                <w:rFonts w:hint="eastAsia" w:ascii="宋体"/>
                <w:sz w:val="18"/>
                <w:szCs w:val="18"/>
              </w:rPr>
              <w:t>《中华人民共和国内河交通安全管理条例》第二十一条第二款</w:t>
            </w:r>
          </w:p>
        </w:tc>
        <w:tc>
          <w:tcPr>
            <w:tcW w:w="1413" w:type="dxa"/>
            <w:vMerge w:val="restart"/>
            <w:vAlign w:val="center"/>
          </w:tcPr>
          <w:p w14:paraId="4BFDC216">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14:paraId="6E973EE1">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2.《中华人民共和国内河海事行政处罚规定》第十八条第一款和第三款第（一）项；</w:t>
            </w:r>
          </w:p>
          <w:p w14:paraId="7FAFA3B5">
            <w:pPr>
              <w:pStyle w:val="13"/>
              <w:spacing w:before="156" w:beforeLines="50" w:after="156" w:afterLines="50"/>
              <w:rPr>
                <w:sz w:val="18"/>
                <w:szCs w:val="18"/>
              </w:rPr>
            </w:pPr>
            <w:r>
              <w:rPr>
                <w:rFonts w:hint="eastAsia"/>
                <w:sz w:val="18"/>
                <w:szCs w:val="18"/>
              </w:rPr>
              <w:t>3.《中华人民共和国行政处罚法》第三十二条（从轻）</w:t>
            </w:r>
          </w:p>
          <w:p w14:paraId="6B55A5CF">
            <w:pPr>
              <w:pStyle w:val="13"/>
              <w:spacing w:before="156" w:beforeLines="50" w:after="156" w:afterLines="50"/>
              <w:rPr>
                <w:rFonts w:ascii="宋体"/>
                <w:sz w:val="18"/>
                <w:szCs w:val="18"/>
              </w:rPr>
            </w:pPr>
            <w:r>
              <w:rPr>
                <w:rFonts w:hint="eastAsia"/>
                <w:sz w:val="18"/>
                <w:szCs w:val="18"/>
              </w:rPr>
              <w:t>（从轻）。</w:t>
            </w:r>
          </w:p>
          <w:p w14:paraId="7D78928A">
            <w:pPr>
              <w:spacing w:before="156" w:beforeLines="50" w:after="156" w:afterLines="50"/>
              <w:jc w:val="left"/>
              <w:rPr>
                <w:rFonts w:ascii="宋体"/>
                <w:sz w:val="18"/>
                <w:szCs w:val="18"/>
              </w:rPr>
            </w:pPr>
          </w:p>
        </w:tc>
        <w:tc>
          <w:tcPr>
            <w:tcW w:w="1098" w:type="dxa"/>
            <w:vAlign w:val="center"/>
          </w:tcPr>
          <w:p w14:paraId="1F366A86">
            <w:pPr>
              <w:spacing w:before="156" w:beforeLines="50" w:after="156" w:afterLines="50"/>
              <w:jc w:val="center"/>
              <w:rPr>
                <w:rFonts w:ascii="宋体"/>
                <w:sz w:val="18"/>
                <w:szCs w:val="18"/>
              </w:rPr>
            </w:pPr>
            <w:r>
              <w:rPr>
                <w:rFonts w:hint="eastAsia" w:ascii="宋体"/>
                <w:sz w:val="18"/>
                <w:szCs w:val="18"/>
              </w:rPr>
              <w:t>从轻</w:t>
            </w:r>
          </w:p>
        </w:tc>
        <w:tc>
          <w:tcPr>
            <w:tcW w:w="1990" w:type="dxa"/>
            <w:vAlign w:val="center"/>
          </w:tcPr>
          <w:p w14:paraId="2E086CBA">
            <w:pPr>
              <w:spacing w:before="156" w:beforeLines="50" w:after="156" w:afterLines="50"/>
              <w:jc w:val="left"/>
              <w:rPr>
                <w:rFonts w:ascii="宋体"/>
                <w:sz w:val="18"/>
                <w:szCs w:val="18"/>
              </w:rPr>
            </w:pPr>
            <w:r>
              <w:rPr>
                <w:rFonts w:hint="eastAsia" w:ascii="宋体"/>
                <w:sz w:val="18"/>
                <w:szCs w:val="18"/>
              </w:rPr>
              <w:t>具有法定</w:t>
            </w:r>
            <w:r>
              <w:rPr>
                <w:rFonts w:hint="eastAsia" w:ascii="宋体"/>
                <w:kern w:val="0"/>
                <w:sz w:val="18"/>
                <w:szCs w:val="18"/>
              </w:rPr>
              <w:t>从轻情节的。</w:t>
            </w:r>
          </w:p>
        </w:tc>
        <w:tc>
          <w:tcPr>
            <w:tcW w:w="2552" w:type="dxa"/>
            <w:vAlign w:val="center"/>
          </w:tcPr>
          <w:p w14:paraId="39A99459">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268" w:type="dxa"/>
            <w:vAlign w:val="center"/>
          </w:tcPr>
          <w:p w14:paraId="4291BB1F">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401" w:type="dxa"/>
            <w:tcBorders>
              <w:right w:val="single" w:color="auto" w:sz="4" w:space="0"/>
            </w:tcBorders>
            <w:vAlign w:val="center"/>
          </w:tcPr>
          <w:p w14:paraId="4614B80A">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1915" w:type="dxa"/>
            <w:tcBorders>
              <w:left w:val="single" w:color="auto" w:sz="4" w:space="0"/>
            </w:tcBorders>
            <w:vAlign w:val="center"/>
          </w:tcPr>
          <w:p w14:paraId="4EA10172">
            <w:pPr>
              <w:widowControl/>
              <w:spacing w:before="156" w:beforeLines="50" w:after="156" w:afterLines="50"/>
              <w:jc w:val="center"/>
              <w:rPr>
                <w:rFonts w:ascii="宋体"/>
                <w:kern w:val="0"/>
                <w:sz w:val="18"/>
                <w:szCs w:val="18"/>
              </w:rPr>
            </w:pPr>
            <w:r>
              <w:rPr>
                <w:rFonts w:ascii="宋体"/>
                <w:kern w:val="0"/>
                <w:sz w:val="18"/>
                <w:szCs w:val="18"/>
              </w:rPr>
              <w:t>/</w:t>
            </w:r>
          </w:p>
        </w:tc>
        <w:tc>
          <w:tcPr>
            <w:tcW w:w="1985" w:type="dxa"/>
            <w:vMerge w:val="restart"/>
            <w:vAlign w:val="center"/>
          </w:tcPr>
          <w:p w14:paraId="037F60E3">
            <w:pPr>
              <w:spacing w:before="156" w:beforeLines="50" w:after="156" w:afterLines="50"/>
              <w:jc w:val="left"/>
              <w:rPr>
                <w:rFonts w:ascii="宋体"/>
                <w:sz w:val="18"/>
                <w:szCs w:val="18"/>
              </w:rPr>
            </w:pPr>
            <w:r>
              <w:rPr>
                <w:rFonts w:hint="eastAsia" w:ascii="宋体"/>
                <w:sz w:val="18"/>
                <w:szCs w:val="18"/>
              </w:rPr>
              <w:t>1.实测剩余干舷2</w:t>
            </w:r>
            <w:r>
              <w:rPr>
                <w:rFonts w:ascii="宋体"/>
                <w:sz w:val="18"/>
                <w:szCs w:val="18"/>
              </w:rPr>
              <w:t>00</w:t>
            </w:r>
            <w:r>
              <w:rPr>
                <w:rFonts w:hint="eastAsia" w:ascii="宋体"/>
                <w:sz w:val="18"/>
                <w:szCs w:val="18"/>
              </w:rPr>
              <w:t>毫米及以上的：2000元及以上5000元以下；</w:t>
            </w:r>
          </w:p>
          <w:p w14:paraId="6F34DD29">
            <w:pPr>
              <w:spacing w:before="156" w:beforeLines="50" w:after="156" w:afterLines="50"/>
              <w:jc w:val="left"/>
              <w:rPr>
                <w:rFonts w:ascii="宋体"/>
                <w:sz w:val="18"/>
                <w:szCs w:val="18"/>
              </w:rPr>
            </w:pPr>
            <w:r>
              <w:rPr>
                <w:rFonts w:hint="eastAsia" w:ascii="宋体"/>
                <w:kern w:val="0"/>
                <w:sz w:val="18"/>
                <w:szCs w:val="18"/>
              </w:rPr>
              <w:t>2</w:t>
            </w:r>
            <w:r>
              <w:rPr>
                <w:rFonts w:hint="eastAsia" w:ascii="宋体"/>
                <w:sz w:val="18"/>
                <w:szCs w:val="18"/>
              </w:rPr>
              <w:t>实测剩余干舷2</w:t>
            </w:r>
            <w:r>
              <w:rPr>
                <w:rFonts w:ascii="宋体"/>
                <w:sz w:val="18"/>
                <w:szCs w:val="18"/>
              </w:rPr>
              <w:t>00</w:t>
            </w:r>
            <w:r>
              <w:rPr>
                <w:rFonts w:hint="eastAsia" w:ascii="宋体"/>
                <w:sz w:val="18"/>
                <w:szCs w:val="18"/>
              </w:rPr>
              <w:t>毫米以下的：3000元及以上8000元以下。</w:t>
            </w:r>
          </w:p>
        </w:tc>
        <w:tc>
          <w:tcPr>
            <w:tcW w:w="1729" w:type="dxa"/>
            <w:vMerge w:val="restart"/>
            <w:vAlign w:val="center"/>
          </w:tcPr>
          <w:p w14:paraId="064985A0">
            <w:pPr>
              <w:spacing w:before="156" w:beforeLines="50" w:after="156" w:afterLines="50"/>
              <w:rPr>
                <w:rFonts w:ascii="宋体"/>
                <w:sz w:val="18"/>
                <w:szCs w:val="18"/>
              </w:rPr>
            </w:pPr>
            <w:r>
              <w:rPr>
                <w:rFonts w:hint="eastAsia" w:ascii="宋体"/>
                <w:sz w:val="18"/>
                <w:szCs w:val="18"/>
              </w:rPr>
              <w:t>1.实测剩余干舷2</w:t>
            </w:r>
            <w:r>
              <w:rPr>
                <w:rFonts w:ascii="宋体"/>
                <w:sz w:val="18"/>
                <w:szCs w:val="18"/>
              </w:rPr>
              <w:t>00</w:t>
            </w:r>
            <w:r>
              <w:rPr>
                <w:rFonts w:hint="eastAsia" w:ascii="宋体"/>
                <w:sz w:val="18"/>
                <w:szCs w:val="18"/>
              </w:rPr>
              <w:t>毫米及以上的：4000元及以上1万元以下；</w:t>
            </w:r>
          </w:p>
          <w:p w14:paraId="2FD6650B">
            <w:pPr>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实测剩余干舷2</w:t>
            </w:r>
            <w:r>
              <w:rPr>
                <w:rFonts w:ascii="宋体"/>
                <w:sz w:val="18"/>
                <w:szCs w:val="18"/>
              </w:rPr>
              <w:t>00</w:t>
            </w:r>
            <w:r>
              <w:rPr>
                <w:rFonts w:hint="eastAsia" w:ascii="宋体"/>
                <w:sz w:val="18"/>
                <w:szCs w:val="18"/>
              </w:rPr>
              <w:t>毫米以下的：1万元及以上2万元以下。</w:t>
            </w:r>
          </w:p>
        </w:tc>
      </w:tr>
      <w:tr w14:paraId="18C08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6" w:hRule="atLeast"/>
          <w:jc w:val="center"/>
        </w:trPr>
        <w:tc>
          <w:tcPr>
            <w:tcW w:w="657" w:type="dxa"/>
            <w:vMerge w:val="continue"/>
          </w:tcPr>
          <w:p w14:paraId="6A77C965">
            <w:pPr>
              <w:spacing w:before="156" w:beforeLines="50" w:after="156" w:afterLines="50"/>
              <w:jc w:val="left"/>
              <w:rPr>
                <w:rFonts w:ascii="宋体"/>
                <w:b/>
                <w:sz w:val="18"/>
                <w:szCs w:val="18"/>
              </w:rPr>
            </w:pPr>
          </w:p>
        </w:tc>
        <w:tc>
          <w:tcPr>
            <w:tcW w:w="1000" w:type="dxa"/>
            <w:vMerge w:val="continue"/>
            <w:vAlign w:val="center"/>
          </w:tcPr>
          <w:p w14:paraId="09AD4EF1">
            <w:pPr>
              <w:spacing w:before="156" w:beforeLines="50" w:after="156" w:afterLines="50"/>
              <w:jc w:val="left"/>
              <w:rPr>
                <w:rFonts w:ascii="宋体"/>
                <w:b/>
                <w:sz w:val="18"/>
                <w:szCs w:val="18"/>
              </w:rPr>
            </w:pPr>
          </w:p>
        </w:tc>
        <w:tc>
          <w:tcPr>
            <w:tcW w:w="1220" w:type="dxa"/>
            <w:vMerge w:val="continue"/>
            <w:vAlign w:val="center"/>
          </w:tcPr>
          <w:p w14:paraId="178C1AF1">
            <w:pPr>
              <w:spacing w:before="156" w:beforeLines="50" w:after="156" w:afterLines="50"/>
              <w:jc w:val="left"/>
              <w:rPr>
                <w:rFonts w:ascii="宋体"/>
                <w:b/>
                <w:sz w:val="18"/>
                <w:szCs w:val="18"/>
              </w:rPr>
            </w:pPr>
          </w:p>
        </w:tc>
        <w:tc>
          <w:tcPr>
            <w:tcW w:w="1413" w:type="dxa"/>
            <w:vMerge w:val="continue"/>
            <w:vAlign w:val="center"/>
          </w:tcPr>
          <w:p w14:paraId="58FDAC7A">
            <w:pPr>
              <w:spacing w:before="156" w:beforeLines="50" w:after="156" w:afterLines="50"/>
              <w:jc w:val="left"/>
              <w:rPr>
                <w:rFonts w:ascii="宋体"/>
                <w:b/>
                <w:sz w:val="18"/>
                <w:szCs w:val="18"/>
              </w:rPr>
            </w:pPr>
          </w:p>
        </w:tc>
        <w:tc>
          <w:tcPr>
            <w:tcW w:w="1098" w:type="dxa"/>
            <w:vMerge w:val="restart"/>
            <w:vAlign w:val="center"/>
          </w:tcPr>
          <w:p w14:paraId="0D2F5809">
            <w:pPr>
              <w:spacing w:before="156" w:beforeLines="50" w:after="156" w:afterLines="50"/>
              <w:jc w:val="center"/>
              <w:rPr>
                <w:rFonts w:ascii="宋体"/>
                <w:sz w:val="18"/>
                <w:szCs w:val="18"/>
              </w:rPr>
            </w:pPr>
            <w:r>
              <w:rPr>
                <w:rFonts w:hint="eastAsia" w:ascii="宋体"/>
                <w:sz w:val="18"/>
                <w:szCs w:val="18"/>
              </w:rPr>
              <w:t>一般</w:t>
            </w:r>
          </w:p>
          <w:p w14:paraId="180AE2FA">
            <w:pPr>
              <w:spacing w:before="156" w:beforeLines="50" w:after="156" w:afterLines="50"/>
              <w:jc w:val="center"/>
              <w:rPr>
                <w:rFonts w:ascii="宋体"/>
                <w:sz w:val="18"/>
                <w:szCs w:val="18"/>
              </w:rPr>
            </w:pPr>
          </w:p>
        </w:tc>
        <w:tc>
          <w:tcPr>
            <w:tcW w:w="1990" w:type="dxa"/>
            <w:vAlign w:val="center"/>
          </w:tcPr>
          <w:p w14:paraId="5C6B9CCA">
            <w:pPr>
              <w:spacing w:before="156" w:beforeLines="50" w:after="156" w:afterLines="50"/>
              <w:jc w:val="left"/>
              <w:rPr>
                <w:rFonts w:ascii="宋体"/>
                <w:sz w:val="18"/>
                <w:szCs w:val="18"/>
              </w:rPr>
            </w:pPr>
            <w:r>
              <w:rPr>
                <w:rFonts w:hint="eastAsia" w:ascii="宋体"/>
                <w:kern w:val="0"/>
                <w:sz w:val="18"/>
                <w:szCs w:val="18"/>
              </w:rPr>
              <w:t>超过核定载重线载运货物，实测剩余</w:t>
            </w:r>
            <w:r>
              <w:rPr>
                <w:rFonts w:hint="eastAsia" w:ascii="宋体"/>
                <w:sz w:val="18"/>
                <w:szCs w:val="18"/>
              </w:rPr>
              <w:t>干舷2</w:t>
            </w:r>
            <w:r>
              <w:rPr>
                <w:rFonts w:ascii="宋体"/>
                <w:sz w:val="18"/>
                <w:szCs w:val="18"/>
              </w:rPr>
              <w:t>00</w:t>
            </w:r>
            <w:r>
              <w:rPr>
                <w:rFonts w:hint="eastAsia" w:ascii="宋体"/>
                <w:sz w:val="18"/>
                <w:szCs w:val="18"/>
              </w:rPr>
              <w:t>毫米及以上的。</w:t>
            </w:r>
          </w:p>
        </w:tc>
        <w:tc>
          <w:tcPr>
            <w:tcW w:w="2552" w:type="dxa"/>
            <w:vAlign w:val="center"/>
          </w:tcPr>
          <w:p w14:paraId="6AEEB31B">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268" w:type="dxa"/>
            <w:vAlign w:val="center"/>
          </w:tcPr>
          <w:p w14:paraId="06084E22">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w:t>
            </w:r>
            <w:r>
              <w:rPr>
                <w:rFonts w:hint="eastAsia" w:ascii="宋体"/>
                <w:sz w:val="18"/>
                <w:szCs w:val="18"/>
              </w:rPr>
              <w:t>万元</w:t>
            </w:r>
          </w:p>
        </w:tc>
        <w:tc>
          <w:tcPr>
            <w:tcW w:w="2401" w:type="dxa"/>
            <w:tcBorders>
              <w:right w:val="single" w:color="auto" w:sz="4" w:space="0"/>
            </w:tcBorders>
            <w:vAlign w:val="center"/>
          </w:tcPr>
          <w:p w14:paraId="26CB850E">
            <w:pPr>
              <w:spacing w:before="156" w:beforeLines="50" w:after="156" w:afterLines="50"/>
              <w:jc w:val="left"/>
              <w:rPr>
                <w:rFonts w:ascii="宋体"/>
                <w:sz w:val="18"/>
                <w:szCs w:val="18"/>
              </w:rPr>
            </w:pPr>
            <w:r>
              <w:rPr>
                <w:rFonts w:ascii="宋体"/>
                <w:sz w:val="18"/>
                <w:szCs w:val="18"/>
              </w:rPr>
              <w:t>2.5</w:t>
            </w:r>
            <w:r>
              <w:rPr>
                <w:rFonts w:hint="eastAsia" w:ascii="宋体"/>
                <w:sz w:val="18"/>
                <w:szCs w:val="18"/>
              </w:rPr>
              <w:t>万元及以上</w:t>
            </w:r>
            <w:r>
              <w:rPr>
                <w:rFonts w:ascii="宋体"/>
                <w:sz w:val="18"/>
                <w:szCs w:val="18"/>
              </w:rPr>
              <w:t>3.5</w:t>
            </w:r>
            <w:r>
              <w:rPr>
                <w:rFonts w:hint="eastAsia" w:ascii="宋体"/>
                <w:sz w:val="18"/>
                <w:szCs w:val="18"/>
              </w:rPr>
              <w:t>万元以下</w:t>
            </w:r>
          </w:p>
        </w:tc>
        <w:tc>
          <w:tcPr>
            <w:tcW w:w="1915" w:type="dxa"/>
            <w:tcBorders>
              <w:left w:val="single" w:color="auto" w:sz="4" w:space="0"/>
            </w:tcBorders>
            <w:vAlign w:val="center"/>
          </w:tcPr>
          <w:p w14:paraId="6C410359">
            <w:pPr>
              <w:spacing w:before="156" w:beforeLines="50" w:after="156" w:afterLines="50"/>
              <w:jc w:val="center"/>
              <w:rPr>
                <w:rFonts w:ascii="宋体"/>
                <w:kern w:val="0"/>
                <w:sz w:val="18"/>
                <w:szCs w:val="18"/>
              </w:rPr>
            </w:pPr>
            <w:r>
              <w:rPr>
                <w:rFonts w:ascii="宋体"/>
                <w:kern w:val="0"/>
                <w:sz w:val="18"/>
                <w:szCs w:val="18"/>
              </w:rPr>
              <w:t>/</w:t>
            </w:r>
          </w:p>
        </w:tc>
        <w:tc>
          <w:tcPr>
            <w:tcW w:w="1985" w:type="dxa"/>
            <w:vMerge w:val="continue"/>
            <w:vAlign w:val="center"/>
          </w:tcPr>
          <w:p w14:paraId="3D31B468">
            <w:pPr>
              <w:spacing w:before="156" w:beforeLines="50" w:after="156" w:afterLines="50"/>
              <w:jc w:val="left"/>
              <w:rPr>
                <w:rFonts w:ascii="宋体"/>
                <w:sz w:val="18"/>
                <w:szCs w:val="18"/>
              </w:rPr>
            </w:pPr>
          </w:p>
        </w:tc>
        <w:tc>
          <w:tcPr>
            <w:tcW w:w="1729" w:type="dxa"/>
            <w:vMerge w:val="continue"/>
            <w:vAlign w:val="center"/>
          </w:tcPr>
          <w:p w14:paraId="12F9F0D0">
            <w:pPr>
              <w:spacing w:before="156" w:beforeLines="50" w:after="156" w:afterLines="50"/>
              <w:jc w:val="left"/>
              <w:rPr>
                <w:rFonts w:ascii="宋体"/>
                <w:sz w:val="18"/>
                <w:szCs w:val="18"/>
              </w:rPr>
            </w:pPr>
          </w:p>
        </w:tc>
      </w:tr>
      <w:tr w14:paraId="2B411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2" w:hRule="atLeast"/>
          <w:jc w:val="center"/>
        </w:trPr>
        <w:tc>
          <w:tcPr>
            <w:tcW w:w="657" w:type="dxa"/>
            <w:vMerge w:val="continue"/>
          </w:tcPr>
          <w:p w14:paraId="35B970F6">
            <w:pPr>
              <w:spacing w:before="156" w:beforeLines="50" w:after="156" w:afterLines="50"/>
              <w:jc w:val="left"/>
              <w:rPr>
                <w:rFonts w:ascii="宋体"/>
                <w:b/>
                <w:sz w:val="18"/>
                <w:szCs w:val="18"/>
              </w:rPr>
            </w:pPr>
          </w:p>
        </w:tc>
        <w:tc>
          <w:tcPr>
            <w:tcW w:w="1000" w:type="dxa"/>
            <w:vMerge w:val="continue"/>
            <w:vAlign w:val="center"/>
          </w:tcPr>
          <w:p w14:paraId="5226DB76">
            <w:pPr>
              <w:spacing w:before="156" w:beforeLines="50" w:after="156" w:afterLines="50"/>
              <w:jc w:val="left"/>
              <w:rPr>
                <w:rFonts w:ascii="宋体"/>
                <w:b/>
                <w:sz w:val="18"/>
                <w:szCs w:val="18"/>
              </w:rPr>
            </w:pPr>
          </w:p>
        </w:tc>
        <w:tc>
          <w:tcPr>
            <w:tcW w:w="1220" w:type="dxa"/>
            <w:vMerge w:val="continue"/>
            <w:vAlign w:val="center"/>
          </w:tcPr>
          <w:p w14:paraId="779E78A5">
            <w:pPr>
              <w:spacing w:before="156" w:beforeLines="50" w:after="156" w:afterLines="50"/>
              <w:jc w:val="left"/>
              <w:rPr>
                <w:rFonts w:ascii="宋体"/>
                <w:b/>
                <w:sz w:val="18"/>
                <w:szCs w:val="18"/>
              </w:rPr>
            </w:pPr>
          </w:p>
        </w:tc>
        <w:tc>
          <w:tcPr>
            <w:tcW w:w="1413" w:type="dxa"/>
            <w:vMerge w:val="continue"/>
            <w:vAlign w:val="center"/>
          </w:tcPr>
          <w:p w14:paraId="09A8CF73">
            <w:pPr>
              <w:spacing w:before="156" w:beforeLines="50" w:after="156" w:afterLines="50"/>
              <w:jc w:val="left"/>
              <w:rPr>
                <w:rFonts w:ascii="宋体"/>
                <w:b/>
                <w:sz w:val="18"/>
                <w:szCs w:val="18"/>
              </w:rPr>
            </w:pPr>
          </w:p>
        </w:tc>
        <w:tc>
          <w:tcPr>
            <w:tcW w:w="1098" w:type="dxa"/>
            <w:vMerge w:val="continue"/>
            <w:vAlign w:val="center"/>
          </w:tcPr>
          <w:p w14:paraId="500B71D0">
            <w:pPr>
              <w:spacing w:before="156" w:beforeLines="50" w:after="156" w:afterLines="50"/>
              <w:jc w:val="center"/>
              <w:rPr>
                <w:rFonts w:ascii="宋体"/>
                <w:sz w:val="18"/>
                <w:szCs w:val="18"/>
              </w:rPr>
            </w:pPr>
          </w:p>
        </w:tc>
        <w:tc>
          <w:tcPr>
            <w:tcW w:w="1990" w:type="dxa"/>
            <w:vAlign w:val="center"/>
          </w:tcPr>
          <w:p w14:paraId="174D2809">
            <w:pPr>
              <w:spacing w:before="156" w:beforeLines="50" w:after="156" w:afterLines="50"/>
              <w:jc w:val="left"/>
              <w:rPr>
                <w:rFonts w:ascii="宋体"/>
                <w:sz w:val="18"/>
                <w:szCs w:val="18"/>
              </w:rPr>
            </w:pPr>
            <w:r>
              <w:rPr>
                <w:rFonts w:hint="eastAsia" w:ascii="宋体"/>
                <w:kern w:val="0"/>
                <w:sz w:val="18"/>
                <w:szCs w:val="18"/>
              </w:rPr>
              <w:t>1.超过核定载重线载运货物，实测剩余</w:t>
            </w:r>
            <w:r>
              <w:rPr>
                <w:rFonts w:hint="eastAsia" w:ascii="宋体"/>
                <w:sz w:val="18"/>
                <w:szCs w:val="18"/>
              </w:rPr>
              <w:t>干舷2</w:t>
            </w:r>
            <w:r>
              <w:rPr>
                <w:rFonts w:ascii="宋体"/>
                <w:sz w:val="18"/>
                <w:szCs w:val="18"/>
              </w:rPr>
              <w:t>00</w:t>
            </w:r>
            <w:r>
              <w:rPr>
                <w:rFonts w:hint="eastAsia" w:ascii="宋体"/>
                <w:sz w:val="18"/>
                <w:szCs w:val="18"/>
              </w:rPr>
              <w:t>毫米以下的；</w:t>
            </w:r>
          </w:p>
          <w:p w14:paraId="3E4CDF2D">
            <w:pPr>
              <w:spacing w:before="156" w:beforeLines="50" w:after="156" w:afterLines="50"/>
              <w:jc w:val="left"/>
              <w:rPr>
                <w:rFonts w:ascii="宋体"/>
                <w:sz w:val="18"/>
                <w:szCs w:val="18"/>
              </w:rPr>
            </w:pPr>
            <w:r>
              <w:rPr>
                <w:rFonts w:hint="eastAsia" w:ascii="宋体"/>
                <w:kern w:val="0"/>
                <w:sz w:val="18"/>
                <w:szCs w:val="18"/>
              </w:rPr>
              <w:t>2.因超载导致一般以下等级水上交通事故的。</w:t>
            </w:r>
          </w:p>
        </w:tc>
        <w:tc>
          <w:tcPr>
            <w:tcW w:w="2552" w:type="dxa"/>
            <w:vAlign w:val="center"/>
          </w:tcPr>
          <w:p w14:paraId="032A9F31">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万元及以上5万元以下</w:t>
            </w:r>
          </w:p>
        </w:tc>
        <w:tc>
          <w:tcPr>
            <w:tcW w:w="2268" w:type="dxa"/>
            <w:vAlign w:val="center"/>
          </w:tcPr>
          <w:p w14:paraId="1556C867">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万元及以上6万元以下</w:t>
            </w:r>
          </w:p>
        </w:tc>
        <w:tc>
          <w:tcPr>
            <w:tcW w:w="2401" w:type="dxa"/>
            <w:tcBorders>
              <w:right w:val="single" w:color="auto" w:sz="4" w:space="0"/>
            </w:tcBorders>
            <w:vAlign w:val="center"/>
          </w:tcPr>
          <w:p w14:paraId="02BB335B">
            <w:pPr>
              <w:spacing w:before="156" w:beforeLines="50" w:after="156" w:afterLines="50"/>
              <w:jc w:val="left"/>
              <w:rPr>
                <w:rFonts w:ascii="宋体"/>
                <w:sz w:val="18"/>
                <w:szCs w:val="18"/>
              </w:rPr>
            </w:pPr>
            <w:r>
              <w:rPr>
                <w:rFonts w:ascii="宋体"/>
                <w:sz w:val="18"/>
                <w:szCs w:val="18"/>
              </w:rPr>
              <w:t>3</w:t>
            </w:r>
            <w:r>
              <w:rPr>
                <w:rFonts w:hint="eastAsia" w:ascii="宋体"/>
                <w:sz w:val="18"/>
                <w:szCs w:val="18"/>
              </w:rPr>
              <w:t>.5万元及以上7万元以下</w:t>
            </w:r>
          </w:p>
        </w:tc>
        <w:tc>
          <w:tcPr>
            <w:tcW w:w="1915" w:type="dxa"/>
            <w:tcBorders>
              <w:left w:val="single" w:color="auto" w:sz="4" w:space="0"/>
            </w:tcBorders>
            <w:vAlign w:val="center"/>
          </w:tcPr>
          <w:p w14:paraId="52FB744A">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985" w:type="dxa"/>
            <w:vMerge w:val="continue"/>
            <w:vAlign w:val="center"/>
          </w:tcPr>
          <w:p w14:paraId="75E4FEFC">
            <w:pPr>
              <w:spacing w:before="156" w:beforeLines="50" w:after="156" w:afterLines="50"/>
              <w:jc w:val="left"/>
              <w:rPr>
                <w:rFonts w:ascii="宋体"/>
                <w:sz w:val="18"/>
                <w:szCs w:val="18"/>
              </w:rPr>
            </w:pPr>
          </w:p>
        </w:tc>
        <w:tc>
          <w:tcPr>
            <w:tcW w:w="1729" w:type="dxa"/>
            <w:vMerge w:val="continue"/>
            <w:vAlign w:val="center"/>
          </w:tcPr>
          <w:p w14:paraId="6F69A989">
            <w:pPr>
              <w:spacing w:before="156" w:beforeLines="50" w:after="156" w:afterLines="50"/>
              <w:jc w:val="left"/>
              <w:rPr>
                <w:rFonts w:ascii="宋体"/>
                <w:sz w:val="18"/>
                <w:szCs w:val="18"/>
              </w:rPr>
            </w:pPr>
          </w:p>
        </w:tc>
      </w:tr>
      <w:tr w14:paraId="6FF31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657" w:type="dxa"/>
            <w:vMerge w:val="continue"/>
          </w:tcPr>
          <w:p w14:paraId="758AA75B">
            <w:pPr>
              <w:spacing w:before="156" w:beforeLines="50" w:after="156" w:afterLines="50"/>
              <w:jc w:val="left"/>
              <w:rPr>
                <w:rFonts w:ascii="宋体"/>
                <w:b/>
                <w:sz w:val="18"/>
                <w:szCs w:val="18"/>
              </w:rPr>
            </w:pPr>
          </w:p>
        </w:tc>
        <w:tc>
          <w:tcPr>
            <w:tcW w:w="1000" w:type="dxa"/>
            <w:vMerge w:val="continue"/>
            <w:vAlign w:val="center"/>
          </w:tcPr>
          <w:p w14:paraId="4213DB9C">
            <w:pPr>
              <w:spacing w:before="156" w:beforeLines="50" w:after="156" w:afterLines="50"/>
              <w:jc w:val="left"/>
              <w:rPr>
                <w:rFonts w:ascii="宋体"/>
                <w:b/>
                <w:sz w:val="18"/>
                <w:szCs w:val="18"/>
              </w:rPr>
            </w:pPr>
          </w:p>
        </w:tc>
        <w:tc>
          <w:tcPr>
            <w:tcW w:w="1220" w:type="dxa"/>
            <w:vMerge w:val="continue"/>
            <w:vAlign w:val="center"/>
          </w:tcPr>
          <w:p w14:paraId="1E19B583">
            <w:pPr>
              <w:spacing w:before="156" w:beforeLines="50" w:after="156" w:afterLines="50"/>
              <w:jc w:val="left"/>
              <w:rPr>
                <w:rFonts w:ascii="宋体"/>
                <w:b/>
                <w:sz w:val="18"/>
                <w:szCs w:val="18"/>
              </w:rPr>
            </w:pPr>
          </w:p>
        </w:tc>
        <w:tc>
          <w:tcPr>
            <w:tcW w:w="1413" w:type="dxa"/>
            <w:vMerge w:val="continue"/>
            <w:vAlign w:val="center"/>
          </w:tcPr>
          <w:p w14:paraId="646645A0">
            <w:pPr>
              <w:spacing w:before="156" w:beforeLines="50" w:after="156" w:afterLines="50"/>
              <w:jc w:val="left"/>
              <w:rPr>
                <w:rFonts w:ascii="宋体"/>
                <w:b/>
                <w:sz w:val="18"/>
                <w:szCs w:val="18"/>
              </w:rPr>
            </w:pPr>
          </w:p>
        </w:tc>
        <w:tc>
          <w:tcPr>
            <w:tcW w:w="1098" w:type="dxa"/>
            <w:vMerge w:val="continue"/>
            <w:vAlign w:val="center"/>
          </w:tcPr>
          <w:p w14:paraId="16AAF4E3">
            <w:pPr>
              <w:spacing w:before="156" w:beforeLines="50" w:after="156" w:afterLines="50"/>
              <w:jc w:val="center"/>
              <w:rPr>
                <w:rFonts w:ascii="宋体"/>
                <w:sz w:val="18"/>
                <w:szCs w:val="18"/>
              </w:rPr>
            </w:pPr>
          </w:p>
        </w:tc>
        <w:tc>
          <w:tcPr>
            <w:tcW w:w="1990" w:type="dxa"/>
            <w:tcBorders>
              <w:bottom w:val="single" w:color="auto" w:sz="4" w:space="0"/>
            </w:tcBorders>
            <w:vAlign w:val="center"/>
          </w:tcPr>
          <w:p w14:paraId="2A2C72F6">
            <w:pPr>
              <w:spacing w:before="156" w:beforeLines="50" w:after="156" w:afterLines="50"/>
              <w:jc w:val="left"/>
              <w:rPr>
                <w:rFonts w:ascii="宋体"/>
                <w:sz w:val="18"/>
                <w:szCs w:val="18"/>
              </w:rPr>
            </w:pPr>
            <w:r>
              <w:rPr>
                <w:rFonts w:hint="eastAsia" w:ascii="宋体"/>
                <w:sz w:val="18"/>
                <w:szCs w:val="18"/>
              </w:rPr>
              <w:t>因超载导致一般及以上等级水上交通事故的。</w:t>
            </w:r>
          </w:p>
        </w:tc>
        <w:tc>
          <w:tcPr>
            <w:tcW w:w="2552" w:type="dxa"/>
            <w:tcBorders>
              <w:bottom w:val="single" w:color="auto" w:sz="4" w:space="0"/>
            </w:tcBorders>
            <w:vAlign w:val="center"/>
          </w:tcPr>
          <w:p w14:paraId="02404A8C">
            <w:pPr>
              <w:spacing w:before="156" w:beforeLines="50" w:after="156" w:afterLines="50"/>
              <w:jc w:val="left"/>
              <w:rPr>
                <w:rFonts w:ascii="宋体"/>
                <w:sz w:val="18"/>
                <w:szCs w:val="18"/>
              </w:rPr>
            </w:pP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268" w:type="dxa"/>
            <w:tcBorders>
              <w:bottom w:val="single" w:color="auto" w:sz="4" w:space="0"/>
            </w:tcBorders>
            <w:vAlign w:val="center"/>
          </w:tcPr>
          <w:p w14:paraId="7C404292">
            <w:pPr>
              <w:spacing w:before="156" w:beforeLines="50" w:after="156" w:afterLines="50"/>
              <w:jc w:val="left"/>
              <w:rPr>
                <w:rFonts w:ascii="宋体"/>
                <w:sz w:val="18"/>
                <w:szCs w:val="18"/>
              </w:rPr>
            </w:pPr>
            <w:r>
              <w:rPr>
                <w:rFonts w:hint="eastAsia" w:ascii="宋体"/>
                <w:sz w:val="18"/>
                <w:szCs w:val="18"/>
              </w:rPr>
              <w:t>6万元及以上</w:t>
            </w:r>
            <w:r>
              <w:rPr>
                <w:rFonts w:ascii="宋体"/>
                <w:sz w:val="18"/>
                <w:szCs w:val="18"/>
              </w:rPr>
              <w:t>10</w:t>
            </w:r>
            <w:r>
              <w:rPr>
                <w:rFonts w:hint="eastAsia" w:ascii="宋体"/>
                <w:sz w:val="18"/>
                <w:szCs w:val="18"/>
              </w:rPr>
              <w:t>万元及以下</w:t>
            </w:r>
          </w:p>
        </w:tc>
        <w:tc>
          <w:tcPr>
            <w:tcW w:w="2401" w:type="dxa"/>
            <w:tcBorders>
              <w:bottom w:val="single" w:color="auto" w:sz="4" w:space="0"/>
              <w:right w:val="single" w:color="auto" w:sz="4" w:space="0"/>
            </w:tcBorders>
            <w:vAlign w:val="center"/>
          </w:tcPr>
          <w:p w14:paraId="2998310F">
            <w:pPr>
              <w:spacing w:before="156" w:beforeLines="50" w:after="156" w:afterLines="50"/>
              <w:jc w:val="left"/>
              <w:rPr>
                <w:rFonts w:ascii="宋体"/>
                <w:sz w:val="18"/>
                <w:szCs w:val="18"/>
              </w:rPr>
            </w:pPr>
            <w:r>
              <w:rPr>
                <w:rFonts w:hint="eastAsia" w:ascii="宋体"/>
                <w:sz w:val="18"/>
                <w:szCs w:val="18"/>
              </w:rPr>
              <w:t>7万元及以上</w:t>
            </w:r>
            <w:r>
              <w:rPr>
                <w:rFonts w:ascii="宋体"/>
                <w:sz w:val="18"/>
                <w:szCs w:val="18"/>
              </w:rPr>
              <w:t>10</w:t>
            </w:r>
            <w:r>
              <w:rPr>
                <w:rFonts w:hint="eastAsia" w:ascii="宋体"/>
                <w:sz w:val="18"/>
                <w:szCs w:val="18"/>
              </w:rPr>
              <w:t>万元及以下</w:t>
            </w:r>
          </w:p>
        </w:tc>
        <w:tc>
          <w:tcPr>
            <w:tcW w:w="1915" w:type="dxa"/>
            <w:tcBorders>
              <w:left w:val="single" w:color="auto" w:sz="4" w:space="0"/>
              <w:bottom w:val="single" w:color="auto" w:sz="4" w:space="0"/>
            </w:tcBorders>
            <w:vAlign w:val="center"/>
          </w:tcPr>
          <w:p w14:paraId="75173216">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85" w:type="dxa"/>
            <w:vMerge w:val="continue"/>
          </w:tcPr>
          <w:p w14:paraId="066D2399">
            <w:pPr>
              <w:spacing w:before="156" w:beforeLines="50" w:after="156" w:afterLines="50"/>
              <w:jc w:val="left"/>
              <w:rPr>
                <w:rFonts w:ascii="宋体"/>
                <w:sz w:val="18"/>
                <w:szCs w:val="18"/>
              </w:rPr>
            </w:pPr>
          </w:p>
        </w:tc>
        <w:tc>
          <w:tcPr>
            <w:tcW w:w="1729" w:type="dxa"/>
            <w:vMerge w:val="continue"/>
          </w:tcPr>
          <w:p w14:paraId="2C6A2E0E">
            <w:pPr>
              <w:spacing w:before="156" w:beforeLines="50" w:after="156" w:afterLines="50"/>
              <w:jc w:val="left"/>
              <w:rPr>
                <w:rFonts w:ascii="宋体"/>
                <w:sz w:val="18"/>
                <w:szCs w:val="18"/>
              </w:rPr>
            </w:pPr>
          </w:p>
        </w:tc>
      </w:tr>
    </w:tbl>
    <w:p w14:paraId="7974DE49">
      <w:pPr>
        <w:widowControl/>
        <w:jc w:val="left"/>
        <w:rPr>
          <w:rFonts w:ascii="宋体"/>
          <w:b/>
          <w:sz w:val="18"/>
          <w:szCs w:val="18"/>
        </w:rPr>
      </w:pPr>
      <w:r>
        <w:rPr>
          <w:rFonts w:ascii="宋体"/>
          <w:b/>
          <w:sz w:val="18"/>
          <w:szCs w:val="18"/>
        </w:rPr>
        <w:br w:type="page"/>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1442"/>
        <w:gridCol w:w="1793"/>
        <w:gridCol w:w="2271"/>
        <w:gridCol w:w="1040"/>
        <w:gridCol w:w="3317"/>
        <w:gridCol w:w="3261"/>
        <w:gridCol w:w="2964"/>
        <w:gridCol w:w="3289"/>
      </w:tblGrid>
      <w:tr w14:paraId="1FF287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699" w:type="dxa"/>
            <w:vMerge w:val="restart"/>
            <w:vAlign w:val="center"/>
          </w:tcPr>
          <w:p w14:paraId="6AE15AF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42" w:type="dxa"/>
            <w:vMerge w:val="restart"/>
            <w:vAlign w:val="center"/>
          </w:tcPr>
          <w:p w14:paraId="1B586AB5">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64" w:type="dxa"/>
            <w:gridSpan w:val="2"/>
            <w:vMerge w:val="restart"/>
            <w:vAlign w:val="center"/>
          </w:tcPr>
          <w:p w14:paraId="40B93699">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40" w:type="dxa"/>
            <w:vMerge w:val="restart"/>
            <w:vAlign w:val="center"/>
          </w:tcPr>
          <w:p w14:paraId="00DEC4A8">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317" w:type="dxa"/>
            <w:vMerge w:val="restart"/>
            <w:vAlign w:val="center"/>
          </w:tcPr>
          <w:p w14:paraId="576BB464">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105CE00">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514" w:type="dxa"/>
            <w:gridSpan w:val="3"/>
            <w:vAlign w:val="center"/>
          </w:tcPr>
          <w:p w14:paraId="4E031241">
            <w:pPr>
              <w:spacing w:before="156" w:beforeLines="50" w:after="156" w:afterLines="50"/>
              <w:rPr>
                <w:rFonts w:ascii="宋体"/>
                <w:b/>
                <w:kern w:val="0"/>
                <w:sz w:val="18"/>
                <w:szCs w:val="18"/>
              </w:rPr>
            </w:pPr>
            <w:r>
              <w:rPr>
                <w:rFonts w:hint="eastAsia" w:ascii="宋体"/>
                <w:b/>
                <w:sz w:val="18"/>
                <w:szCs w:val="18"/>
              </w:rPr>
              <w:t>【法定幅度和种类】责令改正，处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发生重大伤亡事故或者造成其他严重后果的，依照刑法关于重大劳动安全事故罪或者其他罪的规定，依法追究刑事责任。</w:t>
            </w:r>
          </w:p>
        </w:tc>
      </w:tr>
      <w:tr w14:paraId="61398E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699" w:type="dxa"/>
            <w:vMerge w:val="continue"/>
            <w:vAlign w:val="center"/>
          </w:tcPr>
          <w:p w14:paraId="7E4BD25C">
            <w:pPr>
              <w:spacing w:before="156" w:beforeLines="50" w:after="156" w:afterLines="50"/>
              <w:jc w:val="center"/>
              <w:rPr>
                <w:rFonts w:ascii="宋体"/>
                <w:b/>
                <w:kern w:val="0"/>
                <w:sz w:val="18"/>
                <w:szCs w:val="18"/>
              </w:rPr>
            </w:pPr>
          </w:p>
        </w:tc>
        <w:tc>
          <w:tcPr>
            <w:tcW w:w="1442" w:type="dxa"/>
            <w:vMerge w:val="continue"/>
            <w:vAlign w:val="center"/>
          </w:tcPr>
          <w:p w14:paraId="6407CF8B">
            <w:pPr>
              <w:spacing w:before="156" w:beforeLines="50" w:after="156" w:afterLines="50"/>
              <w:jc w:val="center"/>
              <w:rPr>
                <w:rFonts w:ascii="宋体"/>
                <w:b/>
                <w:kern w:val="0"/>
                <w:sz w:val="18"/>
                <w:szCs w:val="18"/>
              </w:rPr>
            </w:pPr>
          </w:p>
        </w:tc>
        <w:tc>
          <w:tcPr>
            <w:tcW w:w="4064" w:type="dxa"/>
            <w:gridSpan w:val="2"/>
            <w:vMerge w:val="continue"/>
            <w:vAlign w:val="center"/>
          </w:tcPr>
          <w:p w14:paraId="13BA4E65">
            <w:pPr>
              <w:spacing w:before="156" w:beforeLines="50" w:after="156" w:afterLines="50"/>
              <w:jc w:val="center"/>
              <w:rPr>
                <w:rFonts w:ascii="宋体"/>
                <w:b/>
                <w:kern w:val="0"/>
                <w:sz w:val="18"/>
                <w:szCs w:val="18"/>
              </w:rPr>
            </w:pPr>
          </w:p>
        </w:tc>
        <w:tc>
          <w:tcPr>
            <w:tcW w:w="1040" w:type="dxa"/>
            <w:vMerge w:val="continue"/>
            <w:vAlign w:val="center"/>
          </w:tcPr>
          <w:p w14:paraId="6284AD4A">
            <w:pPr>
              <w:spacing w:before="156" w:beforeLines="50" w:after="156" w:afterLines="50"/>
              <w:jc w:val="center"/>
              <w:rPr>
                <w:rFonts w:ascii="宋体"/>
                <w:b/>
                <w:kern w:val="0"/>
                <w:sz w:val="18"/>
                <w:szCs w:val="18"/>
              </w:rPr>
            </w:pPr>
          </w:p>
        </w:tc>
        <w:tc>
          <w:tcPr>
            <w:tcW w:w="3317" w:type="dxa"/>
            <w:vMerge w:val="continue"/>
            <w:vAlign w:val="center"/>
          </w:tcPr>
          <w:p w14:paraId="396255AF">
            <w:pPr>
              <w:spacing w:before="156" w:beforeLines="50" w:after="156" w:afterLines="50"/>
              <w:jc w:val="center"/>
              <w:rPr>
                <w:rFonts w:ascii="宋体"/>
                <w:b/>
                <w:kern w:val="0"/>
                <w:sz w:val="18"/>
                <w:szCs w:val="18"/>
              </w:rPr>
            </w:pPr>
          </w:p>
        </w:tc>
        <w:tc>
          <w:tcPr>
            <w:tcW w:w="6225" w:type="dxa"/>
            <w:gridSpan w:val="2"/>
            <w:vAlign w:val="center"/>
          </w:tcPr>
          <w:p w14:paraId="3176411F">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289" w:type="dxa"/>
            <w:vAlign w:val="center"/>
          </w:tcPr>
          <w:p w14:paraId="5089E210">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77CC39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699" w:type="dxa"/>
            <w:vMerge w:val="continue"/>
            <w:vAlign w:val="center"/>
          </w:tcPr>
          <w:p w14:paraId="709C97AF">
            <w:pPr>
              <w:spacing w:before="156" w:beforeLines="50" w:after="156" w:afterLines="50"/>
              <w:jc w:val="center"/>
              <w:rPr>
                <w:rFonts w:ascii="宋体"/>
                <w:b/>
                <w:kern w:val="0"/>
                <w:sz w:val="18"/>
                <w:szCs w:val="18"/>
              </w:rPr>
            </w:pPr>
          </w:p>
        </w:tc>
        <w:tc>
          <w:tcPr>
            <w:tcW w:w="1442" w:type="dxa"/>
            <w:vMerge w:val="continue"/>
            <w:vAlign w:val="center"/>
          </w:tcPr>
          <w:p w14:paraId="53D5141D">
            <w:pPr>
              <w:spacing w:before="156" w:beforeLines="50" w:after="156" w:afterLines="50"/>
              <w:jc w:val="center"/>
              <w:rPr>
                <w:rFonts w:ascii="宋体"/>
                <w:b/>
                <w:kern w:val="0"/>
                <w:sz w:val="18"/>
                <w:szCs w:val="18"/>
              </w:rPr>
            </w:pPr>
          </w:p>
        </w:tc>
        <w:tc>
          <w:tcPr>
            <w:tcW w:w="1793" w:type="dxa"/>
            <w:vAlign w:val="center"/>
          </w:tcPr>
          <w:p w14:paraId="5B517177">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71" w:type="dxa"/>
            <w:vAlign w:val="center"/>
          </w:tcPr>
          <w:p w14:paraId="4F35E433">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40" w:type="dxa"/>
            <w:vMerge w:val="continue"/>
            <w:vAlign w:val="center"/>
          </w:tcPr>
          <w:p w14:paraId="3C3F605A">
            <w:pPr>
              <w:spacing w:before="156" w:beforeLines="50" w:after="156" w:afterLines="50"/>
              <w:jc w:val="left"/>
              <w:rPr>
                <w:rFonts w:ascii="宋体"/>
                <w:b/>
                <w:kern w:val="0"/>
                <w:sz w:val="18"/>
                <w:szCs w:val="18"/>
              </w:rPr>
            </w:pPr>
          </w:p>
        </w:tc>
        <w:tc>
          <w:tcPr>
            <w:tcW w:w="3317" w:type="dxa"/>
            <w:vMerge w:val="continue"/>
            <w:vAlign w:val="center"/>
          </w:tcPr>
          <w:p w14:paraId="44141F15">
            <w:pPr>
              <w:spacing w:before="156" w:beforeLines="50" w:after="156" w:afterLines="50"/>
              <w:jc w:val="left"/>
              <w:rPr>
                <w:rFonts w:ascii="宋体"/>
                <w:b/>
                <w:kern w:val="0"/>
                <w:sz w:val="18"/>
                <w:szCs w:val="18"/>
              </w:rPr>
            </w:pPr>
          </w:p>
        </w:tc>
        <w:tc>
          <w:tcPr>
            <w:tcW w:w="3261" w:type="dxa"/>
            <w:tcBorders>
              <w:right w:val="single" w:color="auto" w:sz="4" w:space="0"/>
            </w:tcBorders>
            <w:vAlign w:val="center"/>
          </w:tcPr>
          <w:p w14:paraId="29CB7413">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2964" w:type="dxa"/>
            <w:tcBorders>
              <w:left w:val="single" w:color="auto" w:sz="4" w:space="0"/>
            </w:tcBorders>
            <w:vAlign w:val="center"/>
          </w:tcPr>
          <w:p w14:paraId="5E20B325">
            <w:pPr>
              <w:spacing w:before="156" w:beforeLines="50" w:after="156" w:afterLines="50"/>
              <w:jc w:val="center"/>
              <w:rPr>
                <w:rFonts w:ascii="宋体"/>
                <w:b/>
                <w:sz w:val="18"/>
                <w:szCs w:val="18"/>
              </w:rPr>
            </w:pPr>
            <w:r>
              <w:rPr>
                <w:rFonts w:hint="eastAsia" w:ascii="宋体"/>
                <w:b/>
                <w:sz w:val="18"/>
                <w:szCs w:val="18"/>
              </w:rPr>
              <w:t>【对象】责任船员</w:t>
            </w:r>
          </w:p>
        </w:tc>
        <w:tc>
          <w:tcPr>
            <w:tcW w:w="3289" w:type="dxa"/>
            <w:vAlign w:val="center"/>
          </w:tcPr>
          <w:p w14:paraId="3CECB0FE">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14:paraId="413AB0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699" w:type="dxa"/>
            <w:vMerge w:val="restart"/>
            <w:vAlign w:val="center"/>
          </w:tcPr>
          <w:p w14:paraId="7F061504">
            <w:pPr>
              <w:spacing w:before="156" w:beforeLines="50" w:after="156" w:afterLines="50"/>
              <w:jc w:val="center"/>
              <w:rPr>
                <w:rFonts w:ascii="宋体"/>
                <w:kern w:val="0"/>
                <w:sz w:val="18"/>
                <w:szCs w:val="18"/>
              </w:rPr>
            </w:pPr>
            <w:r>
              <w:rPr>
                <w:rFonts w:hint="eastAsia" w:ascii="宋体"/>
                <w:kern w:val="0"/>
                <w:sz w:val="18"/>
                <w:szCs w:val="18"/>
              </w:rPr>
              <w:t>50</w:t>
            </w:r>
          </w:p>
        </w:tc>
        <w:tc>
          <w:tcPr>
            <w:tcW w:w="1442" w:type="dxa"/>
            <w:vMerge w:val="restart"/>
            <w:vAlign w:val="center"/>
          </w:tcPr>
          <w:p w14:paraId="764E37CB">
            <w:pPr>
              <w:spacing w:before="156" w:beforeLines="50" w:after="156" w:afterLines="50"/>
              <w:jc w:val="left"/>
              <w:rPr>
                <w:rFonts w:ascii="宋体"/>
                <w:sz w:val="18"/>
                <w:szCs w:val="18"/>
              </w:rPr>
            </w:pPr>
            <w:r>
              <w:rPr>
                <w:rFonts w:hint="eastAsia" w:ascii="宋体"/>
                <w:sz w:val="18"/>
                <w:szCs w:val="18"/>
              </w:rPr>
              <w:t>超乘客定额载运旅客</w:t>
            </w:r>
          </w:p>
          <w:p w14:paraId="670D7234">
            <w:pPr>
              <w:spacing w:before="156" w:beforeLines="50" w:after="156" w:afterLines="50"/>
              <w:jc w:val="left"/>
              <w:rPr>
                <w:rFonts w:ascii="宋体"/>
                <w:kern w:val="0"/>
                <w:sz w:val="18"/>
                <w:szCs w:val="18"/>
              </w:rPr>
            </w:pPr>
          </w:p>
        </w:tc>
        <w:tc>
          <w:tcPr>
            <w:tcW w:w="1793" w:type="dxa"/>
            <w:vMerge w:val="restart"/>
            <w:vAlign w:val="center"/>
          </w:tcPr>
          <w:p w14:paraId="7AB98182">
            <w:pPr>
              <w:pStyle w:val="13"/>
              <w:spacing w:before="156" w:beforeLines="50" w:after="156" w:afterLines="50"/>
              <w:jc w:val="left"/>
              <w:rPr>
                <w:rFonts w:ascii="宋体"/>
                <w:sz w:val="18"/>
                <w:szCs w:val="18"/>
              </w:rPr>
            </w:pPr>
            <w:r>
              <w:rPr>
                <w:rFonts w:hint="eastAsia" w:ascii="宋体"/>
                <w:sz w:val="18"/>
                <w:szCs w:val="18"/>
              </w:rPr>
              <w:t>《中华人民共和国内河交通安全管理条例》第二十一条第二款</w:t>
            </w:r>
            <w:r>
              <w:rPr>
                <w:rFonts w:ascii="宋体"/>
                <w:sz w:val="18"/>
                <w:szCs w:val="18"/>
              </w:rPr>
              <w:t xml:space="preserve"> </w:t>
            </w:r>
          </w:p>
        </w:tc>
        <w:tc>
          <w:tcPr>
            <w:tcW w:w="2271" w:type="dxa"/>
            <w:vMerge w:val="restart"/>
            <w:vAlign w:val="center"/>
          </w:tcPr>
          <w:p w14:paraId="1BF19831">
            <w:pPr>
              <w:spacing w:before="156" w:beforeLines="50" w:after="156" w:afterLines="50"/>
              <w:jc w:val="left"/>
              <w:rPr>
                <w:rFonts w:ascii="宋体"/>
                <w:sz w:val="18"/>
                <w:szCs w:val="18"/>
              </w:rPr>
            </w:pPr>
            <w:r>
              <w:rPr>
                <w:rFonts w:hint="eastAsia" w:ascii="宋体"/>
                <w:sz w:val="18"/>
                <w:szCs w:val="18"/>
              </w:rPr>
              <w:t>1.《中华人民共和国内河交通安全管理条例》第八十二条；</w:t>
            </w:r>
          </w:p>
          <w:p w14:paraId="5508B92B">
            <w:pPr>
              <w:spacing w:before="156" w:beforeLines="50" w:after="156" w:afterLines="50"/>
              <w:jc w:val="left"/>
              <w:rPr>
                <w:rFonts w:ascii="宋体"/>
                <w:sz w:val="18"/>
                <w:szCs w:val="18"/>
              </w:rPr>
            </w:pPr>
            <w:r>
              <w:rPr>
                <w:rFonts w:hint="eastAsia" w:ascii="宋体"/>
                <w:sz w:val="18"/>
                <w:szCs w:val="18"/>
              </w:rPr>
              <w:t>2.《中华人民共和国内河海事行政处罚规定》第十八条第一款和第三款第（六）项；</w:t>
            </w:r>
          </w:p>
          <w:p w14:paraId="216B25EF">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6ADC4631">
            <w:pPr>
              <w:spacing w:before="156" w:beforeLines="50" w:after="156" w:afterLines="50"/>
              <w:jc w:val="left"/>
              <w:rPr>
                <w:rFonts w:ascii="宋体"/>
                <w:kern w:val="0"/>
                <w:sz w:val="18"/>
                <w:szCs w:val="18"/>
              </w:rPr>
            </w:pPr>
          </w:p>
        </w:tc>
        <w:tc>
          <w:tcPr>
            <w:tcW w:w="1040" w:type="dxa"/>
            <w:vAlign w:val="center"/>
          </w:tcPr>
          <w:p w14:paraId="04C0DDB7">
            <w:pPr>
              <w:spacing w:before="156" w:beforeLines="50" w:after="156" w:afterLines="50"/>
              <w:jc w:val="center"/>
              <w:rPr>
                <w:rFonts w:ascii="宋体"/>
                <w:kern w:val="0"/>
                <w:sz w:val="18"/>
                <w:szCs w:val="18"/>
              </w:rPr>
            </w:pPr>
            <w:r>
              <w:rPr>
                <w:rFonts w:hint="eastAsia" w:ascii="宋体"/>
                <w:kern w:val="0"/>
                <w:sz w:val="18"/>
                <w:szCs w:val="18"/>
              </w:rPr>
              <w:t>从轻</w:t>
            </w:r>
          </w:p>
        </w:tc>
        <w:tc>
          <w:tcPr>
            <w:tcW w:w="3317" w:type="dxa"/>
            <w:vAlign w:val="center"/>
          </w:tcPr>
          <w:p w14:paraId="56A6E0A1">
            <w:pPr>
              <w:pStyle w:val="13"/>
              <w:spacing w:before="156" w:beforeLines="50" w:after="156" w:afterLines="50"/>
              <w:jc w:val="left"/>
              <w:rPr>
                <w:rFonts w:ascii="宋体"/>
                <w:sz w:val="18"/>
                <w:szCs w:val="18"/>
              </w:rPr>
            </w:pPr>
            <w:r>
              <w:rPr>
                <w:rFonts w:hint="eastAsia" w:ascii="宋体"/>
                <w:sz w:val="18"/>
                <w:szCs w:val="18"/>
              </w:rPr>
              <w:t>具有法定从轻情节的。</w:t>
            </w:r>
          </w:p>
        </w:tc>
        <w:tc>
          <w:tcPr>
            <w:tcW w:w="3261" w:type="dxa"/>
            <w:tcBorders>
              <w:right w:val="single" w:color="auto" w:sz="4" w:space="0"/>
            </w:tcBorders>
            <w:vAlign w:val="center"/>
          </w:tcPr>
          <w:p w14:paraId="418338FF">
            <w:pPr>
              <w:spacing w:before="156" w:beforeLines="50" w:after="156" w:afterLines="50"/>
              <w:jc w:val="left"/>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2.5</w:t>
            </w:r>
            <w:r>
              <w:rPr>
                <w:rFonts w:hint="eastAsia" w:ascii="宋体"/>
                <w:sz w:val="18"/>
                <w:szCs w:val="18"/>
              </w:rPr>
              <w:t>万元以下</w:t>
            </w:r>
          </w:p>
        </w:tc>
        <w:tc>
          <w:tcPr>
            <w:tcW w:w="2964" w:type="dxa"/>
            <w:tcBorders>
              <w:left w:val="single" w:color="auto" w:sz="4" w:space="0"/>
            </w:tcBorders>
            <w:vAlign w:val="center"/>
          </w:tcPr>
          <w:p w14:paraId="2ACBB7B8">
            <w:pPr>
              <w:widowControl/>
              <w:spacing w:before="156" w:beforeLines="50" w:after="156" w:afterLines="50"/>
              <w:jc w:val="center"/>
              <w:rPr>
                <w:rFonts w:ascii="宋体"/>
                <w:kern w:val="0"/>
                <w:sz w:val="18"/>
                <w:szCs w:val="18"/>
              </w:rPr>
            </w:pPr>
            <w:r>
              <w:rPr>
                <w:rFonts w:ascii="宋体"/>
                <w:kern w:val="0"/>
                <w:sz w:val="18"/>
                <w:szCs w:val="18"/>
              </w:rPr>
              <w:t>/</w:t>
            </w:r>
          </w:p>
        </w:tc>
        <w:tc>
          <w:tcPr>
            <w:tcW w:w="3289" w:type="dxa"/>
            <w:vMerge w:val="restart"/>
            <w:vAlign w:val="center"/>
          </w:tcPr>
          <w:p w14:paraId="1C3C048A">
            <w:pPr>
              <w:spacing w:before="156" w:beforeLines="50" w:after="156" w:afterLines="50"/>
              <w:rPr>
                <w:rFonts w:ascii="宋体"/>
                <w:sz w:val="18"/>
                <w:szCs w:val="18"/>
              </w:rPr>
            </w:pPr>
            <w:r>
              <w:rPr>
                <w:rFonts w:hint="eastAsia" w:ascii="宋体"/>
                <w:sz w:val="18"/>
                <w:szCs w:val="18"/>
              </w:rPr>
              <w:t>1.载运旅客超出乘客定额2人及以下，且未发生事故的：</w:t>
            </w:r>
            <w:r>
              <w:rPr>
                <w:rFonts w:ascii="宋体"/>
                <w:sz w:val="18"/>
                <w:szCs w:val="18"/>
              </w:rPr>
              <w:t>3000</w:t>
            </w:r>
            <w:r>
              <w:rPr>
                <w:rFonts w:hint="eastAsia" w:ascii="宋体"/>
                <w:sz w:val="18"/>
                <w:szCs w:val="18"/>
              </w:rPr>
              <w:t>元及以上1万元以下；</w:t>
            </w:r>
          </w:p>
          <w:p w14:paraId="37FE87F9">
            <w:pPr>
              <w:spacing w:before="156" w:beforeLines="50" w:after="156" w:afterLines="50"/>
              <w:rPr>
                <w:rFonts w:ascii="宋体"/>
                <w:sz w:val="18"/>
                <w:szCs w:val="18"/>
              </w:rPr>
            </w:pPr>
            <w:r>
              <w:rPr>
                <w:rFonts w:hint="eastAsia" w:ascii="宋体"/>
                <w:sz w:val="18"/>
                <w:szCs w:val="18"/>
              </w:rPr>
              <w:t>2.载运旅客超出乘客定额3人及以上10人以下，且未发生事故的：5000元及以上2万元以下，并可以对责任船员给予暂扣适任证书或者其他适任证件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r>
      <w:tr w14:paraId="30E949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699" w:type="dxa"/>
            <w:vMerge w:val="continue"/>
            <w:vAlign w:val="center"/>
          </w:tcPr>
          <w:p w14:paraId="03A2F4E1">
            <w:pPr>
              <w:spacing w:before="156" w:beforeLines="50" w:after="156" w:afterLines="50"/>
              <w:jc w:val="left"/>
              <w:rPr>
                <w:rFonts w:ascii="宋体"/>
                <w:kern w:val="0"/>
                <w:sz w:val="18"/>
                <w:szCs w:val="18"/>
              </w:rPr>
            </w:pPr>
          </w:p>
        </w:tc>
        <w:tc>
          <w:tcPr>
            <w:tcW w:w="1442" w:type="dxa"/>
            <w:vMerge w:val="continue"/>
            <w:vAlign w:val="center"/>
          </w:tcPr>
          <w:p w14:paraId="276AD004">
            <w:pPr>
              <w:spacing w:before="156" w:beforeLines="50" w:after="156" w:afterLines="50"/>
              <w:jc w:val="left"/>
              <w:rPr>
                <w:rFonts w:ascii="宋体"/>
                <w:kern w:val="0"/>
                <w:sz w:val="18"/>
                <w:szCs w:val="18"/>
              </w:rPr>
            </w:pPr>
          </w:p>
        </w:tc>
        <w:tc>
          <w:tcPr>
            <w:tcW w:w="1793" w:type="dxa"/>
            <w:vMerge w:val="continue"/>
            <w:vAlign w:val="center"/>
          </w:tcPr>
          <w:p w14:paraId="0DF8853A">
            <w:pPr>
              <w:widowControl/>
              <w:spacing w:before="156" w:beforeLines="50" w:after="156" w:afterLines="50"/>
              <w:jc w:val="left"/>
              <w:rPr>
                <w:rFonts w:ascii="宋体"/>
                <w:kern w:val="0"/>
                <w:sz w:val="18"/>
                <w:szCs w:val="18"/>
              </w:rPr>
            </w:pPr>
          </w:p>
        </w:tc>
        <w:tc>
          <w:tcPr>
            <w:tcW w:w="2271" w:type="dxa"/>
            <w:vMerge w:val="continue"/>
            <w:vAlign w:val="center"/>
          </w:tcPr>
          <w:p w14:paraId="52DF9DB5">
            <w:pPr>
              <w:spacing w:before="156" w:beforeLines="50" w:after="156" w:afterLines="50"/>
              <w:jc w:val="left"/>
              <w:rPr>
                <w:rFonts w:ascii="宋体"/>
                <w:kern w:val="0"/>
                <w:sz w:val="18"/>
                <w:szCs w:val="18"/>
              </w:rPr>
            </w:pPr>
          </w:p>
        </w:tc>
        <w:tc>
          <w:tcPr>
            <w:tcW w:w="1040" w:type="dxa"/>
            <w:vMerge w:val="restart"/>
            <w:vAlign w:val="center"/>
          </w:tcPr>
          <w:p w14:paraId="0639F3D3">
            <w:pPr>
              <w:spacing w:before="156" w:beforeLines="50" w:after="156" w:afterLines="50"/>
              <w:jc w:val="center"/>
              <w:rPr>
                <w:rFonts w:ascii="宋体"/>
                <w:kern w:val="0"/>
                <w:sz w:val="18"/>
                <w:szCs w:val="18"/>
              </w:rPr>
            </w:pPr>
            <w:r>
              <w:rPr>
                <w:rFonts w:hint="eastAsia" w:ascii="宋体"/>
                <w:kern w:val="0"/>
                <w:sz w:val="18"/>
                <w:szCs w:val="18"/>
              </w:rPr>
              <w:t>一般</w:t>
            </w:r>
          </w:p>
          <w:p w14:paraId="47A2D8C8">
            <w:pPr>
              <w:spacing w:before="156" w:beforeLines="50" w:after="156" w:afterLines="50"/>
              <w:jc w:val="center"/>
              <w:rPr>
                <w:rFonts w:ascii="宋体"/>
                <w:kern w:val="0"/>
                <w:sz w:val="18"/>
                <w:szCs w:val="18"/>
              </w:rPr>
            </w:pPr>
          </w:p>
        </w:tc>
        <w:tc>
          <w:tcPr>
            <w:tcW w:w="3317" w:type="dxa"/>
            <w:vAlign w:val="center"/>
          </w:tcPr>
          <w:p w14:paraId="0B56D8B4">
            <w:pPr>
              <w:pStyle w:val="13"/>
              <w:spacing w:before="156" w:beforeLines="50" w:after="156" w:afterLines="50"/>
              <w:jc w:val="left"/>
              <w:rPr>
                <w:rFonts w:ascii="宋体"/>
                <w:sz w:val="18"/>
                <w:szCs w:val="18"/>
              </w:rPr>
            </w:pPr>
            <w:r>
              <w:rPr>
                <w:rFonts w:hint="eastAsia" w:ascii="宋体"/>
                <w:sz w:val="18"/>
                <w:szCs w:val="18"/>
              </w:rPr>
              <w:t>载运旅客超出乘客定额2人及以下，且未发生事故的。</w:t>
            </w:r>
          </w:p>
        </w:tc>
        <w:tc>
          <w:tcPr>
            <w:tcW w:w="3261" w:type="dxa"/>
            <w:tcBorders>
              <w:right w:val="single" w:color="auto" w:sz="4" w:space="0"/>
            </w:tcBorders>
            <w:vAlign w:val="center"/>
          </w:tcPr>
          <w:p w14:paraId="7C6183F4">
            <w:pPr>
              <w:spacing w:before="156" w:beforeLines="50" w:after="156" w:afterLines="50"/>
              <w:jc w:val="left"/>
              <w:rPr>
                <w:rFonts w:ascii="宋体"/>
                <w:kern w:val="0"/>
                <w:sz w:val="18"/>
                <w:szCs w:val="18"/>
              </w:rPr>
            </w:pPr>
            <w:r>
              <w:rPr>
                <w:rFonts w:ascii="宋体"/>
                <w:kern w:val="0"/>
                <w:sz w:val="18"/>
                <w:szCs w:val="18"/>
              </w:rPr>
              <w:t>2.5</w:t>
            </w:r>
            <w:r>
              <w:rPr>
                <w:rFonts w:hint="eastAsia" w:ascii="宋体"/>
                <w:kern w:val="0"/>
                <w:sz w:val="18"/>
                <w:szCs w:val="18"/>
              </w:rPr>
              <w:t>万元及以上</w:t>
            </w:r>
            <w:r>
              <w:rPr>
                <w:rFonts w:ascii="宋体"/>
                <w:kern w:val="0"/>
                <w:sz w:val="18"/>
                <w:szCs w:val="18"/>
              </w:rPr>
              <w:t>3</w:t>
            </w:r>
            <w:r>
              <w:rPr>
                <w:rFonts w:hint="eastAsia" w:ascii="宋体"/>
                <w:kern w:val="0"/>
                <w:sz w:val="18"/>
                <w:szCs w:val="18"/>
              </w:rPr>
              <w:t>万元</w:t>
            </w:r>
          </w:p>
        </w:tc>
        <w:tc>
          <w:tcPr>
            <w:tcW w:w="2964" w:type="dxa"/>
            <w:tcBorders>
              <w:left w:val="single" w:color="auto" w:sz="4" w:space="0"/>
            </w:tcBorders>
            <w:vAlign w:val="center"/>
          </w:tcPr>
          <w:p w14:paraId="71BCFDD8">
            <w:pPr>
              <w:spacing w:before="156" w:beforeLines="50" w:after="156" w:afterLines="50"/>
              <w:jc w:val="center"/>
              <w:rPr>
                <w:rFonts w:ascii="宋体"/>
                <w:kern w:val="0"/>
                <w:sz w:val="18"/>
                <w:szCs w:val="18"/>
              </w:rPr>
            </w:pPr>
            <w:r>
              <w:rPr>
                <w:rFonts w:ascii="宋体"/>
                <w:kern w:val="0"/>
                <w:sz w:val="18"/>
                <w:szCs w:val="18"/>
              </w:rPr>
              <w:t>/</w:t>
            </w:r>
          </w:p>
        </w:tc>
        <w:tc>
          <w:tcPr>
            <w:tcW w:w="3289" w:type="dxa"/>
            <w:vMerge w:val="continue"/>
            <w:vAlign w:val="center"/>
          </w:tcPr>
          <w:p w14:paraId="2CF22B76">
            <w:pPr>
              <w:spacing w:before="156" w:beforeLines="50" w:after="156" w:afterLines="50"/>
              <w:jc w:val="left"/>
              <w:rPr>
                <w:rFonts w:ascii="宋体"/>
                <w:sz w:val="18"/>
                <w:szCs w:val="18"/>
              </w:rPr>
            </w:pPr>
          </w:p>
        </w:tc>
      </w:tr>
      <w:tr w14:paraId="4C6B2D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56" w:hRule="atLeast"/>
          <w:jc w:val="center"/>
        </w:trPr>
        <w:tc>
          <w:tcPr>
            <w:tcW w:w="699" w:type="dxa"/>
            <w:vMerge w:val="continue"/>
            <w:vAlign w:val="center"/>
          </w:tcPr>
          <w:p w14:paraId="516D43A6">
            <w:pPr>
              <w:spacing w:before="156" w:beforeLines="50" w:after="156" w:afterLines="50"/>
              <w:jc w:val="left"/>
              <w:rPr>
                <w:rFonts w:ascii="宋体"/>
                <w:kern w:val="0"/>
                <w:sz w:val="18"/>
                <w:szCs w:val="18"/>
              </w:rPr>
            </w:pPr>
          </w:p>
        </w:tc>
        <w:tc>
          <w:tcPr>
            <w:tcW w:w="1442" w:type="dxa"/>
            <w:vMerge w:val="continue"/>
            <w:vAlign w:val="center"/>
          </w:tcPr>
          <w:p w14:paraId="17C1CDA8">
            <w:pPr>
              <w:spacing w:before="156" w:beforeLines="50" w:after="156" w:afterLines="50"/>
              <w:jc w:val="left"/>
              <w:rPr>
                <w:rFonts w:ascii="宋体"/>
                <w:kern w:val="0"/>
                <w:sz w:val="18"/>
                <w:szCs w:val="18"/>
              </w:rPr>
            </w:pPr>
          </w:p>
        </w:tc>
        <w:tc>
          <w:tcPr>
            <w:tcW w:w="1793" w:type="dxa"/>
            <w:vMerge w:val="continue"/>
            <w:vAlign w:val="center"/>
          </w:tcPr>
          <w:p w14:paraId="115CACBE">
            <w:pPr>
              <w:spacing w:before="156" w:beforeLines="50" w:after="156" w:afterLines="50"/>
              <w:jc w:val="left"/>
              <w:rPr>
                <w:rFonts w:ascii="宋体"/>
                <w:kern w:val="0"/>
                <w:sz w:val="18"/>
                <w:szCs w:val="18"/>
              </w:rPr>
            </w:pPr>
          </w:p>
        </w:tc>
        <w:tc>
          <w:tcPr>
            <w:tcW w:w="2271" w:type="dxa"/>
            <w:vMerge w:val="continue"/>
            <w:vAlign w:val="center"/>
          </w:tcPr>
          <w:p w14:paraId="4474F57C">
            <w:pPr>
              <w:spacing w:before="156" w:beforeLines="50" w:after="156" w:afterLines="50"/>
              <w:jc w:val="left"/>
              <w:rPr>
                <w:rFonts w:ascii="宋体"/>
                <w:kern w:val="0"/>
                <w:sz w:val="18"/>
                <w:szCs w:val="18"/>
              </w:rPr>
            </w:pPr>
          </w:p>
        </w:tc>
        <w:tc>
          <w:tcPr>
            <w:tcW w:w="1040" w:type="dxa"/>
            <w:vMerge w:val="continue"/>
            <w:vAlign w:val="center"/>
          </w:tcPr>
          <w:p w14:paraId="064FB496">
            <w:pPr>
              <w:spacing w:before="156" w:beforeLines="50" w:after="156" w:afterLines="50"/>
              <w:jc w:val="center"/>
              <w:rPr>
                <w:rFonts w:ascii="宋体"/>
                <w:kern w:val="0"/>
                <w:sz w:val="18"/>
                <w:szCs w:val="18"/>
              </w:rPr>
            </w:pPr>
          </w:p>
        </w:tc>
        <w:tc>
          <w:tcPr>
            <w:tcW w:w="3317" w:type="dxa"/>
            <w:vAlign w:val="center"/>
          </w:tcPr>
          <w:p w14:paraId="07C98844">
            <w:pPr>
              <w:pStyle w:val="13"/>
              <w:spacing w:before="156" w:beforeLines="50" w:after="156" w:afterLines="50"/>
              <w:jc w:val="left"/>
              <w:rPr>
                <w:rFonts w:ascii="宋体"/>
                <w:sz w:val="18"/>
                <w:szCs w:val="18"/>
              </w:rPr>
            </w:pPr>
            <w:r>
              <w:rPr>
                <w:rFonts w:hint="eastAsia" w:ascii="宋体"/>
                <w:sz w:val="18"/>
                <w:szCs w:val="18"/>
              </w:rPr>
              <w:t>1.载运旅客超出乘客定额3人及以上，且未发生事故的；</w:t>
            </w:r>
          </w:p>
          <w:p w14:paraId="127D9FB1">
            <w:pPr>
              <w:pStyle w:val="13"/>
              <w:spacing w:before="156" w:beforeLines="50" w:after="156" w:afterLines="50"/>
              <w:jc w:val="left"/>
              <w:rPr>
                <w:rFonts w:ascii="宋体"/>
                <w:sz w:val="18"/>
                <w:szCs w:val="18"/>
              </w:rPr>
            </w:pPr>
            <w:r>
              <w:rPr>
                <w:rFonts w:hint="eastAsia" w:ascii="宋体"/>
                <w:sz w:val="18"/>
                <w:szCs w:val="18"/>
              </w:rPr>
              <w:t>2.因超载导致一般以下等级水上交通事故的。</w:t>
            </w:r>
          </w:p>
        </w:tc>
        <w:tc>
          <w:tcPr>
            <w:tcW w:w="3261" w:type="dxa"/>
            <w:tcBorders>
              <w:right w:val="single" w:color="auto" w:sz="4" w:space="0"/>
            </w:tcBorders>
            <w:vAlign w:val="center"/>
          </w:tcPr>
          <w:p w14:paraId="09E27096">
            <w:pPr>
              <w:spacing w:before="156" w:beforeLines="50" w:after="156" w:afterLines="50"/>
              <w:jc w:val="left"/>
              <w:rPr>
                <w:rFonts w:ascii="宋体"/>
                <w:sz w:val="18"/>
                <w:szCs w:val="18"/>
              </w:rPr>
            </w:pPr>
            <w:r>
              <w:rPr>
                <w:rFonts w:ascii="宋体"/>
                <w:sz w:val="18"/>
                <w:szCs w:val="18"/>
              </w:rPr>
              <w:t>3</w:t>
            </w:r>
            <w:r>
              <w:rPr>
                <w:rFonts w:hint="eastAsia" w:ascii="宋体"/>
                <w:sz w:val="18"/>
                <w:szCs w:val="18"/>
              </w:rPr>
              <w:t>万元及以上5万元以下</w:t>
            </w:r>
          </w:p>
        </w:tc>
        <w:tc>
          <w:tcPr>
            <w:tcW w:w="2964" w:type="dxa"/>
            <w:tcBorders>
              <w:left w:val="single" w:color="auto" w:sz="4" w:space="0"/>
            </w:tcBorders>
            <w:vAlign w:val="center"/>
          </w:tcPr>
          <w:p w14:paraId="5760F6ED">
            <w:pPr>
              <w:spacing w:before="156" w:beforeLines="50" w:after="156" w:afterLines="50"/>
              <w:jc w:val="left"/>
              <w:rPr>
                <w:rFonts w:ascii="宋体"/>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3289" w:type="dxa"/>
            <w:vMerge w:val="continue"/>
            <w:vAlign w:val="center"/>
          </w:tcPr>
          <w:p w14:paraId="3DCF71B1">
            <w:pPr>
              <w:spacing w:before="156" w:beforeLines="50" w:after="156" w:afterLines="50"/>
              <w:jc w:val="left"/>
              <w:rPr>
                <w:rFonts w:ascii="宋体"/>
                <w:sz w:val="18"/>
                <w:szCs w:val="18"/>
              </w:rPr>
            </w:pPr>
          </w:p>
        </w:tc>
      </w:tr>
      <w:tr w14:paraId="64E1D8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699" w:type="dxa"/>
            <w:vMerge w:val="continue"/>
            <w:vAlign w:val="center"/>
          </w:tcPr>
          <w:p w14:paraId="3DF7A323">
            <w:pPr>
              <w:spacing w:before="156" w:beforeLines="50" w:after="156" w:afterLines="50"/>
              <w:jc w:val="left"/>
              <w:rPr>
                <w:rFonts w:ascii="宋体"/>
                <w:kern w:val="0"/>
                <w:sz w:val="18"/>
                <w:szCs w:val="18"/>
              </w:rPr>
            </w:pPr>
          </w:p>
        </w:tc>
        <w:tc>
          <w:tcPr>
            <w:tcW w:w="1442" w:type="dxa"/>
            <w:vMerge w:val="continue"/>
            <w:vAlign w:val="center"/>
          </w:tcPr>
          <w:p w14:paraId="03B37328">
            <w:pPr>
              <w:spacing w:before="156" w:beforeLines="50" w:after="156" w:afterLines="50"/>
              <w:jc w:val="left"/>
              <w:rPr>
                <w:rFonts w:ascii="宋体"/>
                <w:kern w:val="0"/>
                <w:sz w:val="18"/>
                <w:szCs w:val="18"/>
              </w:rPr>
            </w:pPr>
          </w:p>
        </w:tc>
        <w:tc>
          <w:tcPr>
            <w:tcW w:w="1793" w:type="dxa"/>
            <w:vMerge w:val="continue"/>
            <w:vAlign w:val="center"/>
          </w:tcPr>
          <w:p w14:paraId="0B898DE0">
            <w:pPr>
              <w:spacing w:before="156" w:beforeLines="50" w:after="156" w:afterLines="50"/>
              <w:jc w:val="left"/>
              <w:rPr>
                <w:rFonts w:ascii="宋体"/>
                <w:kern w:val="0"/>
                <w:sz w:val="18"/>
                <w:szCs w:val="18"/>
              </w:rPr>
            </w:pPr>
          </w:p>
        </w:tc>
        <w:tc>
          <w:tcPr>
            <w:tcW w:w="2271" w:type="dxa"/>
            <w:vMerge w:val="continue"/>
            <w:vAlign w:val="center"/>
          </w:tcPr>
          <w:p w14:paraId="2C4BA62F">
            <w:pPr>
              <w:spacing w:before="156" w:beforeLines="50" w:after="156" w:afterLines="50"/>
              <w:jc w:val="left"/>
              <w:rPr>
                <w:rFonts w:ascii="宋体"/>
                <w:kern w:val="0"/>
                <w:sz w:val="18"/>
                <w:szCs w:val="18"/>
              </w:rPr>
            </w:pPr>
          </w:p>
        </w:tc>
        <w:tc>
          <w:tcPr>
            <w:tcW w:w="1040" w:type="dxa"/>
            <w:vMerge w:val="continue"/>
            <w:vAlign w:val="center"/>
          </w:tcPr>
          <w:p w14:paraId="07B2888B">
            <w:pPr>
              <w:spacing w:before="156" w:beforeLines="50" w:after="156" w:afterLines="50"/>
              <w:jc w:val="center"/>
              <w:rPr>
                <w:rFonts w:ascii="宋体"/>
                <w:kern w:val="0"/>
                <w:sz w:val="18"/>
                <w:szCs w:val="18"/>
              </w:rPr>
            </w:pPr>
          </w:p>
        </w:tc>
        <w:tc>
          <w:tcPr>
            <w:tcW w:w="3317" w:type="dxa"/>
            <w:tcBorders>
              <w:bottom w:val="single" w:color="auto" w:sz="4" w:space="0"/>
            </w:tcBorders>
            <w:vAlign w:val="center"/>
          </w:tcPr>
          <w:p w14:paraId="4E0D21E9">
            <w:pPr>
              <w:pStyle w:val="13"/>
              <w:spacing w:before="156" w:beforeLines="50" w:after="156" w:afterLines="50"/>
              <w:jc w:val="left"/>
              <w:rPr>
                <w:rFonts w:ascii="宋体"/>
                <w:sz w:val="18"/>
                <w:szCs w:val="18"/>
              </w:rPr>
            </w:pPr>
            <w:r>
              <w:rPr>
                <w:rFonts w:hint="eastAsia" w:ascii="宋体"/>
                <w:sz w:val="18"/>
                <w:szCs w:val="18"/>
              </w:rPr>
              <w:t>因超载导致一般及以上等级水上交通事故的。</w:t>
            </w:r>
          </w:p>
        </w:tc>
        <w:tc>
          <w:tcPr>
            <w:tcW w:w="3261" w:type="dxa"/>
            <w:tcBorders>
              <w:bottom w:val="single" w:color="auto" w:sz="4" w:space="0"/>
              <w:right w:val="single" w:color="auto" w:sz="4" w:space="0"/>
            </w:tcBorders>
            <w:vAlign w:val="center"/>
          </w:tcPr>
          <w:p w14:paraId="2C017468">
            <w:pPr>
              <w:spacing w:before="156" w:beforeLines="50" w:after="156" w:afterLines="50"/>
              <w:jc w:val="left"/>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964" w:type="dxa"/>
            <w:tcBorders>
              <w:left w:val="single" w:color="auto" w:sz="4" w:space="0"/>
              <w:bottom w:val="single" w:color="auto" w:sz="4" w:space="0"/>
            </w:tcBorders>
            <w:vAlign w:val="center"/>
          </w:tcPr>
          <w:p w14:paraId="44A6D559">
            <w:pPr>
              <w:spacing w:before="156" w:beforeLines="50" w:after="156" w:afterLines="50"/>
              <w:jc w:val="left"/>
              <w:rPr>
                <w:rFonts w:ascii="宋体"/>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3289" w:type="dxa"/>
            <w:vMerge w:val="continue"/>
            <w:vAlign w:val="center"/>
          </w:tcPr>
          <w:p w14:paraId="63F4C460">
            <w:pPr>
              <w:spacing w:before="156" w:beforeLines="50" w:after="156" w:afterLines="50"/>
              <w:jc w:val="left"/>
              <w:rPr>
                <w:rFonts w:ascii="宋体"/>
                <w:sz w:val="18"/>
                <w:szCs w:val="18"/>
              </w:rPr>
            </w:pPr>
          </w:p>
        </w:tc>
      </w:tr>
    </w:tbl>
    <w:p w14:paraId="324AADC1">
      <w:pPr>
        <w:spacing w:before="156" w:beforeLines="50" w:after="156" w:afterLines="50"/>
        <w:jc w:val="left"/>
        <w:rPr>
          <w:rFonts w:ascii="宋体"/>
          <w:sz w:val="18"/>
          <w:szCs w:val="18"/>
        </w:rPr>
      </w:pPr>
    </w:p>
    <w:p w14:paraId="249EA2A9">
      <w:pPr>
        <w:spacing w:before="156" w:beforeLines="50" w:after="156" w:afterLines="50"/>
        <w:jc w:val="left"/>
        <w:rPr>
          <w:rFonts w:ascii="宋体"/>
          <w:sz w:val="18"/>
          <w:szCs w:val="18"/>
        </w:rPr>
        <w:sectPr>
          <w:type w:val="continuous"/>
          <w:pgSz w:w="23815" w:h="16842" w:orient="landscape"/>
          <w:pgMar w:top="1440" w:right="1800" w:bottom="1440" w:left="1800" w:header="851" w:footer="992" w:gutter="0"/>
          <w:cols w:space="720" w:num="1"/>
          <w:docGrid w:type="lines" w:linePitch="312" w:charSpace="0"/>
        </w:sect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876"/>
        <w:gridCol w:w="1377"/>
        <w:gridCol w:w="2694"/>
        <w:gridCol w:w="696"/>
        <w:gridCol w:w="2706"/>
        <w:gridCol w:w="1895"/>
        <w:gridCol w:w="2775"/>
        <w:gridCol w:w="6"/>
        <w:gridCol w:w="6812"/>
      </w:tblGrid>
      <w:tr w14:paraId="29E7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90" w:type="dxa"/>
            <w:vMerge w:val="restart"/>
            <w:vAlign w:val="center"/>
          </w:tcPr>
          <w:p w14:paraId="65512BBC">
            <w:pPr>
              <w:spacing w:before="156" w:beforeLines="50" w:after="156" w:afterLines="50"/>
              <w:jc w:val="left"/>
              <w:rPr>
                <w:rFonts w:ascii="宋体"/>
                <w:b/>
                <w:kern w:val="0"/>
                <w:sz w:val="18"/>
                <w:szCs w:val="18"/>
              </w:rPr>
            </w:pPr>
            <w:r>
              <w:rPr>
                <w:rFonts w:hint="eastAsia" w:ascii="宋体"/>
                <w:b/>
                <w:kern w:val="0"/>
                <w:sz w:val="18"/>
                <w:szCs w:val="18"/>
              </w:rPr>
              <w:t>序号</w:t>
            </w:r>
          </w:p>
        </w:tc>
        <w:tc>
          <w:tcPr>
            <w:tcW w:w="876" w:type="dxa"/>
            <w:vMerge w:val="restart"/>
            <w:vAlign w:val="center"/>
          </w:tcPr>
          <w:p w14:paraId="050EB259">
            <w:pPr>
              <w:spacing w:before="156" w:beforeLines="50" w:after="156" w:afterLines="50"/>
              <w:jc w:val="left"/>
              <w:rPr>
                <w:rFonts w:ascii="宋体"/>
                <w:b/>
                <w:kern w:val="0"/>
                <w:sz w:val="18"/>
                <w:szCs w:val="18"/>
              </w:rPr>
            </w:pPr>
            <w:r>
              <w:rPr>
                <w:rFonts w:hint="eastAsia" w:ascii="宋体"/>
                <w:b/>
                <w:kern w:val="0"/>
                <w:sz w:val="18"/>
                <w:szCs w:val="18"/>
              </w:rPr>
              <w:t>案由</w:t>
            </w:r>
          </w:p>
        </w:tc>
        <w:tc>
          <w:tcPr>
            <w:tcW w:w="4071" w:type="dxa"/>
            <w:gridSpan w:val="2"/>
            <w:vMerge w:val="restart"/>
            <w:vAlign w:val="center"/>
          </w:tcPr>
          <w:p w14:paraId="2029CD6E">
            <w:pPr>
              <w:spacing w:before="156" w:beforeLines="50" w:after="156" w:afterLines="50"/>
              <w:jc w:val="left"/>
              <w:rPr>
                <w:rFonts w:ascii="宋体"/>
                <w:b/>
                <w:kern w:val="0"/>
                <w:sz w:val="18"/>
                <w:szCs w:val="18"/>
              </w:rPr>
            </w:pPr>
            <w:r>
              <w:rPr>
                <w:rFonts w:hint="eastAsia" w:ascii="宋体"/>
                <w:b/>
                <w:kern w:val="0"/>
                <w:sz w:val="18"/>
                <w:szCs w:val="18"/>
              </w:rPr>
              <w:t>法律依据</w:t>
            </w:r>
          </w:p>
        </w:tc>
        <w:tc>
          <w:tcPr>
            <w:tcW w:w="696" w:type="dxa"/>
            <w:vMerge w:val="restart"/>
            <w:vAlign w:val="center"/>
          </w:tcPr>
          <w:p w14:paraId="46FEF05C">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2706" w:type="dxa"/>
            <w:vMerge w:val="restart"/>
            <w:vAlign w:val="center"/>
          </w:tcPr>
          <w:p w14:paraId="2C24F9B0">
            <w:pPr>
              <w:spacing w:before="156" w:beforeLines="50" w:after="156" w:afterLines="50"/>
              <w:jc w:val="center"/>
              <w:rPr>
                <w:rFonts w:ascii="宋体"/>
                <w:b/>
                <w:kern w:val="0"/>
                <w:sz w:val="18"/>
                <w:szCs w:val="18"/>
              </w:rPr>
            </w:pPr>
            <w:r>
              <w:rPr>
                <w:rFonts w:hint="eastAsia" w:ascii="宋体"/>
                <w:b/>
                <w:kern w:val="0"/>
                <w:sz w:val="18"/>
                <w:szCs w:val="18"/>
              </w:rPr>
              <w:t>主要考虑因素（事实、性质、情节、危害程度和实际后果等）</w:t>
            </w:r>
          </w:p>
        </w:tc>
        <w:tc>
          <w:tcPr>
            <w:tcW w:w="11488" w:type="dxa"/>
            <w:gridSpan w:val="4"/>
            <w:tcBorders>
              <w:bottom w:val="single" w:color="auto" w:sz="4" w:space="0"/>
              <w:right w:val="single" w:color="auto" w:sz="4" w:space="0"/>
            </w:tcBorders>
            <w:vAlign w:val="center"/>
          </w:tcPr>
          <w:p w14:paraId="183EC739">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37D0E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 w:hRule="atLeast"/>
          <w:jc w:val="center"/>
        </w:trPr>
        <w:tc>
          <w:tcPr>
            <w:tcW w:w="690" w:type="dxa"/>
            <w:vMerge w:val="continue"/>
            <w:vAlign w:val="center"/>
          </w:tcPr>
          <w:p w14:paraId="411CFC94">
            <w:pPr>
              <w:spacing w:before="156" w:beforeLines="50" w:after="156" w:afterLines="50"/>
              <w:jc w:val="left"/>
              <w:rPr>
                <w:rFonts w:ascii="宋体"/>
                <w:b/>
                <w:kern w:val="0"/>
                <w:sz w:val="18"/>
                <w:szCs w:val="18"/>
              </w:rPr>
            </w:pPr>
          </w:p>
        </w:tc>
        <w:tc>
          <w:tcPr>
            <w:tcW w:w="876" w:type="dxa"/>
            <w:vMerge w:val="continue"/>
            <w:vAlign w:val="center"/>
          </w:tcPr>
          <w:p w14:paraId="5B9F7B62">
            <w:pPr>
              <w:spacing w:before="156" w:beforeLines="50" w:after="156" w:afterLines="50"/>
              <w:jc w:val="left"/>
              <w:rPr>
                <w:rFonts w:ascii="宋体"/>
                <w:b/>
                <w:kern w:val="0"/>
                <w:sz w:val="18"/>
                <w:szCs w:val="18"/>
              </w:rPr>
            </w:pPr>
          </w:p>
        </w:tc>
        <w:tc>
          <w:tcPr>
            <w:tcW w:w="4071" w:type="dxa"/>
            <w:gridSpan w:val="2"/>
            <w:vMerge w:val="continue"/>
            <w:vAlign w:val="center"/>
          </w:tcPr>
          <w:p w14:paraId="5010F8DE">
            <w:pPr>
              <w:spacing w:before="156" w:beforeLines="50" w:after="156" w:afterLines="50"/>
              <w:jc w:val="left"/>
              <w:rPr>
                <w:rFonts w:ascii="宋体"/>
                <w:b/>
                <w:kern w:val="0"/>
                <w:sz w:val="18"/>
                <w:szCs w:val="18"/>
              </w:rPr>
            </w:pPr>
          </w:p>
        </w:tc>
        <w:tc>
          <w:tcPr>
            <w:tcW w:w="696" w:type="dxa"/>
            <w:vMerge w:val="continue"/>
            <w:vAlign w:val="center"/>
          </w:tcPr>
          <w:p w14:paraId="3AB36DE8">
            <w:pPr>
              <w:spacing w:before="156" w:beforeLines="50" w:after="156" w:afterLines="50"/>
              <w:jc w:val="left"/>
              <w:rPr>
                <w:rFonts w:ascii="宋体"/>
                <w:b/>
                <w:kern w:val="0"/>
                <w:sz w:val="18"/>
                <w:szCs w:val="18"/>
              </w:rPr>
            </w:pPr>
          </w:p>
        </w:tc>
        <w:tc>
          <w:tcPr>
            <w:tcW w:w="2706" w:type="dxa"/>
            <w:vMerge w:val="continue"/>
            <w:vAlign w:val="center"/>
          </w:tcPr>
          <w:p w14:paraId="16BD1A32">
            <w:pPr>
              <w:spacing w:before="156" w:beforeLines="50" w:after="156" w:afterLines="50"/>
              <w:jc w:val="center"/>
              <w:rPr>
                <w:rFonts w:ascii="宋体"/>
                <w:b/>
                <w:kern w:val="0"/>
                <w:sz w:val="18"/>
                <w:szCs w:val="18"/>
              </w:rPr>
            </w:pPr>
          </w:p>
        </w:tc>
        <w:tc>
          <w:tcPr>
            <w:tcW w:w="11488" w:type="dxa"/>
            <w:gridSpan w:val="4"/>
            <w:tcBorders>
              <w:top w:val="single" w:color="auto" w:sz="4" w:space="0"/>
              <w:bottom w:val="single" w:color="auto" w:sz="4" w:space="0"/>
              <w:right w:val="single" w:color="auto" w:sz="4" w:space="0"/>
            </w:tcBorders>
            <w:vAlign w:val="center"/>
          </w:tcPr>
          <w:p w14:paraId="64C87AF4">
            <w:pPr>
              <w:widowControl/>
              <w:spacing w:before="156" w:beforeLines="50" w:after="156" w:afterLines="50"/>
              <w:jc w:val="center"/>
              <w:rPr>
                <w:rFonts w:hAnsi="仿宋_GB2312" w:eastAsia="仿宋_GB2312"/>
                <w:sz w:val="32"/>
                <w:szCs w:val="28"/>
              </w:rPr>
            </w:pPr>
            <w:r>
              <w:rPr>
                <w:rFonts w:hint="eastAsia" w:ascii="宋体"/>
                <w:b/>
                <w:kern w:val="0"/>
                <w:sz w:val="18"/>
                <w:szCs w:val="18"/>
              </w:rPr>
              <w:t>【法定幅度和种类】对船舶所有人或者船舶经营人处5000元以上5万元以下罚款</w:t>
            </w:r>
          </w:p>
        </w:tc>
      </w:tr>
      <w:tr w14:paraId="0BDFD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690" w:type="dxa"/>
            <w:vMerge w:val="continue"/>
            <w:vAlign w:val="center"/>
          </w:tcPr>
          <w:p w14:paraId="0410D2CE">
            <w:pPr>
              <w:spacing w:before="156" w:beforeLines="50" w:after="156" w:afterLines="50"/>
              <w:jc w:val="left"/>
              <w:rPr>
                <w:rFonts w:ascii="宋体"/>
                <w:b/>
                <w:kern w:val="0"/>
                <w:sz w:val="18"/>
                <w:szCs w:val="18"/>
              </w:rPr>
            </w:pPr>
          </w:p>
        </w:tc>
        <w:tc>
          <w:tcPr>
            <w:tcW w:w="876" w:type="dxa"/>
            <w:vMerge w:val="continue"/>
            <w:vAlign w:val="center"/>
          </w:tcPr>
          <w:p w14:paraId="42E05EE8">
            <w:pPr>
              <w:spacing w:before="156" w:beforeLines="50" w:after="156" w:afterLines="50"/>
              <w:jc w:val="left"/>
              <w:rPr>
                <w:rFonts w:ascii="宋体"/>
                <w:b/>
                <w:kern w:val="0"/>
                <w:sz w:val="18"/>
                <w:szCs w:val="18"/>
              </w:rPr>
            </w:pPr>
          </w:p>
        </w:tc>
        <w:tc>
          <w:tcPr>
            <w:tcW w:w="1377" w:type="dxa"/>
            <w:vMerge w:val="restart"/>
            <w:tcBorders>
              <w:bottom w:val="single" w:color="000000" w:sz="4" w:space="0"/>
            </w:tcBorders>
            <w:vAlign w:val="center"/>
          </w:tcPr>
          <w:p w14:paraId="408B3ACE">
            <w:pPr>
              <w:spacing w:before="156" w:beforeLines="50" w:after="156" w:afterLines="50"/>
              <w:jc w:val="left"/>
              <w:rPr>
                <w:rFonts w:ascii="宋体"/>
                <w:b/>
                <w:kern w:val="0"/>
                <w:sz w:val="18"/>
                <w:szCs w:val="18"/>
              </w:rPr>
            </w:pPr>
            <w:r>
              <w:rPr>
                <w:rFonts w:hint="eastAsia" w:ascii="宋体"/>
                <w:b/>
                <w:kern w:val="0"/>
                <w:sz w:val="18"/>
                <w:szCs w:val="18"/>
              </w:rPr>
              <w:t>违反条款</w:t>
            </w:r>
          </w:p>
        </w:tc>
        <w:tc>
          <w:tcPr>
            <w:tcW w:w="2694" w:type="dxa"/>
            <w:vMerge w:val="restart"/>
            <w:tcBorders>
              <w:bottom w:val="single" w:color="000000" w:sz="4" w:space="0"/>
            </w:tcBorders>
            <w:vAlign w:val="center"/>
          </w:tcPr>
          <w:p w14:paraId="5153001A">
            <w:pPr>
              <w:spacing w:before="156" w:beforeLines="50" w:after="156" w:afterLines="50"/>
              <w:jc w:val="left"/>
              <w:rPr>
                <w:rFonts w:ascii="宋体"/>
                <w:b/>
                <w:kern w:val="0"/>
                <w:sz w:val="18"/>
                <w:szCs w:val="18"/>
              </w:rPr>
            </w:pPr>
            <w:r>
              <w:rPr>
                <w:rFonts w:hint="eastAsia" w:ascii="宋体"/>
                <w:b/>
                <w:kern w:val="0"/>
                <w:sz w:val="18"/>
                <w:szCs w:val="18"/>
              </w:rPr>
              <w:t>处罚依据</w:t>
            </w:r>
          </w:p>
        </w:tc>
        <w:tc>
          <w:tcPr>
            <w:tcW w:w="696" w:type="dxa"/>
            <w:vMerge w:val="continue"/>
            <w:tcBorders>
              <w:bottom w:val="single" w:color="000000" w:sz="4" w:space="0"/>
            </w:tcBorders>
            <w:vAlign w:val="center"/>
          </w:tcPr>
          <w:p w14:paraId="0405D73B">
            <w:pPr>
              <w:spacing w:before="156" w:beforeLines="50" w:after="156" w:afterLines="50"/>
              <w:jc w:val="left"/>
              <w:rPr>
                <w:rFonts w:ascii="宋体"/>
                <w:b/>
                <w:kern w:val="0"/>
                <w:sz w:val="18"/>
                <w:szCs w:val="18"/>
              </w:rPr>
            </w:pPr>
          </w:p>
        </w:tc>
        <w:tc>
          <w:tcPr>
            <w:tcW w:w="2706" w:type="dxa"/>
            <w:vMerge w:val="continue"/>
            <w:tcBorders>
              <w:bottom w:val="single" w:color="000000" w:sz="4" w:space="0"/>
            </w:tcBorders>
            <w:vAlign w:val="center"/>
          </w:tcPr>
          <w:p w14:paraId="2E3041BB">
            <w:pPr>
              <w:spacing w:before="156" w:beforeLines="50" w:after="156" w:afterLines="50"/>
              <w:jc w:val="center"/>
              <w:rPr>
                <w:rFonts w:ascii="宋体"/>
                <w:b/>
                <w:kern w:val="0"/>
                <w:sz w:val="18"/>
                <w:szCs w:val="18"/>
              </w:rPr>
            </w:pPr>
          </w:p>
        </w:tc>
        <w:tc>
          <w:tcPr>
            <w:tcW w:w="11488" w:type="dxa"/>
            <w:gridSpan w:val="4"/>
            <w:tcBorders>
              <w:top w:val="single" w:color="auto" w:sz="4" w:space="0"/>
              <w:bottom w:val="single" w:color="auto" w:sz="4" w:space="0"/>
              <w:right w:val="single" w:color="auto" w:sz="4" w:space="0"/>
            </w:tcBorders>
            <w:vAlign w:val="center"/>
          </w:tcPr>
          <w:p w14:paraId="4D17645F">
            <w:pPr>
              <w:spacing w:before="156" w:beforeLines="50" w:after="156" w:afterLines="50"/>
              <w:jc w:val="center"/>
              <w:rPr>
                <w:rFonts w:ascii="宋体"/>
                <w:b/>
                <w:kern w:val="0"/>
                <w:sz w:val="18"/>
                <w:szCs w:val="18"/>
              </w:rPr>
            </w:pPr>
            <w:r>
              <w:rPr>
                <w:rFonts w:hint="eastAsia" w:ascii="宋体"/>
                <w:b/>
                <w:kern w:val="0"/>
                <w:sz w:val="18"/>
                <w:szCs w:val="18"/>
              </w:rPr>
              <w:t>【对象】船舶所有人或者船舶经营人</w:t>
            </w:r>
          </w:p>
        </w:tc>
      </w:tr>
      <w:tr w14:paraId="48F0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690" w:type="dxa"/>
            <w:vMerge w:val="continue"/>
            <w:vAlign w:val="center"/>
          </w:tcPr>
          <w:p w14:paraId="2B244535">
            <w:pPr>
              <w:spacing w:before="156" w:beforeLines="50" w:after="156" w:afterLines="50"/>
              <w:jc w:val="left"/>
              <w:rPr>
                <w:rFonts w:ascii="宋体"/>
                <w:b/>
                <w:kern w:val="0"/>
                <w:sz w:val="18"/>
                <w:szCs w:val="18"/>
              </w:rPr>
            </w:pPr>
          </w:p>
        </w:tc>
        <w:tc>
          <w:tcPr>
            <w:tcW w:w="876" w:type="dxa"/>
            <w:vMerge w:val="continue"/>
            <w:vAlign w:val="center"/>
          </w:tcPr>
          <w:p w14:paraId="401164A1">
            <w:pPr>
              <w:spacing w:before="156" w:beforeLines="50" w:after="156" w:afterLines="50"/>
              <w:jc w:val="left"/>
              <w:rPr>
                <w:rFonts w:ascii="宋体"/>
                <w:b/>
                <w:kern w:val="0"/>
                <w:sz w:val="18"/>
                <w:szCs w:val="18"/>
              </w:rPr>
            </w:pPr>
          </w:p>
        </w:tc>
        <w:tc>
          <w:tcPr>
            <w:tcW w:w="1377" w:type="dxa"/>
            <w:vMerge w:val="continue"/>
            <w:vAlign w:val="center"/>
          </w:tcPr>
          <w:p w14:paraId="41FAD829">
            <w:pPr>
              <w:spacing w:before="156" w:beforeLines="50" w:after="156" w:afterLines="50"/>
              <w:jc w:val="left"/>
              <w:rPr>
                <w:rFonts w:ascii="宋体"/>
                <w:b/>
                <w:kern w:val="0"/>
                <w:sz w:val="18"/>
                <w:szCs w:val="18"/>
              </w:rPr>
            </w:pPr>
          </w:p>
        </w:tc>
        <w:tc>
          <w:tcPr>
            <w:tcW w:w="2694" w:type="dxa"/>
            <w:vMerge w:val="continue"/>
            <w:vAlign w:val="center"/>
          </w:tcPr>
          <w:p w14:paraId="5F0077E2">
            <w:pPr>
              <w:spacing w:before="156" w:beforeLines="50" w:after="156" w:afterLines="50"/>
              <w:jc w:val="left"/>
              <w:rPr>
                <w:rFonts w:ascii="宋体"/>
                <w:b/>
                <w:kern w:val="0"/>
                <w:sz w:val="18"/>
                <w:szCs w:val="18"/>
              </w:rPr>
            </w:pPr>
          </w:p>
        </w:tc>
        <w:tc>
          <w:tcPr>
            <w:tcW w:w="696" w:type="dxa"/>
            <w:vMerge w:val="continue"/>
            <w:vAlign w:val="center"/>
          </w:tcPr>
          <w:p w14:paraId="52ECF87D">
            <w:pPr>
              <w:spacing w:before="156" w:beforeLines="50" w:after="156" w:afterLines="50"/>
              <w:jc w:val="left"/>
              <w:rPr>
                <w:rFonts w:ascii="宋体"/>
                <w:b/>
                <w:kern w:val="0"/>
                <w:sz w:val="18"/>
                <w:szCs w:val="18"/>
              </w:rPr>
            </w:pPr>
          </w:p>
        </w:tc>
        <w:tc>
          <w:tcPr>
            <w:tcW w:w="2706" w:type="dxa"/>
            <w:vMerge w:val="continue"/>
            <w:vAlign w:val="center"/>
          </w:tcPr>
          <w:p w14:paraId="1474DD97">
            <w:pPr>
              <w:spacing w:before="156" w:beforeLines="50" w:after="156" w:afterLines="50"/>
              <w:jc w:val="left"/>
              <w:rPr>
                <w:rFonts w:ascii="宋体"/>
                <w:b/>
                <w:kern w:val="0"/>
                <w:sz w:val="18"/>
                <w:szCs w:val="18"/>
              </w:rPr>
            </w:pPr>
          </w:p>
        </w:tc>
        <w:tc>
          <w:tcPr>
            <w:tcW w:w="1895" w:type="dxa"/>
            <w:tcBorders>
              <w:top w:val="single" w:color="auto" w:sz="4" w:space="0"/>
              <w:right w:val="single" w:color="auto" w:sz="4" w:space="0"/>
            </w:tcBorders>
            <w:vAlign w:val="center"/>
          </w:tcPr>
          <w:p w14:paraId="08798726">
            <w:pPr>
              <w:spacing w:before="156" w:beforeLines="50" w:after="156" w:afterLines="50" w:line="240" w:lineRule="exact"/>
              <w:jc w:val="left"/>
              <w:rPr>
                <w:rFonts w:ascii="宋体"/>
                <w:b/>
                <w:kern w:val="0"/>
                <w:sz w:val="18"/>
                <w:szCs w:val="18"/>
              </w:rPr>
            </w:pPr>
            <w:r>
              <w:rPr>
                <w:rFonts w:hint="eastAsia" w:ascii="宋体"/>
                <w:b/>
                <w:kern w:val="0"/>
                <w:sz w:val="18"/>
                <w:szCs w:val="18"/>
              </w:rPr>
              <w:t>内河船舶1000GT/500KW以下；沿海船舶500GT/750KW以下</w:t>
            </w:r>
          </w:p>
        </w:tc>
        <w:tc>
          <w:tcPr>
            <w:tcW w:w="2775" w:type="dxa"/>
            <w:tcBorders>
              <w:top w:val="single" w:color="auto" w:sz="4" w:space="0"/>
              <w:right w:val="single" w:color="auto" w:sz="4" w:space="0"/>
            </w:tcBorders>
            <w:vAlign w:val="center"/>
          </w:tcPr>
          <w:p w14:paraId="1913E1D1">
            <w:pPr>
              <w:spacing w:before="156" w:beforeLines="50" w:after="156" w:afterLines="50" w:line="240" w:lineRule="exact"/>
              <w:jc w:val="left"/>
              <w:rPr>
                <w:rFonts w:ascii="宋体"/>
                <w:b/>
                <w:kern w:val="0"/>
                <w:sz w:val="18"/>
                <w:szCs w:val="18"/>
              </w:rPr>
            </w:pPr>
            <w:r>
              <w:rPr>
                <w:rFonts w:hint="eastAsia" w:ascii="宋体"/>
                <w:b/>
                <w:kern w:val="0"/>
                <w:sz w:val="18"/>
                <w:szCs w:val="18"/>
              </w:rPr>
              <w:t>内河船舶1000GT/500KW及以上；沿海船舶500GT/750KW及以上3000GT/3000KW以下</w:t>
            </w:r>
          </w:p>
        </w:tc>
        <w:tc>
          <w:tcPr>
            <w:tcW w:w="6818" w:type="dxa"/>
            <w:gridSpan w:val="2"/>
            <w:tcBorders>
              <w:top w:val="single" w:color="auto" w:sz="4" w:space="0"/>
            </w:tcBorders>
            <w:vAlign w:val="center"/>
          </w:tcPr>
          <w:p w14:paraId="2665A855">
            <w:pPr>
              <w:spacing w:before="156" w:beforeLines="50" w:after="156" w:afterLines="50" w:line="240" w:lineRule="exact"/>
              <w:jc w:val="left"/>
              <w:rPr>
                <w:rFonts w:ascii="宋体"/>
                <w:b/>
                <w:kern w:val="0"/>
                <w:sz w:val="18"/>
                <w:szCs w:val="18"/>
              </w:rPr>
            </w:pPr>
            <w:r>
              <w:rPr>
                <w:rFonts w:hint="eastAsia" w:ascii="宋体"/>
                <w:b/>
                <w:kern w:val="0"/>
                <w:sz w:val="18"/>
                <w:szCs w:val="18"/>
              </w:rPr>
              <w:t>沿海船舶3000GT/3000KW及以上</w:t>
            </w:r>
          </w:p>
        </w:tc>
      </w:tr>
      <w:tr w14:paraId="53793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690" w:type="dxa"/>
            <w:vMerge w:val="restart"/>
            <w:vAlign w:val="center"/>
          </w:tcPr>
          <w:p w14:paraId="135B24C6">
            <w:pPr>
              <w:spacing w:before="156" w:beforeLines="50" w:after="156" w:afterLines="50"/>
              <w:jc w:val="left"/>
              <w:rPr>
                <w:rFonts w:ascii="宋体"/>
                <w:kern w:val="0"/>
                <w:sz w:val="18"/>
                <w:szCs w:val="18"/>
              </w:rPr>
            </w:pPr>
            <w:r>
              <w:rPr>
                <w:rFonts w:hint="eastAsia" w:ascii="宋体"/>
                <w:kern w:val="0"/>
                <w:sz w:val="18"/>
                <w:szCs w:val="18"/>
              </w:rPr>
              <w:t>51</w:t>
            </w:r>
          </w:p>
        </w:tc>
        <w:tc>
          <w:tcPr>
            <w:tcW w:w="876" w:type="dxa"/>
            <w:vMerge w:val="restart"/>
            <w:vAlign w:val="center"/>
          </w:tcPr>
          <w:p w14:paraId="22C53DBA">
            <w:pPr>
              <w:widowControl/>
              <w:spacing w:before="156" w:beforeLines="50" w:after="156" w:afterLines="50"/>
              <w:jc w:val="left"/>
              <w:rPr>
                <w:rFonts w:ascii="宋体"/>
                <w:kern w:val="0"/>
                <w:sz w:val="18"/>
                <w:szCs w:val="18"/>
              </w:rPr>
            </w:pPr>
            <w:r>
              <w:rPr>
                <w:rFonts w:hint="eastAsia" w:ascii="宋体"/>
                <w:kern w:val="0"/>
                <w:sz w:val="18"/>
                <w:szCs w:val="18"/>
              </w:rPr>
              <w:t>船舶进出内河港口，未按规定向海事管理机构报告进出港信息</w:t>
            </w:r>
          </w:p>
        </w:tc>
        <w:tc>
          <w:tcPr>
            <w:tcW w:w="1377" w:type="dxa"/>
            <w:vMerge w:val="restart"/>
            <w:vAlign w:val="center"/>
          </w:tcPr>
          <w:p w14:paraId="09AF23E1">
            <w:pPr>
              <w:widowControl/>
              <w:spacing w:before="156" w:beforeLines="50" w:after="156" w:afterLines="50"/>
              <w:jc w:val="left"/>
              <w:rPr>
                <w:rFonts w:ascii="宋体"/>
                <w:kern w:val="0"/>
                <w:sz w:val="18"/>
                <w:szCs w:val="18"/>
              </w:rPr>
            </w:pPr>
            <w:r>
              <w:rPr>
                <w:rFonts w:hint="eastAsia" w:ascii="宋体"/>
                <w:kern w:val="0"/>
                <w:sz w:val="18"/>
                <w:szCs w:val="18"/>
              </w:rPr>
              <w:t>《中华人民共和国内河交通安全管理条例》第十八条，《中华人民共和国船舶安全监督规则》第十条、第十一条、第十二条、第十三条</w:t>
            </w:r>
          </w:p>
        </w:tc>
        <w:tc>
          <w:tcPr>
            <w:tcW w:w="2694" w:type="dxa"/>
            <w:vMerge w:val="restart"/>
            <w:vAlign w:val="center"/>
          </w:tcPr>
          <w:p w14:paraId="594030D4">
            <w:pPr>
              <w:spacing w:before="156" w:beforeLines="50" w:after="156" w:afterLines="50"/>
              <w:jc w:val="left"/>
              <w:rPr>
                <w:rFonts w:ascii="宋体"/>
                <w:kern w:val="0"/>
                <w:sz w:val="18"/>
                <w:szCs w:val="18"/>
              </w:rPr>
            </w:pPr>
            <w:r>
              <w:rPr>
                <w:rFonts w:hint="eastAsia" w:ascii="宋体"/>
                <w:kern w:val="0"/>
                <w:sz w:val="18"/>
                <w:szCs w:val="18"/>
              </w:rPr>
              <w:t>1.《中华人民共和国船舶安全监督规则》第五十五条第一款；</w:t>
            </w:r>
          </w:p>
          <w:p w14:paraId="7CCE7721">
            <w:pPr>
              <w:pStyle w:val="13"/>
              <w:tabs>
                <w:tab w:val="left" w:pos="312"/>
              </w:tabs>
              <w:spacing w:before="156" w:beforeLines="50" w:after="156" w:afterLines="50"/>
              <w:rPr>
                <w:rFonts w:ascii="宋体"/>
                <w:sz w:val="18"/>
                <w:szCs w:val="18"/>
              </w:rPr>
            </w:pPr>
            <w:r>
              <w:rPr>
                <w:rFonts w:hint="eastAsia"/>
                <w:sz w:val="18"/>
                <w:szCs w:val="18"/>
              </w:rPr>
              <w:t>2.《中华人民共和国行政处罚法》第三十二条（从轻）。</w:t>
            </w:r>
          </w:p>
          <w:p w14:paraId="70C8FF93">
            <w:pPr>
              <w:spacing w:before="156" w:beforeLines="50" w:after="156" w:afterLines="50"/>
              <w:jc w:val="left"/>
              <w:rPr>
                <w:rFonts w:ascii="宋体"/>
                <w:kern w:val="0"/>
                <w:sz w:val="18"/>
                <w:szCs w:val="18"/>
              </w:rPr>
            </w:pPr>
          </w:p>
        </w:tc>
        <w:tc>
          <w:tcPr>
            <w:tcW w:w="696" w:type="dxa"/>
            <w:vAlign w:val="center"/>
          </w:tcPr>
          <w:p w14:paraId="17A0D484">
            <w:pPr>
              <w:spacing w:before="156" w:beforeLines="50" w:after="156" w:afterLines="50"/>
              <w:jc w:val="left"/>
              <w:rPr>
                <w:rFonts w:ascii="宋体"/>
                <w:kern w:val="0"/>
                <w:sz w:val="18"/>
                <w:szCs w:val="18"/>
              </w:rPr>
            </w:pPr>
            <w:r>
              <w:rPr>
                <w:rFonts w:hint="eastAsia" w:ascii="宋体"/>
                <w:kern w:val="0"/>
                <w:sz w:val="18"/>
                <w:szCs w:val="18"/>
              </w:rPr>
              <w:t>从轻</w:t>
            </w:r>
          </w:p>
        </w:tc>
        <w:tc>
          <w:tcPr>
            <w:tcW w:w="2706" w:type="dxa"/>
            <w:vAlign w:val="center"/>
          </w:tcPr>
          <w:p w14:paraId="3804379E">
            <w:pPr>
              <w:widowControl/>
              <w:spacing w:before="156" w:beforeLines="50" w:after="156" w:afterLines="50"/>
              <w:jc w:val="left"/>
              <w:rPr>
                <w:rFonts w:ascii="宋体"/>
                <w:kern w:val="0"/>
                <w:sz w:val="18"/>
                <w:szCs w:val="18"/>
              </w:rPr>
            </w:pPr>
            <w:r>
              <w:rPr>
                <w:rFonts w:hint="eastAsia" w:ascii="宋体"/>
                <w:kern w:val="0"/>
                <w:sz w:val="18"/>
                <w:szCs w:val="18"/>
              </w:rPr>
              <w:t>具有法定从轻</w:t>
            </w:r>
            <w:r>
              <w:rPr>
                <w:rFonts w:hint="eastAsia" w:ascii="宋体"/>
                <w:sz w:val="18"/>
                <w:szCs w:val="18"/>
              </w:rPr>
              <w:t>处罚</w:t>
            </w:r>
            <w:r>
              <w:rPr>
                <w:rFonts w:hint="eastAsia" w:ascii="宋体"/>
                <w:kern w:val="0"/>
                <w:sz w:val="18"/>
                <w:szCs w:val="18"/>
              </w:rPr>
              <w:t>情节的。</w:t>
            </w:r>
          </w:p>
        </w:tc>
        <w:tc>
          <w:tcPr>
            <w:tcW w:w="11488" w:type="dxa"/>
            <w:gridSpan w:val="4"/>
            <w:tcBorders>
              <w:right w:val="single" w:color="auto" w:sz="4" w:space="0"/>
            </w:tcBorders>
            <w:vAlign w:val="center"/>
          </w:tcPr>
          <w:p w14:paraId="1DF3E9E4">
            <w:pPr>
              <w:spacing w:before="156" w:beforeLines="50" w:after="156" w:afterLines="50"/>
              <w:jc w:val="left"/>
              <w:rPr>
                <w:rFonts w:ascii="宋体"/>
                <w:kern w:val="0"/>
                <w:sz w:val="18"/>
                <w:szCs w:val="18"/>
              </w:rPr>
            </w:pPr>
            <w:r>
              <w:rPr>
                <w:rFonts w:hint="eastAsia" w:ascii="宋体"/>
                <w:kern w:val="0"/>
                <w:sz w:val="18"/>
                <w:szCs w:val="18"/>
              </w:rPr>
              <w:t>5000元</w:t>
            </w:r>
          </w:p>
        </w:tc>
      </w:tr>
      <w:tr w14:paraId="12FA5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690" w:type="dxa"/>
            <w:vMerge w:val="continue"/>
            <w:vAlign w:val="center"/>
          </w:tcPr>
          <w:p w14:paraId="172C11BF">
            <w:pPr>
              <w:spacing w:before="156" w:beforeLines="50" w:after="156" w:afterLines="50"/>
              <w:jc w:val="left"/>
              <w:rPr>
                <w:rFonts w:ascii="宋体"/>
                <w:kern w:val="0"/>
                <w:sz w:val="18"/>
                <w:szCs w:val="18"/>
              </w:rPr>
            </w:pPr>
          </w:p>
        </w:tc>
        <w:tc>
          <w:tcPr>
            <w:tcW w:w="876" w:type="dxa"/>
            <w:vMerge w:val="continue"/>
            <w:vAlign w:val="center"/>
          </w:tcPr>
          <w:p w14:paraId="7CF6B7C5">
            <w:pPr>
              <w:spacing w:before="156" w:beforeLines="50" w:after="156" w:afterLines="50"/>
              <w:jc w:val="left"/>
              <w:rPr>
                <w:rFonts w:ascii="宋体"/>
                <w:kern w:val="0"/>
                <w:sz w:val="18"/>
                <w:szCs w:val="18"/>
              </w:rPr>
            </w:pPr>
          </w:p>
        </w:tc>
        <w:tc>
          <w:tcPr>
            <w:tcW w:w="1377" w:type="dxa"/>
            <w:vMerge w:val="continue"/>
            <w:vAlign w:val="center"/>
          </w:tcPr>
          <w:p w14:paraId="6B857502">
            <w:pPr>
              <w:widowControl/>
              <w:spacing w:before="156" w:beforeLines="50" w:after="156" w:afterLines="50"/>
              <w:jc w:val="left"/>
              <w:rPr>
                <w:rFonts w:ascii="宋体"/>
                <w:kern w:val="0"/>
                <w:sz w:val="18"/>
                <w:szCs w:val="18"/>
              </w:rPr>
            </w:pPr>
          </w:p>
        </w:tc>
        <w:tc>
          <w:tcPr>
            <w:tcW w:w="2694" w:type="dxa"/>
            <w:vMerge w:val="continue"/>
            <w:vAlign w:val="center"/>
          </w:tcPr>
          <w:p w14:paraId="4CE786BA">
            <w:pPr>
              <w:spacing w:before="156" w:beforeLines="50" w:after="156" w:afterLines="50"/>
              <w:jc w:val="left"/>
              <w:rPr>
                <w:rFonts w:ascii="宋体"/>
                <w:kern w:val="0"/>
                <w:sz w:val="18"/>
                <w:szCs w:val="18"/>
              </w:rPr>
            </w:pPr>
          </w:p>
        </w:tc>
        <w:tc>
          <w:tcPr>
            <w:tcW w:w="696" w:type="dxa"/>
            <w:vMerge w:val="restart"/>
            <w:vAlign w:val="center"/>
          </w:tcPr>
          <w:p w14:paraId="39090B72">
            <w:pPr>
              <w:spacing w:before="156" w:beforeLines="50" w:after="156" w:afterLines="50"/>
              <w:jc w:val="left"/>
              <w:rPr>
                <w:rFonts w:ascii="宋体"/>
                <w:kern w:val="0"/>
                <w:sz w:val="18"/>
                <w:szCs w:val="18"/>
              </w:rPr>
            </w:pPr>
            <w:r>
              <w:rPr>
                <w:rFonts w:hint="eastAsia" w:ascii="宋体"/>
                <w:kern w:val="0"/>
                <w:sz w:val="18"/>
                <w:szCs w:val="18"/>
              </w:rPr>
              <w:t>一般</w:t>
            </w:r>
          </w:p>
          <w:p w14:paraId="72E3677C">
            <w:pPr>
              <w:spacing w:before="156" w:beforeLines="50" w:after="156" w:afterLines="50"/>
              <w:jc w:val="left"/>
              <w:rPr>
                <w:rFonts w:ascii="宋体"/>
                <w:kern w:val="0"/>
                <w:sz w:val="18"/>
                <w:szCs w:val="18"/>
              </w:rPr>
            </w:pPr>
          </w:p>
        </w:tc>
        <w:tc>
          <w:tcPr>
            <w:tcW w:w="2706" w:type="dxa"/>
            <w:vAlign w:val="center"/>
          </w:tcPr>
          <w:p w14:paraId="2ADF0B25">
            <w:pPr>
              <w:spacing w:before="156" w:beforeLines="50" w:after="156" w:afterLines="50"/>
              <w:jc w:val="left"/>
              <w:rPr>
                <w:rFonts w:ascii="宋体"/>
                <w:kern w:val="0"/>
                <w:sz w:val="18"/>
                <w:szCs w:val="18"/>
              </w:rPr>
            </w:pPr>
            <w:r>
              <w:rPr>
                <w:rFonts w:hint="eastAsia" w:ascii="宋体"/>
                <w:kern w:val="0"/>
                <w:sz w:val="18"/>
                <w:szCs w:val="18"/>
              </w:rPr>
              <w:t>单个航次未按规定报告船舶的航次计划、适航状态、船员配备和载货载客等情况的。</w:t>
            </w:r>
          </w:p>
        </w:tc>
        <w:tc>
          <w:tcPr>
            <w:tcW w:w="1895" w:type="dxa"/>
            <w:tcBorders>
              <w:right w:val="single" w:color="auto" w:sz="4" w:space="0"/>
            </w:tcBorders>
            <w:vAlign w:val="center"/>
          </w:tcPr>
          <w:p w14:paraId="07A69035">
            <w:pPr>
              <w:spacing w:before="156" w:beforeLines="50" w:after="156" w:afterLines="50"/>
              <w:jc w:val="left"/>
              <w:rPr>
                <w:rFonts w:ascii="宋体"/>
                <w:kern w:val="0"/>
                <w:sz w:val="18"/>
                <w:szCs w:val="18"/>
              </w:rPr>
            </w:pPr>
            <w:r>
              <w:rPr>
                <w:rFonts w:hint="eastAsia" w:ascii="宋体"/>
                <w:kern w:val="0"/>
                <w:sz w:val="18"/>
                <w:szCs w:val="18"/>
              </w:rPr>
              <w:t>6000元</w:t>
            </w:r>
          </w:p>
        </w:tc>
        <w:tc>
          <w:tcPr>
            <w:tcW w:w="2781" w:type="dxa"/>
            <w:gridSpan w:val="2"/>
            <w:tcBorders>
              <w:right w:val="single" w:color="auto" w:sz="4" w:space="0"/>
            </w:tcBorders>
            <w:vAlign w:val="center"/>
          </w:tcPr>
          <w:p w14:paraId="116BEE65">
            <w:pPr>
              <w:spacing w:before="156" w:beforeLines="50" w:after="156" w:afterLines="50"/>
              <w:jc w:val="left"/>
              <w:rPr>
                <w:rFonts w:ascii="宋体"/>
                <w:kern w:val="0"/>
                <w:sz w:val="18"/>
                <w:szCs w:val="18"/>
              </w:rPr>
            </w:pPr>
            <w:r>
              <w:rPr>
                <w:rFonts w:hint="eastAsia" w:ascii="宋体"/>
                <w:kern w:val="0"/>
                <w:sz w:val="18"/>
                <w:szCs w:val="18"/>
              </w:rPr>
              <w:t>7000元</w:t>
            </w:r>
          </w:p>
        </w:tc>
        <w:tc>
          <w:tcPr>
            <w:tcW w:w="6812" w:type="dxa"/>
            <w:tcBorders>
              <w:right w:val="single" w:color="auto" w:sz="4" w:space="0"/>
            </w:tcBorders>
            <w:vAlign w:val="center"/>
          </w:tcPr>
          <w:p w14:paraId="5393594C">
            <w:pPr>
              <w:spacing w:before="156" w:beforeLines="50" w:after="156" w:afterLines="50"/>
              <w:jc w:val="left"/>
              <w:rPr>
                <w:rFonts w:ascii="宋体"/>
                <w:kern w:val="0"/>
                <w:sz w:val="18"/>
                <w:szCs w:val="18"/>
              </w:rPr>
            </w:pPr>
            <w:r>
              <w:rPr>
                <w:rFonts w:hint="eastAsia" w:ascii="宋体"/>
                <w:kern w:val="0"/>
                <w:sz w:val="18"/>
                <w:szCs w:val="18"/>
              </w:rPr>
              <w:t>8000元</w:t>
            </w:r>
          </w:p>
        </w:tc>
      </w:tr>
      <w:tr w14:paraId="25CC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690" w:type="dxa"/>
            <w:vMerge w:val="continue"/>
            <w:vAlign w:val="center"/>
          </w:tcPr>
          <w:p w14:paraId="76B9E6A8">
            <w:pPr>
              <w:spacing w:before="156" w:beforeLines="50" w:after="156" w:afterLines="50"/>
              <w:jc w:val="left"/>
              <w:rPr>
                <w:rFonts w:ascii="宋体"/>
                <w:kern w:val="0"/>
                <w:sz w:val="18"/>
                <w:szCs w:val="18"/>
              </w:rPr>
            </w:pPr>
          </w:p>
        </w:tc>
        <w:tc>
          <w:tcPr>
            <w:tcW w:w="876" w:type="dxa"/>
            <w:vMerge w:val="continue"/>
            <w:vAlign w:val="center"/>
          </w:tcPr>
          <w:p w14:paraId="3A3C137B">
            <w:pPr>
              <w:spacing w:before="156" w:beforeLines="50" w:after="156" w:afterLines="50"/>
              <w:jc w:val="left"/>
              <w:rPr>
                <w:rFonts w:ascii="宋体"/>
                <w:kern w:val="0"/>
                <w:sz w:val="18"/>
                <w:szCs w:val="18"/>
              </w:rPr>
            </w:pPr>
          </w:p>
        </w:tc>
        <w:tc>
          <w:tcPr>
            <w:tcW w:w="1377" w:type="dxa"/>
            <w:vMerge w:val="continue"/>
            <w:vAlign w:val="center"/>
          </w:tcPr>
          <w:p w14:paraId="47A1EF2F">
            <w:pPr>
              <w:spacing w:before="156" w:beforeLines="50" w:after="156" w:afterLines="50"/>
              <w:jc w:val="left"/>
              <w:rPr>
                <w:rFonts w:ascii="宋体"/>
                <w:kern w:val="0"/>
                <w:sz w:val="18"/>
                <w:szCs w:val="18"/>
              </w:rPr>
            </w:pPr>
          </w:p>
        </w:tc>
        <w:tc>
          <w:tcPr>
            <w:tcW w:w="2694" w:type="dxa"/>
            <w:vMerge w:val="continue"/>
            <w:vAlign w:val="center"/>
          </w:tcPr>
          <w:p w14:paraId="7A977C5A">
            <w:pPr>
              <w:spacing w:before="156" w:beforeLines="50" w:after="156" w:afterLines="50"/>
              <w:jc w:val="left"/>
              <w:rPr>
                <w:rFonts w:ascii="宋体"/>
                <w:kern w:val="0"/>
                <w:sz w:val="18"/>
                <w:szCs w:val="18"/>
              </w:rPr>
            </w:pPr>
          </w:p>
        </w:tc>
        <w:tc>
          <w:tcPr>
            <w:tcW w:w="696" w:type="dxa"/>
            <w:vMerge w:val="continue"/>
            <w:vAlign w:val="center"/>
          </w:tcPr>
          <w:p w14:paraId="2F891A0E">
            <w:pPr>
              <w:spacing w:before="156" w:beforeLines="50" w:after="156" w:afterLines="50"/>
              <w:jc w:val="left"/>
              <w:rPr>
                <w:rFonts w:ascii="宋体"/>
                <w:kern w:val="0"/>
                <w:sz w:val="18"/>
                <w:szCs w:val="18"/>
              </w:rPr>
            </w:pPr>
          </w:p>
        </w:tc>
        <w:tc>
          <w:tcPr>
            <w:tcW w:w="2706" w:type="dxa"/>
            <w:tcBorders>
              <w:top w:val="single" w:color="auto" w:sz="4" w:space="0"/>
              <w:left w:val="single" w:color="auto" w:sz="4" w:space="0"/>
            </w:tcBorders>
            <w:vAlign w:val="center"/>
          </w:tcPr>
          <w:p w14:paraId="7F524294">
            <w:pPr>
              <w:spacing w:before="156" w:beforeLines="50" w:after="156" w:afterLines="50"/>
              <w:jc w:val="left"/>
              <w:rPr>
                <w:rFonts w:ascii="宋体"/>
                <w:kern w:val="0"/>
                <w:sz w:val="18"/>
                <w:szCs w:val="18"/>
              </w:rPr>
            </w:pPr>
            <w:r>
              <w:rPr>
                <w:rFonts w:hint="eastAsia" w:ascii="宋体"/>
                <w:kern w:val="0"/>
                <w:sz w:val="18"/>
                <w:szCs w:val="18"/>
              </w:rPr>
              <w:t>2个及以上航次未按规定报告船舶的航次计划、适航状态、船员配备和载货载客等情况的。</w:t>
            </w:r>
          </w:p>
          <w:p w14:paraId="589C9DBB">
            <w:pPr>
              <w:spacing w:before="156" w:beforeLines="50" w:after="156" w:afterLines="50"/>
              <w:jc w:val="left"/>
              <w:rPr>
                <w:rFonts w:ascii="宋体"/>
                <w:kern w:val="0"/>
                <w:sz w:val="18"/>
                <w:szCs w:val="18"/>
              </w:rPr>
            </w:pPr>
          </w:p>
        </w:tc>
        <w:tc>
          <w:tcPr>
            <w:tcW w:w="1895" w:type="dxa"/>
            <w:tcBorders>
              <w:top w:val="single" w:color="auto" w:sz="4" w:space="0"/>
              <w:right w:val="single" w:color="auto" w:sz="4" w:space="0"/>
            </w:tcBorders>
            <w:vAlign w:val="center"/>
          </w:tcPr>
          <w:p w14:paraId="7C36E85E">
            <w:pPr>
              <w:spacing w:before="156" w:beforeLines="50" w:after="156" w:afterLines="50"/>
              <w:jc w:val="left"/>
              <w:rPr>
                <w:rFonts w:ascii="宋体"/>
                <w:kern w:val="0"/>
                <w:sz w:val="18"/>
                <w:szCs w:val="18"/>
              </w:rPr>
            </w:pPr>
            <w:r>
              <w:rPr>
                <w:rFonts w:hint="eastAsia" w:ascii="宋体"/>
                <w:kern w:val="0"/>
                <w:sz w:val="18"/>
                <w:szCs w:val="18"/>
              </w:rPr>
              <w:t>1万元及以上5万元以下</w:t>
            </w:r>
          </w:p>
        </w:tc>
        <w:tc>
          <w:tcPr>
            <w:tcW w:w="2781" w:type="dxa"/>
            <w:gridSpan w:val="2"/>
            <w:tcBorders>
              <w:top w:val="single" w:color="auto" w:sz="4" w:space="0"/>
              <w:right w:val="single" w:color="auto" w:sz="4" w:space="0"/>
            </w:tcBorders>
            <w:vAlign w:val="center"/>
          </w:tcPr>
          <w:p w14:paraId="5D642BE6">
            <w:pPr>
              <w:spacing w:before="156" w:beforeLines="50" w:after="156" w:afterLines="50"/>
              <w:jc w:val="left"/>
              <w:rPr>
                <w:rFonts w:ascii="宋体"/>
                <w:kern w:val="0"/>
                <w:sz w:val="18"/>
                <w:szCs w:val="18"/>
              </w:rPr>
            </w:pPr>
            <w:r>
              <w:rPr>
                <w:rFonts w:hint="eastAsia" w:ascii="宋体"/>
                <w:kern w:val="0"/>
                <w:sz w:val="18"/>
                <w:szCs w:val="18"/>
              </w:rPr>
              <w:t>1.2万元及以上5万元以下</w:t>
            </w:r>
          </w:p>
        </w:tc>
        <w:tc>
          <w:tcPr>
            <w:tcW w:w="6812" w:type="dxa"/>
            <w:tcBorders>
              <w:top w:val="single" w:color="auto" w:sz="4" w:space="0"/>
              <w:right w:val="single" w:color="auto" w:sz="4" w:space="0"/>
            </w:tcBorders>
            <w:vAlign w:val="center"/>
          </w:tcPr>
          <w:p w14:paraId="33DFE774">
            <w:pPr>
              <w:spacing w:before="156" w:beforeLines="50" w:after="156" w:afterLines="50"/>
              <w:jc w:val="left"/>
              <w:rPr>
                <w:rFonts w:ascii="宋体"/>
                <w:kern w:val="0"/>
                <w:sz w:val="18"/>
                <w:szCs w:val="18"/>
              </w:rPr>
            </w:pPr>
            <w:r>
              <w:rPr>
                <w:rFonts w:hint="eastAsia" w:ascii="宋体"/>
                <w:kern w:val="0"/>
                <w:sz w:val="18"/>
                <w:szCs w:val="18"/>
              </w:rPr>
              <w:t>1.4万元及以上5万元以下</w:t>
            </w:r>
          </w:p>
        </w:tc>
      </w:tr>
    </w:tbl>
    <w:p w14:paraId="1430A847">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4"/>
        <w:gridCol w:w="1667"/>
        <w:gridCol w:w="1655"/>
        <w:gridCol w:w="2057"/>
        <w:gridCol w:w="927"/>
        <w:gridCol w:w="3175"/>
        <w:gridCol w:w="2045"/>
        <w:gridCol w:w="2495"/>
        <w:gridCol w:w="8"/>
        <w:gridCol w:w="2387"/>
        <w:gridCol w:w="2605"/>
      </w:tblGrid>
      <w:tr w14:paraId="13C4D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764" w:type="dxa"/>
            <w:vMerge w:val="restart"/>
            <w:vAlign w:val="center"/>
          </w:tcPr>
          <w:p w14:paraId="30C23893">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667" w:type="dxa"/>
            <w:vMerge w:val="restart"/>
            <w:vAlign w:val="center"/>
          </w:tcPr>
          <w:p w14:paraId="545A827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712" w:type="dxa"/>
            <w:gridSpan w:val="2"/>
            <w:vMerge w:val="restart"/>
            <w:vAlign w:val="center"/>
          </w:tcPr>
          <w:p w14:paraId="100C83AE">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27" w:type="dxa"/>
            <w:vMerge w:val="restart"/>
            <w:vAlign w:val="center"/>
          </w:tcPr>
          <w:p w14:paraId="3EF1DF29">
            <w:pPr>
              <w:spacing w:before="156" w:beforeLines="50" w:after="156" w:afterLines="50"/>
              <w:jc w:val="center"/>
              <w:rPr>
                <w:rFonts w:ascii="宋体"/>
                <w:b/>
                <w:kern w:val="0"/>
                <w:sz w:val="18"/>
                <w:szCs w:val="18"/>
              </w:rPr>
            </w:pPr>
            <w:r>
              <w:rPr>
                <w:rFonts w:hint="eastAsia" w:ascii="宋体"/>
                <w:b/>
                <w:kern w:val="0"/>
                <w:sz w:val="18"/>
                <w:szCs w:val="18"/>
              </w:rPr>
              <w:t>违法</w:t>
            </w:r>
          </w:p>
          <w:p w14:paraId="6B8FA717">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3175" w:type="dxa"/>
            <w:vMerge w:val="restart"/>
            <w:vAlign w:val="center"/>
          </w:tcPr>
          <w:p w14:paraId="7936F51D">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79D7A7F">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540" w:type="dxa"/>
            <w:gridSpan w:val="5"/>
            <w:vAlign w:val="center"/>
          </w:tcPr>
          <w:p w14:paraId="71AB05A3">
            <w:pPr>
              <w:spacing w:before="156" w:beforeLines="50" w:after="156" w:afterLines="50"/>
              <w:rPr>
                <w:rFonts w:ascii="宋体"/>
                <w:b/>
                <w:kern w:val="0"/>
                <w:sz w:val="18"/>
                <w:szCs w:val="18"/>
              </w:rPr>
            </w:pPr>
            <w:r>
              <w:rPr>
                <w:rFonts w:hint="eastAsia" w:ascii="宋体"/>
                <w:b/>
                <w:kern w:val="0"/>
                <w:sz w:val="18"/>
                <w:szCs w:val="18"/>
              </w:rPr>
              <w:t>【法定幅度和种类】对违法船舶所有人、经营人处</w:t>
            </w:r>
            <w:r>
              <w:rPr>
                <w:rFonts w:ascii="宋体"/>
                <w:b/>
                <w:kern w:val="0"/>
                <w:sz w:val="18"/>
                <w:szCs w:val="18"/>
              </w:rPr>
              <w:t>1000</w:t>
            </w:r>
            <w:r>
              <w:rPr>
                <w:rFonts w:hint="eastAsia" w:ascii="宋体"/>
                <w:b/>
                <w:kern w:val="0"/>
                <w:sz w:val="18"/>
                <w:szCs w:val="18"/>
              </w:rPr>
              <w:t>元以上</w:t>
            </w:r>
            <w:r>
              <w:rPr>
                <w:rFonts w:ascii="宋体"/>
                <w:b/>
                <w:kern w:val="0"/>
                <w:sz w:val="18"/>
                <w:szCs w:val="18"/>
              </w:rPr>
              <w:t>1</w:t>
            </w:r>
            <w:r>
              <w:rPr>
                <w:rFonts w:hint="eastAsia" w:ascii="宋体"/>
                <w:b/>
                <w:kern w:val="0"/>
                <w:sz w:val="18"/>
                <w:szCs w:val="18"/>
              </w:rPr>
              <w:t>万元以下的罚款；情节严重的，处</w:t>
            </w:r>
            <w:r>
              <w:rPr>
                <w:rFonts w:ascii="宋体"/>
                <w:b/>
                <w:kern w:val="0"/>
                <w:sz w:val="18"/>
                <w:szCs w:val="18"/>
              </w:rPr>
              <w:t>1</w:t>
            </w:r>
            <w:r>
              <w:rPr>
                <w:rFonts w:hint="eastAsia" w:ascii="宋体"/>
                <w:b/>
                <w:kern w:val="0"/>
                <w:sz w:val="18"/>
                <w:szCs w:val="18"/>
              </w:rPr>
              <w:t>万元以上</w:t>
            </w:r>
            <w:r>
              <w:rPr>
                <w:rFonts w:ascii="宋体"/>
                <w:b/>
                <w:kern w:val="0"/>
                <w:sz w:val="18"/>
                <w:szCs w:val="18"/>
              </w:rPr>
              <w:t>3</w:t>
            </w:r>
            <w:r>
              <w:rPr>
                <w:rFonts w:hint="eastAsia" w:ascii="宋体"/>
                <w:b/>
                <w:kern w:val="0"/>
                <w:sz w:val="18"/>
                <w:szCs w:val="18"/>
              </w:rPr>
              <w:t>万元以下的罚款。对船长或者其他责任人员处以</w:t>
            </w:r>
            <w:r>
              <w:rPr>
                <w:rFonts w:ascii="宋体"/>
                <w:b/>
                <w:kern w:val="0"/>
                <w:sz w:val="18"/>
                <w:szCs w:val="18"/>
              </w:rPr>
              <w:t>100</w:t>
            </w:r>
            <w:r>
              <w:rPr>
                <w:rFonts w:hint="eastAsia" w:ascii="宋体"/>
                <w:b/>
                <w:kern w:val="0"/>
                <w:sz w:val="18"/>
                <w:szCs w:val="18"/>
              </w:rPr>
              <w:t>元以上</w:t>
            </w:r>
            <w:r>
              <w:rPr>
                <w:rFonts w:ascii="宋体"/>
                <w:b/>
                <w:kern w:val="0"/>
                <w:sz w:val="18"/>
                <w:szCs w:val="18"/>
              </w:rPr>
              <w:t>1000</w:t>
            </w:r>
            <w:r>
              <w:rPr>
                <w:rFonts w:hint="eastAsia" w:ascii="宋体"/>
                <w:b/>
                <w:kern w:val="0"/>
                <w:sz w:val="18"/>
                <w:szCs w:val="18"/>
              </w:rPr>
              <w:t>元以下的罚款；情节严重的，处1</w:t>
            </w:r>
            <w:r>
              <w:rPr>
                <w:rFonts w:ascii="宋体"/>
                <w:b/>
                <w:kern w:val="0"/>
                <w:sz w:val="18"/>
                <w:szCs w:val="18"/>
              </w:rPr>
              <w:t>000</w:t>
            </w:r>
            <w:r>
              <w:rPr>
                <w:rFonts w:hint="eastAsia" w:ascii="宋体"/>
                <w:b/>
                <w:kern w:val="0"/>
                <w:sz w:val="18"/>
                <w:szCs w:val="18"/>
              </w:rPr>
              <w:t>元及以上</w:t>
            </w:r>
            <w:r>
              <w:rPr>
                <w:rFonts w:ascii="宋体"/>
                <w:b/>
                <w:kern w:val="0"/>
                <w:sz w:val="18"/>
                <w:szCs w:val="18"/>
              </w:rPr>
              <w:t>3000</w:t>
            </w:r>
            <w:r>
              <w:rPr>
                <w:rFonts w:hint="eastAsia" w:ascii="宋体"/>
                <w:b/>
                <w:kern w:val="0"/>
                <w:sz w:val="18"/>
                <w:szCs w:val="18"/>
              </w:rPr>
              <w:t>元及以下罚款。</w:t>
            </w:r>
          </w:p>
        </w:tc>
      </w:tr>
      <w:tr w14:paraId="0FC94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8" w:hRule="atLeast"/>
          <w:jc w:val="center"/>
        </w:trPr>
        <w:tc>
          <w:tcPr>
            <w:tcW w:w="764" w:type="dxa"/>
            <w:vMerge w:val="continue"/>
            <w:vAlign w:val="center"/>
          </w:tcPr>
          <w:p w14:paraId="6702D1E3">
            <w:pPr>
              <w:spacing w:before="156" w:beforeLines="50" w:after="156" w:afterLines="50"/>
              <w:jc w:val="left"/>
              <w:rPr>
                <w:rFonts w:ascii="宋体"/>
                <w:b/>
                <w:kern w:val="0"/>
                <w:sz w:val="18"/>
                <w:szCs w:val="18"/>
              </w:rPr>
            </w:pPr>
          </w:p>
        </w:tc>
        <w:tc>
          <w:tcPr>
            <w:tcW w:w="1667" w:type="dxa"/>
            <w:vMerge w:val="continue"/>
          </w:tcPr>
          <w:p w14:paraId="2BCF309F">
            <w:pPr>
              <w:spacing w:before="156" w:beforeLines="50" w:after="156" w:afterLines="50"/>
              <w:jc w:val="left"/>
              <w:rPr>
                <w:rFonts w:ascii="宋体"/>
                <w:b/>
                <w:kern w:val="0"/>
                <w:sz w:val="18"/>
                <w:szCs w:val="18"/>
              </w:rPr>
            </w:pPr>
          </w:p>
        </w:tc>
        <w:tc>
          <w:tcPr>
            <w:tcW w:w="3712" w:type="dxa"/>
            <w:gridSpan w:val="2"/>
            <w:vMerge w:val="continue"/>
            <w:vAlign w:val="center"/>
          </w:tcPr>
          <w:p w14:paraId="06E3A358">
            <w:pPr>
              <w:spacing w:before="156" w:beforeLines="50" w:after="156" w:afterLines="50"/>
              <w:jc w:val="left"/>
              <w:rPr>
                <w:rFonts w:ascii="宋体"/>
                <w:b/>
                <w:kern w:val="0"/>
                <w:sz w:val="18"/>
                <w:szCs w:val="18"/>
              </w:rPr>
            </w:pPr>
          </w:p>
        </w:tc>
        <w:tc>
          <w:tcPr>
            <w:tcW w:w="927" w:type="dxa"/>
            <w:vMerge w:val="continue"/>
            <w:vAlign w:val="center"/>
          </w:tcPr>
          <w:p w14:paraId="52D9C341">
            <w:pPr>
              <w:spacing w:before="156" w:beforeLines="50" w:after="156" w:afterLines="50"/>
              <w:jc w:val="left"/>
              <w:rPr>
                <w:rFonts w:ascii="宋体"/>
                <w:b/>
                <w:kern w:val="0"/>
                <w:sz w:val="18"/>
                <w:szCs w:val="18"/>
              </w:rPr>
            </w:pPr>
          </w:p>
        </w:tc>
        <w:tc>
          <w:tcPr>
            <w:tcW w:w="3175" w:type="dxa"/>
            <w:vMerge w:val="continue"/>
            <w:vAlign w:val="center"/>
          </w:tcPr>
          <w:p w14:paraId="4B8192ED">
            <w:pPr>
              <w:spacing w:before="156" w:beforeLines="50" w:after="156" w:afterLines="50"/>
              <w:jc w:val="left"/>
              <w:rPr>
                <w:rFonts w:ascii="宋体"/>
                <w:b/>
                <w:kern w:val="0"/>
                <w:sz w:val="18"/>
                <w:szCs w:val="18"/>
              </w:rPr>
            </w:pPr>
          </w:p>
        </w:tc>
        <w:tc>
          <w:tcPr>
            <w:tcW w:w="9540" w:type="dxa"/>
            <w:gridSpan w:val="5"/>
            <w:vAlign w:val="center"/>
          </w:tcPr>
          <w:p w14:paraId="778F1F8C">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0F2F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764" w:type="dxa"/>
            <w:vMerge w:val="continue"/>
            <w:vAlign w:val="center"/>
          </w:tcPr>
          <w:p w14:paraId="78901247">
            <w:pPr>
              <w:spacing w:before="156" w:beforeLines="50" w:after="156" w:afterLines="50"/>
              <w:jc w:val="left"/>
              <w:rPr>
                <w:rFonts w:ascii="宋体"/>
                <w:b/>
                <w:kern w:val="0"/>
                <w:sz w:val="18"/>
                <w:szCs w:val="18"/>
              </w:rPr>
            </w:pPr>
          </w:p>
        </w:tc>
        <w:tc>
          <w:tcPr>
            <w:tcW w:w="1667" w:type="dxa"/>
            <w:vMerge w:val="continue"/>
          </w:tcPr>
          <w:p w14:paraId="69F98724">
            <w:pPr>
              <w:spacing w:before="156" w:beforeLines="50" w:after="156" w:afterLines="50"/>
              <w:jc w:val="left"/>
              <w:rPr>
                <w:rFonts w:ascii="宋体"/>
                <w:b/>
                <w:kern w:val="0"/>
                <w:sz w:val="18"/>
                <w:szCs w:val="18"/>
              </w:rPr>
            </w:pPr>
          </w:p>
        </w:tc>
        <w:tc>
          <w:tcPr>
            <w:tcW w:w="1655" w:type="dxa"/>
            <w:vMerge w:val="restart"/>
            <w:vAlign w:val="center"/>
          </w:tcPr>
          <w:p w14:paraId="16A84AD0">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057" w:type="dxa"/>
            <w:vMerge w:val="restart"/>
            <w:vAlign w:val="center"/>
          </w:tcPr>
          <w:p w14:paraId="59F3E488">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27" w:type="dxa"/>
            <w:vMerge w:val="continue"/>
            <w:vAlign w:val="center"/>
          </w:tcPr>
          <w:p w14:paraId="56DEE981">
            <w:pPr>
              <w:spacing w:before="156" w:beforeLines="50" w:after="156" w:afterLines="50"/>
              <w:jc w:val="left"/>
              <w:rPr>
                <w:rFonts w:ascii="宋体"/>
                <w:b/>
                <w:kern w:val="0"/>
                <w:sz w:val="18"/>
                <w:szCs w:val="18"/>
              </w:rPr>
            </w:pPr>
          </w:p>
        </w:tc>
        <w:tc>
          <w:tcPr>
            <w:tcW w:w="3175" w:type="dxa"/>
            <w:vMerge w:val="continue"/>
            <w:vAlign w:val="center"/>
          </w:tcPr>
          <w:p w14:paraId="00121025">
            <w:pPr>
              <w:spacing w:before="156" w:beforeLines="50" w:after="156" w:afterLines="50"/>
              <w:jc w:val="left"/>
              <w:rPr>
                <w:rFonts w:ascii="宋体"/>
                <w:b/>
                <w:kern w:val="0"/>
                <w:sz w:val="18"/>
                <w:szCs w:val="18"/>
              </w:rPr>
            </w:pPr>
          </w:p>
        </w:tc>
        <w:tc>
          <w:tcPr>
            <w:tcW w:w="6935" w:type="dxa"/>
            <w:gridSpan w:val="4"/>
            <w:vAlign w:val="center"/>
          </w:tcPr>
          <w:p w14:paraId="47BFAB23">
            <w:pPr>
              <w:spacing w:before="156" w:beforeLines="50" w:after="156" w:afterLines="50"/>
              <w:jc w:val="center"/>
              <w:rPr>
                <w:rFonts w:ascii="宋体"/>
                <w:b/>
                <w:kern w:val="0"/>
                <w:sz w:val="18"/>
                <w:szCs w:val="18"/>
              </w:rPr>
            </w:pPr>
            <w:r>
              <w:rPr>
                <w:rFonts w:hint="eastAsia" w:ascii="宋体"/>
                <w:b/>
                <w:kern w:val="0"/>
                <w:sz w:val="18"/>
                <w:szCs w:val="18"/>
              </w:rPr>
              <w:t>【对象】船舶经营人</w:t>
            </w:r>
            <w:r>
              <w:rPr>
                <w:rFonts w:ascii="宋体"/>
                <w:b/>
                <w:kern w:val="0"/>
                <w:sz w:val="18"/>
                <w:szCs w:val="18"/>
              </w:rPr>
              <w:t>/</w:t>
            </w:r>
            <w:r>
              <w:rPr>
                <w:rFonts w:hint="eastAsia" w:ascii="宋体"/>
                <w:b/>
                <w:kern w:val="0"/>
                <w:sz w:val="18"/>
                <w:szCs w:val="18"/>
              </w:rPr>
              <w:t>所有人</w:t>
            </w:r>
          </w:p>
        </w:tc>
        <w:tc>
          <w:tcPr>
            <w:tcW w:w="2605" w:type="dxa"/>
            <w:vMerge w:val="restart"/>
            <w:vAlign w:val="center"/>
          </w:tcPr>
          <w:p w14:paraId="17D29872">
            <w:pPr>
              <w:spacing w:before="156" w:beforeLines="50" w:after="156" w:afterLines="50"/>
              <w:jc w:val="center"/>
              <w:rPr>
                <w:rFonts w:ascii="宋体"/>
                <w:b/>
                <w:kern w:val="0"/>
                <w:sz w:val="18"/>
                <w:szCs w:val="18"/>
              </w:rPr>
            </w:pPr>
            <w:r>
              <w:rPr>
                <w:rFonts w:hint="eastAsia" w:ascii="宋体"/>
                <w:b/>
                <w:kern w:val="0"/>
                <w:sz w:val="18"/>
                <w:szCs w:val="18"/>
              </w:rPr>
              <w:t>【对象】船长或其他责任人员</w:t>
            </w:r>
          </w:p>
        </w:tc>
      </w:tr>
      <w:tr w14:paraId="5353B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764" w:type="dxa"/>
            <w:vMerge w:val="continue"/>
            <w:vAlign w:val="center"/>
          </w:tcPr>
          <w:p w14:paraId="78E91C06">
            <w:pPr>
              <w:spacing w:before="156" w:beforeLines="50" w:after="156" w:afterLines="50"/>
              <w:jc w:val="left"/>
              <w:rPr>
                <w:rFonts w:ascii="宋体"/>
                <w:b/>
                <w:kern w:val="0"/>
                <w:sz w:val="18"/>
                <w:szCs w:val="18"/>
              </w:rPr>
            </w:pPr>
          </w:p>
        </w:tc>
        <w:tc>
          <w:tcPr>
            <w:tcW w:w="1667" w:type="dxa"/>
            <w:vMerge w:val="continue"/>
          </w:tcPr>
          <w:p w14:paraId="1729446C">
            <w:pPr>
              <w:spacing w:before="156" w:beforeLines="50" w:after="156" w:afterLines="50"/>
              <w:jc w:val="left"/>
              <w:rPr>
                <w:rFonts w:ascii="宋体"/>
                <w:b/>
                <w:kern w:val="0"/>
                <w:sz w:val="18"/>
                <w:szCs w:val="18"/>
              </w:rPr>
            </w:pPr>
          </w:p>
        </w:tc>
        <w:tc>
          <w:tcPr>
            <w:tcW w:w="1655" w:type="dxa"/>
            <w:vMerge w:val="continue"/>
            <w:vAlign w:val="center"/>
          </w:tcPr>
          <w:p w14:paraId="772A257F">
            <w:pPr>
              <w:spacing w:before="156" w:beforeLines="50" w:after="156" w:afterLines="50"/>
              <w:jc w:val="left"/>
              <w:rPr>
                <w:rFonts w:ascii="宋体"/>
                <w:b/>
                <w:kern w:val="0"/>
                <w:sz w:val="18"/>
                <w:szCs w:val="18"/>
              </w:rPr>
            </w:pPr>
          </w:p>
        </w:tc>
        <w:tc>
          <w:tcPr>
            <w:tcW w:w="2057" w:type="dxa"/>
            <w:vMerge w:val="continue"/>
            <w:vAlign w:val="center"/>
          </w:tcPr>
          <w:p w14:paraId="516FF1DF">
            <w:pPr>
              <w:spacing w:before="156" w:beforeLines="50" w:after="156" w:afterLines="50"/>
              <w:jc w:val="left"/>
              <w:rPr>
                <w:rFonts w:ascii="宋体"/>
                <w:b/>
                <w:kern w:val="0"/>
                <w:sz w:val="18"/>
                <w:szCs w:val="18"/>
              </w:rPr>
            </w:pPr>
          </w:p>
        </w:tc>
        <w:tc>
          <w:tcPr>
            <w:tcW w:w="927" w:type="dxa"/>
            <w:vMerge w:val="continue"/>
            <w:vAlign w:val="center"/>
          </w:tcPr>
          <w:p w14:paraId="6167E0FB">
            <w:pPr>
              <w:spacing w:before="156" w:beforeLines="50" w:after="156" w:afterLines="50"/>
              <w:jc w:val="left"/>
              <w:rPr>
                <w:rFonts w:ascii="宋体"/>
                <w:b/>
                <w:kern w:val="0"/>
                <w:sz w:val="18"/>
                <w:szCs w:val="18"/>
              </w:rPr>
            </w:pPr>
          </w:p>
        </w:tc>
        <w:tc>
          <w:tcPr>
            <w:tcW w:w="3175" w:type="dxa"/>
            <w:vMerge w:val="continue"/>
            <w:vAlign w:val="center"/>
          </w:tcPr>
          <w:p w14:paraId="0E9ACB4E">
            <w:pPr>
              <w:spacing w:before="156" w:beforeLines="50" w:after="156" w:afterLines="50"/>
              <w:jc w:val="left"/>
              <w:rPr>
                <w:rFonts w:ascii="宋体"/>
                <w:b/>
                <w:kern w:val="0"/>
                <w:sz w:val="18"/>
                <w:szCs w:val="18"/>
              </w:rPr>
            </w:pPr>
          </w:p>
        </w:tc>
        <w:tc>
          <w:tcPr>
            <w:tcW w:w="2045" w:type="dxa"/>
            <w:vAlign w:val="center"/>
          </w:tcPr>
          <w:p w14:paraId="1AC3943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03" w:type="dxa"/>
            <w:gridSpan w:val="2"/>
            <w:tcBorders>
              <w:right w:val="single" w:color="auto" w:sz="4" w:space="0"/>
            </w:tcBorders>
            <w:vAlign w:val="center"/>
          </w:tcPr>
          <w:p w14:paraId="5C209F1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87" w:type="dxa"/>
            <w:tcBorders>
              <w:left w:val="single" w:color="auto" w:sz="4" w:space="0"/>
            </w:tcBorders>
            <w:vAlign w:val="center"/>
          </w:tcPr>
          <w:p w14:paraId="64AB02B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605" w:type="dxa"/>
            <w:vMerge w:val="continue"/>
            <w:vAlign w:val="center"/>
          </w:tcPr>
          <w:p w14:paraId="362CACC0">
            <w:pPr>
              <w:spacing w:before="156" w:beforeLines="50" w:after="156" w:afterLines="50"/>
              <w:jc w:val="left"/>
              <w:rPr>
                <w:rFonts w:ascii="宋体"/>
                <w:b/>
                <w:kern w:val="0"/>
                <w:sz w:val="18"/>
                <w:szCs w:val="18"/>
              </w:rPr>
            </w:pPr>
          </w:p>
        </w:tc>
      </w:tr>
      <w:tr w14:paraId="26855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764" w:type="dxa"/>
            <w:vMerge w:val="restart"/>
            <w:vAlign w:val="center"/>
          </w:tcPr>
          <w:p w14:paraId="0D35ABD0">
            <w:pPr>
              <w:spacing w:before="156" w:beforeLines="50" w:after="156" w:afterLines="50"/>
              <w:jc w:val="center"/>
              <w:rPr>
                <w:rFonts w:ascii="宋体"/>
                <w:kern w:val="0"/>
                <w:sz w:val="18"/>
                <w:szCs w:val="18"/>
              </w:rPr>
            </w:pPr>
            <w:r>
              <w:rPr>
                <w:rFonts w:hint="eastAsia" w:ascii="宋体"/>
                <w:kern w:val="0"/>
                <w:sz w:val="18"/>
                <w:szCs w:val="18"/>
              </w:rPr>
              <w:t>52</w:t>
            </w:r>
          </w:p>
        </w:tc>
        <w:tc>
          <w:tcPr>
            <w:tcW w:w="1667" w:type="dxa"/>
            <w:vMerge w:val="restart"/>
            <w:vAlign w:val="center"/>
          </w:tcPr>
          <w:p w14:paraId="1BD18DA0">
            <w:pPr>
              <w:widowControl/>
              <w:spacing w:before="156" w:beforeLines="50" w:after="156" w:afterLines="50"/>
              <w:jc w:val="left"/>
              <w:rPr>
                <w:rFonts w:ascii="宋体"/>
                <w:kern w:val="0"/>
                <w:sz w:val="18"/>
                <w:szCs w:val="18"/>
              </w:rPr>
            </w:pPr>
            <w:r>
              <w:rPr>
                <w:rFonts w:hint="eastAsia" w:ascii="宋体"/>
                <w:kern w:val="0"/>
                <w:sz w:val="18"/>
                <w:szCs w:val="18"/>
              </w:rPr>
              <w:t>未按照《船舶现场监督报告》《船旗国监督检查报告》《港口国监督检查报告》的处理意见纠正缺陷或者采取措施</w:t>
            </w:r>
          </w:p>
        </w:tc>
        <w:tc>
          <w:tcPr>
            <w:tcW w:w="1655" w:type="dxa"/>
            <w:vMerge w:val="restart"/>
            <w:vAlign w:val="center"/>
          </w:tcPr>
          <w:p w14:paraId="7F52ACBC">
            <w:pPr>
              <w:widowControl/>
              <w:spacing w:before="156" w:beforeLines="50" w:after="156" w:afterLines="50"/>
              <w:jc w:val="left"/>
              <w:rPr>
                <w:rFonts w:ascii="宋体"/>
                <w:kern w:val="0"/>
                <w:sz w:val="18"/>
                <w:szCs w:val="18"/>
              </w:rPr>
            </w:pPr>
            <w:r>
              <w:rPr>
                <w:rFonts w:hint="eastAsia" w:ascii="宋体"/>
                <w:kern w:val="0"/>
                <w:sz w:val="18"/>
                <w:szCs w:val="18"/>
              </w:rPr>
              <w:t>《中华人民共和国船舶安全监督规则》第三十四条第一款</w:t>
            </w:r>
          </w:p>
        </w:tc>
        <w:tc>
          <w:tcPr>
            <w:tcW w:w="2057" w:type="dxa"/>
            <w:vMerge w:val="restart"/>
            <w:vAlign w:val="center"/>
          </w:tcPr>
          <w:p w14:paraId="7D06F56D">
            <w:pPr>
              <w:spacing w:before="156" w:beforeLines="50" w:after="156" w:afterLines="50"/>
              <w:jc w:val="left"/>
              <w:rPr>
                <w:rFonts w:ascii="宋体"/>
                <w:kern w:val="0"/>
                <w:sz w:val="18"/>
                <w:szCs w:val="18"/>
              </w:rPr>
            </w:pPr>
            <w:r>
              <w:rPr>
                <w:rFonts w:hint="eastAsia" w:ascii="宋体"/>
                <w:kern w:val="0"/>
                <w:sz w:val="18"/>
                <w:szCs w:val="18"/>
              </w:rPr>
              <w:t>1.《中华人民共和国船舶安全监督规则》第五十二条第（二）项；</w:t>
            </w:r>
          </w:p>
          <w:p w14:paraId="2B689475">
            <w:pPr>
              <w:pStyle w:val="13"/>
              <w:spacing w:before="156" w:beforeLines="50" w:after="156" w:afterLines="50"/>
              <w:rPr>
                <w:rFonts w:ascii="宋体"/>
                <w:sz w:val="18"/>
                <w:szCs w:val="18"/>
              </w:rPr>
            </w:pPr>
            <w:r>
              <w:rPr>
                <w:rFonts w:hint="eastAsia"/>
                <w:sz w:val="18"/>
                <w:szCs w:val="18"/>
              </w:rPr>
              <w:t>2.《中华人民共和国行政处罚法》第三十二条（从轻）。</w:t>
            </w:r>
          </w:p>
          <w:p w14:paraId="3640B0C7">
            <w:pPr>
              <w:spacing w:before="156" w:beforeLines="50" w:after="156" w:afterLines="50"/>
              <w:jc w:val="left"/>
              <w:rPr>
                <w:rFonts w:ascii="宋体"/>
                <w:kern w:val="0"/>
                <w:sz w:val="18"/>
                <w:szCs w:val="18"/>
              </w:rPr>
            </w:pPr>
          </w:p>
        </w:tc>
        <w:tc>
          <w:tcPr>
            <w:tcW w:w="927" w:type="dxa"/>
            <w:vAlign w:val="center"/>
          </w:tcPr>
          <w:p w14:paraId="7558E4F5">
            <w:pPr>
              <w:spacing w:before="156" w:beforeLines="50" w:after="156" w:afterLines="50"/>
              <w:jc w:val="center"/>
              <w:rPr>
                <w:rFonts w:ascii="宋体"/>
                <w:kern w:val="0"/>
                <w:sz w:val="18"/>
                <w:szCs w:val="18"/>
              </w:rPr>
            </w:pPr>
            <w:r>
              <w:rPr>
                <w:rFonts w:hint="eastAsia" w:ascii="宋体"/>
                <w:kern w:val="0"/>
                <w:sz w:val="18"/>
                <w:szCs w:val="18"/>
              </w:rPr>
              <w:t>从轻</w:t>
            </w:r>
          </w:p>
        </w:tc>
        <w:tc>
          <w:tcPr>
            <w:tcW w:w="3175" w:type="dxa"/>
            <w:vAlign w:val="center"/>
          </w:tcPr>
          <w:p w14:paraId="10492774">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2045" w:type="dxa"/>
            <w:tcBorders>
              <w:right w:val="single" w:color="auto" w:sz="4" w:space="0"/>
            </w:tcBorders>
            <w:vAlign w:val="center"/>
          </w:tcPr>
          <w:p w14:paraId="5F535D42">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c>
          <w:tcPr>
            <w:tcW w:w="2495" w:type="dxa"/>
            <w:tcBorders>
              <w:left w:val="single" w:color="auto" w:sz="4" w:space="0"/>
              <w:right w:val="single" w:color="auto" w:sz="4" w:space="0"/>
            </w:tcBorders>
            <w:vAlign w:val="center"/>
          </w:tcPr>
          <w:p w14:paraId="1CABF1E2">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元及以上2</w:t>
            </w:r>
            <w:r>
              <w:rPr>
                <w:rFonts w:ascii="宋体"/>
                <w:kern w:val="0"/>
                <w:sz w:val="18"/>
                <w:szCs w:val="18"/>
              </w:rPr>
              <w:t>000</w:t>
            </w:r>
            <w:r>
              <w:rPr>
                <w:rFonts w:hint="eastAsia" w:ascii="宋体"/>
                <w:kern w:val="0"/>
                <w:sz w:val="18"/>
                <w:szCs w:val="18"/>
              </w:rPr>
              <w:t>元以下</w:t>
            </w:r>
          </w:p>
        </w:tc>
        <w:tc>
          <w:tcPr>
            <w:tcW w:w="2395" w:type="dxa"/>
            <w:gridSpan w:val="2"/>
            <w:tcBorders>
              <w:left w:val="single" w:color="auto" w:sz="4" w:space="0"/>
            </w:tcBorders>
            <w:vAlign w:val="center"/>
          </w:tcPr>
          <w:p w14:paraId="4A9CDDE1">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元及以上2</w:t>
            </w:r>
            <w:r>
              <w:rPr>
                <w:rFonts w:ascii="宋体"/>
                <w:kern w:val="0"/>
                <w:sz w:val="18"/>
                <w:szCs w:val="18"/>
              </w:rPr>
              <w:t>000</w:t>
            </w:r>
            <w:r>
              <w:rPr>
                <w:rFonts w:hint="eastAsia" w:ascii="宋体"/>
                <w:kern w:val="0"/>
                <w:sz w:val="18"/>
                <w:szCs w:val="18"/>
              </w:rPr>
              <w:t>元以下</w:t>
            </w:r>
          </w:p>
        </w:tc>
        <w:tc>
          <w:tcPr>
            <w:tcW w:w="2605" w:type="dxa"/>
            <w:vAlign w:val="center"/>
          </w:tcPr>
          <w:p w14:paraId="490E12C4">
            <w:pPr>
              <w:spacing w:before="156" w:beforeLines="50" w:after="156" w:afterLines="50"/>
              <w:jc w:val="left"/>
              <w:rPr>
                <w:rFonts w:ascii="宋体"/>
                <w:kern w:val="0"/>
                <w:sz w:val="18"/>
                <w:szCs w:val="18"/>
              </w:rPr>
            </w:pPr>
            <w:r>
              <w:rPr>
                <w:rFonts w:ascii="宋体"/>
                <w:kern w:val="0"/>
                <w:sz w:val="18"/>
                <w:szCs w:val="18"/>
              </w:rPr>
              <w:t>100</w:t>
            </w:r>
            <w:r>
              <w:rPr>
                <w:rFonts w:hint="eastAsia" w:ascii="宋体"/>
                <w:kern w:val="0"/>
                <w:sz w:val="18"/>
                <w:szCs w:val="18"/>
              </w:rPr>
              <w:t>元及以上</w:t>
            </w:r>
            <w:r>
              <w:rPr>
                <w:rFonts w:ascii="宋体"/>
                <w:kern w:val="0"/>
                <w:sz w:val="18"/>
                <w:szCs w:val="18"/>
              </w:rPr>
              <w:t>500</w:t>
            </w:r>
            <w:r>
              <w:rPr>
                <w:rFonts w:hint="eastAsia" w:ascii="宋体"/>
                <w:kern w:val="0"/>
                <w:sz w:val="18"/>
                <w:szCs w:val="18"/>
              </w:rPr>
              <w:t>元以下</w:t>
            </w:r>
          </w:p>
        </w:tc>
      </w:tr>
      <w:tr w14:paraId="318F9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764" w:type="dxa"/>
            <w:vMerge w:val="continue"/>
            <w:vAlign w:val="center"/>
          </w:tcPr>
          <w:p w14:paraId="4BB918D8">
            <w:pPr>
              <w:spacing w:before="156" w:beforeLines="50" w:after="156" w:afterLines="50"/>
              <w:jc w:val="left"/>
              <w:rPr>
                <w:rFonts w:ascii="宋体"/>
                <w:kern w:val="0"/>
                <w:sz w:val="18"/>
                <w:szCs w:val="18"/>
              </w:rPr>
            </w:pPr>
          </w:p>
        </w:tc>
        <w:tc>
          <w:tcPr>
            <w:tcW w:w="1667" w:type="dxa"/>
            <w:vMerge w:val="continue"/>
          </w:tcPr>
          <w:p w14:paraId="33E2C36A">
            <w:pPr>
              <w:spacing w:before="156" w:beforeLines="50" w:after="156" w:afterLines="50"/>
              <w:jc w:val="left"/>
              <w:rPr>
                <w:rFonts w:ascii="宋体"/>
                <w:kern w:val="0"/>
                <w:sz w:val="18"/>
                <w:szCs w:val="18"/>
              </w:rPr>
            </w:pPr>
          </w:p>
        </w:tc>
        <w:tc>
          <w:tcPr>
            <w:tcW w:w="1655" w:type="dxa"/>
            <w:vMerge w:val="continue"/>
            <w:vAlign w:val="center"/>
          </w:tcPr>
          <w:p w14:paraId="0E6C6B88">
            <w:pPr>
              <w:widowControl/>
              <w:spacing w:before="156" w:beforeLines="50" w:after="156" w:afterLines="50"/>
              <w:jc w:val="left"/>
              <w:rPr>
                <w:rFonts w:ascii="宋体"/>
                <w:kern w:val="0"/>
                <w:sz w:val="18"/>
                <w:szCs w:val="18"/>
              </w:rPr>
            </w:pPr>
          </w:p>
        </w:tc>
        <w:tc>
          <w:tcPr>
            <w:tcW w:w="2057" w:type="dxa"/>
            <w:vMerge w:val="continue"/>
            <w:vAlign w:val="center"/>
          </w:tcPr>
          <w:p w14:paraId="702C57D6">
            <w:pPr>
              <w:spacing w:before="156" w:beforeLines="50" w:after="156" w:afterLines="50"/>
              <w:jc w:val="left"/>
              <w:rPr>
                <w:rFonts w:ascii="宋体"/>
                <w:kern w:val="0"/>
                <w:sz w:val="18"/>
                <w:szCs w:val="18"/>
              </w:rPr>
            </w:pPr>
          </w:p>
        </w:tc>
        <w:tc>
          <w:tcPr>
            <w:tcW w:w="927" w:type="dxa"/>
            <w:vMerge w:val="restart"/>
            <w:vAlign w:val="center"/>
          </w:tcPr>
          <w:p w14:paraId="51216F56">
            <w:pPr>
              <w:spacing w:before="156" w:beforeLines="50" w:after="156" w:afterLines="50"/>
              <w:jc w:val="center"/>
              <w:rPr>
                <w:rFonts w:ascii="宋体"/>
                <w:kern w:val="0"/>
                <w:sz w:val="18"/>
                <w:szCs w:val="18"/>
              </w:rPr>
            </w:pPr>
            <w:r>
              <w:rPr>
                <w:rFonts w:hint="eastAsia" w:ascii="宋体"/>
                <w:kern w:val="0"/>
                <w:sz w:val="18"/>
                <w:szCs w:val="18"/>
              </w:rPr>
              <w:t>一般</w:t>
            </w:r>
          </w:p>
          <w:p w14:paraId="17FC607E">
            <w:pPr>
              <w:spacing w:before="156" w:beforeLines="50" w:after="156" w:afterLines="50"/>
              <w:jc w:val="center"/>
              <w:rPr>
                <w:rFonts w:ascii="宋体"/>
                <w:kern w:val="0"/>
                <w:sz w:val="18"/>
                <w:szCs w:val="18"/>
              </w:rPr>
            </w:pPr>
          </w:p>
        </w:tc>
        <w:tc>
          <w:tcPr>
            <w:tcW w:w="3175" w:type="dxa"/>
            <w:tcBorders>
              <w:bottom w:val="single" w:color="auto" w:sz="4" w:space="0"/>
            </w:tcBorders>
            <w:vAlign w:val="center"/>
          </w:tcPr>
          <w:p w14:paraId="48188A91">
            <w:pPr>
              <w:spacing w:before="156" w:beforeLines="50" w:after="156" w:afterLines="50"/>
              <w:jc w:val="left"/>
              <w:rPr>
                <w:rFonts w:ascii="宋体"/>
                <w:kern w:val="0"/>
                <w:sz w:val="18"/>
                <w:szCs w:val="18"/>
              </w:rPr>
            </w:pPr>
            <w:r>
              <w:rPr>
                <w:rFonts w:hint="eastAsia" w:ascii="宋体"/>
                <w:kern w:val="0"/>
                <w:sz w:val="18"/>
                <w:szCs w:val="18"/>
              </w:rPr>
              <w:t>未按照规定纠正缺陷的。</w:t>
            </w:r>
          </w:p>
        </w:tc>
        <w:tc>
          <w:tcPr>
            <w:tcW w:w="2045" w:type="dxa"/>
            <w:vAlign w:val="center"/>
          </w:tcPr>
          <w:p w14:paraId="4FFC125D">
            <w:pPr>
              <w:spacing w:before="156" w:beforeLines="50" w:after="156" w:afterLines="50"/>
              <w:rPr>
                <w:rFonts w:ascii="宋体"/>
                <w:kern w:val="0"/>
                <w:sz w:val="18"/>
                <w:szCs w:val="18"/>
              </w:rPr>
            </w:pPr>
            <w:r>
              <w:rPr>
                <w:rFonts w:hint="eastAsia" w:ascii="宋体"/>
                <w:kern w:val="0"/>
                <w:sz w:val="18"/>
                <w:szCs w:val="18"/>
              </w:rPr>
              <w:t>2000元及以上4</w:t>
            </w:r>
            <w:r>
              <w:rPr>
                <w:rFonts w:ascii="宋体"/>
                <w:kern w:val="0"/>
                <w:sz w:val="18"/>
                <w:szCs w:val="18"/>
              </w:rPr>
              <w:t>000</w:t>
            </w:r>
            <w:r>
              <w:rPr>
                <w:rFonts w:hint="eastAsia" w:ascii="宋体"/>
                <w:kern w:val="0"/>
                <w:sz w:val="18"/>
                <w:szCs w:val="18"/>
              </w:rPr>
              <w:t>元以下</w:t>
            </w:r>
          </w:p>
        </w:tc>
        <w:tc>
          <w:tcPr>
            <w:tcW w:w="2495" w:type="dxa"/>
            <w:tcBorders>
              <w:right w:val="single" w:color="auto" w:sz="4" w:space="0"/>
            </w:tcBorders>
            <w:vAlign w:val="center"/>
          </w:tcPr>
          <w:p w14:paraId="2256B2D6">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元及以上5000元以下</w:t>
            </w:r>
          </w:p>
        </w:tc>
        <w:tc>
          <w:tcPr>
            <w:tcW w:w="2395" w:type="dxa"/>
            <w:gridSpan w:val="2"/>
            <w:tcBorders>
              <w:left w:val="single" w:color="auto" w:sz="4" w:space="0"/>
            </w:tcBorders>
            <w:vAlign w:val="center"/>
          </w:tcPr>
          <w:p w14:paraId="3AA91101">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元及以上6000以下</w:t>
            </w:r>
          </w:p>
        </w:tc>
        <w:tc>
          <w:tcPr>
            <w:tcW w:w="2605" w:type="dxa"/>
            <w:vAlign w:val="center"/>
          </w:tcPr>
          <w:p w14:paraId="4A1C3D76">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元及以上</w:t>
            </w:r>
            <w:r>
              <w:rPr>
                <w:rFonts w:ascii="宋体"/>
                <w:kern w:val="0"/>
                <w:sz w:val="18"/>
                <w:szCs w:val="18"/>
              </w:rPr>
              <w:t>800</w:t>
            </w:r>
            <w:r>
              <w:rPr>
                <w:rFonts w:hint="eastAsia" w:ascii="宋体"/>
                <w:kern w:val="0"/>
                <w:sz w:val="18"/>
                <w:szCs w:val="18"/>
              </w:rPr>
              <w:t>元以下</w:t>
            </w:r>
          </w:p>
        </w:tc>
      </w:tr>
      <w:tr w14:paraId="4BCCA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64" w:type="dxa"/>
            <w:vMerge w:val="continue"/>
            <w:vAlign w:val="center"/>
          </w:tcPr>
          <w:p w14:paraId="3C2E5D67">
            <w:pPr>
              <w:spacing w:before="156" w:beforeLines="50" w:after="156" w:afterLines="50"/>
              <w:jc w:val="left"/>
              <w:rPr>
                <w:rFonts w:ascii="宋体"/>
                <w:kern w:val="0"/>
                <w:sz w:val="18"/>
                <w:szCs w:val="18"/>
              </w:rPr>
            </w:pPr>
          </w:p>
        </w:tc>
        <w:tc>
          <w:tcPr>
            <w:tcW w:w="1667" w:type="dxa"/>
            <w:vMerge w:val="continue"/>
          </w:tcPr>
          <w:p w14:paraId="63B8CF12">
            <w:pPr>
              <w:spacing w:before="156" w:beforeLines="50" w:after="156" w:afterLines="50"/>
              <w:jc w:val="left"/>
              <w:rPr>
                <w:rFonts w:ascii="宋体"/>
                <w:kern w:val="0"/>
                <w:sz w:val="18"/>
                <w:szCs w:val="18"/>
              </w:rPr>
            </w:pPr>
          </w:p>
        </w:tc>
        <w:tc>
          <w:tcPr>
            <w:tcW w:w="1655" w:type="dxa"/>
            <w:vMerge w:val="continue"/>
            <w:vAlign w:val="center"/>
          </w:tcPr>
          <w:p w14:paraId="3CDB3962">
            <w:pPr>
              <w:spacing w:before="156" w:beforeLines="50" w:after="156" w:afterLines="50"/>
              <w:jc w:val="left"/>
              <w:rPr>
                <w:rFonts w:ascii="宋体"/>
                <w:kern w:val="0"/>
                <w:sz w:val="18"/>
                <w:szCs w:val="18"/>
              </w:rPr>
            </w:pPr>
          </w:p>
        </w:tc>
        <w:tc>
          <w:tcPr>
            <w:tcW w:w="2057" w:type="dxa"/>
            <w:vMerge w:val="continue"/>
            <w:vAlign w:val="center"/>
          </w:tcPr>
          <w:p w14:paraId="7C0E8E2E">
            <w:pPr>
              <w:spacing w:before="156" w:beforeLines="50" w:after="156" w:afterLines="50"/>
              <w:jc w:val="left"/>
              <w:rPr>
                <w:rFonts w:ascii="宋体"/>
                <w:kern w:val="0"/>
                <w:sz w:val="18"/>
                <w:szCs w:val="18"/>
              </w:rPr>
            </w:pPr>
          </w:p>
        </w:tc>
        <w:tc>
          <w:tcPr>
            <w:tcW w:w="927" w:type="dxa"/>
            <w:vMerge w:val="continue"/>
            <w:vAlign w:val="center"/>
          </w:tcPr>
          <w:p w14:paraId="5F56081F">
            <w:pPr>
              <w:spacing w:before="156" w:beforeLines="50" w:after="156" w:afterLines="50"/>
              <w:jc w:val="center"/>
              <w:rPr>
                <w:rFonts w:ascii="宋体"/>
                <w:kern w:val="0"/>
                <w:sz w:val="18"/>
                <w:szCs w:val="18"/>
              </w:rPr>
            </w:pPr>
          </w:p>
        </w:tc>
        <w:tc>
          <w:tcPr>
            <w:tcW w:w="3175" w:type="dxa"/>
            <w:tcBorders>
              <w:top w:val="single" w:color="auto" w:sz="4" w:space="0"/>
            </w:tcBorders>
            <w:vAlign w:val="center"/>
          </w:tcPr>
          <w:p w14:paraId="6305ACE7">
            <w:pPr>
              <w:widowControl/>
              <w:spacing w:before="156" w:beforeLines="50" w:after="156" w:afterLines="50"/>
              <w:jc w:val="left"/>
              <w:rPr>
                <w:rFonts w:ascii="宋体"/>
                <w:kern w:val="0"/>
                <w:sz w:val="18"/>
                <w:szCs w:val="18"/>
              </w:rPr>
            </w:pPr>
            <w:r>
              <w:rPr>
                <w:rFonts w:hint="eastAsia" w:ascii="宋体"/>
                <w:kern w:val="0"/>
                <w:sz w:val="18"/>
                <w:szCs w:val="18"/>
              </w:rPr>
              <w:t>未按照规定纠正缺陷的，导致发生一般以下等级水上交通事故的。</w:t>
            </w:r>
          </w:p>
        </w:tc>
        <w:tc>
          <w:tcPr>
            <w:tcW w:w="2045" w:type="dxa"/>
            <w:tcBorders>
              <w:right w:val="single" w:color="auto" w:sz="4" w:space="0"/>
            </w:tcBorders>
            <w:vAlign w:val="center"/>
          </w:tcPr>
          <w:p w14:paraId="73D67CFF">
            <w:pPr>
              <w:spacing w:before="156" w:beforeLines="50" w:after="156" w:afterLines="50"/>
              <w:rPr>
                <w:rFonts w:ascii="宋体"/>
                <w:kern w:val="0"/>
                <w:sz w:val="18"/>
                <w:szCs w:val="18"/>
              </w:rPr>
            </w:pPr>
            <w:r>
              <w:rPr>
                <w:rFonts w:hint="eastAsia" w:ascii="宋体"/>
                <w:kern w:val="0"/>
                <w:sz w:val="18"/>
                <w:szCs w:val="18"/>
              </w:rPr>
              <w:t>4000元及以上1万元以下</w:t>
            </w:r>
          </w:p>
        </w:tc>
        <w:tc>
          <w:tcPr>
            <w:tcW w:w="2495" w:type="dxa"/>
            <w:tcBorders>
              <w:left w:val="single" w:color="auto" w:sz="4" w:space="0"/>
              <w:right w:val="single" w:color="auto" w:sz="4" w:space="0"/>
            </w:tcBorders>
            <w:vAlign w:val="center"/>
          </w:tcPr>
          <w:p w14:paraId="75FC4A22">
            <w:pPr>
              <w:spacing w:before="156" w:beforeLines="50" w:after="156" w:afterLines="50"/>
              <w:rPr>
                <w:rFonts w:ascii="宋体"/>
                <w:kern w:val="0"/>
                <w:sz w:val="18"/>
                <w:szCs w:val="18"/>
              </w:rPr>
            </w:pPr>
            <w:r>
              <w:rPr>
                <w:rFonts w:hint="eastAsia" w:ascii="宋体"/>
                <w:kern w:val="0"/>
                <w:sz w:val="18"/>
                <w:szCs w:val="18"/>
              </w:rPr>
              <w:t>5000元及以上1万元以下</w:t>
            </w:r>
          </w:p>
        </w:tc>
        <w:tc>
          <w:tcPr>
            <w:tcW w:w="2395" w:type="dxa"/>
            <w:gridSpan w:val="2"/>
            <w:tcBorders>
              <w:left w:val="single" w:color="auto" w:sz="4" w:space="0"/>
            </w:tcBorders>
            <w:vAlign w:val="center"/>
          </w:tcPr>
          <w:p w14:paraId="5AC24CD0">
            <w:pPr>
              <w:spacing w:before="156" w:beforeLines="50" w:after="156" w:afterLines="50"/>
              <w:rPr>
                <w:rFonts w:ascii="宋体"/>
                <w:kern w:val="0"/>
                <w:sz w:val="18"/>
                <w:szCs w:val="18"/>
              </w:rPr>
            </w:pPr>
            <w:r>
              <w:rPr>
                <w:rFonts w:hint="eastAsia" w:ascii="宋体"/>
                <w:kern w:val="0"/>
                <w:sz w:val="18"/>
                <w:szCs w:val="18"/>
              </w:rPr>
              <w:t>6000元及以上1万元以下</w:t>
            </w:r>
          </w:p>
        </w:tc>
        <w:tc>
          <w:tcPr>
            <w:tcW w:w="2605" w:type="dxa"/>
            <w:vAlign w:val="center"/>
          </w:tcPr>
          <w:p w14:paraId="77312AFA">
            <w:pPr>
              <w:spacing w:before="156" w:beforeLines="50" w:after="156" w:afterLines="50"/>
              <w:jc w:val="left"/>
              <w:rPr>
                <w:rFonts w:ascii="宋体"/>
                <w:kern w:val="0"/>
                <w:sz w:val="18"/>
                <w:szCs w:val="18"/>
              </w:rPr>
            </w:pPr>
            <w:r>
              <w:rPr>
                <w:rFonts w:ascii="宋体"/>
                <w:kern w:val="0"/>
                <w:sz w:val="18"/>
                <w:szCs w:val="18"/>
              </w:rPr>
              <w:t>800</w:t>
            </w:r>
            <w:r>
              <w:rPr>
                <w:rFonts w:hint="eastAsia" w:ascii="宋体"/>
                <w:kern w:val="0"/>
                <w:sz w:val="18"/>
                <w:szCs w:val="18"/>
              </w:rPr>
              <w:t>元及以上1</w:t>
            </w:r>
            <w:r>
              <w:rPr>
                <w:rFonts w:ascii="宋体"/>
                <w:kern w:val="0"/>
                <w:sz w:val="18"/>
                <w:szCs w:val="18"/>
              </w:rPr>
              <w:t>000</w:t>
            </w:r>
            <w:r>
              <w:rPr>
                <w:rFonts w:hint="eastAsia" w:ascii="宋体"/>
                <w:kern w:val="0"/>
                <w:sz w:val="18"/>
                <w:szCs w:val="18"/>
              </w:rPr>
              <w:t>元以下</w:t>
            </w:r>
          </w:p>
        </w:tc>
      </w:tr>
      <w:tr w14:paraId="463F2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764" w:type="dxa"/>
            <w:vMerge w:val="continue"/>
            <w:vAlign w:val="center"/>
          </w:tcPr>
          <w:p w14:paraId="297EBC60">
            <w:pPr>
              <w:spacing w:before="156" w:beforeLines="50" w:after="156" w:afterLines="50"/>
              <w:jc w:val="left"/>
              <w:rPr>
                <w:rFonts w:ascii="宋体"/>
                <w:kern w:val="0"/>
                <w:sz w:val="18"/>
                <w:szCs w:val="18"/>
              </w:rPr>
            </w:pPr>
          </w:p>
        </w:tc>
        <w:tc>
          <w:tcPr>
            <w:tcW w:w="1667" w:type="dxa"/>
            <w:vMerge w:val="continue"/>
          </w:tcPr>
          <w:p w14:paraId="4840B36B">
            <w:pPr>
              <w:spacing w:before="156" w:beforeLines="50" w:after="156" w:afterLines="50"/>
              <w:jc w:val="left"/>
              <w:rPr>
                <w:rFonts w:ascii="宋体"/>
                <w:kern w:val="0"/>
                <w:sz w:val="18"/>
                <w:szCs w:val="18"/>
              </w:rPr>
            </w:pPr>
          </w:p>
        </w:tc>
        <w:tc>
          <w:tcPr>
            <w:tcW w:w="1655" w:type="dxa"/>
            <w:vMerge w:val="continue"/>
            <w:vAlign w:val="center"/>
          </w:tcPr>
          <w:p w14:paraId="506F13AE">
            <w:pPr>
              <w:spacing w:before="156" w:beforeLines="50" w:after="156" w:afterLines="50"/>
              <w:jc w:val="left"/>
              <w:rPr>
                <w:rFonts w:ascii="宋体"/>
                <w:kern w:val="0"/>
                <w:sz w:val="18"/>
                <w:szCs w:val="18"/>
              </w:rPr>
            </w:pPr>
          </w:p>
        </w:tc>
        <w:tc>
          <w:tcPr>
            <w:tcW w:w="2057" w:type="dxa"/>
            <w:vMerge w:val="continue"/>
            <w:vAlign w:val="center"/>
          </w:tcPr>
          <w:p w14:paraId="3287686B">
            <w:pPr>
              <w:spacing w:before="156" w:beforeLines="50" w:after="156" w:afterLines="50"/>
              <w:jc w:val="left"/>
              <w:rPr>
                <w:rFonts w:ascii="宋体"/>
                <w:kern w:val="0"/>
                <w:sz w:val="18"/>
                <w:szCs w:val="18"/>
              </w:rPr>
            </w:pPr>
          </w:p>
        </w:tc>
        <w:tc>
          <w:tcPr>
            <w:tcW w:w="927" w:type="dxa"/>
            <w:vAlign w:val="center"/>
          </w:tcPr>
          <w:p w14:paraId="27C8539D">
            <w:pPr>
              <w:spacing w:before="156" w:beforeLines="50" w:after="156" w:afterLines="50"/>
              <w:jc w:val="center"/>
              <w:rPr>
                <w:rFonts w:ascii="宋体"/>
                <w:kern w:val="0"/>
                <w:sz w:val="18"/>
                <w:szCs w:val="18"/>
              </w:rPr>
            </w:pPr>
            <w:r>
              <w:rPr>
                <w:rFonts w:hint="eastAsia" w:ascii="宋体"/>
                <w:kern w:val="0"/>
                <w:sz w:val="18"/>
                <w:szCs w:val="18"/>
              </w:rPr>
              <w:t>情节</w:t>
            </w:r>
          </w:p>
          <w:p w14:paraId="3905E652">
            <w:pPr>
              <w:spacing w:before="156" w:beforeLines="50" w:after="156" w:afterLines="50"/>
              <w:jc w:val="center"/>
              <w:rPr>
                <w:rFonts w:ascii="宋体"/>
                <w:kern w:val="0"/>
                <w:sz w:val="18"/>
                <w:szCs w:val="18"/>
              </w:rPr>
            </w:pPr>
            <w:r>
              <w:rPr>
                <w:rFonts w:hint="eastAsia" w:ascii="宋体"/>
                <w:kern w:val="0"/>
                <w:sz w:val="18"/>
                <w:szCs w:val="18"/>
              </w:rPr>
              <w:t>严重</w:t>
            </w:r>
          </w:p>
        </w:tc>
        <w:tc>
          <w:tcPr>
            <w:tcW w:w="3175" w:type="dxa"/>
            <w:vAlign w:val="center"/>
          </w:tcPr>
          <w:p w14:paraId="489C4A61">
            <w:pPr>
              <w:spacing w:before="156" w:beforeLines="50" w:after="156" w:afterLines="50"/>
              <w:jc w:val="left"/>
              <w:rPr>
                <w:rFonts w:ascii="宋体"/>
                <w:kern w:val="0"/>
                <w:sz w:val="18"/>
                <w:szCs w:val="18"/>
              </w:rPr>
            </w:pPr>
            <w:r>
              <w:rPr>
                <w:rFonts w:hint="eastAsia" w:ascii="宋体"/>
                <w:kern w:val="0"/>
                <w:sz w:val="18"/>
                <w:szCs w:val="18"/>
              </w:rPr>
              <w:t>1.未按照规定纠正缺陷的，导致发生一般及以上等级水上交通事故的；</w:t>
            </w:r>
          </w:p>
          <w:p w14:paraId="7B860FAC">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045" w:type="dxa"/>
            <w:tcBorders>
              <w:right w:val="single" w:color="auto" w:sz="4" w:space="0"/>
            </w:tcBorders>
            <w:vAlign w:val="center"/>
          </w:tcPr>
          <w:p w14:paraId="20DB907E">
            <w:pPr>
              <w:spacing w:before="156" w:beforeLines="50" w:after="156" w:afterLines="50"/>
              <w:jc w:val="left"/>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495" w:type="dxa"/>
            <w:tcBorders>
              <w:left w:val="single" w:color="auto" w:sz="4" w:space="0"/>
              <w:right w:val="single" w:color="auto" w:sz="4" w:space="0"/>
            </w:tcBorders>
            <w:vAlign w:val="center"/>
          </w:tcPr>
          <w:p w14:paraId="0D311C2F">
            <w:pPr>
              <w:spacing w:before="156" w:beforeLines="50" w:after="156" w:afterLines="50"/>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395" w:type="dxa"/>
            <w:gridSpan w:val="2"/>
            <w:tcBorders>
              <w:left w:val="single" w:color="auto" w:sz="4" w:space="0"/>
            </w:tcBorders>
            <w:vAlign w:val="center"/>
          </w:tcPr>
          <w:p w14:paraId="57BC5DB5">
            <w:pPr>
              <w:spacing w:before="156" w:beforeLines="50" w:after="156" w:afterLines="50"/>
              <w:rPr>
                <w:rFonts w:ascii="宋体"/>
                <w:kern w:val="0"/>
                <w:sz w:val="18"/>
                <w:szCs w:val="18"/>
              </w:rPr>
            </w:pPr>
            <w:r>
              <w:rPr>
                <w:rFonts w:hint="eastAsia" w:ascii="宋体"/>
                <w:kern w:val="0"/>
                <w:sz w:val="18"/>
                <w:szCs w:val="18"/>
              </w:rPr>
              <w:t>1万元及以上</w:t>
            </w:r>
            <w:r>
              <w:rPr>
                <w:rFonts w:ascii="宋体"/>
                <w:kern w:val="0"/>
                <w:sz w:val="18"/>
                <w:szCs w:val="18"/>
              </w:rPr>
              <w:t>3</w:t>
            </w:r>
            <w:r>
              <w:rPr>
                <w:rFonts w:hint="eastAsia" w:ascii="宋体"/>
                <w:kern w:val="0"/>
                <w:sz w:val="18"/>
                <w:szCs w:val="18"/>
              </w:rPr>
              <w:t>万元及以下</w:t>
            </w:r>
          </w:p>
        </w:tc>
        <w:tc>
          <w:tcPr>
            <w:tcW w:w="2605" w:type="dxa"/>
            <w:vAlign w:val="center"/>
          </w:tcPr>
          <w:p w14:paraId="73FE369A">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元及以下罚款</w:t>
            </w:r>
          </w:p>
        </w:tc>
      </w:tr>
    </w:tbl>
    <w:p w14:paraId="789BF1D2">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904"/>
        <w:gridCol w:w="1419"/>
        <w:gridCol w:w="1628"/>
        <w:gridCol w:w="1022"/>
        <w:gridCol w:w="2483"/>
        <w:gridCol w:w="2836"/>
        <w:gridCol w:w="2782"/>
        <w:gridCol w:w="2996"/>
        <w:gridCol w:w="3834"/>
      </w:tblGrid>
      <w:tr w14:paraId="731AE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10" w:type="dxa"/>
            <w:vMerge w:val="restart"/>
            <w:vAlign w:val="center"/>
          </w:tcPr>
          <w:p w14:paraId="5A9C5AF8">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904" w:type="dxa"/>
            <w:vMerge w:val="restart"/>
            <w:vAlign w:val="center"/>
          </w:tcPr>
          <w:p w14:paraId="43C9A3D8">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047" w:type="dxa"/>
            <w:gridSpan w:val="2"/>
            <w:vMerge w:val="restart"/>
            <w:vAlign w:val="center"/>
          </w:tcPr>
          <w:p w14:paraId="0EF8A8A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22" w:type="dxa"/>
            <w:vMerge w:val="restart"/>
            <w:vAlign w:val="center"/>
          </w:tcPr>
          <w:p w14:paraId="68736C52">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2483" w:type="dxa"/>
            <w:vMerge w:val="restart"/>
            <w:vAlign w:val="center"/>
          </w:tcPr>
          <w:p w14:paraId="36943171">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448" w:type="dxa"/>
            <w:gridSpan w:val="4"/>
            <w:vAlign w:val="center"/>
          </w:tcPr>
          <w:p w14:paraId="2B517A2A">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万元以下的罚款；情节严重的，对责任船员给予暂扣适任证书或者其他适任证件</w:t>
            </w:r>
            <w:r>
              <w:rPr>
                <w:rFonts w:ascii="宋体"/>
                <w:b/>
                <w:sz w:val="18"/>
                <w:szCs w:val="18"/>
              </w:rPr>
              <w:t>3</w:t>
            </w:r>
            <w:r>
              <w:rPr>
                <w:rFonts w:hint="eastAsia" w:ascii="宋体"/>
                <w:b/>
                <w:sz w:val="18"/>
                <w:szCs w:val="18"/>
              </w:rPr>
              <w:t>个月至</w:t>
            </w:r>
            <w:r>
              <w:rPr>
                <w:rFonts w:ascii="宋体"/>
                <w:b/>
                <w:sz w:val="18"/>
                <w:szCs w:val="18"/>
              </w:rPr>
              <w:t>6</w:t>
            </w:r>
            <w:r>
              <w:rPr>
                <w:rFonts w:hint="eastAsia" w:ascii="宋体"/>
                <w:b/>
                <w:sz w:val="18"/>
                <w:szCs w:val="18"/>
              </w:rPr>
              <w:t>个月直至吊销适任证书或者其他适任证件的处罚；造成重大内河交通事故的，依照刑法关于交通肇事罪或者其他罪的规定，依法追究刑事责任。</w:t>
            </w:r>
          </w:p>
        </w:tc>
      </w:tr>
      <w:tr w14:paraId="21D0B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10" w:type="dxa"/>
            <w:vMerge w:val="continue"/>
            <w:vAlign w:val="center"/>
          </w:tcPr>
          <w:p w14:paraId="0D085465">
            <w:pPr>
              <w:spacing w:before="156" w:beforeLines="50" w:after="156" w:afterLines="50"/>
              <w:jc w:val="center"/>
              <w:rPr>
                <w:rFonts w:ascii="宋体"/>
                <w:b/>
                <w:kern w:val="0"/>
                <w:sz w:val="18"/>
                <w:szCs w:val="18"/>
              </w:rPr>
            </w:pPr>
          </w:p>
        </w:tc>
        <w:tc>
          <w:tcPr>
            <w:tcW w:w="904" w:type="dxa"/>
            <w:vMerge w:val="continue"/>
            <w:vAlign w:val="center"/>
          </w:tcPr>
          <w:p w14:paraId="7BBEF532">
            <w:pPr>
              <w:spacing w:before="156" w:beforeLines="50" w:after="156" w:afterLines="50"/>
              <w:jc w:val="center"/>
              <w:rPr>
                <w:rFonts w:ascii="宋体"/>
                <w:b/>
                <w:kern w:val="0"/>
                <w:sz w:val="18"/>
                <w:szCs w:val="18"/>
              </w:rPr>
            </w:pPr>
          </w:p>
        </w:tc>
        <w:tc>
          <w:tcPr>
            <w:tcW w:w="3047" w:type="dxa"/>
            <w:gridSpan w:val="2"/>
            <w:vMerge w:val="continue"/>
            <w:vAlign w:val="center"/>
          </w:tcPr>
          <w:p w14:paraId="3FE8EB25">
            <w:pPr>
              <w:spacing w:before="156" w:beforeLines="50" w:after="156" w:afterLines="50"/>
              <w:jc w:val="center"/>
              <w:rPr>
                <w:rFonts w:ascii="宋体"/>
                <w:b/>
                <w:kern w:val="0"/>
                <w:sz w:val="18"/>
                <w:szCs w:val="18"/>
              </w:rPr>
            </w:pPr>
          </w:p>
        </w:tc>
        <w:tc>
          <w:tcPr>
            <w:tcW w:w="1022" w:type="dxa"/>
            <w:vMerge w:val="continue"/>
            <w:vAlign w:val="center"/>
          </w:tcPr>
          <w:p w14:paraId="2B06DACC">
            <w:pPr>
              <w:spacing w:before="156" w:beforeLines="50" w:after="156" w:afterLines="50"/>
              <w:jc w:val="left"/>
              <w:rPr>
                <w:rFonts w:ascii="宋体"/>
                <w:b/>
                <w:kern w:val="0"/>
                <w:sz w:val="18"/>
                <w:szCs w:val="18"/>
              </w:rPr>
            </w:pPr>
          </w:p>
        </w:tc>
        <w:tc>
          <w:tcPr>
            <w:tcW w:w="2483" w:type="dxa"/>
            <w:vMerge w:val="continue"/>
            <w:vAlign w:val="center"/>
          </w:tcPr>
          <w:p w14:paraId="76D91A80">
            <w:pPr>
              <w:spacing w:before="156" w:beforeLines="50" w:after="156" w:afterLines="50"/>
              <w:jc w:val="left"/>
              <w:rPr>
                <w:rFonts w:ascii="宋体"/>
                <w:b/>
                <w:kern w:val="0"/>
                <w:sz w:val="18"/>
                <w:szCs w:val="18"/>
              </w:rPr>
            </w:pPr>
          </w:p>
        </w:tc>
        <w:tc>
          <w:tcPr>
            <w:tcW w:w="12448" w:type="dxa"/>
            <w:gridSpan w:val="4"/>
            <w:vAlign w:val="center"/>
          </w:tcPr>
          <w:p w14:paraId="6B467C5E">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2F5A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10" w:type="dxa"/>
            <w:vMerge w:val="continue"/>
            <w:vAlign w:val="center"/>
          </w:tcPr>
          <w:p w14:paraId="04AA4BFC">
            <w:pPr>
              <w:spacing w:before="156" w:beforeLines="50" w:after="156" w:afterLines="50"/>
              <w:jc w:val="center"/>
              <w:rPr>
                <w:rFonts w:ascii="宋体"/>
                <w:b/>
                <w:kern w:val="0"/>
                <w:sz w:val="18"/>
                <w:szCs w:val="18"/>
              </w:rPr>
            </w:pPr>
          </w:p>
        </w:tc>
        <w:tc>
          <w:tcPr>
            <w:tcW w:w="904" w:type="dxa"/>
            <w:vMerge w:val="continue"/>
            <w:vAlign w:val="center"/>
          </w:tcPr>
          <w:p w14:paraId="7F929900">
            <w:pPr>
              <w:spacing w:before="156" w:beforeLines="50" w:after="156" w:afterLines="50"/>
              <w:jc w:val="center"/>
              <w:rPr>
                <w:rFonts w:ascii="宋体"/>
                <w:b/>
                <w:kern w:val="0"/>
                <w:sz w:val="18"/>
                <w:szCs w:val="18"/>
              </w:rPr>
            </w:pPr>
          </w:p>
        </w:tc>
        <w:tc>
          <w:tcPr>
            <w:tcW w:w="1419" w:type="dxa"/>
            <w:vMerge w:val="restart"/>
            <w:vAlign w:val="center"/>
          </w:tcPr>
          <w:p w14:paraId="71730AED">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628" w:type="dxa"/>
            <w:vMerge w:val="restart"/>
            <w:vAlign w:val="center"/>
          </w:tcPr>
          <w:p w14:paraId="1F5844B3">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22" w:type="dxa"/>
            <w:vMerge w:val="continue"/>
            <w:vAlign w:val="center"/>
          </w:tcPr>
          <w:p w14:paraId="19AF5E32">
            <w:pPr>
              <w:spacing w:before="156" w:beforeLines="50" w:after="156" w:afterLines="50"/>
              <w:jc w:val="left"/>
              <w:rPr>
                <w:rFonts w:ascii="宋体"/>
                <w:b/>
                <w:kern w:val="0"/>
                <w:sz w:val="18"/>
                <w:szCs w:val="18"/>
              </w:rPr>
            </w:pPr>
          </w:p>
        </w:tc>
        <w:tc>
          <w:tcPr>
            <w:tcW w:w="2483" w:type="dxa"/>
            <w:vMerge w:val="continue"/>
            <w:vAlign w:val="center"/>
          </w:tcPr>
          <w:p w14:paraId="0B1EC483">
            <w:pPr>
              <w:spacing w:before="156" w:beforeLines="50" w:after="156" w:afterLines="50"/>
              <w:jc w:val="left"/>
              <w:rPr>
                <w:rFonts w:ascii="宋体"/>
                <w:b/>
                <w:kern w:val="0"/>
                <w:sz w:val="18"/>
                <w:szCs w:val="18"/>
              </w:rPr>
            </w:pPr>
          </w:p>
        </w:tc>
        <w:tc>
          <w:tcPr>
            <w:tcW w:w="8614" w:type="dxa"/>
            <w:gridSpan w:val="3"/>
            <w:vAlign w:val="center"/>
          </w:tcPr>
          <w:p w14:paraId="0610A55C">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834" w:type="dxa"/>
            <w:vMerge w:val="restart"/>
            <w:vAlign w:val="center"/>
          </w:tcPr>
          <w:p w14:paraId="29E3C3F5">
            <w:pPr>
              <w:spacing w:before="156" w:beforeLines="50" w:after="156" w:afterLines="50"/>
              <w:jc w:val="center"/>
              <w:rPr>
                <w:rFonts w:ascii="宋体"/>
                <w:b/>
                <w:kern w:val="0"/>
                <w:sz w:val="18"/>
                <w:szCs w:val="18"/>
              </w:rPr>
            </w:pPr>
            <w:r>
              <w:rPr>
                <w:rFonts w:hint="eastAsia" w:ascii="宋体"/>
                <w:b/>
                <w:kern w:val="0"/>
                <w:sz w:val="18"/>
                <w:szCs w:val="18"/>
              </w:rPr>
              <w:t>【对象】责任船员</w:t>
            </w:r>
          </w:p>
        </w:tc>
      </w:tr>
      <w:tr w14:paraId="1C252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10" w:type="dxa"/>
            <w:vMerge w:val="continue"/>
            <w:vAlign w:val="center"/>
          </w:tcPr>
          <w:p w14:paraId="174F197F">
            <w:pPr>
              <w:spacing w:before="156" w:beforeLines="50" w:after="156" w:afterLines="50"/>
              <w:jc w:val="left"/>
              <w:rPr>
                <w:rFonts w:ascii="宋体"/>
                <w:b/>
                <w:kern w:val="0"/>
                <w:sz w:val="18"/>
                <w:szCs w:val="18"/>
              </w:rPr>
            </w:pPr>
          </w:p>
        </w:tc>
        <w:tc>
          <w:tcPr>
            <w:tcW w:w="904" w:type="dxa"/>
            <w:vMerge w:val="continue"/>
            <w:vAlign w:val="center"/>
          </w:tcPr>
          <w:p w14:paraId="1A3CE1CF">
            <w:pPr>
              <w:spacing w:before="156" w:beforeLines="50" w:after="156" w:afterLines="50"/>
              <w:jc w:val="left"/>
              <w:rPr>
                <w:rFonts w:ascii="宋体"/>
                <w:b/>
                <w:kern w:val="0"/>
                <w:sz w:val="18"/>
                <w:szCs w:val="18"/>
              </w:rPr>
            </w:pPr>
          </w:p>
        </w:tc>
        <w:tc>
          <w:tcPr>
            <w:tcW w:w="1419" w:type="dxa"/>
            <w:vMerge w:val="continue"/>
            <w:vAlign w:val="center"/>
          </w:tcPr>
          <w:p w14:paraId="09F30E01">
            <w:pPr>
              <w:spacing w:before="156" w:beforeLines="50" w:after="156" w:afterLines="50"/>
              <w:jc w:val="left"/>
              <w:rPr>
                <w:rFonts w:ascii="宋体"/>
                <w:b/>
                <w:kern w:val="0"/>
                <w:sz w:val="18"/>
                <w:szCs w:val="18"/>
              </w:rPr>
            </w:pPr>
          </w:p>
        </w:tc>
        <w:tc>
          <w:tcPr>
            <w:tcW w:w="1628" w:type="dxa"/>
            <w:vMerge w:val="continue"/>
            <w:vAlign w:val="center"/>
          </w:tcPr>
          <w:p w14:paraId="0F3319ED">
            <w:pPr>
              <w:spacing w:before="156" w:beforeLines="50" w:after="156" w:afterLines="50"/>
              <w:jc w:val="left"/>
              <w:rPr>
                <w:rFonts w:ascii="宋体"/>
                <w:b/>
                <w:kern w:val="0"/>
                <w:sz w:val="18"/>
                <w:szCs w:val="18"/>
              </w:rPr>
            </w:pPr>
          </w:p>
        </w:tc>
        <w:tc>
          <w:tcPr>
            <w:tcW w:w="1022" w:type="dxa"/>
            <w:vMerge w:val="continue"/>
            <w:vAlign w:val="center"/>
          </w:tcPr>
          <w:p w14:paraId="166344E6">
            <w:pPr>
              <w:spacing w:before="156" w:beforeLines="50" w:after="156" w:afterLines="50"/>
              <w:jc w:val="left"/>
              <w:rPr>
                <w:rFonts w:ascii="宋体"/>
                <w:b/>
                <w:kern w:val="0"/>
                <w:sz w:val="18"/>
                <w:szCs w:val="18"/>
              </w:rPr>
            </w:pPr>
          </w:p>
        </w:tc>
        <w:tc>
          <w:tcPr>
            <w:tcW w:w="2483" w:type="dxa"/>
            <w:vMerge w:val="continue"/>
            <w:vAlign w:val="center"/>
          </w:tcPr>
          <w:p w14:paraId="330DAF36">
            <w:pPr>
              <w:spacing w:before="156" w:beforeLines="50" w:after="156" w:afterLines="50"/>
              <w:jc w:val="left"/>
              <w:rPr>
                <w:rFonts w:ascii="宋体"/>
                <w:b/>
                <w:kern w:val="0"/>
                <w:sz w:val="18"/>
                <w:szCs w:val="18"/>
              </w:rPr>
            </w:pPr>
          </w:p>
        </w:tc>
        <w:tc>
          <w:tcPr>
            <w:tcW w:w="2836" w:type="dxa"/>
            <w:vAlign w:val="center"/>
          </w:tcPr>
          <w:p w14:paraId="705721FB">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782" w:type="dxa"/>
            <w:vAlign w:val="center"/>
          </w:tcPr>
          <w:p w14:paraId="32088ED3">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96" w:type="dxa"/>
            <w:vAlign w:val="center"/>
          </w:tcPr>
          <w:p w14:paraId="3CB2018F">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3834" w:type="dxa"/>
            <w:vMerge w:val="continue"/>
            <w:vAlign w:val="center"/>
          </w:tcPr>
          <w:p w14:paraId="22815C7C">
            <w:pPr>
              <w:spacing w:before="156" w:beforeLines="50" w:after="156" w:afterLines="50"/>
              <w:jc w:val="left"/>
              <w:rPr>
                <w:rFonts w:ascii="宋体"/>
                <w:b/>
                <w:sz w:val="18"/>
                <w:szCs w:val="18"/>
              </w:rPr>
            </w:pPr>
          </w:p>
        </w:tc>
      </w:tr>
      <w:tr w14:paraId="1F656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0" w:type="dxa"/>
            <w:vMerge w:val="restart"/>
            <w:vAlign w:val="center"/>
          </w:tcPr>
          <w:p w14:paraId="4424FF26">
            <w:pPr>
              <w:spacing w:before="156" w:beforeLines="50" w:after="156" w:afterLines="50"/>
              <w:jc w:val="center"/>
              <w:rPr>
                <w:rFonts w:ascii="宋体"/>
                <w:kern w:val="0"/>
                <w:sz w:val="18"/>
                <w:szCs w:val="18"/>
              </w:rPr>
            </w:pPr>
            <w:r>
              <w:rPr>
                <w:rFonts w:hint="eastAsia" w:ascii="宋体"/>
                <w:kern w:val="0"/>
                <w:sz w:val="18"/>
                <w:szCs w:val="18"/>
              </w:rPr>
              <w:t>53</w:t>
            </w:r>
          </w:p>
        </w:tc>
        <w:tc>
          <w:tcPr>
            <w:tcW w:w="904" w:type="dxa"/>
            <w:vMerge w:val="restart"/>
            <w:vAlign w:val="center"/>
          </w:tcPr>
          <w:p w14:paraId="5883DA70">
            <w:pPr>
              <w:widowControl/>
              <w:spacing w:before="156" w:beforeLines="50" w:after="156" w:afterLines="50"/>
              <w:jc w:val="left"/>
              <w:rPr>
                <w:rFonts w:ascii="宋体"/>
                <w:kern w:val="0"/>
                <w:sz w:val="18"/>
                <w:szCs w:val="18"/>
              </w:rPr>
            </w:pPr>
            <w:r>
              <w:rPr>
                <w:rFonts w:hint="eastAsia" w:ascii="宋体"/>
                <w:sz w:val="18"/>
                <w:szCs w:val="18"/>
              </w:rPr>
              <w:t>船舶停泊未按照规定留足值班人员</w:t>
            </w:r>
          </w:p>
        </w:tc>
        <w:tc>
          <w:tcPr>
            <w:tcW w:w="1419" w:type="dxa"/>
            <w:vMerge w:val="restart"/>
            <w:vAlign w:val="center"/>
          </w:tcPr>
          <w:p w14:paraId="423A6651">
            <w:pPr>
              <w:widowControl/>
              <w:spacing w:before="156" w:beforeLines="50" w:after="156" w:afterLines="50"/>
              <w:jc w:val="left"/>
              <w:rPr>
                <w:rFonts w:ascii="宋体"/>
                <w:sz w:val="18"/>
                <w:szCs w:val="18"/>
              </w:rPr>
            </w:pPr>
            <w:r>
              <w:rPr>
                <w:rFonts w:hint="eastAsia" w:ascii="宋体"/>
                <w:sz w:val="18"/>
                <w:szCs w:val="18"/>
              </w:rPr>
              <w:t>1.《中华人民共和国内河交通安全管理条例》第二十四条第三款；</w:t>
            </w:r>
          </w:p>
          <w:p w14:paraId="6A6DFB19">
            <w:pPr>
              <w:widowControl/>
              <w:spacing w:before="156" w:beforeLines="50" w:after="156" w:afterLines="50"/>
              <w:jc w:val="left"/>
              <w:rPr>
                <w:rFonts w:ascii="宋体"/>
                <w:kern w:val="0"/>
                <w:sz w:val="18"/>
                <w:szCs w:val="18"/>
              </w:rPr>
            </w:pPr>
            <w:r>
              <w:rPr>
                <w:rFonts w:hint="eastAsia" w:ascii="宋体"/>
                <w:sz w:val="18"/>
                <w:szCs w:val="18"/>
              </w:rPr>
              <w:t>2.《内河船舶船员值班规则》第九条。</w:t>
            </w:r>
          </w:p>
        </w:tc>
        <w:tc>
          <w:tcPr>
            <w:tcW w:w="1628" w:type="dxa"/>
            <w:vMerge w:val="restart"/>
            <w:vAlign w:val="center"/>
          </w:tcPr>
          <w:p w14:paraId="6A6C36D2">
            <w:pPr>
              <w:spacing w:before="156" w:beforeLines="50" w:after="156" w:afterLines="50"/>
              <w:jc w:val="left"/>
              <w:rPr>
                <w:rFonts w:ascii="宋体"/>
                <w:sz w:val="18"/>
                <w:szCs w:val="18"/>
              </w:rPr>
            </w:pPr>
            <w:r>
              <w:rPr>
                <w:rFonts w:hint="eastAsia" w:ascii="宋体"/>
                <w:sz w:val="18"/>
                <w:szCs w:val="18"/>
              </w:rPr>
              <w:t>1.《中华人民共和国内河交通安全管理条例》第八十一条；</w:t>
            </w:r>
          </w:p>
          <w:p w14:paraId="362221E4">
            <w:pPr>
              <w:spacing w:before="156" w:beforeLines="50" w:after="156" w:afterLines="50"/>
              <w:jc w:val="left"/>
              <w:rPr>
                <w:rFonts w:ascii="宋体"/>
                <w:sz w:val="18"/>
                <w:szCs w:val="18"/>
              </w:rPr>
            </w:pPr>
            <w:r>
              <w:rPr>
                <w:rFonts w:hint="eastAsia" w:ascii="宋体"/>
                <w:sz w:val="18"/>
                <w:szCs w:val="18"/>
              </w:rPr>
              <w:t>2.《中华人民共和国内河海事行政处罚规定》第十七条第一款和第二款第（十七）项；</w:t>
            </w:r>
          </w:p>
          <w:p w14:paraId="65CA413B">
            <w:pPr>
              <w:spacing w:before="156" w:beforeLines="50" w:after="156" w:afterLines="50"/>
              <w:jc w:val="left"/>
              <w:rPr>
                <w:rFonts w:ascii="宋体"/>
                <w:sz w:val="18"/>
                <w:szCs w:val="18"/>
              </w:rPr>
            </w:pPr>
            <w:r>
              <w:rPr>
                <w:rFonts w:hint="eastAsia"/>
                <w:sz w:val="18"/>
                <w:szCs w:val="18"/>
              </w:rPr>
              <w:t>3.《中华人民共和国行政处罚法》第三十二条（从轻）。</w:t>
            </w:r>
          </w:p>
        </w:tc>
        <w:tc>
          <w:tcPr>
            <w:tcW w:w="1022" w:type="dxa"/>
            <w:vAlign w:val="center"/>
          </w:tcPr>
          <w:p w14:paraId="3414C05E">
            <w:pPr>
              <w:spacing w:before="156" w:beforeLines="50" w:after="156" w:afterLines="50"/>
              <w:jc w:val="left"/>
              <w:rPr>
                <w:rFonts w:ascii="宋体"/>
                <w:kern w:val="0"/>
                <w:sz w:val="18"/>
                <w:szCs w:val="18"/>
              </w:rPr>
            </w:pPr>
            <w:r>
              <w:rPr>
                <w:rFonts w:hint="eastAsia" w:ascii="宋体"/>
                <w:kern w:val="0"/>
                <w:sz w:val="18"/>
                <w:szCs w:val="18"/>
              </w:rPr>
              <w:t>从轻</w:t>
            </w:r>
          </w:p>
        </w:tc>
        <w:tc>
          <w:tcPr>
            <w:tcW w:w="2483" w:type="dxa"/>
            <w:vAlign w:val="center"/>
          </w:tcPr>
          <w:p w14:paraId="18C78CB1">
            <w:pPr>
              <w:widowControl/>
              <w:spacing w:before="156" w:beforeLines="50" w:after="156" w:afterLines="50"/>
              <w:jc w:val="left"/>
              <w:rPr>
                <w:rFonts w:ascii="宋体"/>
                <w:kern w:val="0"/>
                <w:sz w:val="18"/>
                <w:szCs w:val="18"/>
              </w:rPr>
            </w:pPr>
            <w:r>
              <w:rPr>
                <w:rFonts w:hint="eastAsia" w:ascii="宋体"/>
                <w:kern w:val="0"/>
                <w:sz w:val="18"/>
                <w:szCs w:val="18"/>
              </w:rPr>
              <w:t>具有法定从轻情节。</w:t>
            </w:r>
          </w:p>
        </w:tc>
        <w:tc>
          <w:tcPr>
            <w:tcW w:w="2836" w:type="dxa"/>
            <w:vAlign w:val="center"/>
          </w:tcPr>
          <w:p w14:paraId="4CD1B264">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782" w:type="dxa"/>
            <w:vAlign w:val="center"/>
          </w:tcPr>
          <w:p w14:paraId="620D5DED">
            <w:pPr>
              <w:spacing w:before="156" w:beforeLines="50" w:after="156" w:afterLines="50"/>
              <w:jc w:val="left"/>
              <w:rPr>
                <w:rFonts w:ascii="宋体"/>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2996" w:type="dxa"/>
            <w:vAlign w:val="center"/>
          </w:tcPr>
          <w:p w14:paraId="40EF21F1">
            <w:pPr>
              <w:spacing w:before="156" w:beforeLines="50" w:after="156" w:afterLines="50"/>
              <w:jc w:val="left"/>
              <w:rPr>
                <w:rFonts w:ascii="宋体"/>
                <w:kern w:val="0"/>
                <w:sz w:val="18"/>
                <w:szCs w:val="18"/>
              </w:rPr>
            </w:pPr>
            <w:r>
              <w:rPr>
                <w:rFonts w:ascii="宋体"/>
                <w:sz w:val="18"/>
                <w:szCs w:val="18"/>
              </w:rPr>
              <w:t>1000</w:t>
            </w:r>
            <w:r>
              <w:rPr>
                <w:rFonts w:hint="eastAsia" w:ascii="宋体"/>
                <w:sz w:val="18"/>
                <w:szCs w:val="18"/>
              </w:rPr>
              <w:t>元及以上</w:t>
            </w:r>
            <w:r>
              <w:rPr>
                <w:rFonts w:ascii="宋体"/>
                <w:sz w:val="18"/>
                <w:szCs w:val="18"/>
              </w:rPr>
              <w:t>2000</w:t>
            </w:r>
            <w:r>
              <w:rPr>
                <w:rFonts w:hint="eastAsia" w:ascii="宋体"/>
                <w:sz w:val="18"/>
                <w:szCs w:val="18"/>
              </w:rPr>
              <w:t>元以下</w:t>
            </w:r>
          </w:p>
        </w:tc>
        <w:tc>
          <w:tcPr>
            <w:tcW w:w="3834" w:type="dxa"/>
            <w:vAlign w:val="center"/>
          </w:tcPr>
          <w:p w14:paraId="4934EA0A">
            <w:pPr>
              <w:spacing w:before="156" w:beforeLines="50" w:after="156" w:afterLines="50"/>
              <w:jc w:val="center"/>
              <w:rPr>
                <w:rFonts w:ascii="宋体"/>
                <w:kern w:val="0"/>
                <w:sz w:val="18"/>
                <w:szCs w:val="18"/>
              </w:rPr>
            </w:pPr>
            <w:r>
              <w:rPr>
                <w:rFonts w:ascii="宋体"/>
                <w:kern w:val="0"/>
                <w:sz w:val="18"/>
                <w:szCs w:val="18"/>
              </w:rPr>
              <w:t>/</w:t>
            </w:r>
          </w:p>
        </w:tc>
      </w:tr>
      <w:tr w14:paraId="01CE5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710" w:type="dxa"/>
            <w:vMerge w:val="continue"/>
            <w:vAlign w:val="center"/>
          </w:tcPr>
          <w:p w14:paraId="46AEA419">
            <w:pPr>
              <w:spacing w:before="156" w:beforeLines="50" w:after="156" w:afterLines="50"/>
              <w:jc w:val="left"/>
              <w:rPr>
                <w:rFonts w:ascii="宋体"/>
                <w:kern w:val="0"/>
                <w:sz w:val="18"/>
                <w:szCs w:val="18"/>
              </w:rPr>
            </w:pPr>
          </w:p>
        </w:tc>
        <w:tc>
          <w:tcPr>
            <w:tcW w:w="904" w:type="dxa"/>
            <w:vMerge w:val="continue"/>
            <w:vAlign w:val="center"/>
          </w:tcPr>
          <w:p w14:paraId="285B238B">
            <w:pPr>
              <w:spacing w:before="156" w:beforeLines="50" w:after="156" w:afterLines="50"/>
              <w:jc w:val="left"/>
              <w:rPr>
                <w:rFonts w:ascii="宋体"/>
                <w:kern w:val="0"/>
                <w:sz w:val="18"/>
                <w:szCs w:val="18"/>
              </w:rPr>
            </w:pPr>
          </w:p>
        </w:tc>
        <w:tc>
          <w:tcPr>
            <w:tcW w:w="1419" w:type="dxa"/>
            <w:vMerge w:val="continue"/>
            <w:vAlign w:val="center"/>
          </w:tcPr>
          <w:p w14:paraId="25765D1D">
            <w:pPr>
              <w:widowControl/>
              <w:spacing w:before="156" w:beforeLines="50" w:after="156" w:afterLines="50"/>
              <w:jc w:val="left"/>
              <w:rPr>
                <w:rFonts w:ascii="宋体"/>
                <w:kern w:val="0"/>
                <w:sz w:val="18"/>
                <w:szCs w:val="18"/>
              </w:rPr>
            </w:pPr>
          </w:p>
        </w:tc>
        <w:tc>
          <w:tcPr>
            <w:tcW w:w="1628" w:type="dxa"/>
            <w:vMerge w:val="continue"/>
            <w:vAlign w:val="center"/>
          </w:tcPr>
          <w:p w14:paraId="549C5EB0">
            <w:pPr>
              <w:spacing w:before="156" w:beforeLines="50" w:after="156" w:afterLines="50"/>
              <w:jc w:val="left"/>
              <w:rPr>
                <w:rFonts w:ascii="宋体"/>
                <w:kern w:val="0"/>
                <w:sz w:val="18"/>
                <w:szCs w:val="18"/>
              </w:rPr>
            </w:pPr>
          </w:p>
        </w:tc>
        <w:tc>
          <w:tcPr>
            <w:tcW w:w="1022" w:type="dxa"/>
            <w:vMerge w:val="restart"/>
            <w:vAlign w:val="center"/>
          </w:tcPr>
          <w:p w14:paraId="50D45EC7">
            <w:pPr>
              <w:spacing w:before="156" w:beforeLines="50" w:after="156" w:afterLines="50"/>
              <w:jc w:val="left"/>
              <w:rPr>
                <w:rFonts w:ascii="宋体"/>
                <w:kern w:val="0"/>
                <w:sz w:val="18"/>
                <w:szCs w:val="18"/>
              </w:rPr>
            </w:pPr>
            <w:r>
              <w:rPr>
                <w:rFonts w:hint="eastAsia" w:ascii="宋体"/>
                <w:kern w:val="0"/>
                <w:sz w:val="18"/>
                <w:szCs w:val="18"/>
              </w:rPr>
              <w:t>一般</w:t>
            </w:r>
          </w:p>
          <w:p w14:paraId="0F033942">
            <w:pPr>
              <w:spacing w:before="156" w:beforeLines="50" w:after="156" w:afterLines="50"/>
              <w:jc w:val="left"/>
              <w:rPr>
                <w:rFonts w:ascii="宋体"/>
                <w:kern w:val="0"/>
                <w:sz w:val="18"/>
                <w:szCs w:val="18"/>
              </w:rPr>
            </w:pPr>
          </w:p>
        </w:tc>
        <w:tc>
          <w:tcPr>
            <w:tcW w:w="2483" w:type="dxa"/>
            <w:vAlign w:val="center"/>
          </w:tcPr>
          <w:p w14:paraId="4EE86A93">
            <w:pPr>
              <w:widowControl/>
              <w:spacing w:before="156" w:beforeLines="50" w:after="156" w:afterLines="50"/>
              <w:jc w:val="left"/>
              <w:rPr>
                <w:rFonts w:ascii="宋体"/>
                <w:kern w:val="0"/>
                <w:sz w:val="18"/>
                <w:szCs w:val="18"/>
              </w:rPr>
            </w:pPr>
            <w:r>
              <w:rPr>
                <w:rFonts w:hint="eastAsia" w:ascii="宋体"/>
                <w:kern w:val="0"/>
                <w:sz w:val="18"/>
                <w:szCs w:val="18"/>
              </w:rPr>
              <w:t>船舶停泊时驾驶部或轮机部未留足值班人员。</w:t>
            </w:r>
          </w:p>
        </w:tc>
        <w:tc>
          <w:tcPr>
            <w:tcW w:w="2836" w:type="dxa"/>
            <w:vAlign w:val="center"/>
          </w:tcPr>
          <w:p w14:paraId="0370935C">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元及以上</w:t>
            </w:r>
            <w:r>
              <w:rPr>
                <w:rFonts w:ascii="宋体"/>
                <w:sz w:val="18"/>
                <w:szCs w:val="18"/>
              </w:rPr>
              <w:t>3000</w:t>
            </w:r>
            <w:r>
              <w:rPr>
                <w:rFonts w:hint="eastAsia" w:ascii="宋体"/>
                <w:sz w:val="18"/>
                <w:szCs w:val="18"/>
              </w:rPr>
              <w:t>元以下</w:t>
            </w:r>
          </w:p>
        </w:tc>
        <w:tc>
          <w:tcPr>
            <w:tcW w:w="2782" w:type="dxa"/>
            <w:vAlign w:val="center"/>
          </w:tcPr>
          <w:p w14:paraId="7C52049D">
            <w:pPr>
              <w:spacing w:before="156" w:beforeLines="50" w:after="156" w:afterLines="50"/>
              <w:jc w:val="left"/>
              <w:rPr>
                <w:rFonts w:ascii="宋体"/>
                <w:sz w:val="18"/>
                <w:szCs w:val="18"/>
              </w:rPr>
            </w:pPr>
            <w:r>
              <w:rPr>
                <w:rFonts w:ascii="宋体"/>
                <w:sz w:val="18"/>
                <w:szCs w:val="18"/>
              </w:rPr>
              <w:t>2000</w:t>
            </w:r>
            <w:r>
              <w:rPr>
                <w:rFonts w:hint="eastAsia" w:ascii="宋体"/>
                <w:sz w:val="18"/>
                <w:szCs w:val="18"/>
              </w:rPr>
              <w:t>元以上</w:t>
            </w:r>
            <w:r>
              <w:rPr>
                <w:rFonts w:ascii="宋体"/>
                <w:sz w:val="18"/>
                <w:szCs w:val="18"/>
              </w:rPr>
              <w:t>4000</w:t>
            </w:r>
            <w:r>
              <w:rPr>
                <w:rFonts w:hint="eastAsia" w:ascii="宋体"/>
                <w:sz w:val="18"/>
                <w:szCs w:val="18"/>
              </w:rPr>
              <w:t>元以下</w:t>
            </w:r>
          </w:p>
        </w:tc>
        <w:tc>
          <w:tcPr>
            <w:tcW w:w="2996" w:type="dxa"/>
            <w:vAlign w:val="center"/>
          </w:tcPr>
          <w:p w14:paraId="1FAD2FD7">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元以上</w:t>
            </w:r>
            <w:r>
              <w:rPr>
                <w:rFonts w:ascii="宋体"/>
                <w:kern w:val="0"/>
                <w:sz w:val="18"/>
                <w:szCs w:val="18"/>
              </w:rPr>
              <w:t>5000</w:t>
            </w:r>
            <w:r>
              <w:rPr>
                <w:rFonts w:hint="eastAsia" w:ascii="宋体"/>
                <w:kern w:val="0"/>
                <w:sz w:val="18"/>
                <w:szCs w:val="18"/>
              </w:rPr>
              <w:t>元以下</w:t>
            </w:r>
          </w:p>
        </w:tc>
        <w:tc>
          <w:tcPr>
            <w:tcW w:w="3834" w:type="dxa"/>
            <w:vAlign w:val="center"/>
          </w:tcPr>
          <w:p w14:paraId="39015E40">
            <w:pPr>
              <w:spacing w:before="156" w:beforeLines="50" w:after="156" w:afterLines="50"/>
              <w:jc w:val="center"/>
              <w:rPr>
                <w:rFonts w:ascii="宋体"/>
                <w:kern w:val="0"/>
                <w:sz w:val="18"/>
                <w:szCs w:val="18"/>
              </w:rPr>
            </w:pPr>
            <w:r>
              <w:rPr>
                <w:rFonts w:ascii="宋体"/>
                <w:kern w:val="0"/>
                <w:sz w:val="18"/>
                <w:szCs w:val="18"/>
              </w:rPr>
              <w:t>/</w:t>
            </w:r>
          </w:p>
        </w:tc>
      </w:tr>
      <w:tr w14:paraId="29F04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710" w:type="dxa"/>
            <w:vMerge w:val="continue"/>
            <w:vAlign w:val="center"/>
          </w:tcPr>
          <w:p w14:paraId="3DAA97BF">
            <w:pPr>
              <w:spacing w:before="156" w:beforeLines="50" w:after="156" w:afterLines="50"/>
              <w:jc w:val="left"/>
              <w:rPr>
                <w:rFonts w:ascii="宋体"/>
                <w:kern w:val="0"/>
                <w:sz w:val="18"/>
                <w:szCs w:val="18"/>
              </w:rPr>
            </w:pPr>
          </w:p>
        </w:tc>
        <w:tc>
          <w:tcPr>
            <w:tcW w:w="904" w:type="dxa"/>
            <w:vMerge w:val="continue"/>
            <w:vAlign w:val="center"/>
          </w:tcPr>
          <w:p w14:paraId="06A7C5CD">
            <w:pPr>
              <w:spacing w:before="156" w:beforeLines="50" w:after="156" w:afterLines="50"/>
              <w:jc w:val="left"/>
              <w:rPr>
                <w:rFonts w:ascii="宋体"/>
                <w:kern w:val="0"/>
                <w:sz w:val="18"/>
                <w:szCs w:val="18"/>
              </w:rPr>
            </w:pPr>
          </w:p>
        </w:tc>
        <w:tc>
          <w:tcPr>
            <w:tcW w:w="1419" w:type="dxa"/>
            <w:vMerge w:val="continue"/>
            <w:vAlign w:val="center"/>
          </w:tcPr>
          <w:p w14:paraId="191A7910">
            <w:pPr>
              <w:spacing w:before="156" w:beforeLines="50" w:after="156" w:afterLines="50"/>
              <w:jc w:val="left"/>
              <w:rPr>
                <w:rFonts w:ascii="宋体"/>
                <w:kern w:val="0"/>
                <w:sz w:val="18"/>
                <w:szCs w:val="18"/>
              </w:rPr>
            </w:pPr>
          </w:p>
        </w:tc>
        <w:tc>
          <w:tcPr>
            <w:tcW w:w="1628" w:type="dxa"/>
            <w:vMerge w:val="continue"/>
            <w:vAlign w:val="center"/>
          </w:tcPr>
          <w:p w14:paraId="33DA4661">
            <w:pPr>
              <w:spacing w:before="156" w:beforeLines="50" w:after="156" w:afterLines="50"/>
              <w:jc w:val="left"/>
              <w:rPr>
                <w:rFonts w:ascii="宋体"/>
                <w:kern w:val="0"/>
                <w:sz w:val="18"/>
                <w:szCs w:val="18"/>
              </w:rPr>
            </w:pPr>
          </w:p>
        </w:tc>
        <w:tc>
          <w:tcPr>
            <w:tcW w:w="1022" w:type="dxa"/>
            <w:vMerge w:val="continue"/>
            <w:vAlign w:val="center"/>
          </w:tcPr>
          <w:p w14:paraId="00936766">
            <w:pPr>
              <w:spacing w:before="156" w:beforeLines="50" w:after="156" w:afterLines="50"/>
              <w:jc w:val="left"/>
              <w:rPr>
                <w:rFonts w:ascii="宋体"/>
                <w:kern w:val="0"/>
                <w:sz w:val="18"/>
                <w:szCs w:val="18"/>
              </w:rPr>
            </w:pPr>
          </w:p>
        </w:tc>
        <w:tc>
          <w:tcPr>
            <w:tcW w:w="2483" w:type="dxa"/>
            <w:vAlign w:val="center"/>
          </w:tcPr>
          <w:p w14:paraId="3846F391">
            <w:pPr>
              <w:widowControl/>
              <w:spacing w:before="156" w:beforeLines="50" w:after="156" w:afterLines="50"/>
              <w:jc w:val="left"/>
              <w:rPr>
                <w:rFonts w:ascii="宋体"/>
                <w:kern w:val="0"/>
                <w:sz w:val="18"/>
                <w:szCs w:val="18"/>
              </w:rPr>
            </w:pPr>
            <w:r>
              <w:rPr>
                <w:rFonts w:hint="eastAsia" w:ascii="宋体"/>
                <w:kern w:val="0"/>
                <w:sz w:val="18"/>
                <w:szCs w:val="18"/>
              </w:rPr>
              <w:t>船舶停泊时驾驶部和轮机部均未留足值班人员。</w:t>
            </w:r>
          </w:p>
          <w:p w14:paraId="15F7C378">
            <w:pPr>
              <w:widowControl/>
              <w:spacing w:before="156" w:beforeLines="50" w:after="156" w:afterLines="50"/>
              <w:jc w:val="left"/>
              <w:rPr>
                <w:rFonts w:ascii="宋体"/>
                <w:kern w:val="0"/>
                <w:sz w:val="18"/>
                <w:szCs w:val="18"/>
              </w:rPr>
            </w:pPr>
          </w:p>
        </w:tc>
        <w:tc>
          <w:tcPr>
            <w:tcW w:w="2836" w:type="dxa"/>
            <w:vAlign w:val="center"/>
          </w:tcPr>
          <w:p w14:paraId="6D68357F">
            <w:pPr>
              <w:spacing w:before="156" w:beforeLines="50" w:after="156" w:afterLines="50"/>
              <w:jc w:val="left"/>
              <w:rPr>
                <w:rFonts w:ascii="宋体"/>
                <w:sz w:val="18"/>
                <w:szCs w:val="18"/>
              </w:rPr>
            </w:pPr>
            <w:r>
              <w:rPr>
                <w:rFonts w:ascii="宋体"/>
                <w:sz w:val="18"/>
                <w:szCs w:val="18"/>
              </w:rPr>
              <w:t>3000</w:t>
            </w:r>
            <w:r>
              <w:rPr>
                <w:rFonts w:hint="eastAsia" w:ascii="宋体"/>
                <w:sz w:val="18"/>
                <w:szCs w:val="18"/>
              </w:rPr>
              <w:t>元及以上</w:t>
            </w:r>
            <w:r>
              <w:rPr>
                <w:rFonts w:ascii="宋体"/>
                <w:sz w:val="18"/>
                <w:szCs w:val="18"/>
              </w:rPr>
              <w:t>4000</w:t>
            </w:r>
            <w:r>
              <w:rPr>
                <w:rFonts w:hint="eastAsia" w:ascii="宋体"/>
                <w:sz w:val="18"/>
                <w:szCs w:val="18"/>
              </w:rPr>
              <w:t>元以下</w:t>
            </w:r>
          </w:p>
        </w:tc>
        <w:tc>
          <w:tcPr>
            <w:tcW w:w="2782" w:type="dxa"/>
            <w:vAlign w:val="center"/>
          </w:tcPr>
          <w:p w14:paraId="4C6A0DB6">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996" w:type="dxa"/>
            <w:vAlign w:val="center"/>
          </w:tcPr>
          <w:p w14:paraId="46AAEE04">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6000</w:t>
            </w:r>
            <w:r>
              <w:rPr>
                <w:rFonts w:hint="eastAsia" w:ascii="宋体"/>
                <w:kern w:val="0"/>
                <w:sz w:val="18"/>
                <w:szCs w:val="18"/>
              </w:rPr>
              <w:t>元以下</w:t>
            </w:r>
          </w:p>
        </w:tc>
        <w:tc>
          <w:tcPr>
            <w:tcW w:w="3834" w:type="dxa"/>
            <w:vAlign w:val="center"/>
          </w:tcPr>
          <w:p w14:paraId="22308400">
            <w:pPr>
              <w:spacing w:before="156" w:beforeLines="50" w:after="156" w:afterLines="50"/>
              <w:jc w:val="center"/>
              <w:rPr>
                <w:rFonts w:ascii="宋体"/>
                <w:kern w:val="0"/>
                <w:sz w:val="18"/>
                <w:szCs w:val="18"/>
              </w:rPr>
            </w:pPr>
            <w:r>
              <w:rPr>
                <w:rFonts w:ascii="宋体"/>
                <w:kern w:val="0"/>
                <w:sz w:val="18"/>
                <w:szCs w:val="18"/>
              </w:rPr>
              <w:t>/</w:t>
            </w:r>
          </w:p>
        </w:tc>
      </w:tr>
      <w:tr w14:paraId="72FEC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4" w:hRule="atLeast"/>
          <w:jc w:val="center"/>
        </w:trPr>
        <w:tc>
          <w:tcPr>
            <w:tcW w:w="710" w:type="dxa"/>
            <w:vMerge w:val="continue"/>
            <w:vAlign w:val="center"/>
          </w:tcPr>
          <w:p w14:paraId="444972AB">
            <w:pPr>
              <w:spacing w:before="156" w:beforeLines="50" w:after="156" w:afterLines="50"/>
              <w:jc w:val="left"/>
              <w:rPr>
                <w:rFonts w:ascii="宋体"/>
                <w:kern w:val="0"/>
                <w:sz w:val="18"/>
                <w:szCs w:val="18"/>
              </w:rPr>
            </w:pPr>
          </w:p>
        </w:tc>
        <w:tc>
          <w:tcPr>
            <w:tcW w:w="904" w:type="dxa"/>
            <w:vMerge w:val="continue"/>
            <w:vAlign w:val="center"/>
          </w:tcPr>
          <w:p w14:paraId="3425F488">
            <w:pPr>
              <w:spacing w:before="156" w:beforeLines="50" w:after="156" w:afterLines="50"/>
              <w:jc w:val="left"/>
              <w:rPr>
                <w:rFonts w:ascii="宋体"/>
                <w:kern w:val="0"/>
                <w:sz w:val="18"/>
                <w:szCs w:val="18"/>
              </w:rPr>
            </w:pPr>
          </w:p>
        </w:tc>
        <w:tc>
          <w:tcPr>
            <w:tcW w:w="1419" w:type="dxa"/>
            <w:vMerge w:val="continue"/>
            <w:vAlign w:val="center"/>
          </w:tcPr>
          <w:p w14:paraId="62C363EE">
            <w:pPr>
              <w:spacing w:before="156" w:beforeLines="50" w:after="156" w:afterLines="50"/>
              <w:jc w:val="left"/>
              <w:rPr>
                <w:rFonts w:ascii="宋体"/>
                <w:kern w:val="0"/>
                <w:sz w:val="18"/>
                <w:szCs w:val="18"/>
              </w:rPr>
            </w:pPr>
          </w:p>
        </w:tc>
        <w:tc>
          <w:tcPr>
            <w:tcW w:w="1628" w:type="dxa"/>
            <w:vMerge w:val="continue"/>
            <w:vAlign w:val="center"/>
          </w:tcPr>
          <w:p w14:paraId="6D8EF597">
            <w:pPr>
              <w:spacing w:before="156" w:beforeLines="50" w:after="156" w:afterLines="50"/>
              <w:jc w:val="left"/>
              <w:rPr>
                <w:rFonts w:ascii="宋体"/>
                <w:kern w:val="0"/>
                <w:sz w:val="18"/>
                <w:szCs w:val="18"/>
              </w:rPr>
            </w:pPr>
          </w:p>
        </w:tc>
        <w:tc>
          <w:tcPr>
            <w:tcW w:w="1022" w:type="dxa"/>
            <w:vMerge w:val="continue"/>
            <w:vAlign w:val="center"/>
          </w:tcPr>
          <w:p w14:paraId="49447A5A">
            <w:pPr>
              <w:spacing w:before="156" w:beforeLines="50" w:after="156" w:afterLines="50"/>
              <w:jc w:val="left"/>
              <w:rPr>
                <w:rFonts w:ascii="宋体"/>
                <w:kern w:val="0"/>
                <w:sz w:val="18"/>
                <w:szCs w:val="18"/>
              </w:rPr>
            </w:pPr>
          </w:p>
        </w:tc>
        <w:tc>
          <w:tcPr>
            <w:tcW w:w="2483" w:type="dxa"/>
            <w:vAlign w:val="center"/>
          </w:tcPr>
          <w:p w14:paraId="50D67FC2">
            <w:pPr>
              <w:widowControl/>
              <w:spacing w:before="156" w:beforeLines="50" w:after="156" w:afterLines="50"/>
              <w:jc w:val="left"/>
              <w:rPr>
                <w:rFonts w:ascii="宋体"/>
                <w:kern w:val="0"/>
                <w:sz w:val="18"/>
                <w:szCs w:val="18"/>
              </w:rPr>
            </w:pPr>
            <w:r>
              <w:rPr>
                <w:rFonts w:hint="eastAsia" w:ascii="宋体"/>
                <w:kern w:val="0"/>
                <w:sz w:val="18"/>
                <w:szCs w:val="18"/>
              </w:rPr>
              <w:t>船舶停泊时因未留足值班人员导致船舶发生一般以下等级水上交通事故的。</w:t>
            </w:r>
          </w:p>
        </w:tc>
        <w:tc>
          <w:tcPr>
            <w:tcW w:w="2836" w:type="dxa"/>
            <w:vAlign w:val="center"/>
          </w:tcPr>
          <w:p w14:paraId="65A461DD">
            <w:pPr>
              <w:spacing w:before="156" w:beforeLines="50" w:after="156" w:afterLines="50"/>
              <w:jc w:val="left"/>
              <w:rPr>
                <w:rFonts w:ascii="宋体"/>
                <w:sz w:val="18"/>
                <w:szCs w:val="18"/>
              </w:rPr>
            </w:pPr>
            <w:r>
              <w:rPr>
                <w:rFonts w:ascii="宋体"/>
                <w:sz w:val="18"/>
                <w:szCs w:val="18"/>
              </w:rPr>
              <w:t>4000</w:t>
            </w:r>
            <w:r>
              <w:rPr>
                <w:rFonts w:hint="eastAsia" w:ascii="宋体"/>
                <w:sz w:val="18"/>
                <w:szCs w:val="18"/>
              </w:rPr>
              <w:t>元及以上</w:t>
            </w:r>
            <w:r>
              <w:rPr>
                <w:rFonts w:ascii="宋体"/>
                <w:sz w:val="18"/>
                <w:szCs w:val="18"/>
              </w:rPr>
              <w:t>5000</w:t>
            </w:r>
            <w:r>
              <w:rPr>
                <w:rFonts w:hint="eastAsia" w:ascii="宋体"/>
                <w:sz w:val="18"/>
                <w:szCs w:val="18"/>
              </w:rPr>
              <w:t>元以下</w:t>
            </w:r>
          </w:p>
        </w:tc>
        <w:tc>
          <w:tcPr>
            <w:tcW w:w="2782" w:type="dxa"/>
            <w:vAlign w:val="center"/>
          </w:tcPr>
          <w:p w14:paraId="6B6A9E21">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元及以上</w:t>
            </w:r>
            <w:r>
              <w:rPr>
                <w:rFonts w:ascii="宋体"/>
                <w:sz w:val="18"/>
                <w:szCs w:val="18"/>
              </w:rPr>
              <w:t>6000</w:t>
            </w:r>
            <w:r>
              <w:rPr>
                <w:rFonts w:hint="eastAsia" w:ascii="宋体"/>
                <w:sz w:val="18"/>
                <w:szCs w:val="18"/>
              </w:rPr>
              <w:t>元以下</w:t>
            </w:r>
          </w:p>
        </w:tc>
        <w:tc>
          <w:tcPr>
            <w:tcW w:w="2996" w:type="dxa"/>
            <w:vAlign w:val="center"/>
          </w:tcPr>
          <w:p w14:paraId="7525C4DA">
            <w:pPr>
              <w:spacing w:before="156" w:beforeLines="50" w:after="156" w:afterLines="50"/>
              <w:jc w:val="left"/>
              <w:rPr>
                <w:rFonts w:ascii="宋体"/>
                <w:kern w:val="0"/>
                <w:sz w:val="18"/>
                <w:szCs w:val="18"/>
              </w:rPr>
            </w:pPr>
            <w:r>
              <w:rPr>
                <w:rFonts w:ascii="宋体"/>
                <w:kern w:val="0"/>
                <w:sz w:val="18"/>
                <w:szCs w:val="18"/>
              </w:rPr>
              <w:t>6000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c>
          <w:tcPr>
            <w:tcW w:w="3834" w:type="dxa"/>
            <w:vAlign w:val="center"/>
          </w:tcPr>
          <w:p w14:paraId="37D562B8">
            <w:pPr>
              <w:spacing w:before="156" w:beforeLines="50" w:after="156" w:afterLines="50"/>
              <w:jc w:val="center"/>
              <w:rPr>
                <w:rFonts w:ascii="宋体"/>
                <w:kern w:val="0"/>
                <w:sz w:val="18"/>
                <w:szCs w:val="18"/>
              </w:rPr>
            </w:pPr>
            <w:r>
              <w:rPr>
                <w:rFonts w:ascii="宋体"/>
                <w:kern w:val="0"/>
                <w:sz w:val="18"/>
                <w:szCs w:val="18"/>
              </w:rPr>
              <w:t>/</w:t>
            </w:r>
          </w:p>
        </w:tc>
      </w:tr>
      <w:tr w14:paraId="68A09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710" w:type="dxa"/>
            <w:vMerge w:val="continue"/>
            <w:vAlign w:val="center"/>
          </w:tcPr>
          <w:p w14:paraId="0004E2FF">
            <w:pPr>
              <w:spacing w:before="156" w:beforeLines="50" w:after="156" w:afterLines="50"/>
              <w:jc w:val="left"/>
              <w:rPr>
                <w:rFonts w:ascii="宋体"/>
                <w:kern w:val="0"/>
                <w:sz w:val="18"/>
                <w:szCs w:val="18"/>
              </w:rPr>
            </w:pPr>
          </w:p>
        </w:tc>
        <w:tc>
          <w:tcPr>
            <w:tcW w:w="904" w:type="dxa"/>
            <w:vMerge w:val="continue"/>
            <w:vAlign w:val="center"/>
          </w:tcPr>
          <w:p w14:paraId="4C87352B">
            <w:pPr>
              <w:spacing w:before="156" w:beforeLines="50" w:after="156" w:afterLines="50"/>
              <w:jc w:val="left"/>
              <w:rPr>
                <w:rFonts w:ascii="宋体"/>
                <w:kern w:val="0"/>
                <w:sz w:val="18"/>
                <w:szCs w:val="18"/>
              </w:rPr>
            </w:pPr>
          </w:p>
        </w:tc>
        <w:tc>
          <w:tcPr>
            <w:tcW w:w="1419" w:type="dxa"/>
            <w:vMerge w:val="continue"/>
            <w:vAlign w:val="center"/>
          </w:tcPr>
          <w:p w14:paraId="31F51982">
            <w:pPr>
              <w:spacing w:before="156" w:beforeLines="50" w:after="156" w:afterLines="50"/>
              <w:jc w:val="left"/>
              <w:rPr>
                <w:rFonts w:ascii="宋体"/>
                <w:kern w:val="0"/>
                <w:sz w:val="18"/>
                <w:szCs w:val="18"/>
              </w:rPr>
            </w:pPr>
          </w:p>
        </w:tc>
        <w:tc>
          <w:tcPr>
            <w:tcW w:w="1628" w:type="dxa"/>
            <w:vMerge w:val="continue"/>
            <w:vAlign w:val="center"/>
          </w:tcPr>
          <w:p w14:paraId="6C14BAB9">
            <w:pPr>
              <w:spacing w:before="156" w:beforeLines="50" w:after="156" w:afterLines="50"/>
              <w:jc w:val="left"/>
              <w:rPr>
                <w:rFonts w:ascii="宋体"/>
                <w:kern w:val="0"/>
                <w:sz w:val="18"/>
                <w:szCs w:val="18"/>
              </w:rPr>
            </w:pPr>
          </w:p>
        </w:tc>
        <w:tc>
          <w:tcPr>
            <w:tcW w:w="1022" w:type="dxa"/>
            <w:vMerge w:val="restart"/>
            <w:vAlign w:val="center"/>
          </w:tcPr>
          <w:p w14:paraId="0B04D4B5">
            <w:pPr>
              <w:spacing w:before="156" w:beforeLines="50" w:after="156" w:afterLines="50"/>
              <w:jc w:val="left"/>
              <w:rPr>
                <w:rFonts w:ascii="宋体"/>
                <w:kern w:val="0"/>
                <w:sz w:val="18"/>
                <w:szCs w:val="18"/>
              </w:rPr>
            </w:pPr>
            <w:r>
              <w:rPr>
                <w:rFonts w:hint="eastAsia" w:ascii="宋体"/>
                <w:kern w:val="0"/>
                <w:sz w:val="18"/>
                <w:szCs w:val="18"/>
              </w:rPr>
              <w:t>情节严重</w:t>
            </w:r>
          </w:p>
        </w:tc>
        <w:tc>
          <w:tcPr>
            <w:tcW w:w="2483" w:type="dxa"/>
            <w:tcBorders>
              <w:bottom w:val="single" w:color="auto" w:sz="4" w:space="0"/>
            </w:tcBorders>
            <w:vAlign w:val="center"/>
          </w:tcPr>
          <w:p w14:paraId="631C370C">
            <w:pPr>
              <w:widowControl/>
              <w:spacing w:before="156" w:beforeLines="50" w:after="156" w:afterLines="50"/>
              <w:jc w:val="left"/>
              <w:rPr>
                <w:rFonts w:ascii="宋体"/>
                <w:kern w:val="0"/>
                <w:sz w:val="18"/>
                <w:szCs w:val="18"/>
              </w:rPr>
            </w:pPr>
            <w:r>
              <w:rPr>
                <w:rFonts w:hint="eastAsia" w:ascii="宋体"/>
                <w:kern w:val="0"/>
                <w:sz w:val="18"/>
                <w:szCs w:val="18"/>
              </w:rPr>
              <w:t>1.船舶停泊时因未留足值班人员导致船舶发生一般及以上等级水上交通事故的；</w:t>
            </w:r>
          </w:p>
          <w:p w14:paraId="47BDB601">
            <w:pPr>
              <w:widowControl/>
              <w:spacing w:before="156" w:beforeLines="50" w:after="156" w:afterLines="50"/>
              <w:jc w:val="left"/>
              <w:rPr>
                <w:rFonts w:ascii="宋体"/>
                <w:kern w:val="0"/>
                <w:sz w:val="18"/>
                <w:szCs w:val="18"/>
              </w:rPr>
            </w:pPr>
            <w:r>
              <w:rPr>
                <w:rFonts w:hint="eastAsia" w:ascii="宋体"/>
                <w:kern w:val="0"/>
                <w:sz w:val="18"/>
                <w:szCs w:val="18"/>
              </w:rPr>
              <w:t>2.船舶停泊期间无人值班。</w:t>
            </w:r>
          </w:p>
        </w:tc>
        <w:tc>
          <w:tcPr>
            <w:tcW w:w="2836" w:type="dxa"/>
            <w:vMerge w:val="restart"/>
            <w:vAlign w:val="center"/>
          </w:tcPr>
          <w:p w14:paraId="109DCB0A">
            <w:pPr>
              <w:spacing w:before="156" w:beforeLines="50" w:after="156" w:afterLines="50"/>
              <w:jc w:val="left"/>
              <w:rPr>
                <w:rFonts w:ascii="宋体"/>
                <w:sz w:val="18"/>
                <w:szCs w:val="18"/>
              </w:rPr>
            </w:pPr>
            <w:r>
              <w:rPr>
                <w:rFonts w:hint="eastAsia" w:ascii="宋体"/>
                <w:sz w:val="18"/>
                <w:szCs w:val="18"/>
              </w:rPr>
              <w:t>5</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782" w:type="dxa"/>
            <w:vMerge w:val="restart"/>
            <w:vAlign w:val="center"/>
          </w:tcPr>
          <w:p w14:paraId="523732FE">
            <w:pPr>
              <w:spacing w:before="156" w:beforeLines="50" w:after="156" w:afterLines="50"/>
              <w:jc w:val="left"/>
              <w:rPr>
                <w:rFonts w:ascii="宋体"/>
                <w:sz w:val="18"/>
                <w:szCs w:val="18"/>
              </w:rPr>
            </w:pPr>
            <w:r>
              <w:rPr>
                <w:rFonts w:hint="eastAsia" w:ascii="宋体"/>
                <w:sz w:val="18"/>
                <w:szCs w:val="18"/>
              </w:rPr>
              <w:t>6</w:t>
            </w:r>
            <w:r>
              <w:rPr>
                <w:rFonts w:ascii="宋体"/>
                <w:sz w:val="18"/>
                <w:szCs w:val="18"/>
              </w:rPr>
              <w:t>000</w:t>
            </w:r>
            <w:r>
              <w:rPr>
                <w:rFonts w:hint="eastAsia" w:ascii="宋体"/>
                <w:sz w:val="18"/>
                <w:szCs w:val="18"/>
              </w:rPr>
              <w:t>元及以上</w:t>
            </w:r>
            <w:r>
              <w:rPr>
                <w:rFonts w:ascii="宋体"/>
                <w:sz w:val="18"/>
                <w:szCs w:val="18"/>
              </w:rPr>
              <w:t>1</w:t>
            </w:r>
            <w:r>
              <w:rPr>
                <w:rFonts w:hint="eastAsia" w:ascii="宋体"/>
                <w:sz w:val="18"/>
                <w:szCs w:val="18"/>
              </w:rPr>
              <w:t>万元及以下</w:t>
            </w:r>
          </w:p>
        </w:tc>
        <w:tc>
          <w:tcPr>
            <w:tcW w:w="2996" w:type="dxa"/>
            <w:vMerge w:val="restart"/>
            <w:vAlign w:val="center"/>
          </w:tcPr>
          <w:p w14:paraId="58191A92">
            <w:pPr>
              <w:spacing w:before="156" w:beforeLines="50" w:after="156" w:afterLines="50"/>
              <w:jc w:val="left"/>
              <w:rPr>
                <w:rFonts w:ascii="宋体"/>
                <w:kern w:val="0"/>
                <w:sz w:val="18"/>
                <w:szCs w:val="18"/>
              </w:rPr>
            </w:pPr>
            <w:r>
              <w:rPr>
                <w:rFonts w:ascii="宋体"/>
                <w:kern w:val="0"/>
                <w:sz w:val="18"/>
                <w:szCs w:val="18"/>
              </w:rPr>
              <w:t>8000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w:t>
            </w:r>
          </w:p>
        </w:tc>
        <w:tc>
          <w:tcPr>
            <w:tcW w:w="3834" w:type="dxa"/>
            <w:tcBorders>
              <w:bottom w:val="single" w:color="auto" w:sz="4" w:space="0"/>
            </w:tcBorders>
            <w:vAlign w:val="center"/>
          </w:tcPr>
          <w:p w14:paraId="4FE570A3">
            <w:pPr>
              <w:spacing w:before="156" w:beforeLines="50" w:after="156" w:afterLines="50"/>
              <w:jc w:val="left"/>
              <w:rPr>
                <w:rFonts w:ascii="宋体"/>
                <w:kern w:val="0"/>
                <w:sz w:val="18"/>
                <w:szCs w:val="18"/>
              </w:rPr>
            </w:pPr>
            <w:r>
              <w:rPr>
                <w:rFonts w:hint="eastAsia" w:ascii="宋体"/>
                <w:kern w:val="0"/>
                <w:sz w:val="18"/>
                <w:szCs w:val="18"/>
              </w:rPr>
              <w:t>船舶停泊时因未留足值班人员发生一般及以上等级水上交通事故的，暂扣直至吊销证书处罚的裁量按照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6E05A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10" w:type="dxa"/>
            <w:vMerge w:val="continue"/>
            <w:vAlign w:val="center"/>
          </w:tcPr>
          <w:p w14:paraId="5CDED2E9">
            <w:pPr>
              <w:spacing w:before="156" w:beforeLines="50" w:after="156" w:afterLines="50"/>
              <w:jc w:val="left"/>
              <w:rPr>
                <w:rFonts w:ascii="宋体"/>
                <w:kern w:val="0"/>
                <w:sz w:val="18"/>
                <w:szCs w:val="18"/>
              </w:rPr>
            </w:pPr>
          </w:p>
        </w:tc>
        <w:tc>
          <w:tcPr>
            <w:tcW w:w="904" w:type="dxa"/>
            <w:vMerge w:val="continue"/>
            <w:vAlign w:val="center"/>
          </w:tcPr>
          <w:p w14:paraId="696C72A9">
            <w:pPr>
              <w:spacing w:before="156" w:beforeLines="50" w:after="156" w:afterLines="50"/>
              <w:jc w:val="left"/>
              <w:rPr>
                <w:rFonts w:ascii="宋体"/>
                <w:kern w:val="0"/>
                <w:sz w:val="18"/>
                <w:szCs w:val="18"/>
              </w:rPr>
            </w:pPr>
          </w:p>
        </w:tc>
        <w:tc>
          <w:tcPr>
            <w:tcW w:w="1419" w:type="dxa"/>
            <w:vMerge w:val="continue"/>
            <w:vAlign w:val="center"/>
          </w:tcPr>
          <w:p w14:paraId="79620F0B">
            <w:pPr>
              <w:spacing w:before="156" w:beforeLines="50" w:after="156" w:afterLines="50"/>
              <w:jc w:val="left"/>
              <w:rPr>
                <w:rFonts w:ascii="宋体"/>
                <w:kern w:val="0"/>
                <w:sz w:val="18"/>
                <w:szCs w:val="18"/>
              </w:rPr>
            </w:pPr>
          </w:p>
        </w:tc>
        <w:tc>
          <w:tcPr>
            <w:tcW w:w="1628" w:type="dxa"/>
            <w:vMerge w:val="continue"/>
            <w:vAlign w:val="center"/>
          </w:tcPr>
          <w:p w14:paraId="062DA5D2">
            <w:pPr>
              <w:spacing w:before="156" w:beforeLines="50" w:after="156" w:afterLines="50"/>
              <w:jc w:val="left"/>
              <w:rPr>
                <w:rFonts w:ascii="宋体"/>
                <w:kern w:val="0"/>
                <w:sz w:val="18"/>
                <w:szCs w:val="18"/>
              </w:rPr>
            </w:pPr>
          </w:p>
        </w:tc>
        <w:tc>
          <w:tcPr>
            <w:tcW w:w="1022" w:type="dxa"/>
            <w:vMerge w:val="continue"/>
            <w:vAlign w:val="center"/>
          </w:tcPr>
          <w:p w14:paraId="6EF50785">
            <w:pPr>
              <w:spacing w:before="156" w:beforeLines="50" w:after="156" w:afterLines="50"/>
              <w:jc w:val="left"/>
              <w:rPr>
                <w:rFonts w:ascii="宋体"/>
                <w:kern w:val="0"/>
                <w:sz w:val="18"/>
                <w:szCs w:val="18"/>
              </w:rPr>
            </w:pPr>
          </w:p>
        </w:tc>
        <w:tc>
          <w:tcPr>
            <w:tcW w:w="2483" w:type="dxa"/>
            <w:tcBorders>
              <w:top w:val="single" w:color="auto" w:sz="4" w:space="0"/>
            </w:tcBorders>
            <w:vAlign w:val="center"/>
          </w:tcPr>
          <w:p w14:paraId="5FBE8D33">
            <w:pPr>
              <w:spacing w:before="156" w:beforeLines="50" w:after="156" w:afterLines="50"/>
              <w:jc w:val="left"/>
              <w:rPr>
                <w:rFonts w:ascii="宋体"/>
                <w:kern w:val="0"/>
                <w:sz w:val="18"/>
                <w:szCs w:val="18"/>
              </w:rPr>
            </w:pPr>
            <w:r>
              <w:rPr>
                <w:rFonts w:hint="eastAsia" w:ascii="宋体"/>
                <w:kern w:val="0"/>
                <w:sz w:val="18"/>
                <w:szCs w:val="18"/>
              </w:rPr>
              <w:t>具有其他严重情节的。</w:t>
            </w:r>
          </w:p>
        </w:tc>
        <w:tc>
          <w:tcPr>
            <w:tcW w:w="2836" w:type="dxa"/>
            <w:vMerge w:val="continue"/>
            <w:vAlign w:val="center"/>
          </w:tcPr>
          <w:p w14:paraId="45CBF4F2">
            <w:pPr>
              <w:spacing w:before="156" w:beforeLines="50" w:after="156" w:afterLines="50"/>
              <w:jc w:val="left"/>
              <w:rPr>
                <w:rFonts w:ascii="宋体"/>
                <w:sz w:val="18"/>
                <w:szCs w:val="18"/>
              </w:rPr>
            </w:pPr>
          </w:p>
        </w:tc>
        <w:tc>
          <w:tcPr>
            <w:tcW w:w="2782" w:type="dxa"/>
            <w:vMerge w:val="continue"/>
            <w:vAlign w:val="center"/>
          </w:tcPr>
          <w:p w14:paraId="57ABA8B7">
            <w:pPr>
              <w:spacing w:before="156" w:beforeLines="50" w:after="156" w:afterLines="50"/>
              <w:jc w:val="left"/>
              <w:rPr>
                <w:rFonts w:ascii="宋体"/>
                <w:sz w:val="18"/>
                <w:szCs w:val="18"/>
              </w:rPr>
            </w:pPr>
          </w:p>
        </w:tc>
        <w:tc>
          <w:tcPr>
            <w:tcW w:w="2996" w:type="dxa"/>
            <w:vMerge w:val="continue"/>
            <w:vAlign w:val="center"/>
          </w:tcPr>
          <w:p w14:paraId="2E713188">
            <w:pPr>
              <w:spacing w:before="156" w:beforeLines="50" w:after="156" w:afterLines="50"/>
              <w:jc w:val="left"/>
              <w:rPr>
                <w:rFonts w:ascii="宋体"/>
                <w:kern w:val="0"/>
                <w:sz w:val="18"/>
                <w:szCs w:val="18"/>
              </w:rPr>
            </w:pPr>
          </w:p>
        </w:tc>
        <w:tc>
          <w:tcPr>
            <w:tcW w:w="3834" w:type="dxa"/>
            <w:tcBorders>
              <w:top w:val="single" w:color="auto" w:sz="4" w:space="0"/>
            </w:tcBorders>
            <w:vAlign w:val="center"/>
          </w:tcPr>
          <w:p w14:paraId="141D6767">
            <w:pPr>
              <w:spacing w:before="156" w:beforeLines="50" w:after="156" w:afterLines="50"/>
              <w:jc w:val="left"/>
              <w:rPr>
                <w:rFonts w:ascii="宋体"/>
                <w:kern w:val="0"/>
                <w:sz w:val="18"/>
                <w:szCs w:val="18"/>
              </w:rPr>
            </w:pPr>
            <w:r>
              <w:rPr>
                <w:rFonts w:hint="eastAsia" w:ascii="宋体"/>
                <w:bCs/>
                <w:sz w:val="18"/>
                <w:szCs w:val="18"/>
              </w:rPr>
              <w:t>情节严重的，对责任船员给予暂扣适任证书或者其他适任证件</w:t>
            </w:r>
            <w:r>
              <w:rPr>
                <w:rFonts w:ascii="宋体"/>
                <w:bCs/>
                <w:sz w:val="18"/>
                <w:szCs w:val="18"/>
              </w:rPr>
              <w:t>3</w:t>
            </w:r>
            <w:r>
              <w:rPr>
                <w:rFonts w:hint="eastAsia" w:ascii="宋体"/>
                <w:bCs/>
                <w:sz w:val="18"/>
                <w:szCs w:val="18"/>
              </w:rPr>
              <w:t>个月至</w:t>
            </w:r>
            <w:r>
              <w:rPr>
                <w:rFonts w:ascii="宋体"/>
                <w:bCs/>
                <w:sz w:val="18"/>
                <w:szCs w:val="18"/>
              </w:rPr>
              <w:t>6</w:t>
            </w:r>
            <w:r>
              <w:rPr>
                <w:rFonts w:hint="eastAsia" w:ascii="宋体"/>
                <w:bCs/>
                <w:sz w:val="18"/>
                <w:szCs w:val="18"/>
              </w:rPr>
              <w:t>个月直至吊销适任证书或者其他适任证件的处罚；</w:t>
            </w:r>
          </w:p>
        </w:tc>
      </w:tr>
    </w:tbl>
    <w:p w14:paraId="649A7DBD">
      <w:pPr>
        <w:spacing w:before="156" w:beforeLines="50" w:after="156" w:afterLines="50"/>
        <w:jc w:val="left"/>
        <w:rPr>
          <w:rFonts w:ascii="宋体"/>
          <w:sz w:val="18"/>
          <w:szCs w:val="18"/>
        </w:rPr>
      </w:pPr>
      <w:r>
        <w:rPr>
          <w:rFonts w:ascii="宋体"/>
          <w:sz w:val="18"/>
          <w:szCs w:val="18"/>
        </w:rPr>
        <w:br w:type="page"/>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1427"/>
        <w:gridCol w:w="1560"/>
        <w:gridCol w:w="3503"/>
        <w:gridCol w:w="929"/>
        <w:gridCol w:w="2769"/>
        <w:gridCol w:w="2091"/>
        <w:gridCol w:w="3042"/>
        <w:gridCol w:w="5081"/>
      </w:tblGrid>
      <w:tr w14:paraId="35E8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vAlign w:val="center"/>
          </w:tcPr>
          <w:p w14:paraId="34237F16">
            <w:pPr>
              <w:spacing w:before="156" w:beforeLines="50" w:after="156" w:afterLines="50" w:line="240" w:lineRule="exact"/>
              <w:jc w:val="left"/>
              <w:rPr>
                <w:b/>
                <w:sz w:val="18"/>
                <w:szCs w:val="18"/>
              </w:rPr>
            </w:pPr>
            <w:r>
              <w:rPr>
                <w:rFonts w:hint="eastAsia"/>
                <w:b/>
                <w:sz w:val="18"/>
                <w:szCs w:val="18"/>
              </w:rPr>
              <w:t>序号</w:t>
            </w:r>
          </w:p>
        </w:tc>
        <w:tc>
          <w:tcPr>
            <w:tcW w:w="1427" w:type="dxa"/>
            <w:vMerge w:val="restart"/>
            <w:tcBorders>
              <w:top w:val="single" w:color="000000" w:sz="4" w:space="0"/>
              <w:left w:val="single" w:color="000000" w:sz="4" w:space="0"/>
              <w:bottom w:val="single" w:color="000000" w:sz="4" w:space="0"/>
              <w:right w:val="single" w:color="000000" w:sz="4" w:space="0"/>
            </w:tcBorders>
            <w:vAlign w:val="center"/>
          </w:tcPr>
          <w:p w14:paraId="1BA77981">
            <w:pPr>
              <w:spacing w:before="156" w:beforeLines="50" w:after="156" w:afterLines="50" w:line="240" w:lineRule="exact"/>
              <w:jc w:val="center"/>
              <w:rPr>
                <w:b/>
                <w:sz w:val="18"/>
                <w:szCs w:val="18"/>
              </w:rPr>
            </w:pPr>
            <w:r>
              <w:rPr>
                <w:rFonts w:hint="eastAsia"/>
                <w:b/>
                <w:sz w:val="18"/>
                <w:szCs w:val="18"/>
              </w:rPr>
              <w:t>案由</w:t>
            </w:r>
          </w:p>
        </w:tc>
        <w:tc>
          <w:tcPr>
            <w:tcW w:w="506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94DE90">
            <w:pPr>
              <w:spacing w:before="156" w:beforeLines="50" w:after="156" w:afterLines="50" w:line="240" w:lineRule="exact"/>
              <w:jc w:val="center"/>
              <w:rPr>
                <w:b/>
                <w:sz w:val="18"/>
                <w:szCs w:val="18"/>
              </w:rPr>
            </w:pPr>
            <w:r>
              <w:rPr>
                <w:rFonts w:hint="eastAsia"/>
                <w:b/>
                <w:sz w:val="18"/>
                <w:szCs w:val="18"/>
              </w:rPr>
              <w:t>法律依据</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3601FCF1">
            <w:pPr>
              <w:spacing w:before="156" w:beforeLines="50" w:after="156" w:afterLines="50" w:line="240" w:lineRule="exact"/>
              <w:jc w:val="center"/>
              <w:rPr>
                <w:b/>
                <w:sz w:val="18"/>
                <w:szCs w:val="18"/>
              </w:rPr>
            </w:pPr>
            <w:r>
              <w:rPr>
                <w:rFonts w:hint="eastAsia"/>
                <w:b/>
                <w:sz w:val="18"/>
                <w:szCs w:val="18"/>
              </w:rPr>
              <w:t>违法情节</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14:paraId="20482AD5">
            <w:pPr>
              <w:spacing w:before="156" w:beforeLines="50" w:after="156" w:afterLines="50" w:line="240" w:lineRule="exact"/>
              <w:jc w:val="center"/>
              <w:rPr>
                <w:b/>
                <w:sz w:val="18"/>
                <w:szCs w:val="18"/>
              </w:rPr>
            </w:pPr>
            <w:r>
              <w:rPr>
                <w:rFonts w:hint="eastAsia"/>
                <w:b/>
                <w:sz w:val="18"/>
                <w:szCs w:val="18"/>
              </w:rPr>
              <w:t>主要考虑因素（事实、性质、情节、危害程度和实际后果等）</w:t>
            </w:r>
          </w:p>
        </w:tc>
        <w:tc>
          <w:tcPr>
            <w:tcW w:w="10214" w:type="dxa"/>
            <w:gridSpan w:val="3"/>
            <w:tcBorders>
              <w:top w:val="single" w:color="000000" w:sz="4" w:space="0"/>
              <w:left w:val="single" w:color="000000" w:sz="4" w:space="0"/>
              <w:bottom w:val="single" w:color="auto" w:sz="4" w:space="0"/>
              <w:right w:val="single" w:color="auto" w:sz="4" w:space="0"/>
            </w:tcBorders>
            <w:vAlign w:val="center"/>
          </w:tcPr>
          <w:p w14:paraId="14370394">
            <w:pPr>
              <w:spacing w:before="156" w:beforeLines="50" w:after="156" w:afterLines="50" w:line="240" w:lineRule="exact"/>
              <w:jc w:val="center"/>
              <w:rPr>
                <w:b/>
                <w:sz w:val="18"/>
                <w:szCs w:val="18"/>
              </w:rPr>
            </w:pPr>
            <w:r>
              <w:rPr>
                <w:rFonts w:hint="eastAsia"/>
                <w:b/>
                <w:sz w:val="18"/>
                <w:szCs w:val="18"/>
              </w:rPr>
              <w:t>处罚基准</w:t>
            </w:r>
          </w:p>
        </w:tc>
      </w:tr>
      <w:tr w14:paraId="66F77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36C34D57">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051A4001">
            <w:pPr>
              <w:spacing w:before="156" w:beforeLines="50" w:after="156" w:afterLines="50" w:line="240" w:lineRule="exact"/>
              <w:jc w:val="center"/>
              <w:rPr>
                <w:b/>
                <w:sz w:val="18"/>
                <w:szCs w:val="18"/>
              </w:rPr>
            </w:pPr>
          </w:p>
        </w:tc>
        <w:tc>
          <w:tcPr>
            <w:tcW w:w="50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C205EA">
            <w:pPr>
              <w:spacing w:before="156" w:beforeLines="50" w:after="156" w:afterLines="50" w:line="240" w:lineRule="exact"/>
              <w:jc w:val="center"/>
              <w:rPr>
                <w:b/>
                <w:sz w:val="18"/>
                <w:szCs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19D8466D">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6C2B10CA">
            <w:pPr>
              <w:spacing w:before="156" w:beforeLines="50" w:after="156" w:afterLines="50" w:line="240" w:lineRule="exact"/>
              <w:jc w:val="center"/>
              <w:rPr>
                <w:b/>
                <w:sz w:val="18"/>
                <w:szCs w:val="18"/>
              </w:rPr>
            </w:pPr>
          </w:p>
        </w:tc>
        <w:tc>
          <w:tcPr>
            <w:tcW w:w="10214" w:type="dxa"/>
            <w:gridSpan w:val="3"/>
            <w:tcBorders>
              <w:top w:val="single" w:color="auto" w:sz="4" w:space="0"/>
              <w:left w:val="single" w:color="000000" w:sz="4" w:space="0"/>
              <w:bottom w:val="single" w:color="auto" w:sz="4" w:space="0"/>
              <w:right w:val="single" w:color="auto" w:sz="4" w:space="0"/>
            </w:tcBorders>
            <w:vAlign w:val="center"/>
          </w:tcPr>
          <w:p w14:paraId="4E7484CF">
            <w:pPr>
              <w:widowControl/>
              <w:snapToGrid w:val="0"/>
              <w:spacing w:before="156" w:beforeLines="50" w:after="156" w:afterLines="50" w:line="240" w:lineRule="exact"/>
              <w:rPr>
                <w:b/>
                <w:sz w:val="18"/>
                <w:szCs w:val="18"/>
              </w:rPr>
            </w:pPr>
            <w:r>
              <w:rPr>
                <w:rFonts w:hint="eastAsia"/>
                <w:b/>
                <w:sz w:val="18"/>
                <w:szCs w:val="18"/>
              </w:rPr>
              <w:t>【法定幅度和种类】由船籍港船舶登记机关责令其补办有关登记手续；情节严重的，可以根据船舶吨位处以本条例第五十条规定的罚款数额的百分之十。</w:t>
            </w:r>
          </w:p>
          <w:p w14:paraId="36248FEE">
            <w:pPr>
              <w:widowControl/>
              <w:snapToGrid w:val="0"/>
              <w:spacing w:before="156" w:beforeLines="50" w:after="156" w:afterLines="50" w:line="240" w:lineRule="exact"/>
              <w:rPr>
                <w:b/>
                <w:sz w:val="18"/>
                <w:szCs w:val="18"/>
              </w:rPr>
            </w:pPr>
            <w:r>
              <w:rPr>
                <w:rFonts w:hint="eastAsia"/>
                <w:b/>
                <w:sz w:val="18"/>
                <w:szCs w:val="18"/>
              </w:rPr>
              <w:t>第五十条：</w:t>
            </w:r>
            <w:r>
              <w:rPr>
                <w:b/>
                <w:sz w:val="18"/>
                <w:szCs w:val="18"/>
              </w:rPr>
              <w:t xml:space="preserve"> </w:t>
            </w:r>
            <w:r>
              <w:rPr>
                <w:rFonts w:hint="eastAsia"/>
                <w:b/>
                <w:sz w:val="18"/>
                <w:szCs w:val="18"/>
              </w:rPr>
              <w:t>隐瞒在境内或者境外的登记事实，造成双重国籍的，由船籍港船舶登记机关吊销其船舶国籍证书，并视情节处以下列罚款：</w:t>
            </w:r>
          </w:p>
          <w:p w14:paraId="6B6AD103">
            <w:pPr>
              <w:widowControl/>
              <w:snapToGrid w:val="0"/>
              <w:spacing w:before="156" w:beforeLines="50" w:after="156" w:afterLines="50" w:line="240" w:lineRule="exact"/>
              <w:rPr>
                <w:b/>
                <w:sz w:val="18"/>
                <w:szCs w:val="18"/>
              </w:rPr>
            </w:pPr>
            <w:r>
              <w:rPr>
                <w:b/>
                <w:sz w:val="18"/>
                <w:szCs w:val="18"/>
              </w:rPr>
              <w:t>(</w:t>
            </w:r>
            <w:r>
              <w:rPr>
                <w:rFonts w:hint="eastAsia"/>
                <w:b/>
                <w:sz w:val="18"/>
                <w:szCs w:val="18"/>
              </w:rPr>
              <w:t>一</w:t>
            </w:r>
            <w:r>
              <w:rPr>
                <w:b/>
                <w:sz w:val="18"/>
                <w:szCs w:val="18"/>
              </w:rPr>
              <w:t>)500</w:t>
            </w:r>
            <w:r>
              <w:rPr>
                <w:rFonts w:hint="eastAsia"/>
                <w:b/>
                <w:sz w:val="18"/>
                <w:szCs w:val="18"/>
              </w:rPr>
              <w:t>总吨以下的船舶，处</w:t>
            </w:r>
            <w:r>
              <w:rPr>
                <w:b/>
                <w:sz w:val="18"/>
                <w:szCs w:val="18"/>
              </w:rPr>
              <w:t>2000</w:t>
            </w:r>
            <w:r>
              <w:rPr>
                <w:rFonts w:hint="eastAsia"/>
                <w:b/>
                <w:sz w:val="18"/>
                <w:szCs w:val="18"/>
              </w:rPr>
              <w:t>元以上、</w:t>
            </w:r>
            <w:r>
              <w:rPr>
                <w:b/>
                <w:sz w:val="18"/>
                <w:szCs w:val="18"/>
              </w:rPr>
              <w:t>10000</w:t>
            </w:r>
            <w:r>
              <w:rPr>
                <w:rFonts w:hint="eastAsia"/>
                <w:b/>
                <w:sz w:val="18"/>
                <w:szCs w:val="18"/>
              </w:rPr>
              <w:t>元以下的罚款；</w:t>
            </w:r>
            <w:r>
              <w:rPr>
                <w:b/>
                <w:sz w:val="18"/>
                <w:szCs w:val="18"/>
              </w:rPr>
              <w:t>(</w:t>
            </w:r>
            <w:r>
              <w:rPr>
                <w:rFonts w:hint="eastAsia"/>
                <w:b/>
                <w:sz w:val="18"/>
                <w:szCs w:val="18"/>
              </w:rPr>
              <w:t>二</w:t>
            </w:r>
            <w:r>
              <w:rPr>
                <w:b/>
                <w:sz w:val="18"/>
                <w:szCs w:val="18"/>
              </w:rPr>
              <w:t>)501</w:t>
            </w:r>
            <w:r>
              <w:rPr>
                <w:rFonts w:hint="eastAsia"/>
                <w:b/>
                <w:sz w:val="18"/>
                <w:szCs w:val="18"/>
              </w:rPr>
              <w:t>总吨以上、</w:t>
            </w:r>
            <w:r>
              <w:rPr>
                <w:b/>
                <w:sz w:val="18"/>
                <w:szCs w:val="18"/>
              </w:rPr>
              <w:t>10000</w:t>
            </w:r>
            <w:r>
              <w:rPr>
                <w:rFonts w:hint="eastAsia"/>
                <w:b/>
                <w:sz w:val="18"/>
                <w:szCs w:val="18"/>
              </w:rPr>
              <w:t>总吨以下的船舶，处以</w:t>
            </w:r>
            <w:r>
              <w:rPr>
                <w:b/>
                <w:sz w:val="18"/>
                <w:szCs w:val="18"/>
              </w:rPr>
              <w:t>10000</w:t>
            </w:r>
            <w:r>
              <w:rPr>
                <w:rFonts w:hint="eastAsia"/>
                <w:b/>
                <w:sz w:val="18"/>
                <w:szCs w:val="18"/>
              </w:rPr>
              <w:t>元以上、</w:t>
            </w:r>
            <w:r>
              <w:rPr>
                <w:b/>
                <w:sz w:val="18"/>
                <w:szCs w:val="18"/>
              </w:rPr>
              <w:t xml:space="preserve">50000 </w:t>
            </w:r>
            <w:r>
              <w:rPr>
                <w:rFonts w:hint="eastAsia"/>
                <w:b/>
                <w:sz w:val="18"/>
                <w:szCs w:val="18"/>
              </w:rPr>
              <w:t>元以下的罚款；</w:t>
            </w:r>
            <w:r>
              <w:rPr>
                <w:b/>
                <w:sz w:val="18"/>
                <w:szCs w:val="18"/>
              </w:rPr>
              <w:t>(</w:t>
            </w:r>
            <w:r>
              <w:rPr>
                <w:rFonts w:hint="eastAsia"/>
                <w:b/>
                <w:sz w:val="18"/>
                <w:szCs w:val="18"/>
              </w:rPr>
              <w:t>三</w:t>
            </w:r>
            <w:r>
              <w:rPr>
                <w:b/>
                <w:sz w:val="18"/>
                <w:szCs w:val="18"/>
              </w:rPr>
              <w:t>)10001</w:t>
            </w:r>
            <w:r>
              <w:rPr>
                <w:rFonts w:hint="eastAsia"/>
                <w:b/>
                <w:sz w:val="18"/>
                <w:szCs w:val="18"/>
              </w:rPr>
              <w:t>总吨以上的船舶，处以</w:t>
            </w:r>
            <w:r>
              <w:rPr>
                <w:b/>
                <w:sz w:val="18"/>
                <w:szCs w:val="18"/>
              </w:rPr>
              <w:t>50000</w:t>
            </w:r>
            <w:r>
              <w:rPr>
                <w:rFonts w:hint="eastAsia"/>
                <w:b/>
                <w:sz w:val="18"/>
                <w:szCs w:val="18"/>
              </w:rPr>
              <w:t>元以上、</w:t>
            </w:r>
            <w:r>
              <w:rPr>
                <w:b/>
                <w:sz w:val="18"/>
                <w:szCs w:val="18"/>
              </w:rPr>
              <w:t>200000</w:t>
            </w:r>
            <w:r>
              <w:rPr>
                <w:rFonts w:hint="eastAsia"/>
                <w:b/>
                <w:sz w:val="18"/>
                <w:szCs w:val="18"/>
              </w:rPr>
              <w:t>元以下的罚款。</w:t>
            </w:r>
          </w:p>
        </w:tc>
      </w:tr>
      <w:tr w14:paraId="6B27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35E5F774">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216C77E8">
            <w:pPr>
              <w:spacing w:before="156" w:beforeLines="50" w:after="156" w:afterLines="50" w:line="240" w:lineRule="exact"/>
              <w:jc w:val="center"/>
              <w:rPr>
                <w:b/>
                <w:sz w:val="18"/>
                <w:szCs w:val="18"/>
              </w:rPr>
            </w:pP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F1B8424">
            <w:pPr>
              <w:spacing w:before="156" w:beforeLines="50" w:after="156" w:afterLines="50" w:line="240" w:lineRule="exact"/>
              <w:jc w:val="center"/>
              <w:rPr>
                <w:b/>
                <w:sz w:val="18"/>
                <w:szCs w:val="18"/>
              </w:rPr>
            </w:pPr>
            <w:r>
              <w:rPr>
                <w:rFonts w:hint="eastAsia"/>
                <w:b/>
                <w:sz w:val="18"/>
                <w:szCs w:val="18"/>
              </w:rPr>
              <w:t>违反条款</w:t>
            </w:r>
          </w:p>
        </w:tc>
        <w:tc>
          <w:tcPr>
            <w:tcW w:w="3503" w:type="dxa"/>
            <w:vMerge w:val="restart"/>
            <w:tcBorders>
              <w:top w:val="single" w:color="000000" w:sz="4" w:space="0"/>
              <w:left w:val="single" w:color="000000" w:sz="4" w:space="0"/>
              <w:bottom w:val="single" w:color="000000" w:sz="4" w:space="0"/>
              <w:right w:val="single" w:color="000000" w:sz="4" w:space="0"/>
            </w:tcBorders>
            <w:vAlign w:val="center"/>
          </w:tcPr>
          <w:p w14:paraId="10B941C3">
            <w:pPr>
              <w:spacing w:before="156" w:beforeLines="50" w:after="156" w:afterLines="50" w:line="240" w:lineRule="exact"/>
              <w:jc w:val="center"/>
              <w:rPr>
                <w:b/>
                <w:sz w:val="18"/>
                <w:szCs w:val="18"/>
              </w:rPr>
            </w:pPr>
            <w:r>
              <w:rPr>
                <w:rFonts w:hint="eastAsia"/>
                <w:b/>
                <w:sz w:val="18"/>
                <w:szCs w:val="18"/>
              </w:rPr>
              <w:t>处罚依据</w:t>
            </w: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3C5F2321">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6A2C2DA2">
            <w:pPr>
              <w:spacing w:before="156" w:beforeLines="50" w:after="156" w:afterLines="50" w:line="240" w:lineRule="exact"/>
              <w:jc w:val="center"/>
              <w:rPr>
                <w:b/>
                <w:sz w:val="18"/>
                <w:szCs w:val="18"/>
              </w:rPr>
            </w:pPr>
          </w:p>
        </w:tc>
        <w:tc>
          <w:tcPr>
            <w:tcW w:w="10214" w:type="dxa"/>
            <w:gridSpan w:val="3"/>
            <w:tcBorders>
              <w:top w:val="single" w:color="auto" w:sz="4" w:space="0"/>
              <w:left w:val="single" w:color="000000" w:sz="4" w:space="0"/>
              <w:bottom w:val="single" w:color="auto" w:sz="4" w:space="0"/>
              <w:right w:val="single" w:color="auto" w:sz="4" w:space="0"/>
            </w:tcBorders>
            <w:vAlign w:val="center"/>
          </w:tcPr>
          <w:p w14:paraId="2D23F426">
            <w:pPr>
              <w:spacing w:before="156" w:beforeLines="50" w:after="156" w:afterLines="50" w:line="240" w:lineRule="exact"/>
              <w:jc w:val="center"/>
              <w:rPr>
                <w:b/>
                <w:sz w:val="18"/>
                <w:szCs w:val="18"/>
              </w:rPr>
            </w:pPr>
            <w:r>
              <w:rPr>
                <w:rFonts w:hint="eastAsia"/>
                <w:b/>
                <w:sz w:val="18"/>
                <w:szCs w:val="18"/>
              </w:rPr>
              <w:t>【对象】船舶所有人</w:t>
            </w:r>
          </w:p>
        </w:tc>
      </w:tr>
      <w:tr w14:paraId="49AFC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26B46F32">
            <w:pPr>
              <w:spacing w:before="156" w:beforeLines="50" w:after="156" w:afterLines="50" w:line="240" w:lineRule="exact"/>
              <w:jc w:val="left"/>
              <w:rPr>
                <w:b/>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59A5B779">
            <w:pPr>
              <w:spacing w:before="156" w:beforeLines="50" w:after="156" w:afterLines="50" w:line="240" w:lineRule="exact"/>
              <w:jc w:val="center"/>
              <w:rPr>
                <w:b/>
                <w:sz w:val="18"/>
                <w:szCs w:val="1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DE94AA1">
            <w:pPr>
              <w:spacing w:before="156" w:beforeLines="50" w:after="156" w:afterLines="50" w:line="240" w:lineRule="exact"/>
              <w:jc w:val="center"/>
              <w:rPr>
                <w:b/>
                <w:sz w:val="18"/>
                <w:szCs w:val="18"/>
              </w:rPr>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14:paraId="55731F66">
            <w:pPr>
              <w:spacing w:before="156" w:beforeLines="50" w:after="156" w:afterLines="50" w:line="240" w:lineRule="exact"/>
              <w:jc w:val="center"/>
              <w:rPr>
                <w:b/>
                <w:sz w:val="18"/>
                <w:szCs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5284D6E6">
            <w:pPr>
              <w:spacing w:before="156" w:beforeLines="50" w:after="156" w:afterLines="50" w:line="240" w:lineRule="exact"/>
              <w:jc w:val="center"/>
              <w:rPr>
                <w:b/>
                <w:sz w:val="18"/>
                <w:szCs w:val="18"/>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14:paraId="41F2868D">
            <w:pPr>
              <w:spacing w:before="156" w:beforeLines="50" w:after="156" w:afterLines="50" w:line="240" w:lineRule="exact"/>
              <w:jc w:val="center"/>
              <w:rPr>
                <w:b/>
                <w:sz w:val="18"/>
                <w:szCs w:val="18"/>
              </w:rPr>
            </w:pPr>
          </w:p>
        </w:tc>
        <w:tc>
          <w:tcPr>
            <w:tcW w:w="2091" w:type="dxa"/>
            <w:tcBorders>
              <w:top w:val="single" w:color="auto" w:sz="4" w:space="0"/>
              <w:left w:val="single" w:color="000000" w:sz="4" w:space="0"/>
              <w:bottom w:val="single" w:color="000000" w:sz="4" w:space="0"/>
              <w:right w:val="single" w:color="auto" w:sz="4" w:space="0"/>
            </w:tcBorders>
            <w:vAlign w:val="center"/>
          </w:tcPr>
          <w:p w14:paraId="5E61BF25">
            <w:pPr>
              <w:spacing w:before="156" w:beforeLines="50" w:after="156" w:afterLines="50" w:line="240" w:lineRule="exact"/>
              <w:jc w:val="left"/>
              <w:rPr>
                <w:b/>
                <w:sz w:val="18"/>
                <w:szCs w:val="18"/>
              </w:rPr>
            </w:pPr>
            <w:r>
              <w:rPr>
                <w:b/>
                <w:sz w:val="18"/>
                <w:szCs w:val="18"/>
              </w:rPr>
              <w:t>500</w:t>
            </w:r>
            <w:r>
              <w:rPr>
                <w:rFonts w:hint="eastAsia"/>
                <w:b/>
                <w:sz w:val="18"/>
                <w:szCs w:val="18"/>
              </w:rPr>
              <w:t>总吨及以下的船舶</w:t>
            </w:r>
          </w:p>
        </w:tc>
        <w:tc>
          <w:tcPr>
            <w:tcW w:w="3042" w:type="dxa"/>
            <w:tcBorders>
              <w:top w:val="single" w:color="auto" w:sz="4" w:space="0"/>
              <w:left w:val="single" w:color="000000" w:sz="4" w:space="0"/>
              <w:bottom w:val="single" w:color="000000" w:sz="4" w:space="0"/>
              <w:right w:val="single" w:color="auto" w:sz="4" w:space="0"/>
            </w:tcBorders>
            <w:vAlign w:val="center"/>
          </w:tcPr>
          <w:p w14:paraId="3828CF45">
            <w:pPr>
              <w:spacing w:before="156" w:beforeLines="50" w:after="156" w:afterLines="50" w:line="240" w:lineRule="exact"/>
              <w:jc w:val="left"/>
              <w:rPr>
                <w:b/>
                <w:sz w:val="18"/>
                <w:szCs w:val="18"/>
              </w:rPr>
            </w:pPr>
            <w:r>
              <w:rPr>
                <w:b/>
                <w:sz w:val="18"/>
                <w:szCs w:val="18"/>
              </w:rPr>
              <w:t>500</w:t>
            </w:r>
            <w:r>
              <w:rPr>
                <w:rFonts w:hint="eastAsia"/>
                <w:b/>
                <w:sz w:val="18"/>
                <w:szCs w:val="18"/>
              </w:rPr>
              <w:t>总吨以上、</w:t>
            </w:r>
            <w:r>
              <w:rPr>
                <w:b/>
                <w:sz w:val="18"/>
                <w:szCs w:val="18"/>
              </w:rPr>
              <w:t>10000</w:t>
            </w:r>
            <w:r>
              <w:rPr>
                <w:rFonts w:hint="eastAsia"/>
                <w:b/>
                <w:sz w:val="18"/>
                <w:szCs w:val="18"/>
              </w:rPr>
              <w:t>总吨及以下的船舶</w:t>
            </w:r>
          </w:p>
        </w:tc>
        <w:tc>
          <w:tcPr>
            <w:tcW w:w="5081" w:type="dxa"/>
            <w:tcBorders>
              <w:top w:val="single" w:color="auto" w:sz="4" w:space="0"/>
              <w:left w:val="single" w:color="000000" w:sz="4" w:space="0"/>
              <w:bottom w:val="single" w:color="000000" w:sz="4" w:space="0"/>
              <w:right w:val="single" w:color="auto" w:sz="4" w:space="0"/>
            </w:tcBorders>
            <w:vAlign w:val="center"/>
          </w:tcPr>
          <w:p w14:paraId="31651C6B">
            <w:pPr>
              <w:spacing w:before="156" w:beforeLines="50" w:after="156" w:afterLines="50" w:line="240" w:lineRule="exact"/>
              <w:jc w:val="left"/>
              <w:rPr>
                <w:b/>
                <w:sz w:val="18"/>
                <w:szCs w:val="18"/>
              </w:rPr>
            </w:pPr>
            <w:r>
              <w:rPr>
                <w:b/>
                <w:sz w:val="18"/>
                <w:szCs w:val="18"/>
              </w:rPr>
              <w:t>10000</w:t>
            </w:r>
            <w:r>
              <w:rPr>
                <w:rFonts w:hint="eastAsia"/>
                <w:b/>
                <w:sz w:val="18"/>
                <w:szCs w:val="18"/>
              </w:rPr>
              <w:t>总吨以上的船舶</w:t>
            </w:r>
          </w:p>
        </w:tc>
      </w:tr>
      <w:tr w14:paraId="083D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89" w:type="dxa"/>
            <w:vMerge w:val="restart"/>
            <w:tcBorders>
              <w:top w:val="single" w:color="000000" w:sz="4" w:space="0"/>
              <w:left w:val="single" w:color="000000" w:sz="4" w:space="0"/>
              <w:bottom w:val="single" w:color="000000" w:sz="4" w:space="0"/>
              <w:right w:val="single" w:color="000000" w:sz="4" w:space="0"/>
            </w:tcBorders>
            <w:vAlign w:val="center"/>
          </w:tcPr>
          <w:p w14:paraId="17D8414E">
            <w:pPr>
              <w:pStyle w:val="13"/>
              <w:spacing w:before="156" w:beforeLines="50" w:after="156" w:afterLines="50"/>
              <w:jc w:val="center"/>
              <w:rPr>
                <w:sz w:val="18"/>
                <w:szCs w:val="18"/>
              </w:rPr>
            </w:pPr>
            <w:r>
              <w:rPr>
                <w:rFonts w:hint="eastAsia"/>
                <w:sz w:val="18"/>
                <w:szCs w:val="18"/>
              </w:rPr>
              <w:t>54</w:t>
            </w:r>
          </w:p>
        </w:tc>
        <w:tc>
          <w:tcPr>
            <w:tcW w:w="1427" w:type="dxa"/>
            <w:vMerge w:val="restart"/>
            <w:tcBorders>
              <w:top w:val="single" w:color="000000" w:sz="4" w:space="0"/>
              <w:left w:val="single" w:color="000000" w:sz="4" w:space="0"/>
              <w:bottom w:val="single" w:color="000000" w:sz="4" w:space="0"/>
              <w:right w:val="single" w:color="000000" w:sz="4" w:space="0"/>
            </w:tcBorders>
            <w:vAlign w:val="center"/>
          </w:tcPr>
          <w:p w14:paraId="7CF4A5D7">
            <w:pPr>
              <w:pStyle w:val="13"/>
              <w:spacing w:before="156" w:beforeLines="50" w:after="156" w:afterLines="50"/>
              <w:rPr>
                <w:sz w:val="18"/>
                <w:szCs w:val="18"/>
              </w:rPr>
            </w:pPr>
            <w:r>
              <w:rPr>
                <w:rFonts w:hint="eastAsia"/>
                <w:sz w:val="18"/>
                <w:szCs w:val="18"/>
              </w:rPr>
              <w:t>使用过期的船舶国籍证书或者临时船舶国籍证书</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625DC3E1">
            <w:pPr>
              <w:pStyle w:val="13"/>
              <w:spacing w:before="156" w:beforeLines="50" w:after="156" w:afterLines="50"/>
              <w:rPr>
                <w:sz w:val="18"/>
                <w:szCs w:val="18"/>
              </w:rPr>
            </w:pPr>
            <w:r>
              <w:rPr>
                <w:rFonts w:hint="eastAsia"/>
                <w:sz w:val="18"/>
                <w:szCs w:val="18"/>
              </w:rPr>
              <w:t>《船舶登记条例》第十六条、第十八条</w:t>
            </w:r>
          </w:p>
        </w:tc>
        <w:tc>
          <w:tcPr>
            <w:tcW w:w="3503" w:type="dxa"/>
            <w:vMerge w:val="restart"/>
            <w:tcBorders>
              <w:top w:val="single" w:color="000000" w:sz="4" w:space="0"/>
              <w:left w:val="single" w:color="000000" w:sz="4" w:space="0"/>
              <w:bottom w:val="single" w:color="000000" w:sz="4" w:space="0"/>
              <w:right w:val="single" w:color="000000" w:sz="4" w:space="0"/>
            </w:tcBorders>
            <w:vAlign w:val="center"/>
          </w:tcPr>
          <w:p w14:paraId="249037A3">
            <w:pPr>
              <w:pStyle w:val="13"/>
              <w:spacing w:before="156" w:beforeLines="50" w:after="156" w:afterLines="50"/>
              <w:rPr>
                <w:sz w:val="18"/>
                <w:szCs w:val="18"/>
              </w:rPr>
            </w:pPr>
            <w:r>
              <w:rPr>
                <w:sz w:val="18"/>
                <w:szCs w:val="18"/>
              </w:rPr>
              <w:t xml:space="preserve">1. </w:t>
            </w:r>
            <w:r>
              <w:rPr>
                <w:rFonts w:hint="eastAsia"/>
                <w:sz w:val="18"/>
                <w:szCs w:val="18"/>
              </w:rPr>
              <w:t>《船舶登记条例》第五十二条、第五十条；</w:t>
            </w:r>
          </w:p>
          <w:p w14:paraId="2851145A">
            <w:pPr>
              <w:pStyle w:val="13"/>
              <w:spacing w:before="156" w:beforeLines="50" w:after="156" w:afterLines="50"/>
              <w:rPr>
                <w:sz w:val="18"/>
                <w:szCs w:val="18"/>
              </w:rPr>
            </w:pPr>
            <w:r>
              <w:rPr>
                <w:sz w:val="18"/>
                <w:szCs w:val="18"/>
              </w:rPr>
              <w:t>2</w:t>
            </w:r>
            <w:r>
              <w:rPr>
                <w:rFonts w:hint="eastAsia"/>
                <w:sz w:val="18"/>
                <w:szCs w:val="18"/>
              </w:rPr>
              <w:t>.《中华人民共和国行政处罚法》第三十二条（从轻）。</w:t>
            </w:r>
          </w:p>
          <w:p w14:paraId="68197C84">
            <w:pPr>
              <w:pStyle w:val="13"/>
              <w:spacing w:before="156" w:beforeLines="50" w:after="156" w:afterLines="50"/>
              <w:rPr>
                <w:sz w:val="18"/>
                <w:szCs w:val="18"/>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6292CC0A">
            <w:pPr>
              <w:pStyle w:val="13"/>
              <w:spacing w:before="156" w:beforeLines="50" w:after="156" w:afterLines="50"/>
              <w:jc w:val="center"/>
              <w:rPr>
                <w:sz w:val="18"/>
                <w:szCs w:val="18"/>
              </w:rPr>
            </w:pPr>
            <w:r>
              <w:rPr>
                <w:rFonts w:hint="eastAsia"/>
                <w:sz w:val="18"/>
                <w:szCs w:val="18"/>
              </w:rPr>
              <w:t>从轻</w:t>
            </w:r>
          </w:p>
        </w:tc>
        <w:tc>
          <w:tcPr>
            <w:tcW w:w="2769" w:type="dxa"/>
            <w:tcBorders>
              <w:top w:val="single" w:color="000000" w:sz="4" w:space="0"/>
              <w:left w:val="single" w:color="000000" w:sz="4" w:space="0"/>
              <w:bottom w:val="single" w:color="000000" w:sz="4" w:space="0"/>
              <w:right w:val="single" w:color="000000" w:sz="4" w:space="0"/>
            </w:tcBorders>
            <w:vAlign w:val="center"/>
          </w:tcPr>
          <w:p w14:paraId="65869FFB">
            <w:pPr>
              <w:pStyle w:val="13"/>
              <w:spacing w:before="156" w:beforeLines="50" w:after="156" w:afterLines="50"/>
              <w:rPr>
                <w:sz w:val="18"/>
                <w:szCs w:val="18"/>
              </w:rPr>
            </w:pPr>
            <w:r>
              <w:rPr>
                <w:rFonts w:hint="eastAsia"/>
                <w:sz w:val="18"/>
                <w:szCs w:val="18"/>
              </w:rPr>
              <w:t>具有法定从轻情节的。</w:t>
            </w:r>
          </w:p>
        </w:tc>
        <w:tc>
          <w:tcPr>
            <w:tcW w:w="10214" w:type="dxa"/>
            <w:gridSpan w:val="3"/>
            <w:tcBorders>
              <w:top w:val="single" w:color="000000" w:sz="4" w:space="0"/>
              <w:left w:val="single" w:color="000000" w:sz="4" w:space="0"/>
              <w:bottom w:val="single" w:color="000000" w:sz="4" w:space="0"/>
              <w:right w:val="single" w:color="auto" w:sz="4" w:space="0"/>
            </w:tcBorders>
            <w:vAlign w:val="center"/>
          </w:tcPr>
          <w:p w14:paraId="1CEB8634">
            <w:pPr>
              <w:pStyle w:val="13"/>
              <w:spacing w:before="156" w:beforeLines="50" w:after="156" w:afterLines="50"/>
              <w:rPr>
                <w:sz w:val="18"/>
                <w:szCs w:val="18"/>
              </w:rPr>
            </w:pPr>
            <w:r>
              <w:rPr>
                <w:rFonts w:hint="eastAsia"/>
                <w:sz w:val="18"/>
                <w:szCs w:val="18"/>
              </w:rPr>
              <w:t>责令其补办有关登记手续</w:t>
            </w:r>
          </w:p>
        </w:tc>
      </w:tr>
      <w:tr w14:paraId="5C63A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43EA88D0">
            <w:pPr>
              <w:pStyle w:val="13"/>
              <w:spacing w:before="156" w:beforeLines="50" w:after="156" w:afterLines="50"/>
              <w:rPr>
                <w:sz w:val="18"/>
                <w:szCs w:val="18"/>
              </w:rPr>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2A2B94B2">
            <w:pPr>
              <w:pStyle w:val="13"/>
              <w:spacing w:before="156" w:beforeLines="50" w:after="156" w:afterLines="50"/>
              <w:rPr>
                <w:sz w:val="18"/>
                <w:szCs w:val="18"/>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1391780">
            <w:pPr>
              <w:pStyle w:val="13"/>
              <w:spacing w:before="156" w:beforeLines="50" w:after="156" w:afterLines="50"/>
              <w:rPr>
                <w:sz w:val="18"/>
                <w:szCs w:val="18"/>
              </w:rPr>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14:paraId="0CA85435">
            <w:pPr>
              <w:pStyle w:val="13"/>
              <w:spacing w:before="156" w:beforeLines="50" w:after="156" w:afterLines="50"/>
              <w:rPr>
                <w:sz w:val="18"/>
                <w:szCs w:val="18"/>
              </w:rPr>
            </w:pPr>
          </w:p>
        </w:tc>
        <w:tc>
          <w:tcPr>
            <w:tcW w:w="929" w:type="dxa"/>
            <w:vMerge w:val="restart"/>
            <w:tcBorders>
              <w:top w:val="single" w:color="000000" w:sz="4" w:space="0"/>
              <w:left w:val="single" w:color="000000" w:sz="4" w:space="0"/>
              <w:right w:val="single" w:color="000000" w:sz="4" w:space="0"/>
            </w:tcBorders>
            <w:vAlign w:val="center"/>
          </w:tcPr>
          <w:p w14:paraId="633A1367">
            <w:pPr>
              <w:pStyle w:val="13"/>
              <w:spacing w:before="156" w:beforeLines="50" w:after="156" w:afterLines="50"/>
              <w:jc w:val="center"/>
              <w:rPr>
                <w:sz w:val="18"/>
                <w:szCs w:val="18"/>
              </w:rPr>
            </w:pPr>
            <w:r>
              <w:rPr>
                <w:rFonts w:hint="eastAsia"/>
                <w:sz w:val="18"/>
                <w:szCs w:val="18"/>
              </w:rPr>
              <w:t>一般</w:t>
            </w:r>
          </w:p>
          <w:p w14:paraId="7A381F12">
            <w:pPr>
              <w:pStyle w:val="3"/>
              <w:spacing w:before="156" w:beforeLines="50" w:after="156" w:afterLines="50"/>
              <w:jc w:val="center"/>
            </w:pPr>
          </w:p>
        </w:tc>
        <w:tc>
          <w:tcPr>
            <w:tcW w:w="2769" w:type="dxa"/>
            <w:tcBorders>
              <w:top w:val="single" w:color="000000" w:sz="4" w:space="0"/>
              <w:left w:val="single" w:color="000000" w:sz="4" w:space="0"/>
              <w:bottom w:val="single" w:color="000000" w:sz="4" w:space="0"/>
              <w:right w:val="single" w:color="000000" w:sz="4" w:space="0"/>
            </w:tcBorders>
            <w:vAlign w:val="center"/>
          </w:tcPr>
          <w:p w14:paraId="35C1A462">
            <w:pPr>
              <w:pStyle w:val="13"/>
              <w:spacing w:before="156" w:beforeLines="50" w:after="156" w:afterLines="50"/>
              <w:rPr>
                <w:sz w:val="18"/>
                <w:szCs w:val="18"/>
              </w:rPr>
            </w:pPr>
            <w:r>
              <w:rPr>
                <w:rFonts w:hint="eastAsia"/>
                <w:sz w:val="18"/>
                <w:szCs w:val="18"/>
              </w:rPr>
              <w:t>使用过期的船舶国籍证书或者临时船舶国籍证书时间3个月以下的。</w:t>
            </w:r>
          </w:p>
        </w:tc>
        <w:tc>
          <w:tcPr>
            <w:tcW w:w="10214" w:type="dxa"/>
            <w:gridSpan w:val="3"/>
            <w:tcBorders>
              <w:top w:val="single" w:color="000000" w:sz="4" w:space="0"/>
              <w:left w:val="single" w:color="000000" w:sz="4" w:space="0"/>
              <w:bottom w:val="single" w:color="000000" w:sz="4" w:space="0"/>
              <w:right w:val="single" w:color="auto" w:sz="4" w:space="0"/>
            </w:tcBorders>
            <w:vAlign w:val="center"/>
          </w:tcPr>
          <w:p w14:paraId="0F800B9C">
            <w:pPr>
              <w:pStyle w:val="13"/>
              <w:spacing w:before="156" w:beforeLines="50" w:after="156" w:afterLines="50"/>
              <w:rPr>
                <w:sz w:val="18"/>
                <w:szCs w:val="18"/>
              </w:rPr>
            </w:pPr>
            <w:r>
              <w:rPr>
                <w:rFonts w:hint="eastAsia"/>
                <w:sz w:val="18"/>
                <w:szCs w:val="18"/>
              </w:rPr>
              <w:t>责令其补办有关登记手续</w:t>
            </w:r>
          </w:p>
        </w:tc>
      </w:tr>
      <w:tr w14:paraId="646F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25D48993">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4068230C">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DACB53E">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14:paraId="385CB226">
            <w:pPr>
              <w:pStyle w:val="3"/>
              <w:spacing w:before="156" w:beforeLines="50" w:after="156" w:afterLines="50"/>
            </w:pPr>
          </w:p>
        </w:tc>
        <w:tc>
          <w:tcPr>
            <w:tcW w:w="929" w:type="dxa"/>
            <w:vMerge w:val="continue"/>
            <w:tcBorders>
              <w:left w:val="single" w:color="000000" w:sz="4" w:space="0"/>
              <w:bottom w:val="single" w:color="000000" w:sz="4" w:space="0"/>
              <w:right w:val="single" w:color="000000" w:sz="4" w:space="0"/>
            </w:tcBorders>
            <w:vAlign w:val="center"/>
          </w:tcPr>
          <w:p w14:paraId="7064DC6B">
            <w:pPr>
              <w:pStyle w:val="3"/>
              <w:spacing w:before="156" w:beforeLines="50" w:after="156" w:afterLines="50"/>
              <w:jc w:val="center"/>
            </w:pPr>
          </w:p>
        </w:tc>
        <w:tc>
          <w:tcPr>
            <w:tcW w:w="2769" w:type="dxa"/>
            <w:tcBorders>
              <w:top w:val="single" w:color="000000" w:sz="4" w:space="0"/>
              <w:left w:val="single" w:color="000000" w:sz="4" w:space="0"/>
              <w:bottom w:val="single" w:color="000000" w:sz="4" w:space="0"/>
              <w:right w:val="single" w:color="000000" w:sz="4" w:space="0"/>
            </w:tcBorders>
            <w:vAlign w:val="center"/>
          </w:tcPr>
          <w:p w14:paraId="09AFF924">
            <w:pPr>
              <w:pStyle w:val="3"/>
              <w:spacing w:before="156" w:beforeLines="50" w:after="156" w:afterLines="50"/>
            </w:pPr>
            <w:r>
              <w:rPr>
                <w:rFonts w:hint="eastAsia"/>
              </w:rPr>
              <w:t>使用过期的船舶国籍证书或者临时船舶国籍证书时间3个月及以上6个月以下的。</w:t>
            </w:r>
          </w:p>
        </w:tc>
        <w:tc>
          <w:tcPr>
            <w:tcW w:w="2091" w:type="dxa"/>
            <w:tcBorders>
              <w:top w:val="single" w:color="000000" w:sz="4" w:space="0"/>
              <w:left w:val="single" w:color="000000" w:sz="4" w:space="0"/>
              <w:bottom w:val="single" w:color="000000" w:sz="4" w:space="0"/>
              <w:right w:val="single" w:color="auto" w:sz="4" w:space="0"/>
            </w:tcBorders>
            <w:vAlign w:val="center"/>
          </w:tcPr>
          <w:p w14:paraId="2BC3E524">
            <w:pPr>
              <w:spacing w:before="156" w:beforeLines="50" w:after="156" w:afterLines="50"/>
              <w:rPr>
                <w:kern w:val="0"/>
                <w:sz w:val="18"/>
                <w:szCs w:val="18"/>
              </w:rPr>
            </w:pPr>
            <w:r>
              <w:rPr>
                <w:rFonts w:hint="eastAsia"/>
                <w:kern w:val="0"/>
                <w:sz w:val="18"/>
                <w:szCs w:val="18"/>
              </w:rPr>
              <w:t>400元及以上600元以下</w:t>
            </w:r>
          </w:p>
        </w:tc>
        <w:tc>
          <w:tcPr>
            <w:tcW w:w="3042" w:type="dxa"/>
            <w:tcBorders>
              <w:top w:val="single" w:color="000000" w:sz="4" w:space="0"/>
              <w:left w:val="single" w:color="000000" w:sz="4" w:space="0"/>
              <w:bottom w:val="single" w:color="000000" w:sz="4" w:space="0"/>
              <w:right w:val="single" w:color="auto" w:sz="4" w:space="0"/>
            </w:tcBorders>
            <w:vAlign w:val="center"/>
          </w:tcPr>
          <w:p w14:paraId="58FEAA42">
            <w:pPr>
              <w:spacing w:before="156" w:beforeLines="50" w:after="156" w:afterLines="50"/>
              <w:rPr>
                <w:kern w:val="0"/>
                <w:sz w:val="18"/>
                <w:szCs w:val="18"/>
              </w:rPr>
            </w:pPr>
            <w:r>
              <w:rPr>
                <w:rFonts w:hint="eastAsia"/>
                <w:kern w:val="0"/>
                <w:sz w:val="18"/>
                <w:szCs w:val="18"/>
              </w:rPr>
              <w:t>2000元及以上2500元以下</w:t>
            </w:r>
          </w:p>
        </w:tc>
        <w:tc>
          <w:tcPr>
            <w:tcW w:w="5081" w:type="dxa"/>
            <w:tcBorders>
              <w:top w:val="single" w:color="000000" w:sz="4" w:space="0"/>
              <w:left w:val="single" w:color="000000" w:sz="4" w:space="0"/>
              <w:bottom w:val="single" w:color="000000" w:sz="4" w:space="0"/>
              <w:right w:val="single" w:color="auto" w:sz="4" w:space="0"/>
            </w:tcBorders>
            <w:vAlign w:val="center"/>
          </w:tcPr>
          <w:p w14:paraId="02814775">
            <w:pPr>
              <w:spacing w:before="156" w:beforeLines="50" w:after="156" w:afterLines="50"/>
              <w:rPr>
                <w:kern w:val="0"/>
                <w:sz w:val="18"/>
                <w:szCs w:val="18"/>
              </w:rPr>
            </w:pPr>
            <w:r>
              <w:rPr>
                <w:rFonts w:hint="eastAsia"/>
                <w:kern w:val="0"/>
                <w:sz w:val="18"/>
                <w:szCs w:val="18"/>
              </w:rPr>
              <w:t>6000元及以上1万元以下</w:t>
            </w:r>
          </w:p>
        </w:tc>
      </w:tr>
      <w:tr w14:paraId="7113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4747DE81">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54EC20C0">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8505345">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14:paraId="699FF868">
            <w:pPr>
              <w:pStyle w:val="3"/>
              <w:spacing w:before="156" w:beforeLines="50" w:after="156" w:afterLines="50"/>
            </w:pPr>
          </w:p>
        </w:tc>
        <w:tc>
          <w:tcPr>
            <w:tcW w:w="929" w:type="dxa"/>
            <w:vMerge w:val="restart"/>
            <w:tcBorders>
              <w:top w:val="single" w:color="auto" w:sz="4" w:space="0"/>
              <w:left w:val="single" w:color="000000" w:sz="4" w:space="0"/>
              <w:bottom w:val="single" w:color="000000" w:sz="4" w:space="0"/>
              <w:right w:val="single" w:color="000000" w:sz="4" w:space="0"/>
            </w:tcBorders>
            <w:vAlign w:val="center"/>
          </w:tcPr>
          <w:p w14:paraId="6FB7946D">
            <w:pPr>
              <w:pStyle w:val="3"/>
              <w:spacing w:before="156" w:beforeLines="50" w:after="156" w:afterLines="50"/>
              <w:jc w:val="center"/>
            </w:pPr>
            <w:r>
              <w:rPr>
                <w:rFonts w:hint="eastAsia"/>
              </w:rPr>
              <w:t>情节严重</w:t>
            </w:r>
          </w:p>
        </w:tc>
        <w:tc>
          <w:tcPr>
            <w:tcW w:w="2769" w:type="dxa"/>
            <w:tcBorders>
              <w:top w:val="single" w:color="auto" w:sz="4" w:space="0"/>
              <w:left w:val="single" w:color="000000" w:sz="4" w:space="0"/>
              <w:bottom w:val="single" w:color="000000" w:sz="4" w:space="0"/>
              <w:right w:val="single" w:color="000000" w:sz="4" w:space="0"/>
            </w:tcBorders>
            <w:vAlign w:val="center"/>
          </w:tcPr>
          <w:p w14:paraId="0F926426">
            <w:pPr>
              <w:pStyle w:val="3"/>
              <w:spacing w:before="156" w:beforeLines="50" w:after="156" w:afterLines="50"/>
            </w:pPr>
            <w:r>
              <w:rPr>
                <w:rFonts w:hint="eastAsia"/>
              </w:rPr>
              <w:t>使用过期的船舶国籍证书或者临时船舶国籍证书时间6个月及以上的。</w:t>
            </w:r>
          </w:p>
        </w:tc>
        <w:tc>
          <w:tcPr>
            <w:tcW w:w="2091" w:type="dxa"/>
            <w:tcBorders>
              <w:top w:val="single" w:color="auto" w:sz="4" w:space="0"/>
              <w:left w:val="single" w:color="000000" w:sz="4" w:space="0"/>
              <w:bottom w:val="single" w:color="auto" w:sz="4" w:space="0"/>
              <w:right w:val="single" w:color="auto" w:sz="4" w:space="0"/>
            </w:tcBorders>
            <w:vAlign w:val="center"/>
          </w:tcPr>
          <w:p w14:paraId="0AC10203">
            <w:pPr>
              <w:spacing w:before="156" w:beforeLines="50" w:after="156" w:afterLines="50"/>
              <w:rPr>
                <w:kern w:val="0"/>
                <w:sz w:val="18"/>
                <w:szCs w:val="18"/>
              </w:rPr>
            </w:pPr>
            <w:r>
              <w:rPr>
                <w:rFonts w:hint="eastAsia"/>
                <w:kern w:val="0"/>
                <w:sz w:val="18"/>
                <w:szCs w:val="18"/>
              </w:rPr>
              <w:t>600元及以上800元以下</w:t>
            </w:r>
          </w:p>
        </w:tc>
        <w:tc>
          <w:tcPr>
            <w:tcW w:w="3042" w:type="dxa"/>
            <w:tcBorders>
              <w:top w:val="single" w:color="auto" w:sz="4" w:space="0"/>
              <w:left w:val="single" w:color="000000" w:sz="4" w:space="0"/>
              <w:bottom w:val="single" w:color="auto" w:sz="4" w:space="0"/>
              <w:right w:val="single" w:color="auto" w:sz="4" w:space="0"/>
            </w:tcBorders>
            <w:vAlign w:val="center"/>
          </w:tcPr>
          <w:p w14:paraId="3C1522C5">
            <w:pPr>
              <w:spacing w:before="156" w:beforeLines="50" w:after="156" w:afterLines="50"/>
              <w:rPr>
                <w:kern w:val="0"/>
                <w:sz w:val="18"/>
                <w:szCs w:val="18"/>
              </w:rPr>
            </w:pPr>
            <w:r>
              <w:rPr>
                <w:rFonts w:hint="eastAsia"/>
                <w:kern w:val="0"/>
                <w:sz w:val="18"/>
                <w:szCs w:val="18"/>
              </w:rPr>
              <w:t>2500元及以上3500元以下</w:t>
            </w:r>
          </w:p>
        </w:tc>
        <w:tc>
          <w:tcPr>
            <w:tcW w:w="5081" w:type="dxa"/>
            <w:tcBorders>
              <w:top w:val="single" w:color="auto" w:sz="4" w:space="0"/>
              <w:left w:val="single" w:color="000000" w:sz="4" w:space="0"/>
              <w:bottom w:val="single" w:color="auto" w:sz="4" w:space="0"/>
              <w:right w:val="single" w:color="auto" w:sz="4" w:space="0"/>
            </w:tcBorders>
            <w:vAlign w:val="center"/>
          </w:tcPr>
          <w:p w14:paraId="490FDC98">
            <w:pPr>
              <w:spacing w:before="156" w:beforeLines="50" w:after="156" w:afterLines="50"/>
              <w:rPr>
                <w:kern w:val="0"/>
                <w:sz w:val="18"/>
                <w:szCs w:val="18"/>
              </w:rPr>
            </w:pPr>
            <w:r>
              <w:rPr>
                <w:rFonts w:hint="eastAsia"/>
                <w:kern w:val="0"/>
                <w:sz w:val="18"/>
                <w:szCs w:val="18"/>
              </w:rPr>
              <w:t>1万元及以上1.4万元以下</w:t>
            </w:r>
          </w:p>
        </w:tc>
      </w:tr>
      <w:tr w14:paraId="3787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14:paraId="5E348A1B">
            <w:pPr>
              <w:pStyle w:val="3"/>
              <w:spacing w:before="156" w:beforeLines="50" w:after="156" w:afterLines="50"/>
            </w:pPr>
          </w:p>
        </w:tc>
        <w:tc>
          <w:tcPr>
            <w:tcW w:w="1427" w:type="dxa"/>
            <w:vMerge w:val="continue"/>
            <w:tcBorders>
              <w:top w:val="single" w:color="000000" w:sz="4" w:space="0"/>
              <w:left w:val="single" w:color="000000" w:sz="4" w:space="0"/>
              <w:bottom w:val="single" w:color="000000" w:sz="4" w:space="0"/>
              <w:right w:val="single" w:color="000000" w:sz="4" w:space="0"/>
            </w:tcBorders>
            <w:vAlign w:val="center"/>
          </w:tcPr>
          <w:p w14:paraId="572DF0F9">
            <w:pPr>
              <w:pStyle w:val="3"/>
              <w:spacing w:before="156" w:beforeLines="50" w:after="156" w:afterLines="50"/>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F27FEE1">
            <w:pPr>
              <w:pStyle w:val="3"/>
              <w:spacing w:before="156" w:beforeLines="50" w:after="156" w:afterLines="50"/>
            </w:pPr>
          </w:p>
        </w:tc>
        <w:tc>
          <w:tcPr>
            <w:tcW w:w="3503" w:type="dxa"/>
            <w:vMerge w:val="continue"/>
            <w:tcBorders>
              <w:top w:val="single" w:color="000000" w:sz="4" w:space="0"/>
              <w:left w:val="single" w:color="000000" w:sz="4" w:space="0"/>
              <w:bottom w:val="single" w:color="000000" w:sz="4" w:space="0"/>
              <w:right w:val="single" w:color="000000" w:sz="4" w:space="0"/>
            </w:tcBorders>
            <w:vAlign w:val="center"/>
          </w:tcPr>
          <w:p w14:paraId="5E016109">
            <w:pPr>
              <w:pStyle w:val="3"/>
              <w:spacing w:before="156" w:beforeLines="50" w:after="156" w:afterLines="50"/>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58BF85C9">
            <w:pPr>
              <w:pStyle w:val="3"/>
              <w:spacing w:before="156" w:beforeLines="50" w:after="156" w:afterLines="50"/>
            </w:pPr>
          </w:p>
        </w:tc>
        <w:tc>
          <w:tcPr>
            <w:tcW w:w="2769" w:type="dxa"/>
            <w:tcBorders>
              <w:top w:val="single" w:color="000000" w:sz="4" w:space="0"/>
              <w:left w:val="single" w:color="000000" w:sz="4" w:space="0"/>
              <w:bottom w:val="single" w:color="000000" w:sz="4" w:space="0"/>
              <w:right w:val="single" w:color="000000" w:sz="4" w:space="0"/>
            </w:tcBorders>
            <w:vAlign w:val="center"/>
          </w:tcPr>
          <w:p w14:paraId="5AF8B5FC">
            <w:pPr>
              <w:pStyle w:val="3"/>
              <w:spacing w:before="156" w:beforeLines="50" w:after="156" w:afterLines="50"/>
            </w:pPr>
            <w:r>
              <w:rPr>
                <w:rFonts w:hint="eastAsia"/>
              </w:rPr>
              <w:t>1.使用过期的船舶国籍证书或者临时船舶国籍证书造成不良社会影响的；</w:t>
            </w:r>
          </w:p>
          <w:p w14:paraId="26F2F294">
            <w:pPr>
              <w:pStyle w:val="3"/>
              <w:spacing w:before="156" w:beforeLines="50" w:after="156" w:afterLines="50"/>
            </w:pPr>
            <w:r>
              <w:rPr>
                <w:rFonts w:hint="eastAsia"/>
              </w:rPr>
              <w:t>2.具有其他严重情节的。</w:t>
            </w:r>
          </w:p>
        </w:tc>
        <w:tc>
          <w:tcPr>
            <w:tcW w:w="2091" w:type="dxa"/>
            <w:tcBorders>
              <w:top w:val="single" w:color="auto" w:sz="4" w:space="0"/>
              <w:left w:val="single" w:color="000000" w:sz="4" w:space="0"/>
              <w:bottom w:val="single" w:color="000000" w:sz="4" w:space="0"/>
              <w:right w:val="single" w:color="auto" w:sz="4" w:space="0"/>
            </w:tcBorders>
            <w:vAlign w:val="center"/>
          </w:tcPr>
          <w:p w14:paraId="5F736A6A">
            <w:pPr>
              <w:spacing w:before="156" w:beforeLines="50" w:after="156" w:afterLines="50" w:line="240" w:lineRule="exact"/>
              <w:rPr>
                <w:kern w:val="0"/>
                <w:sz w:val="18"/>
                <w:szCs w:val="18"/>
              </w:rPr>
            </w:pPr>
            <w:r>
              <w:rPr>
                <w:rFonts w:hint="eastAsia"/>
                <w:kern w:val="0"/>
                <w:sz w:val="18"/>
                <w:szCs w:val="18"/>
              </w:rPr>
              <w:t>800元及以上1000元及以下</w:t>
            </w:r>
          </w:p>
        </w:tc>
        <w:tc>
          <w:tcPr>
            <w:tcW w:w="3042" w:type="dxa"/>
            <w:tcBorders>
              <w:top w:val="single" w:color="auto" w:sz="4" w:space="0"/>
              <w:left w:val="single" w:color="000000" w:sz="4" w:space="0"/>
              <w:bottom w:val="single" w:color="000000" w:sz="4" w:space="0"/>
              <w:right w:val="single" w:color="auto" w:sz="4" w:space="0"/>
            </w:tcBorders>
            <w:vAlign w:val="center"/>
          </w:tcPr>
          <w:p w14:paraId="3116FAC8">
            <w:pPr>
              <w:spacing w:before="156" w:beforeLines="50" w:after="156" w:afterLines="50"/>
              <w:rPr>
                <w:kern w:val="0"/>
                <w:sz w:val="18"/>
                <w:szCs w:val="18"/>
              </w:rPr>
            </w:pPr>
            <w:r>
              <w:rPr>
                <w:rFonts w:hint="eastAsia"/>
                <w:kern w:val="0"/>
                <w:sz w:val="18"/>
                <w:szCs w:val="18"/>
              </w:rPr>
              <w:t>3500元及以上5000元以下</w:t>
            </w:r>
          </w:p>
        </w:tc>
        <w:tc>
          <w:tcPr>
            <w:tcW w:w="5081" w:type="dxa"/>
            <w:tcBorders>
              <w:top w:val="single" w:color="auto" w:sz="4" w:space="0"/>
              <w:left w:val="single" w:color="000000" w:sz="4" w:space="0"/>
              <w:bottom w:val="single" w:color="000000" w:sz="4" w:space="0"/>
              <w:right w:val="single" w:color="auto" w:sz="4" w:space="0"/>
            </w:tcBorders>
            <w:vAlign w:val="center"/>
          </w:tcPr>
          <w:p w14:paraId="3A523D5F">
            <w:pPr>
              <w:spacing w:before="156" w:beforeLines="50" w:after="156" w:afterLines="50"/>
              <w:rPr>
                <w:kern w:val="0"/>
                <w:sz w:val="18"/>
                <w:szCs w:val="18"/>
              </w:rPr>
            </w:pPr>
            <w:r>
              <w:rPr>
                <w:rFonts w:hint="eastAsia"/>
                <w:kern w:val="0"/>
                <w:sz w:val="18"/>
                <w:szCs w:val="18"/>
              </w:rPr>
              <w:t>1.4万元及以上2万元以下</w:t>
            </w:r>
          </w:p>
        </w:tc>
      </w:tr>
    </w:tbl>
    <w:p w14:paraId="3D092860">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
        <w:gridCol w:w="571"/>
        <w:gridCol w:w="175"/>
        <w:gridCol w:w="722"/>
        <w:gridCol w:w="1122"/>
        <w:gridCol w:w="160"/>
        <w:gridCol w:w="1440"/>
        <w:gridCol w:w="424"/>
        <w:gridCol w:w="849"/>
        <w:gridCol w:w="1388"/>
        <w:gridCol w:w="782"/>
        <w:gridCol w:w="1156"/>
        <w:gridCol w:w="2126"/>
        <w:gridCol w:w="1258"/>
        <w:gridCol w:w="1577"/>
        <w:gridCol w:w="1057"/>
        <w:gridCol w:w="6"/>
        <w:gridCol w:w="1063"/>
        <w:gridCol w:w="4903"/>
      </w:tblGrid>
      <w:tr w14:paraId="6D60A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679" w:type="dxa"/>
            <w:gridSpan w:val="2"/>
            <w:vMerge w:val="restart"/>
            <w:vAlign w:val="center"/>
          </w:tcPr>
          <w:p w14:paraId="1A97BBC1">
            <w:pPr>
              <w:spacing w:before="156" w:beforeLines="50" w:after="156" w:afterLines="50"/>
              <w:jc w:val="center"/>
              <w:rPr>
                <w:b/>
                <w:sz w:val="18"/>
                <w:szCs w:val="18"/>
              </w:rPr>
            </w:pPr>
            <w:r>
              <w:rPr>
                <w:rFonts w:hint="eastAsia"/>
                <w:b/>
                <w:sz w:val="18"/>
                <w:szCs w:val="18"/>
              </w:rPr>
              <w:t>序号</w:t>
            </w:r>
          </w:p>
        </w:tc>
        <w:tc>
          <w:tcPr>
            <w:tcW w:w="897" w:type="dxa"/>
            <w:gridSpan w:val="2"/>
            <w:vMerge w:val="restart"/>
            <w:vAlign w:val="center"/>
          </w:tcPr>
          <w:p w14:paraId="1E8F566D">
            <w:pPr>
              <w:spacing w:before="156" w:beforeLines="50" w:after="156" w:afterLines="50"/>
              <w:jc w:val="center"/>
              <w:rPr>
                <w:b/>
                <w:sz w:val="18"/>
                <w:szCs w:val="18"/>
              </w:rPr>
            </w:pPr>
            <w:r>
              <w:rPr>
                <w:rFonts w:hint="eastAsia"/>
                <w:b/>
                <w:sz w:val="18"/>
                <w:szCs w:val="18"/>
              </w:rPr>
              <w:t>案由</w:t>
            </w:r>
          </w:p>
        </w:tc>
        <w:tc>
          <w:tcPr>
            <w:tcW w:w="3146" w:type="dxa"/>
            <w:gridSpan w:val="4"/>
            <w:vMerge w:val="restart"/>
            <w:vAlign w:val="center"/>
          </w:tcPr>
          <w:p w14:paraId="73A1FCEA">
            <w:pPr>
              <w:spacing w:before="156" w:beforeLines="50" w:after="156" w:afterLines="50"/>
              <w:jc w:val="center"/>
              <w:rPr>
                <w:b/>
                <w:sz w:val="18"/>
                <w:szCs w:val="18"/>
              </w:rPr>
            </w:pPr>
            <w:r>
              <w:rPr>
                <w:rFonts w:hint="eastAsia"/>
                <w:b/>
                <w:sz w:val="18"/>
                <w:szCs w:val="18"/>
              </w:rPr>
              <w:t>法律依据</w:t>
            </w:r>
          </w:p>
        </w:tc>
        <w:tc>
          <w:tcPr>
            <w:tcW w:w="849" w:type="dxa"/>
            <w:vMerge w:val="restart"/>
            <w:vAlign w:val="center"/>
          </w:tcPr>
          <w:p w14:paraId="27C7192D">
            <w:pPr>
              <w:spacing w:before="156" w:beforeLines="50" w:after="156" w:afterLines="50"/>
              <w:jc w:val="center"/>
              <w:rPr>
                <w:b/>
                <w:sz w:val="18"/>
                <w:szCs w:val="18"/>
              </w:rPr>
            </w:pPr>
            <w:r>
              <w:rPr>
                <w:rFonts w:hint="eastAsia"/>
                <w:b/>
                <w:sz w:val="18"/>
                <w:szCs w:val="18"/>
              </w:rPr>
              <w:t>违法行</w:t>
            </w:r>
          </w:p>
          <w:p w14:paraId="6CF23E32">
            <w:pPr>
              <w:spacing w:before="156" w:beforeLines="50" w:after="156" w:afterLines="50"/>
              <w:jc w:val="center"/>
              <w:rPr>
                <w:b/>
                <w:sz w:val="18"/>
                <w:szCs w:val="18"/>
              </w:rPr>
            </w:pPr>
            <w:r>
              <w:rPr>
                <w:rFonts w:hint="eastAsia"/>
                <w:b/>
                <w:sz w:val="18"/>
                <w:szCs w:val="18"/>
              </w:rPr>
              <w:t>为情节</w:t>
            </w:r>
          </w:p>
        </w:tc>
        <w:tc>
          <w:tcPr>
            <w:tcW w:w="3326" w:type="dxa"/>
            <w:gridSpan w:val="3"/>
            <w:vMerge w:val="restart"/>
            <w:vAlign w:val="center"/>
          </w:tcPr>
          <w:p w14:paraId="5806DDCF">
            <w:pPr>
              <w:spacing w:before="156" w:beforeLines="50" w:after="156" w:afterLines="50"/>
              <w:rPr>
                <w:b/>
                <w:sz w:val="18"/>
                <w:szCs w:val="18"/>
              </w:rPr>
            </w:pPr>
            <w:r>
              <w:rPr>
                <w:rFonts w:hint="eastAsia"/>
                <w:b/>
                <w:sz w:val="18"/>
                <w:szCs w:val="18"/>
              </w:rPr>
              <w:t>主要考虑因素（事实、性质、情节、危害程度和实际后果等）</w:t>
            </w:r>
          </w:p>
        </w:tc>
        <w:tc>
          <w:tcPr>
            <w:tcW w:w="11990" w:type="dxa"/>
            <w:gridSpan w:val="7"/>
            <w:vAlign w:val="center"/>
          </w:tcPr>
          <w:p w14:paraId="21DC4885">
            <w:pPr>
              <w:rPr>
                <w:b/>
                <w:sz w:val="18"/>
                <w:szCs w:val="18"/>
              </w:rPr>
            </w:pPr>
            <w:r>
              <w:rPr>
                <w:rFonts w:hint="eastAsia"/>
                <w:b/>
                <w:sz w:val="18"/>
                <w:szCs w:val="18"/>
              </w:rPr>
              <w:t>【法定幅度和种类】责令改正，处以</w:t>
            </w:r>
            <w:r>
              <w:rPr>
                <w:b/>
                <w:sz w:val="18"/>
                <w:szCs w:val="18"/>
              </w:rPr>
              <w:t>1000</w:t>
            </w:r>
            <w:r>
              <w:rPr>
                <w:rFonts w:hint="eastAsia"/>
                <w:b/>
                <w:sz w:val="18"/>
                <w:szCs w:val="18"/>
              </w:rPr>
              <w:t>元以上</w:t>
            </w:r>
            <w:r>
              <w:rPr>
                <w:b/>
                <w:sz w:val="18"/>
                <w:szCs w:val="18"/>
              </w:rPr>
              <w:t>1</w:t>
            </w:r>
            <w:r>
              <w:rPr>
                <w:rFonts w:hint="eastAsia"/>
                <w:b/>
                <w:sz w:val="18"/>
                <w:szCs w:val="18"/>
              </w:rPr>
              <w:t>万元以下的罚款；情节严重的，对责任船员给予暂扣适任证书或者其他适任证件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个月直至吊销适任证书或者其他适任证件的处罚；造成重大内河交通事故的，依照刑法关于交通肇事罪或者其他罪的规定，依法追究刑事责任。</w:t>
            </w:r>
          </w:p>
        </w:tc>
      </w:tr>
      <w:tr w14:paraId="0C848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14:paraId="4A4424E5">
            <w:pPr>
              <w:spacing w:before="156" w:beforeLines="50" w:after="156" w:afterLines="50"/>
              <w:jc w:val="left"/>
              <w:rPr>
                <w:b/>
                <w:sz w:val="18"/>
                <w:szCs w:val="18"/>
              </w:rPr>
            </w:pPr>
          </w:p>
        </w:tc>
        <w:tc>
          <w:tcPr>
            <w:tcW w:w="897" w:type="dxa"/>
            <w:gridSpan w:val="2"/>
            <w:vMerge w:val="continue"/>
            <w:vAlign w:val="center"/>
          </w:tcPr>
          <w:p w14:paraId="65F97CB6">
            <w:pPr>
              <w:spacing w:before="156" w:beforeLines="50" w:after="156" w:afterLines="50"/>
              <w:jc w:val="left"/>
              <w:rPr>
                <w:b/>
                <w:sz w:val="18"/>
                <w:szCs w:val="18"/>
              </w:rPr>
            </w:pPr>
          </w:p>
        </w:tc>
        <w:tc>
          <w:tcPr>
            <w:tcW w:w="3146" w:type="dxa"/>
            <w:gridSpan w:val="4"/>
            <w:vMerge w:val="continue"/>
            <w:vAlign w:val="center"/>
          </w:tcPr>
          <w:p w14:paraId="563EAF62">
            <w:pPr>
              <w:spacing w:before="156" w:beforeLines="50" w:after="156" w:afterLines="50"/>
              <w:jc w:val="left"/>
              <w:rPr>
                <w:b/>
                <w:sz w:val="18"/>
                <w:szCs w:val="18"/>
              </w:rPr>
            </w:pPr>
          </w:p>
        </w:tc>
        <w:tc>
          <w:tcPr>
            <w:tcW w:w="849" w:type="dxa"/>
            <w:vMerge w:val="continue"/>
            <w:vAlign w:val="center"/>
          </w:tcPr>
          <w:p w14:paraId="0CE9547B">
            <w:pPr>
              <w:spacing w:before="156" w:beforeLines="50" w:after="156" w:afterLines="50"/>
              <w:jc w:val="left"/>
              <w:rPr>
                <w:b/>
                <w:sz w:val="18"/>
                <w:szCs w:val="18"/>
              </w:rPr>
            </w:pPr>
          </w:p>
        </w:tc>
        <w:tc>
          <w:tcPr>
            <w:tcW w:w="3326" w:type="dxa"/>
            <w:gridSpan w:val="3"/>
            <w:vMerge w:val="continue"/>
            <w:vAlign w:val="center"/>
          </w:tcPr>
          <w:p w14:paraId="028C3CDA">
            <w:pPr>
              <w:spacing w:before="156" w:beforeLines="50" w:after="156" w:afterLines="50"/>
              <w:jc w:val="left"/>
              <w:rPr>
                <w:b/>
                <w:sz w:val="18"/>
                <w:szCs w:val="18"/>
              </w:rPr>
            </w:pPr>
          </w:p>
        </w:tc>
        <w:tc>
          <w:tcPr>
            <w:tcW w:w="11990" w:type="dxa"/>
            <w:gridSpan w:val="7"/>
            <w:vAlign w:val="center"/>
          </w:tcPr>
          <w:p w14:paraId="3A0B2062">
            <w:pPr>
              <w:spacing w:before="156" w:beforeLines="50" w:after="156" w:afterLines="50"/>
              <w:jc w:val="center"/>
              <w:rPr>
                <w:b/>
                <w:sz w:val="18"/>
                <w:szCs w:val="18"/>
              </w:rPr>
            </w:pPr>
            <w:r>
              <w:rPr>
                <w:rFonts w:hint="eastAsia"/>
                <w:b/>
                <w:sz w:val="18"/>
                <w:szCs w:val="18"/>
              </w:rPr>
              <w:t>处罚基准</w:t>
            </w:r>
          </w:p>
        </w:tc>
      </w:tr>
      <w:tr w14:paraId="23479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14:paraId="1269074A">
            <w:pPr>
              <w:spacing w:before="156" w:beforeLines="50" w:after="156" w:afterLines="50"/>
              <w:jc w:val="left"/>
              <w:rPr>
                <w:b/>
                <w:sz w:val="18"/>
                <w:szCs w:val="18"/>
              </w:rPr>
            </w:pPr>
          </w:p>
        </w:tc>
        <w:tc>
          <w:tcPr>
            <w:tcW w:w="897" w:type="dxa"/>
            <w:gridSpan w:val="2"/>
            <w:vMerge w:val="continue"/>
            <w:vAlign w:val="center"/>
          </w:tcPr>
          <w:p w14:paraId="1FA62AEB">
            <w:pPr>
              <w:spacing w:before="156" w:beforeLines="50" w:after="156" w:afterLines="50"/>
              <w:jc w:val="left"/>
              <w:rPr>
                <w:b/>
                <w:sz w:val="18"/>
                <w:szCs w:val="18"/>
              </w:rPr>
            </w:pPr>
          </w:p>
        </w:tc>
        <w:tc>
          <w:tcPr>
            <w:tcW w:w="1282" w:type="dxa"/>
            <w:gridSpan w:val="2"/>
            <w:vMerge w:val="restart"/>
            <w:vAlign w:val="center"/>
          </w:tcPr>
          <w:p w14:paraId="0F40EF1B">
            <w:pPr>
              <w:spacing w:before="156" w:beforeLines="50" w:after="156" w:afterLines="50"/>
              <w:jc w:val="center"/>
              <w:rPr>
                <w:b/>
                <w:sz w:val="18"/>
                <w:szCs w:val="18"/>
              </w:rPr>
            </w:pPr>
            <w:r>
              <w:rPr>
                <w:rFonts w:hint="eastAsia"/>
                <w:b/>
                <w:sz w:val="18"/>
                <w:szCs w:val="18"/>
              </w:rPr>
              <w:t>违反条款</w:t>
            </w:r>
          </w:p>
        </w:tc>
        <w:tc>
          <w:tcPr>
            <w:tcW w:w="1864" w:type="dxa"/>
            <w:gridSpan w:val="2"/>
            <w:vMerge w:val="restart"/>
            <w:vAlign w:val="center"/>
          </w:tcPr>
          <w:p w14:paraId="32C81514">
            <w:pPr>
              <w:spacing w:before="156" w:beforeLines="50" w:after="156" w:afterLines="50"/>
              <w:jc w:val="center"/>
              <w:rPr>
                <w:b/>
                <w:sz w:val="18"/>
                <w:szCs w:val="18"/>
              </w:rPr>
            </w:pPr>
            <w:r>
              <w:rPr>
                <w:rFonts w:hint="eastAsia"/>
                <w:b/>
                <w:sz w:val="18"/>
                <w:szCs w:val="18"/>
              </w:rPr>
              <w:t>处罚依据</w:t>
            </w:r>
          </w:p>
        </w:tc>
        <w:tc>
          <w:tcPr>
            <w:tcW w:w="849" w:type="dxa"/>
            <w:vMerge w:val="continue"/>
            <w:vAlign w:val="center"/>
          </w:tcPr>
          <w:p w14:paraId="2BFFB977">
            <w:pPr>
              <w:spacing w:before="156" w:beforeLines="50" w:after="156" w:afterLines="50"/>
              <w:jc w:val="left"/>
              <w:rPr>
                <w:b/>
                <w:sz w:val="18"/>
                <w:szCs w:val="18"/>
              </w:rPr>
            </w:pPr>
          </w:p>
        </w:tc>
        <w:tc>
          <w:tcPr>
            <w:tcW w:w="3326" w:type="dxa"/>
            <w:gridSpan w:val="3"/>
            <w:vMerge w:val="continue"/>
            <w:vAlign w:val="center"/>
          </w:tcPr>
          <w:p w14:paraId="01137D55">
            <w:pPr>
              <w:spacing w:before="156" w:beforeLines="50" w:after="156" w:afterLines="50"/>
              <w:jc w:val="left"/>
              <w:rPr>
                <w:b/>
                <w:sz w:val="18"/>
                <w:szCs w:val="18"/>
              </w:rPr>
            </w:pPr>
          </w:p>
        </w:tc>
        <w:tc>
          <w:tcPr>
            <w:tcW w:w="7087" w:type="dxa"/>
            <w:gridSpan w:val="6"/>
            <w:vAlign w:val="center"/>
          </w:tcPr>
          <w:p w14:paraId="657A48BC">
            <w:pPr>
              <w:spacing w:before="156" w:beforeLines="50" w:after="156" w:afterLines="50"/>
              <w:jc w:val="center"/>
              <w:rPr>
                <w:b/>
                <w:sz w:val="18"/>
                <w:szCs w:val="18"/>
              </w:rPr>
            </w:pPr>
            <w:r>
              <w:rPr>
                <w:rFonts w:hint="eastAsia"/>
                <w:b/>
                <w:sz w:val="18"/>
                <w:szCs w:val="18"/>
              </w:rPr>
              <w:t>【对象】船舶经营人或所有人</w:t>
            </w:r>
          </w:p>
        </w:tc>
        <w:tc>
          <w:tcPr>
            <w:tcW w:w="4903" w:type="dxa"/>
            <w:vMerge w:val="restart"/>
            <w:vAlign w:val="center"/>
          </w:tcPr>
          <w:p w14:paraId="23CD9DB8">
            <w:pPr>
              <w:spacing w:before="156" w:beforeLines="50" w:after="156" w:afterLines="50"/>
              <w:jc w:val="center"/>
              <w:rPr>
                <w:rFonts w:ascii="宋体"/>
                <w:b/>
                <w:kern w:val="0"/>
                <w:sz w:val="18"/>
                <w:szCs w:val="18"/>
              </w:rPr>
            </w:pPr>
            <w:r>
              <w:rPr>
                <w:rFonts w:hint="eastAsia"/>
                <w:b/>
                <w:sz w:val="18"/>
                <w:szCs w:val="18"/>
              </w:rPr>
              <w:t>【对象】责任船员</w:t>
            </w:r>
          </w:p>
        </w:tc>
      </w:tr>
      <w:tr w14:paraId="4EDDA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3" w:hRule="atLeast"/>
        </w:trPr>
        <w:tc>
          <w:tcPr>
            <w:tcW w:w="679" w:type="dxa"/>
            <w:gridSpan w:val="2"/>
            <w:vMerge w:val="continue"/>
            <w:vAlign w:val="center"/>
          </w:tcPr>
          <w:p w14:paraId="29B4FF56">
            <w:pPr>
              <w:spacing w:before="156" w:beforeLines="50" w:after="156" w:afterLines="50"/>
              <w:jc w:val="left"/>
              <w:rPr>
                <w:b/>
                <w:sz w:val="18"/>
                <w:szCs w:val="18"/>
              </w:rPr>
            </w:pPr>
          </w:p>
        </w:tc>
        <w:tc>
          <w:tcPr>
            <w:tcW w:w="897" w:type="dxa"/>
            <w:gridSpan w:val="2"/>
            <w:vMerge w:val="continue"/>
            <w:vAlign w:val="center"/>
          </w:tcPr>
          <w:p w14:paraId="43DFAB78">
            <w:pPr>
              <w:spacing w:before="156" w:beforeLines="50" w:after="156" w:afterLines="50"/>
              <w:jc w:val="left"/>
              <w:rPr>
                <w:b/>
                <w:sz w:val="18"/>
                <w:szCs w:val="18"/>
              </w:rPr>
            </w:pPr>
          </w:p>
        </w:tc>
        <w:tc>
          <w:tcPr>
            <w:tcW w:w="1282" w:type="dxa"/>
            <w:gridSpan w:val="2"/>
            <w:vMerge w:val="continue"/>
            <w:vAlign w:val="center"/>
          </w:tcPr>
          <w:p w14:paraId="347E7B0D">
            <w:pPr>
              <w:spacing w:before="156" w:beforeLines="50" w:after="156" w:afterLines="50"/>
              <w:jc w:val="left"/>
              <w:rPr>
                <w:b/>
                <w:sz w:val="18"/>
                <w:szCs w:val="18"/>
              </w:rPr>
            </w:pPr>
          </w:p>
        </w:tc>
        <w:tc>
          <w:tcPr>
            <w:tcW w:w="1864" w:type="dxa"/>
            <w:gridSpan w:val="2"/>
            <w:vMerge w:val="continue"/>
            <w:vAlign w:val="center"/>
          </w:tcPr>
          <w:p w14:paraId="216C24EA">
            <w:pPr>
              <w:spacing w:before="156" w:beforeLines="50" w:after="156" w:afterLines="50"/>
              <w:jc w:val="left"/>
              <w:rPr>
                <w:b/>
                <w:sz w:val="18"/>
                <w:szCs w:val="18"/>
              </w:rPr>
            </w:pPr>
          </w:p>
        </w:tc>
        <w:tc>
          <w:tcPr>
            <w:tcW w:w="849" w:type="dxa"/>
            <w:vMerge w:val="continue"/>
            <w:vAlign w:val="center"/>
          </w:tcPr>
          <w:p w14:paraId="1959A4C9">
            <w:pPr>
              <w:spacing w:before="156" w:beforeLines="50" w:after="156" w:afterLines="50"/>
              <w:jc w:val="left"/>
              <w:rPr>
                <w:b/>
                <w:sz w:val="18"/>
                <w:szCs w:val="18"/>
              </w:rPr>
            </w:pPr>
          </w:p>
        </w:tc>
        <w:tc>
          <w:tcPr>
            <w:tcW w:w="3326" w:type="dxa"/>
            <w:gridSpan w:val="3"/>
            <w:vMerge w:val="continue"/>
            <w:vAlign w:val="center"/>
          </w:tcPr>
          <w:p w14:paraId="07BD1E8F">
            <w:pPr>
              <w:spacing w:before="156" w:beforeLines="50" w:after="156" w:afterLines="50"/>
              <w:jc w:val="left"/>
              <w:rPr>
                <w:b/>
                <w:sz w:val="18"/>
                <w:szCs w:val="18"/>
              </w:rPr>
            </w:pPr>
          </w:p>
        </w:tc>
        <w:tc>
          <w:tcPr>
            <w:tcW w:w="2126" w:type="dxa"/>
            <w:vAlign w:val="center"/>
          </w:tcPr>
          <w:p w14:paraId="64C98E40">
            <w:pPr>
              <w:spacing w:before="156" w:beforeLines="50" w:after="156" w:afterLines="50"/>
              <w:rPr>
                <w:b/>
                <w:sz w:val="18"/>
                <w:szCs w:val="18"/>
              </w:rPr>
            </w:pPr>
            <w:r>
              <w:rPr>
                <w:rFonts w:hint="eastAsia"/>
                <w:b/>
                <w:sz w:val="18"/>
                <w:szCs w:val="18"/>
              </w:rPr>
              <w:t>内河船舶</w:t>
            </w:r>
            <w:r>
              <w:rPr>
                <w:b/>
                <w:sz w:val="18"/>
                <w:szCs w:val="18"/>
              </w:rPr>
              <w:t>300GT</w:t>
            </w:r>
            <w:r>
              <w:rPr>
                <w:rFonts w:hint="eastAsia"/>
                <w:b/>
                <w:sz w:val="18"/>
                <w:szCs w:val="18"/>
              </w:rPr>
              <w:t>∕</w:t>
            </w:r>
            <w:r>
              <w:rPr>
                <w:b/>
                <w:sz w:val="18"/>
                <w:szCs w:val="18"/>
              </w:rPr>
              <w:t>150KW</w:t>
            </w:r>
            <w:r>
              <w:rPr>
                <w:rFonts w:hint="eastAsia"/>
                <w:b/>
                <w:sz w:val="18"/>
                <w:szCs w:val="18"/>
              </w:rPr>
              <w:t>以下；沿海船舶</w:t>
            </w:r>
            <w:r>
              <w:rPr>
                <w:b/>
                <w:sz w:val="18"/>
                <w:szCs w:val="18"/>
              </w:rPr>
              <w:t>500GT</w:t>
            </w:r>
            <w:r>
              <w:rPr>
                <w:rFonts w:hint="eastAsia"/>
                <w:b/>
                <w:sz w:val="18"/>
                <w:szCs w:val="18"/>
              </w:rPr>
              <w:t>∕</w:t>
            </w:r>
            <w:r>
              <w:rPr>
                <w:b/>
                <w:sz w:val="18"/>
                <w:szCs w:val="18"/>
              </w:rPr>
              <w:t>750KW</w:t>
            </w:r>
            <w:r>
              <w:rPr>
                <w:rFonts w:hint="eastAsia"/>
                <w:b/>
                <w:sz w:val="18"/>
                <w:szCs w:val="18"/>
              </w:rPr>
              <w:t>以下</w:t>
            </w:r>
          </w:p>
        </w:tc>
        <w:tc>
          <w:tcPr>
            <w:tcW w:w="2835" w:type="dxa"/>
            <w:gridSpan w:val="2"/>
            <w:vAlign w:val="center"/>
          </w:tcPr>
          <w:p w14:paraId="33193043">
            <w:pPr>
              <w:spacing w:before="156" w:beforeLines="50" w:after="156" w:afterLines="50"/>
              <w:rPr>
                <w:b/>
                <w:sz w:val="18"/>
                <w:szCs w:val="18"/>
              </w:rPr>
            </w:pPr>
            <w:r>
              <w:rPr>
                <w:rFonts w:hint="eastAsia"/>
                <w:b/>
                <w:sz w:val="18"/>
                <w:szCs w:val="18"/>
              </w:rPr>
              <w:t>内河船舶</w:t>
            </w:r>
            <w:r>
              <w:rPr>
                <w:b/>
                <w:sz w:val="18"/>
                <w:szCs w:val="18"/>
              </w:rPr>
              <w:t>300GT</w:t>
            </w:r>
            <w:r>
              <w:rPr>
                <w:rFonts w:hint="eastAsia"/>
                <w:b/>
                <w:sz w:val="18"/>
                <w:szCs w:val="18"/>
              </w:rPr>
              <w:t>及以上</w:t>
            </w:r>
            <w:r>
              <w:rPr>
                <w:b/>
                <w:sz w:val="18"/>
                <w:szCs w:val="18"/>
              </w:rPr>
              <w:t>1000GT</w:t>
            </w:r>
            <w:r>
              <w:rPr>
                <w:rFonts w:hint="eastAsia"/>
                <w:b/>
                <w:sz w:val="18"/>
                <w:szCs w:val="18"/>
              </w:rPr>
              <w:t>以下∕</w:t>
            </w:r>
            <w:r>
              <w:rPr>
                <w:b/>
                <w:sz w:val="18"/>
                <w:szCs w:val="18"/>
              </w:rPr>
              <w:t>150KW</w:t>
            </w:r>
            <w:r>
              <w:rPr>
                <w:rFonts w:hint="eastAsia"/>
                <w:b/>
                <w:sz w:val="18"/>
                <w:szCs w:val="18"/>
              </w:rPr>
              <w:t>及以上</w:t>
            </w:r>
            <w:r>
              <w:rPr>
                <w:b/>
                <w:sz w:val="18"/>
                <w:szCs w:val="18"/>
              </w:rPr>
              <w:t>500KW</w:t>
            </w:r>
            <w:r>
              <w:rPr>
                <w:rFonts w:hint="eastAsia"/>
                <w:b/>
                <w:sz w:val="18"/>
                <w:szCs w:val="18"/>
              </w:rPr>
              <w:t>以下；沿海船舶</w:t>
            </w:r>
            <w:r>
              <w:rPr>
                <w:b/>
                <w:sz w:val="18"/>
                <w:szCs w:val="18"/>
              </w:rPr>
              <w:t>500GT</w:t>
            </w:r>
            <w:r>
              <w:rPr>
                <w:rFonts w:hint="eastAsia"/>
                <w:b/>
                <w:sz w:val="18"/>
                <w:szCs w:val="18"/>
              </w:rPr>
              <w:t>及以上</w:t>
            </w:r>
            <w:r>
              <w:rPr>
                <w:b/>
                <w:sz w:val="18"/>
                <w:szCs w:val="18"/>
              </w:rPr>
              <w:t>3000GT</w:t>
            </w:r>
            <w:r>
              <w:rPr>
                <w:rFonts w:hint="eastAsia"/>
                <w:b/>
                <w:sz w:val="18"/>
                <w:szCs w:val="18"/>
              </w:rPr>
              <w:t>以下∕</w:t>
            </w:r>
            <w:r>
              <w:rPr>
                <w:b/>
                <w:sz w:val="18"/>
                <w:szCs w:val="18"/>
              </w:rPr>
              <w:t>750KW</w:t>
            </w:r>
            <w:r>
              <w:rPr>
                <w:rFonts w:hint="eastAsia"/>
                <w:b/>
                <w:sz w:val="18"/>
                <w:szCs w:val="18"/>
              </w:rPr>
              <w:t>及以上</w:t>
            </w:r>
            <w:r>
              <w:rPr>
                <w:b/>
                <w:sz w:val="18"/>
                <w:szCs w:val="18"/>
              </w:rPr>
              <w:t>3000KW</w:t>
            </w:r>
            <w:r>
              <w:rPr>
                <w:rFonts w:hint="eastAsia"/>
                <w:b/>
                <w:sz w:val="18"/>
                <w:szCs w:val="18"/>
              </w:rPr>
              <w:t>以下</w:t>
            </w:r>
          </w:p>
        </w:tc>
        <w:tc>
          <w:tcPr>
            <w:tcW w:w="2126" w:type="dxa"/>
            <w:gridSpan w:val="3"/>
            <w:vAlign w:val="center"/>
          </w:tcPr>
          <w:p w14:paraId="13F660F3">
            <w:pPr>
              <w:spacing w:before="156" w:beforeLines="50" w:after="156" w:afterLines="50"/>
              <w:rPr>
                <w:b/>
                <w:sz w:val="18"/>
                <w:szCs w:val="18"/>
              </w:rPr>
            </w:pPr>
            <w:r>
              <w:rPr>
                <w:rFonts w:hint="eastAsia"/>
                <w:b/>
                <w:sz w:val="18"/>
                <w:szCs w:val="18"/>
              </w:rPr>
              <w:t>内河船舶</w:t>
            </w:r>
            <w:r>
              <w:rPr>
                <w:b/>
                <w:sz w:val="18"/>
                <w:szCs w:val="18"/>
              </w:rPr>
              <w:t>1000GT</w:t>
            </w:r>
            <w:r>
              <w:rPr>
                <w:rFonts w:hint="eastAsia"/>
                <w:b/>
                <w:sz w:val="18"/>
                <w:szCs w:val="18"/>
              </w:rPr>
              <w:t>∕</w:t>
            </w:r>
            <w:r>
              <w:rPr>
                <w:b/>
                <w:sz w:val="18"/>
                <w:szCs w:val="18"/>
              </w:rPr>
              <w:t>500KW</w:t>
            </w:r>
            <w:r>
              <w:rPr>
                <w:rFonts w:hint="eastAsia"/>
                <w:b/>
                <w:sz w:val="18"/>
                <w:szCs w:val="18"/>
              </w:rPr>
              <w:t>及以上；</w:t>
            </w:r>
            <w:r>
              <w:rPr>
                <w:b/>
                <w:sz w:val="18"/>
                <w:szCs w:val="18"/>
              </w:rPr>
              <w:t xml:space="preserve"> </w:t>
            </w:r>
            <w:r>
              <w:rPr>
                <w:rFonts w:hint="eastAsia"/>
                <w:b/>
                <w:sz w:val="18"/>
                <w:szCs w:val="18"/>
              </w:rPr>
              <w:t>沿海船舶</w:t>
            </w:r>
            <w:r>
              <w:rPr>
                <w:b/>
                <w:sz w:val="18"/>
                <w:szCs w:val="18"/>
              </w:rPr>
              <w:t>3000GT</w:t>
            </w:r>
            <w:r>
              <w:rPr>
                <w:rFonts w:hint="eastAsia"/>
                <w:b/>
                <w:sz w:val="18"/>
                <w:szCs w:val="18"/>
              </w:rPr>
              <w:t>∕</w:t>
            </w:r>
            <w:r>
              <w:rPr>
                <w:b/>
                <w:sz w:val="18"/>
                <w:szCs w:val="18"/>
              </w:rPr>
              <w:t>3000KW</w:t>
            </w:r>
            <w:r>
              <w:rPr>
                <w:rFonts w:hint="eastAsia"/>
                <w:b/>
                <w:sz w:val="18"/>
                <w:szCs w:val="18"/>
              </w:rPr>
              <w:t>及以上</w:t>
            </w:r>
          </w:p>
        </w:tc>
        <w:tc>
          <w:tcPr>
            <w:tcW w:w="4903" w:type="dxa"/>
            <w:vMerge w:val="continue"/>
            <w:vAlign w:val="center"/>
          </w:tcPr>
          <w:p w14:paraId="28F4D72F">
            <w:pPr>
              <w:spacing w:before="156" w:beforeLines="50" w:after="156" w:afterLines="50"/>
              <w:jc w:val="left"/>
              <w:rPr>
                <w:rFonts w:ascii="宋体"/>
                <w:b/>
                <w:sz w:val="18"/>
                <w:szCs w:val="18"/>
              </w:rPr>
            </w:pPr>
          </w:p>
        </w:tc>
      </w:tr>
      <w:tr w14:paraId="19E8F2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restart"/>
            <w:vAlign w:val="center"/>
          </w:tcPr>
          <w:p w14:paraId="5795D24A">
            <w:pPr>
              <w:spacing w:before="156" w:beforeLines="50" w:after="156" w:afterLines="50"/>
              <w:jc w:val="center"/>
              <w:rPr>
                <w:rFonts w:ascii="宋体"/>
                <w:kern w:val="0"/>
                <w:sz w:val="18"/>
                <w:szCs w:val="18"/>
              </w:rPr>
            </w:pPr>
            <w:r>
              <w:rPr>
                <w:rFonts w:hint="eastAsia" w:ascii="宋体"/>
                <w:kern w:val="0"/>
                <w:sz w:val="18"/>
                <w:szCs w:val="18"/>
              </w:rPr>
              <w:t>55</w:t>
            </w:r>
          </w:p>
        </w:tc>
        <w:tc>
          <w:tcPr>
            <w:tcW w:w="897" w:type="dxa"/>
            <w:gridSpan w:val="2"/>
            <w:vMerge w:val="restart"/>
            <w:vAlign w:val="center"/>
          </w:tcPr>
          <w:p w14:paraId="5D0FE81C">
            <w:pPr>
              <w:pStyle w:val="2"/>
              <w:spacing w:before="156" w:beforeLines="50" w:after="156" w:afterLines="50"/>
              <w:rPr>
                <w:sz w:val="18"/>
                <w:szCs w:val="18"/>
              </w:rPr>
            </w:pPr>
            <w:r>
              <w:rPr>
                <w:rFonts w:hint="eastAsia"/>
                <w:sz w:val="18"/>
                <w:szCs w:val="18"/>
              </w:rPr>
              <w:t>船舶未按照规定采取保障人员上、下船舶、设施安全的措施</w:t>
            </w:r>
          </w:p>
          <w:p w14:paraId="5823FD2F">
            <w:pPr>
              <w:widowControl/>
              <w:spacing w:before="156" w:beforeLines="50" w:after="156" w:afterLines="50"/>
              <w:rPr>
                <w:kern w:val="0"/>
                <w:sz w:val="18"/>
                <w:szCs w:val="18"/>
              </w:rPr>
            </w:pPr>
          </w:p>
        </w:tc>
        <w:tc>
          <w:tcPr>
            <w:tcW w:w="1282" w:type="dxa"/>
            <w:gridSpan w:val="2"/>
            <w:vMerge w:val="restart"/>
            <w:vAlign w:val="center"/>
          </w:tcPr>
          <w:p w14:paraId="31BBCD5F">
            <w:pPr>
              <w:widowControl/>
              <w:spacing w:before="156" w:beforeLines="50" w:after="156" w:afterLines="50"/>
              <w:rPr>
                <w:kern w:val="0"/>
                <w:sz w:val="18"/>
                <w:szCs w:val="18"/>
              </w:rPr>
            </w:pPr>
            <w:r>
              <w:rPr>
                <w:rFonts w:hint="eastAsia"/>
                <w:kern w:val="0"/>
                <w:sz w:val="18"/>
                <w:szCs w:val="18"/>
              </w:rPr>
              <w:t>《中华人民共和国内河交通安全管理条例》第八条第一款</w:t>
            </w:r>
            <w:r>
              <w:rPr>
                <w:rFonts w:hint="eastAsia"/>
                <w:kern w:val="0"/>
                <w:sz w:val="18"/>
                <w:szCs w:val="18"/>
                <w:bdr w:val="single" w:color="auto" w:sz="4" w:space="0"/>
              </w:rPr>
              <w:t>。</w:t>
            </w:r>
          </w:p>
          <w:p w14:paraId="4CB0C1BD">
            <w:pPr>
              <w:widowControl/>
              <w:spacing w:before="156" w:beforeLines="50" w:after="156" w:afterLines="50"/>
              <w:rPr>
                <w:kern w:val="0"/>
                <w:sz w:val="18"/>
                <w:szCs w:val="18"/>
              </w:rPr>
            </w:pPr>
          </w:p>
        </w:tc>
        <w:tc>
          <w:tcPr>
            <w:tcW w:w="1864" w:type="dxa"/>
            <w:gridSpan w:val="2"/>
            <w:vMerge w:val="restart"/>
            <w:vAlign w:val="center"/>
          </w:tcPr>
          <w:p w14:paraId="7316DC7D">
            <w:pPr>
              <w:spacing w:before="156" w:beforeLines="50" w:after="156" w:afterLines="50"/>
              <w:rPr>
                <w:kern w:val="0"/>
                <w:sz w:val="18"/>
                <w:szCs w:val="18"/>
              </w:rPr>
            </w:pPr>
            <w:r>
              <w:rPr>
                <w:rFonts w:hint="eastAsia"/>
                <w:kern w:val="0"/>
                <w:sz w:val="18"/>
                <w:szCs w:val="18"/>
              </w:rPr>
              <w:t>1.《中华人民共和国内河交通安全管理条例》第八十一条；</w:t>
            </w:r>
          </w:p>
          <w:p w14:paraId="27FFE1AE">
            <w:pPr>
              <w:spacing w:before="156" w:beforeLines="50" w:after="156" w:afterLines="50"/>
              <w:rPr>
                <w:kern w:val="0"/>
                <w:sz w:val="18"/>
                <w:szCs w:val="18"/>
              </w:rPr>
            </w:pPr>
            <w:r>
              <w:rPr>
                <w:rFonts w:hint="eastAsia"/>
                <w:kern w:val="0"/>
                <w:sz w:val="18"/>
                <w:szCs w:val="18"/>
              </w:rPr>
              <w:t>2.《中华人民共和国内河海事行政处罚规定》第十七条第一款和第二款第（十八）项；</w:t>
            </w:r>
          </w:p>
          <w:p w14:paraId="0A1FCF8C">
            <w:pPr>
              <w:pStyle w:val="13"/>
              <w:spacing w:before="156" w:beforeLines="50" w:after="156" w:afterLines="50"/>
              <w:rPr>
                <w:sz w:val="18"/>
                <w:szCs w:val="18"/>
              </w:rPr>
            </w:pPr>
            <w:r>
              <w:rPr>
                <w:rFonts w:hint="eastAsia"/>
                <w:sz w:val="18"/>
                <w:szCs w:val="18"/>
              </w:rPr>
              <w:t>3.《中华人民共和国行政处罚法》第三十二条（从轻）。</w:t>
            </w:r>
          </w:p>
          <w:p w14:paraId="57C04644">
            <w:pPr>
              <w:spacing w:before="156" w:beforeLines="50" w:after="156" w:afterLines="50"/>
              <w:rPr>
                <w:kern w:val="0"/>
                <w:sz w:val="18"/>
                <w:szCs w:val="18"/>
              </w:rPr>
            </w:pPr>
          </w:p>
        </w:tc>
        <w:tc>
          <w:tcPr>
            <w:tcW w:w="849" w:type="dxa"/>
            <w:vAlign w:val="center"/>
          </w:tcPr>
          <w:p w14:paraId="55A03CF7">
            <w:pPr>
              <w:spacing w:before="156" w:beforeLines="50" w:after="156" w:afterLines="50"/>
              <w:jc w:val="center"/>
              <w:rPr>
                <w:kern w:val="0"/>
                <w:sz w:val="18"/>
                <w:szCs w:val="18"/>
              </w:rPr>
            </w:pPr>
            <w:r>
              <w:rPr>
                <w:rFonts w:hint="eastAsia"/>
                <w:kern w:val="0"/>
                <w:sz w:val="18"/>
                <w:szCs w:val="18"/>
              </w:rPr>
              <w:t>从轻</w:t>
            </w:r>
          </w:p>
        </w:tc>
        <w:tc>
          <w:tcPr>
            <w:tcW w:w="3326" w:type="dxa"/>
            <w:gridSpan w:val="3"/>
            <w:vAlign w:val="center"/>
          </w:tcPr>
          <w:p w14:paraId="360D49A5">
            <w:pPr>
              <w:widowControl/>
              <w:spacing w:before="156" w:beforeLines="50" w:after="156" w:afterLines="50"/>
              <w:jc w:val="left"/>
              <w:rPr>
                <w:kern w:val="0"/>
                <w:sz w:val="18"/>
                <w:szCs w:val="18"/>
              </w:rPr>
            </w:pPr>
            <w:r>
              <w:rPr>
                <w:rFonts w:hint="eastAsia"/>
                <w:kern w:val="0"/>
                <w:sz w:val="18"/>
                <w:szCs w:val="18"/>
              </w:rPr>
              <w:t>具有法定从轻情节。</w:t>
            </w:r>
          </w:p>
        </w:tc>
        <w:tc>
          <w:tcPr>
            <w:tcW w:w="2126" w:type="dxa"/>
            <w:vAlign w:val="center"/>
          </w:tcPr>
          <w:p w14:paraId="3F128028">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835" w:type="dxa"/>
            <w:gridSpan w:val="2"/>
            <w:vAlign w:val="center"/>
          </w:tcPr>
          <w:p w14:paraId="21C0E233">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2126" w:type="dxa"/>
            <w:gridSpan w:val="3"/>
            <w:vAlign w:val="center"/>
          </w:tcPr>
          <w:p w14:paraId="2B189394">
            <w:pPr>
              <w:spacing w:before="156" w:beforeLines="50" w:after="156" w:afterLines="50"/>
              <w:jc w:val="left"/>
              <w:rPr>
                <w:kern w:val="0"/>
                <w:sz w:val="18"/>
                <w:szCs w:val="18"/>
              </w:rPr>
            </w:pPr>
            <w:r>
              <w:rPr>
                <w:kern w:val="0"/>
                <w:sz w:val="18"/>
                <w:szCs w:val="18"/>
              </w:rPr>
              <w:t>1000</w:t>
            </w:r>
            <w:r>
              <w:rPr>
                <w:rFonts w:hint="eastAsia"/>
                <w:kern w:val="0"/>
                <w:sz w:val="18"/>
                <w:szCs w:val="18"/>
              </w:rPr>
              <w:t>元及以上</w:t>
            </w:r>
            <w:r>
              <w:rPr>
                <w:kern w:val="0"/>
                <w:sz w:val="18"/>
                <w:szCs w:val="18"/>
              </w:rPr>
              <w:t>2000</w:t>
            </w:r>
            <w:r>
              <w:rPr>
                <w:rFonts w:hint="eastAsia"/>
                <w:kern w:val="0"/>
                <w:sz w:val="18"/>
                <w:szCs w:val="18"/>
              </w:rPr>
              <w:t>元以下</w:t>
            </w:r>
          </w:p>
        </w:tc>
        <w:tc>
          <w:tcPr>
            <w:tcW w:w="4903" w:type="dxa"/>
            <w:vAlign w:val="center"/>
          </w:tcPr>
          <w:p w14:paraId="6ED3A28B">
            <w:pPr>
              <w:spacing w:before="156" w:beforeLines="50" w:after="156" w:afterLines="50"/>
              <w:jc w:val="center"/>
              <w:rPr>
                <w:rFonts w:ascii="宋体"/>
                <w:kern w:val="0"/>
                <w:sz w:val="18"/>
                <w:szCs w:val="18"/>
              </w:rPr>
            </w:pPr>
            <w:r>
              <w:rPr>
                <w:rFonts w:ascii="宋体"/>
                <w:kern w:val="0"/>
                <w:sz w:val="18"/>
                <w:szCs w:val="18"/>
              </w:rPr>
              <w:t>/</w:t>
            </w:r>
          </w:p>
        </w:tc>
      </w:tr>
      <w:tr w14:paraId="26FFB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14:paraId="0994EC95">
            <w:pPr>
              <w:spacing w:before="156" w:beforeLines="50" w:after="156" w:afterLines="50"/>
              <w:jc w:val="left"/>
              <w:rPr>
                <w:rFonts w:ascii="宋体"/>
                <w:kern w:val="0"/>
                <w:sz w:val="18"/>
                <w:szCs w:val="18"/>
              </w:rPr>
            </w:pPr>
          </w:p>
        </w:tc>
        <w:tc>
          <w:tcPr>
            <w:tcW w:w="897" w:type="dxa"/>
            <w:gridSpan w:val="2"/>
            <w:vMerge w:val="continue"/>
            <w:vAlign w:val="center"/>
          </w:tcPr>
          <w:p w14:paraId="100C69BD">
            <w:pPr>
              <w:spacing w:before="156" w:beforeLines="50" w:after="156" w:afterLines="50"/>
              <w:jc w:val="left"/>
              <w:rPr>
                <w:kern w:val="0"/>
                <w:sz w:val="18"/>
                <w:szCs w:val="18"/>
              </w:rPr>
            </w:pPr>
          </w:p>
        </w:tc>
        <w:tc>
          <w:tcPr>
            <w:tcW w:w="1282" w:type="dxa"/>
            <w:gridSpan w:val="2"/>
            <w:vMerge w:val="continue"/>
            <w:vAlign w:val="center"/>
          </w:tcPr>
          <w:p w14:paraId="1AD26D02">
            <w:pPr>
              <w:widowControl/>
              <w:spacing w:before="156" w:beforeLines="50" w:after="156" w:afterLines="50"/>
              <w:jc w:val="left"/>
              <w:rPr>
                <w:kern w:val="0"/>
                <w:sz w:val="18"/>
                <w:szCs w:val="18"/>
              </w:rPr>
            </w:pPr>
          </w:p>
        </w:tc>
        <w:tc>
          <w:tcPr>
            <w:tcW w:w="1864" w:type="dxa"/>
            <w:gridSpan w:val="2"/>
            <w:vMerge w:val="continue"/>
            <w:vAlign w:val="center"/>
          </w:tcPr>
          <w:p w14:paraId="3F97E6E8">
            <w:pPr>
              <w:spacing w:before="156" w:beforeLines="50" w:after="156" w:afterLines="50"/>
              <w:jc w:val="left"/>
              <w:rPr>
                <w:kern w:val="0"/>
                <w:sz w:val="18"/>
                <w:szCs w:val="18"/>
              </w:rPr>
            </w:pPr>
          </w:p>
        </w:tc>
        <w:tc>
          <w:tcPr>
            <w:tcW w:w="849" w:type="dxa"/>
            <w:vMerge w:val="restart"/>
            <w:vAlign w:val="center"/>
          </w:tcPr>
          <w:p w14:paraId="50CE2DE8">
            <w:pPr>
              <w:spacing w:before="156" w:beforeLines="50" w:after="156" w:afterLines="50"/>
              <w:jc w:val="center"/>
              <w:rPr>
                <w:kern w:val="0"/>
                <w:sz w:val="18"/>
                <w:szCs w:val="18"/>
              </w:rPr>
            </w:pPr>
            <w:r>
              <w:rPr>
                <w:rFonts w:hint="eastAsia"/>
                <w:kern w:val="0"/>
                <w:sz w:val="18"/>
                <w:szCs w:val="18"/>
              </w:rPr>
              <w:t>一般</w:t>
            </w:r>
          </w:p>
          <w:p w14:paraId="35DB60BD">
            <w:pPr>
              <w:spacing w:before="156" w:beforeLines="50" w:after="156" w:afterLines="50"/>
              <w:jc w:val="center"/>
              <w:rPr>
                <w:kern w:val="0"/>
                <w:sz w:val="18"/>
                <w:szCs w:val="18"/>
              </w:rPr>
            </w:pPr>
          </w:p>
        </w:tc>
        <w:tc>
          <w:tcPr>
            <w:tcW w:w="3326" w:type="dxa"/>
            <w:gridSpan w:val="3"/>
            <w:vAlign w:val="center"/>
          </w:tcPr>
          <w:p w14:paraId="18AD5612">
            <w:pPr>
              <w:pStyle w:val="2"/>
              <w:spacing w:before="156" w:beforeLines="50" w:after="156" w:afterLines="50"/>
              <w:rPr>
                <w:sz w:val="18"/>
                <w:szCs w:val="18"/>
              </w:rPr>
            </w:pPr>
            <w:r>
              <w:rPr>
                <w:rFonts w:hint="eastAsia"/>
                <w:sz w:val="18"/>
                <w:szCs w:val="18"/>
              </w:rPr>
              <w:t>船舶未按照规定采取保障人员上、下船舶、设施安全的措施</w:t>
            </w:r>
          </w:p>
          <w:p w14:paraId="6C152162">
            <w:pPr>
              <w:widowControl/>
              <w:spacing w:before="156" w:beforeLines="50" w:after="156" w:afterLines="50"/>
              <w:jc w:val="left"/>
              <w:rPr>
                <w:kern w:val="0"/>
                <w:sz w:val="18"/>
                <w:szCs w:val="18"/>
              </w:rPr>
            </w:pPr>
            <w:r>
              <w:rPr>
                <w:rFonts w:hint="eastAsia"/>
                <w:kern w:val="0"/>
                <w:sz w:val="18"/>
                <w:szCs w:val="18"/>
              </w:rPr>
              <w:t>的。</w:t>
            </w:r>
          </w:p>
        </w:tc>
        <w:tc>
          <w:tcPr>
            <w:tcW w:w="2126" w:type="dxa"/>
            <w:vAlign w:val="center"/>
          </w:tcPr>
          <w:p w14:paraId="474D9B70">
            <w:pPr>
              <w:spacing w:before="156" w:beforeLines="50" w:after="156" w:afterLines="50"/>
              <w:jc w:val="left"/>
              <w:rPr>
                <w:kern w:val="0"/>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2835" w:type="dxa"/>
            <w:gridSpan w:val="2"/>
            <w:vAlign w:val="center"/>
          </w:tcPr>
          <w:p w14:paraId="430C287E">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2126" w:type="dxa"/>
            <w:gridSpan w:val="3"/>
            <w:vAlign w:val="center"/>
          </w:tcPr>
          <w:p w14:paraId="4D1764C6">
            <w:pPr>
              <w:spacing w:before="156" w:beforeLines="50" w:after="156" w:afterLines="50"/>
              <w:jc w:val="left"/>
              <w:rPr>
                <w:kern w:val="0"/>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c>
          <w:tcPr>
            <w:tcW w:w="4903" w:type="dxa"/>
            <w:vAlign w:val="center"/>
          </w:tcPr>
          <w:p w14:paraId="0D58A1A5">
            <w:pPr>
              <w:spacing w:before="156" w:beforeLines="50" w:after="156" w:afterLines="50"/>
              <w:jc w:val="center"/>
              <w:rPr>
                <w:rFonts w:ascii="宋体"/>
                <w:kern w:val="0"/>
                <w:sz w:val="18"/>
                <w:szCs w:val="18"/>
              </w:rPr>
            </w:pPr>
            <w:r>
              <w:rPr>
                <w:rFonts w:ascii="宋体"/>
                <w:kern w:val="0"/>
                <w:sz w:val="18"/>
                <w:szCs w:val="18"/>
              </w:rPr>
              <w:t>/</w:t>
            </w:r>
          </w:p>
        </w:tc>
      </w:tr>
      <w:tr w14:paraId="24BBE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14:paraId="1129BCDF">
            <w:pPr>
              <w:spacing w:before="156" w:beforeLines="50" w:after="156" w:afterLines="50"/>
              <w:jc w:val="left"/>
              <w:rPr>
                <w:rFonts w:ascii="宋体"/>
                <w:kern w:val="0"/>
                <w:sz w:val="18"/>
                <w:szCs w:val="18"/>
              </w:rPr>
            </w:pPr>
          </w:p>
        </w:tc>
        <w:tc>
          <w:tcPr>
            <w:tcW w:w="897" w:type="dxa"/>
            <w:gridSpan w:val="2"/>
            <w:vMerge w:val="continue"/>
            <w:vAlign w:val="center"/>
          </w:tcPr>
          <w:p w14:paraId="44EBA2D1">
            <w:pPr>
              <w:spacing w:before="156" w:beforeLines="50" w:after="156" w:afterLines="50"/>
              <w:jc w:val="left"/>
              <w:rPr>
                <w:kern w:val="0"/>
                <w:sz w:val="18"/>
                <w:szCs w:val="18"/>
              </w:rPr>
            </w:pPr>
          </w:p>
        </w:tc>
        <w:tc>
          <w:tcPr>
            <w:tcW w:w="1282" w:type="dxa"/>
            <w:gridSpan w:val="2"/>
            <w:vMerge w:val="continue"/>
            <w:vAlign w:val="center"/>
          </w:tcPr>
          <w:p w14:paraId="2F34AEF4">
            <w:pPr>
              <w:spacing w:before="156" w:beforeLines="50" w:after="156" w:afterLines="50"/>
              <w:jc w:val="left"/>
              <w:rPr>
                <w:kern w:val="0"/>
                <w:sz w:val="18"/>
                <w:szCs w:val="18"/>
              </w:rPr>
            </w:pPr>
          </w:p>
        </w:tc>
        <w:tc>
          <w:tcPr>
            <w:tcW w:w="1864" w:type="dxa"/>
            <w:gridSpan w:val="2"/>
            <w:vMerge w:val="continue"/>
            <w:vAlign w:val="center"/>
          </w:tcPr>
          <w:p w14:paraId="0272757B">
            <w:pPr>
              <w:spacing w:before="156" w:beforeLines="50" w:after="156" w:afterLines="50"/>
              <w:jc w:val="left"/>
              <w:rPr>
                <w:kern w:val="0"/>
                <w:sz w:val="18"/>
                <w:szCs w:val="18"/>
              </w:rPr>
            </w:pPr>
          </w:p>
        </w:tc>
        <w:tc>
          <w:tcPr>
            <w:tcW w:w="849" w:type="dxa"/>
            <w:vMerge w:val="continue"/>
            <w:vAlign w:val="center"/>
          </w:tcPr>
          <w:p w14:paraId="14C08D68">
            <w:pPr>
              <w:spacing w:before="156" w:beforeLines="50" w:after="156" w:afterLines="50"/>
              <w:jc w:val="center"/>
              <w:rPr>
                <w:kern w:val="0"/>
                <w:sz w:val="18"/>
                <w:szCs w:val="18"/>
              </w:rPr>
            </w:pPr>
          </w:p>
        </w:tc>
        <w:tc>
          <w:tcPr>
            <w:tcW w:w="3326" w:type="dxa"/>
            <w:gridSpan w:val="3"/>
            <w:vAlign w:val="center"/>
          </w:tcPr>
          <w:p w14:paraId="607A36B2">
            <w:pPr>
              <w:pStyle w:val="2"/>
              <w:spacing w:before="156" w:beforeLines="50" w:after="156" w:afterLines="50"/>
              <w:rPr>
                <w:sz w:val="18"/>
                <w:szCs w:val="18"/>
              </w:rPr>
            </w:pPr>
            <w:r>
              <w:rPr>
                <w:rFonts w:hint="eastAsia"/>
                <w:sz w:val="18"/>
                <w:szCs w:val="18"/>
              </w:rPr>
              <w:t>船舶未按照规定采取保障人员上、下船舶、设施安全的措施</w:t>
            </w:r>
          </w:p>
          <w:p w14:paraId="46A73C23">
            <w:pPr>
              <w:widowControl/>
              <w:spacing w:before="156" w:beforeLines="50" w:after="156" w:afterLines="50"/>
              <w:jc w:val="left"/>
              <w:rPr>
                <w:kern w:val="0"/>
                <w:sz w:val="18"/>
                <w:szCs w:val="18"/>
              </w:rPr>
            </w:pPr>
            <w:r>
              <w:rPr>
                <w:rFonts w:hint="eastAsia"/>
                <w:kern w:val="0"/>
                <w:sz w:val="18"/>
                <w:szCs w:val="18"/>
              </w:rPr>
              <w:t>，造成一般以下等级水上交通事故的。</w:t>
            </w:r>
          </w:p>
        </w:tc>
        <w:tc>
          <w:tcPr>
            <w:tcW w:w="2126" w:type="dxa"/>
            <w:vAlign w:val="center"/>
          </w:tcPr>
          <w:p w14:paraId="63545125">
            <w:pPr>
              <w:spacing w:before="156" w:beforeLines="50" w:after="156" w:afterLines="50"/>
              <w:jc w:val="left"/>
              <w:rPr>
                <w:kern w:val="0"/>
                <w:sz w:val="18"/>
                <w:szCs w:val="18"/>
              </w:rPr>
            </w:pPr>
            <w:r>
              <w:rPr>
                <w:kern w:val="0"/>
                <w:sz w:val="18"/>
                <w:szCs w:val="18"/>
              </w:rPr>
              <w:t>3000</w:t>
            </w:r>
            <w:r>
              <w:rPr>
                <w:rFonts w:hint="eastAsia"/>
                <w:kern w:val="0"/>
                <w:sz w:val="18"/>
                <w:szCs w:val="18"/>
              </w:rPr>
              <w:t>元及以上</w:t>
            </w:r>
            <w:r>
              <w:rPr>
                <w:kern w:val="0"/>
                <w:sz w:val="18"/>
                <w:szCs w:val="18"/>
              </w:rPr>
              <w:t>5000</w:t>
            </w:r>
            <w:r>
              <w:rPr>
                <w:rFonts w:hint="eastAsia"/>
                <w:kern w:val="0"/>
                <w:sz w:val="18"/>
                <w:szCs w:val="18"/>
              </w:rPr>
              <w:t>元以下</w:t>
            </w:r>
          </w:p>
        </w:tc>
        <w:tc>
          <w:tcPr>
            <w:tcW w:w="2835" w:type="dxa"/>
            <w:gridSpan w:val="2"/>
            <w:vAlign w:val="center"/>
          </w:tcPr>
          <w:p w14:paraId="00479CA8">
            <w:pPr>
              <w:spacing w:before="156" w:beforeLines="50" w:after="156" w:afterLines="50"/>
              <w:jc w:val="left"/>
              <w:rPr>
                <w:kern w:val="0"/>
                <w:sz w:val="18"/>
                <w:szCs w:val="18"/>
              </w:rPr>
            </w:pPr>
            <w:r>
              <w:rPr>
                <w:kern w:val="0"/>
                <w:sz w:val="18"/>
                <w:szCs w:val="18"/>
              </w:rPr>
              <w:t>4000</w:t>
            </w:r>
            <w:r>
              <w:rPr>
                <w:rFonts w:hint="eastAsia"/>
                <w:kern w:val="0"/>
                <w:sz w:val="18"/>
                <w:szCs w:val="18"/>
              </w:rPr>
              <w:t>元及以上</w:t>
            </w:r>
            <w:r>
              <w:rPr>
                <w:kern w:val="0"/>
                <w:sz w:val="18"/>
                <w:szCs w:val="18"/>
              </w:rPr>
              <w:t>6000</w:t>
            </w:r>
            <w:r>
              <w:rPr>
                <w:rFonts w:hint="eastAsia"/>
                <w:kern w:val="0"/>
                <w:sz w:val="18"/>
                <w:szCs w:val="18"/>
              </w:rPr>
              <w:t>元以下</w:t>
            </w:r>
          </w:p>
        </w:tc>
        <w:tc>
          <w:tcPr>
            <w:tcW w:w="2126" w:type="dxa"/>
            <w:gridSpan w:val="3"/>
            <w:vAlign w:val="center"/>
          </w:tcPr>
          <w:p w14:paraId="41D4926A">
            <w:pPr>
              <w:spacing w:before="156" w:beforeLines="50" w:after="156" w:afterLines="50"/>
              <w:jc w:val="left"/>
              <w:rPr>
                <w:kern w:val="0"/>
                <w:sz w:val="18"/>
                <w:szCs w:val="18"/>
              </w:rPr>
            </w:pPr>
            <w:r>
              <w:rPr>
                <w:kern w:val="0"/>
                <w:sz w:val="18"/>
                <w:szCs w:val="18"/>
              </w:rPr>
              <w:t>5000</w:t>
            </w:r>
            <w:r>
              <w:rPr>
                <w:rFonts w:hint="eastAsia"/>
                <w:kern w:val="0"/>
                <w:sz w:val="18"/>
                <w:szCs w:val="18"/>
              </w:rPr>
              <w:t>元及以上</w:t>
            </w:r>
            <w:r>
              <w:rPr>
                <w:kern w:val="0"/>
                <w:sz w:val="18"/>
                <w:szCs w:val="18"/>
              </w:rPr>
              <w:t>8000</w:t>
            </w:r>
            <w:r>
              <w:rPr>
                <w:rFonts w:hint="eastAsia"/>
                <w:kern w:val="0"/>
                <w:sz w:val="18"/>
                <w:szCs w:val="18"/>
              </w:rPr>
              <w:t>元以下</w:t>
            </w:r>
          </w:p>
        </w:tc>
        <w:tc>
          <w:tcPr>
            <w:tcW w:w="4903" w:type="dxa"/>
            <w:vAlign w:val="center"/>
          </w:tcPr>
          <w:p w14:paraId="13A61B67">
            <w:pPr>
              <w:spacing w:before="156" w:beforeLines="50" w:after="156" w:afterLines="50"/>
              <w:jc w:val="center"/>
              <w:rPr>
                <w:rFonts w:ascii="宋体"/>
                <w:kern w:val="0"/>
                <w:sz w:val="18"/>
                <w:szCs w:val="18"/>
              </w:rPr>
            </w:pPr>
            <w:r>
              <w:rPr>
                <w:rFonts w:ascii="宋体"/>
                <w:kern w:val="0"/>
                <w:sz w:val="18"/>
                <w:szCs w:val="18"/>
              </w:rPr>
              <w:t>/</w:t>
            </w:r>
          </w:p>
        </w:tc>
      </w:tr>
      <w:tr w14:paraId="4430E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679" w:type="dxa"/>
            <w:gridSpan w:val="2"/>
            <w:vMerge w:val="continue"/>
            <w:vAlign w:val="center"/>
          </w:tcPr>
          <w:p w14:paraId="634FD0EC">
            <w:pPr>
              <w:spacing w:before="156" w:beforeLines="50" w:after="156" w:afterLines="50"/>
              <w:jc w:val="left"/>
              <w:rPr>
                <w:rFonts w:ascii="宋体"/>
                <w:kern w:val="0"/>
                <w:sz w:val="18"/>
                <w:szCs w:val="18"/>
              </w:rPr>
            </w:pPr>
          </w:p>
        </w:tc>
        <w:tc>
          <w:tcPr>
            <w:tcW w:w="897" w:type="dxa"/>
            <w:gridSpan w:val="2"/>
            <w:vMerge w:val="continue"/>
            <w:vAlign w:val="center"/>
          </w:tcPr>
          <w:p w14:paraId="3E3BBDF2">
            <w:pPr>
              <w:spacing w:before="156" w:beforeLines="50" w:after="156" w:afterLines="50"/>
              <w:jc w:val="left"/>
              <w:rPr>
                <w:kern w:val="0"/>
                <w:sz w:val="18"/>
                <w:szCs w:val="18"/>
              </w:rPr>
            </w:pPr>
          </w:p>
        </w:tc>
        <w:tc>
          <w:tcPr>
            <w:tcW w:w="1282" w:type="dxa"/>
            <w:gridSpan w:val="2"/>
            <w:vMerge w:val="continue"/>
            <w:vAlign w:val="center"/>
          </w:tcPr>
          <w:p w14:paraId="483EA983">
            <w:pPr>
              <w:spacing w:before="156" w:beforeLines="50" w:after="156" w:afterLines="50"/>
              <w:jc w:val="left"/>
              <w:rPr>
                <w:kern w:val="0"/>
                <w:sz w:val="18"/>
                <w:szCs w:val="18"/>
              </w:rPr>
            </w:pPr>
          </w:p>
        </w:tc>
        <w:tc>
          <w:tcPr>
            <w:tcW w:w="1864" w:type="dxa"/>
            <w:gridSpan w:val="2"/>
            <w:vMerge w:val="continue"/>
            <w:vAlign w:val="center"/>
          </w:tcPr>
          <w:p w14:paraId="2B424EE5">
            <w:pPr>
              <w:spacing w:before="156" w:beforeLines="50" w:after="156" w:afterLines="50"/>
              <w:jc w:val="left"/>
              <w:rPr>
                <w:kern w:val="0"/>
                <w:sz w:val="18"/>
                <w:szCs w:val="18"/>
              </w:rPr>
            </w:pPr>
          </w:p>
        </w:tc>
        <w:tc>
          <w:tcPr>
            <w:tcW w:w="849" w:type="dxa"/>
            <w:vMerge w:val="restart"/>
            <w:vAlign w:val="center"/>
          </w:tcPr>
          <w:p w14:paraId="51DED829">
            <w:pPr>
              <w:spacing w:before="156" w:beforeLines="50" w:after="156" w:afterLines="50"/>
              <w:jc w:val="center"/>
              <w:rPr>
                <w:kern w:val="0"/>
                <w:sz w:val="18"/>
                <w:szCs w:val="18"/>
              </w:rPr>
            </w:pPr>
            <w:r>
              <w:rPr>
                <w:rFonts w:hint="eastAsia"/>
                <w:kern w:val="0"/>
                <w:sz w:val="18"/>
                <w:szCs w:val="18"/>
              </w:rPr>
              <w:t>情节严重</w:t>
            </w:r>
          </w:p>
        </w:tc>
        <w:tc>
          <w:tcPr>
            <w:tcW w:w="3326" w:type="dxa"/>
            <w:gridSpan w:val="3"/>
            <w:tcBorders>
              <w:bottom w:val="single" w:color="auto" w:sz="4" w:space="0"/>
            </w:tcBorders>
            <w:vAlign w:val="center"/>
          </w:tcPr>
          <w:p w14:paraId="68E98292">
            <w:pPr>
              <w:pStyle w:val="2"/>
              <w:spacing w:before="156" w:beforeLines="50" w:after="156" w:afterLines="50"/>
              <w:rPr>
                <w:sz w:val="18"/>
                <w:szCs w:val="18"/>
              </w:rPr>
            </w:pPr>
            <w:r>
              <w:rPr>
                <w:rFonts w:hint="eastAsia"/>
                <w:sz w:val="18"/>
                <w:szCs w:val="18"/>
              </w:rPr>
              <w:t>船舶未按照规定采取保障人员上、下船舶、设施安全的措施</w:t>
            </w:r>
          </w:p>
          <w:p w14:paraId="36D969D2">
            <w:pPr>
              <w:spacing w:before="156" w:beforeLines="50" w:after="156" w:afterLines="50"/>
              <w:jc w:val="left"/>
              <w:rPr>
                <w:kern w:val="0"/>
                <w:sz w:val="18"/>
                <w:szCs w:val="18"/>
              </w:rPr>
            </w:pPr>
            <w:r>
              <w:rPr>
                <w:rFonts w:hint="eastAsia"/>
                <w:kern w:val="0"/>
                <w:sz w:val="18"/>
                <w:szCs w:val="18"/>
              </w:rPr>
              <w:t>，造成一般及以上等级水上交通事故的。</w:t>
            </w:r>
          </w:p>
        </w:tc>
        <w:tc>
          <w:tcPr>
            <w:tcW w:w="2126" w:type="dxa"/>
            <w:vMerge w:val="restart"/>
            <w:vAlign w:val="center"/>
          </w:tcPr>
          <w:p w14:paraId="5D5143AF">
            <w:pPr>
              <w:spacing w:before="156" w:beforeLines="50" w:after="156" w:afterLines="50"/>
              <w:jc w:val="left"/>
              <w:rPr>
                <w:kern w:val="0"/>
                <w:sz w:val="18"/>
                <w:szCs w:val="18"/>
              </w:rPr>
            </w:pPr>
            <w:r>
              <w:rPr>
                <w:rFonts w:hint="eastAsia"/>
                <w:kern w:val="0"/>
                <w:sz w:val="18"/>
                <w:szCs w:val="18"/>
              </w:rPr>
              <w:t>5</w:t>
            </w:r>
            <w:r>
              <w:rPr>
                <w:kern w:val="0"/>
                <w:sz w:val="18"/>
                <w:szCs w:val="18"/>
              </w:rPr>
              <w:t>000</w:t>
            </w:r>
            <w:r>
              <w:rPr>
                <w:rFonts w:hint="eastAsia"/>
                <w:kern w:val="0"/>
                <w:sz w:val="18"/>
                <w:szCs w:val="18"/>
              </w:rPr>
              <w:t>元及以上</w:t>
            </w:r>
            <w:r>
              <w:rPr>
                <w:kern w:val="0"/>
                <w:sz w:val="18"/>
                <w:szCs w:val="18"/>
              </w:rPr>
              <w:t>1</w:t>
            </w:r>
            <w:r>
              <w:rPr>
                <w:rFonts w:hint="eastAsia"/>
                <w:kern w:val="0"/>
                <w:sz w:val="18"/>
                <w:szCs w:val="18"/>
              </w:rPr>
              <w:t>万元及以下</w:t>
            </w:r>
          </w:p>
        </w:tc>
        <w:tc>
          <w:tcPr>
            <w:tcW w:w="2835" w:type="dxa"/>
            <w:gridSpan w:val="2"/>
            <w:vMerge w:val="restart"/>
            <w:vAlign w:val="center"/>
          </w:tcPr>
          <w:p w14:paraId="051C32B6">
            <w:pPr>
              <w:spacing w:before="156" w:beforeLines="50" w:after="156" w:afterLines="50"/>
              <w:jc w:val="left"/>
              <w:rPr>
                <w:kern w:val="0"/>
                <w:sz w:val="18"/>
                <w:szCs w:val="18"/>
              </w:rPr>
            </w:pPr>
            <w:r>
              <w:rPr>
                <w:rFonts w:hint="eastAsia"/>
                <w:kern w:val="0"/>
                <w:sz w:val="18"/>
                <w:szCs w:val="18"/>
              </w:rPr>
              <w:t>6</w:t>
            </w:r>
            <w:r>
              <w:rPr>
                <w:kern w:val="0"/>
                <w:sz w:val="18"/>
                <w:szCs w:val="18"/>
              </w:rPr>
              <w:t>000</w:t>
            </w:r>
            <w:r>
              <w:rPr>
                <w:rFonts w:hint="eastAsia"/>
                <w:kern w:val="0"/>
                <w:sz w:val="18"/>
                <w:szCs w:val="18"/>
              </w:rPr>
              <w:t>元及以上</w:t>
            </w:r>
            <w:r>
              <w:rPr>
                <w:kern w:val="0"/>
                <w:sz w:val="18"/>
                <w:szCs w:val="18"/>
              </w:rPr>
              <w:t>1</w:t>
            </w:r>
            <w:r>
              <w:rPr>
                <w:rFonts w:hint="eastAsia"/>
                <w:kern w:val="0"/>
                <w:sz w:val="18"/>
                <w:szCs w:val="18"/>
              </w:rPr>
              <w:t>万元及以下</w:t>
            </w:r>
          </w:p>
        </w:tc>
        <w:tc>
          <w:tcPr>
            <w:tcW w:w="2126" w:type="dxa"/>
            <w:gridSpan w:val="3"/>
            <w:vMerge w:val="restart"/>
            <w:vAlign w:val="center"/>
          </w:tcPr>
          <w:p w14:paraId="6DC1F853">
            <w:pPr>
              <w:spacing w:before="156" w:beforeLines="50" w:after="156" w:afterLines="50"/>
              <w:jc w:val="left"/>
              <w:rPr>
                <w:kern w:val="0"/>
                <w:sz w:val="18"/>
                <w:szCs w:val="18"/>
              </w:rPr>
            </w:pPr>
            <w:r>
              <w:rPr>
                <w:kern w:val="0"/>
                <w:sz w:val="18"/>
                <w:szCs w:val="18"/>
              </w:rPr>
              <w:t>8000</w:t>
            </w:r>
            <w:r>
              <w:rPr>
                <w:rFonts w:hint="eastAsia"/>
                <w:kern w:val="0"/>
                <w:sz w:val="18"/>
                <w:szCs w:val="18"/>
              </w:rPr>
              <w:t>元及以上</w:t>
            </w:r>
            <w:r>
              <w:rPr>
                <w:kern w:val="0"/>
                <w:sz w:val="18"/>
                <w:szCs w:val="18"/>
              </w:rPr>
              <w:t>1</w:t>
            </w:r>
            <w:r>
              <w:rPr>
                <w:rFonts w:hint="eastAsia"/>
                <w:kern w:val="0"/>
                <w:sz w:val="18"/>
                <w:szCs w:val="18"/>
              </w:rPr>
              <w:t>万元及以下</w:t>
            </w:r>
          </w:p>
        </w:tc>
        <w:tc>
          <w:tcPr>
            <w:tcW w:w="4903" w:type="dxa"/>
            <w:tcBorders>
              <w:bottom w:val="single" w:color="auto" w:sz="4" w:space="0"/>
            </w:tcBorders>
            <w:vAlign w:val="center"/>
          </w:tcPr>
          <w:p w14:paraId="0F3A4993">
            <w:pPr>
              <w:spacing w:before="156" w:beforeLines="50" w:after="156" w:afterLines="50"/>
              <w:jc w:val="left"/>
              <w:rPr>
                <w:kern w:val="0"/>
                <w:sz w:val="18"/>
                <w:szCs w:val="18"/>
              </w:rPr>
            </w:pPr>
            <w:r>
              <w:rPr>
                <w:rFonts w:hint="eastAsia"/>
                <w:kern w:val="0"/>
                <w:sz w:val="18"/>
                <w:szCs w:val="18"/>
              </w:rPr>
              <w:t>船舶未按照规定保障人员上、下船舶、设施安全，</w:t>
            </w:r>
            <w:r>
              <w:rPr>
                <w:rFonts w:hint="eastAsia" w:ascii="宋体"/>
                <w:kern w:val="0"/>
                <w:sz w:val="18"/>
                <w:szCs w:val="18"/>
              </w:rPr>
              <w:t>造成一般及以上等级水上交通事故的，暂扣直至吊销证书处罚的裁量按照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31F97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679" w:type="dxa"/>
            <w:gridSpan w:val="2"/>
            <w:vMerge w:val="continue"/>
            <w:vAlign w:val="center"/>
          </w:tcPr>
          <w:p w14:paraId="3988022C">
            <w:pPr>
              <w:spacing w:before="156" w:beforeLines="50" w:after="156" w:afterLines="50"/>
              <w:jc w:val="left"/>
              <w:rPr>
                <w:rFonts w:ascii="宋体"/>
                <w:kern w:val="0"/>
                <w:sz w:val="18"/>
                <w:szCs w:val="18"/>
              </w:rPr>
            </w:pPr>
          </w:p>
        </w:tc>
        <w:tc>
          <w:tcPr>
            <w:tcW w:w="897" w:type="dxa"/>
            <w:gridSpan w:val="2"/>
            <w:vMerge w:val="continue"/>
            <w:vAlign w:val="center"/>
          </w:tcPr>
          <w:p w14:paraId="30E4A40C">
            <w:pPr>
              <w:spacing w:before="156" w:beforeLines="50" w:after="156" w:afterLines="50"/>
              <w:jc w:val="left"/>
              <w:rPr>
                <w:kern w:val="0"/>
                <w:sz w:val="18"/>
                <w:szCs w:val="18"/>
              </w:rPr>
            </w:pPr>
          </w:p>
        </w:tc>
        <w:tc>
          <w:tcPr>
            <w:tcW w:w="1282" w:type="dxa"/>
            <w:gridSpan w:val="2"/>
            <w:vMerge w:val="continue"/>
            <w:vAlign w:val="center"/>
          </w:tcPr>
          <w:p w14:paraId="78399D15">
            <w:pPr>
              <w:spacing w:before="156" w:beforeLines="50" w:after="156" w:afterLines="50"/>
              <w:jc w:val="left"/>
              <w:rPr>
                <w:kern w:val="0"/>
                <w:sz w:val="18"/>
                <w:szCs w:val="18"/>
              </w:rPr>
            </w:pPr>
          </w:p>
        </w:tc>
        <w:tc>
          <w:tcPr>
            <w:tcW w:w="1864" w:type="dxa"/>
            <w:gridSpan w:val="2"/>
            <w:vMerge w:val="continue"/>
            <w:vAlign w:val="center"/>
          </w:tcPr>
          <w:p w14:paraId="53B8A133">
            <w:pPr>
              <w:spacing w:before="156" w:beforeLines="50" w:after="156" w:afterLines="50"/>
              <w:jc w:val="left"/>
              <w:rPr>
                <w:kern w:val="0"/>
                <w:sz w:val="18"/>
                <w:szCs w:val="18"/>
              </w:rPr>
            </w:pPr>
          </w:p>
        </w:tc>
        <w:tc>
          <w:tcPr>
            <w:tcW w:w="849" w:type="dxa"/>
            <w:vMerge w:val="continue"/>
            <w:vAlign w:val="center"/>
          </w:tcPr>
          <w:p w14:paraId="2F8A2BC8">
            <w:pPr>
              <w:spacing w:before="156" w:beforeLines="50" w:after="156" w:afterLines="50"/>
              <w:jc w:val="center"/>
              <w:rPr>
                <w:kern w:val="0"/>
                <w:sz w:val="18"/>
                <w:szCs w:val="18"/>
              </w:rPr>
            </w:pPr>
          </w:p>
        </w:tc>
        <w:tc>
          <w:tcPr>
            <w:tcW w:w="3326" w:type="dxa"/>
            <w:gridSpan w:val="3"/>
            <w:tcBorders>
              <w:top w:val="single" w:color="auto" w:sz="4" w:space="0"/>
            </w:tcBorders>
            <w:vAlign w:val="center"/>
          </w:tcPr>
          <w:p w14:paraId="0F832E11">
            <w:pPr>
              <w:spacing w:before="156" w:beforeLines="50" w:after="156" w:afterLines="50"/>
              <w:jc w:val="left"/>
              <w:rPr>
                <w:kern w:val="0"/>
                <w:sz w:val="18"/>
                <w:szCs w:val="18"/>
              </w:rPr>
            </w:pPr>
            <w:r>
              <w:rPr>
                <w:rFonts w:hint="eastAsia"/>
                <w:sz w:val="18"/>
                <w:szCs w:val="18"/>
              </w:rPr>
              <w:t>具有其他严重情节的。</w:t>
            </w:r>
          </w:p>
        </w:tc>
        <w:tc>
          <w:tcPr>
            <w:tcW w:w="2126" w:type="dxa"/>
            <w:vMerge w:val="continue"/>
            <w:vAlign w:val="center"/>
          </w:tcPr>
          <w:p w14:paraId="04754D83">
            <w:pPr>
              <w:spacing w:before="156" w:beforeLines="50" w:after="156" w:afterLines="50"/>
              <w:jc w:val="left"/>
              <w:rPr>
                <w:kern w:val="0"/>
                <w:sz w:val="18"/>
                <w:szCs w:val="18"/>
              </w:rPr>
            </w:pPr>
          </w:p>
        </w:tc>
        <w:tc>
          <w:tcPr>
            <w:tcW w:w="2835" w:type="dxa"/>
            <w:gridSpan w:val="2"/>
            <w:vMerge w:val="continue"/>
            <w:vAlign w:val="center"/>
          </w:tcPr>
          <w:p w14:paraId="008DB86D">
            <w:pPr>
              <w:spacing w:before="156" w:beforeLines="50" w:after="156" w:afterLines="50"/>
              <w:jc w:val="left"/>
              <w:rPr>
                <w:kern w:val="0"/>
                <w:sz w:val="18"/>
                <w:szCs w:val="18"/>
              </w:rPr>
            </w:pPr>
          </w:p>
        </w:tc>
        <w:tc>
          <w:tcPr>
            <w:tcW w:w="2126" w:type="dxa"/>
            <w:gridSpan w:val="3"/>
            <w:vMerge w:val="continue"/>
            <w:vAlign w:val="center"/>
          </w:tcPr>
          <w:p w14:paraId="691E6475">
            <w:pPr>
              <w:spacing w:before="156" w:beforeLines="50" w:after="156" w:afterLines="50"/>
              <w:jc w:val="left"/>
              <w:rPr>
                <w:kern w:val="0"/>
                <w:sz w:val="18"/>
                <w:szCs w:val="18"/>
              </w:rPr>
            </w:pPr>
          </w:p>
        </w:tc>
        <w:tc>
          <w:tcPr>
            <w:tcW w:w="4903" w:type="dxa"/>
            <w:tcBorders>
              <w:top w:val="single" w:color="auto" w:sz="4" w:space="0"/>
            </w:tcBorders>
            <w:vAlign w:val="center"/>
          </w:tcPr>
          <w:p w14:paraId="28B66161">
            <w:pPr>
              <w:spacing w:before="156" w:beforeLines="50" w:after="156" w:afterLines="50"/>
              <w:jc w:val="left"/>
              <w:rPr>
                <w:kern w:val="0"/>
                <w:sz w:val="18"/>
                <w:szCs w:val="18"/>
              </w:rPr>
            </w:pPr>
            <w:r>
              <w:rPr>
                <w:rFonts w:hint="eastAsia"/>
                <w:bCs/>
                <w:sz w:val="18"/>
                <w:szCs w:val="18"/>
              </w:rPr>
              <w:t>情节严重的，对责任船员给予暂扣适任证书或者其他适任证件</w:t>
            </w:r>
            <w:r>
              <w:rPr>
                <w:bCs/>
                <w:sz w:val="18"/>
                <w:szCs w:val="18"/>
              </w:rPr>
              <w:t>3</w:t>
            </w:r>
            <w:r>
              <w:rPr>
                <w:rFonts w:hint="eastAsia"/>
                <w:bCs/>
                <w:sz w:val="18"/>
                <w:szCs w:val="18"/>
              </w:rPr>
              <w:t>个月至</w:t>
            </w:r>
            <w:r>
              <w:rPr>
                <w:bCs/>
                <w:sz w:val="18"/>
                <w:szCs w:val="18"/>
              </w:rPr>
              <w:t>6</w:t>
            </w:r>
            <w:r>
              <w:rPr>
                <w:rFonts w:hint="eastAsia"/>
                <w:bCs/>
                <w:sz w:val="18"/>
                <w:szCs w:val="18"/>
              </w:rPr>
              <w:t>个月直至吊销适任证书或者其他适任证件的处罚。</w:t>
            </w:r>
          </w:p>
        </w:tc>
      </w:tr>
      <w:tr w14:paraId="23AB3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82" w:hRule="atLeast"/>
        </w:trPr>
        <w:tc>
          <w:tcPr>
            <w:tcW w:w="74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500BAF1">
            <w:pPr>
              <w:spacing w:before="156" w:beforeLines="50" w:after="156" w:afterLines="50"/>
              <w:jc w:val="center"/>
              <w:rPr>
                <w:b/>
                <w:sz w:val="18"/>
                <w:szCs w:val="18"/>
              </w:rPr>
            </w:pPr>
            <w:r>
              <w:rPr>
                <w:rFonts w:hint="eastAsia"/>
                <w:b/>
                <w:sz w:val="18"/>
                <w:szCs w:val="18"/>
              </w:rPr>
              <w:t>序号</w:t>
            </w:r>
          </w:p>
        </w:tc>
        <w:tc>
          <w:tcPr>
            <w:tcW w:w="184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1E89B0D">
            <w:pPr>
              <w:spacing w:before="156" w:beforeLines="50" w:after="156" w:afterLines="50"/>
              <w:jc w:val="center"/>
              <w:rPr>
                <w:b/>
                <w:sz w:val="18"/>
                <w:szCs w:val="18"/>
              </w:rPr>
            </w:pPr>
            <w:r>
              <w:rPr>
                <w:rFonts w:hint="eastAsia"/>
                <w:b/>
                <w:sz w:val="18"/>
                <w:szCs w:val="18"/>
              </w:rPr>
              <w:t>案由</w:t>
            </w:r>
          </w:p>
        </w:tc>
        <w:tc>
          <w:tcPr>
            <w:tcW w:w="4261" w:type="dxa"/>
            <w:gridSpan w:val="5"/>
            <w:vMerge w:val="restart"/>
            <w:tcBorders>
              <w:top w:val="single" w:color="000000" w:sz="4" w:space="0"/>
              <w:left w:val="single" w:color="000000" w:sz="4" w:space="0"/>
              <w:bottom w:val="single" w:color="000000" w:sz="4" w:space="0"/>
              <w:right w:val="single" w:color="000000" w:sz="4" w:space="0"/>
            </w:tcBorders>
            <w:vAlign w:val="center"/>
          </w:tcPr>
          <w:p w14:paraId="23776FF8">
            <w:pPr>
              <w:spacing w:before="156" w:beforeLines="50" w:after="156" w:afterLines="50"/>
              <w:jc w:val="center"/>
              <w:rPr>
                <w:b/>
                <w:sz w:val="18"/>
                <w:szCs w:val="18"/>
              </w:rPr>
            </w:pPr>
            <w:r>
              <w:rPr>
                <w:rFonts w:hint="eastAsia"/>
                <w:b/>
                <w:sz w:val="18"/>
                <w:szCs w:val="18"/>
              </w:rPr>
              <w:t>法律依据</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39408DAA">
            <w:pPr>
              <w:spacing w:before="156" w:beforeLines="50" w:after="156" w:afterLines="50"/>
              <w:jc w:val="left"/>
              <w:rPr>
                <w:b/>
                <w:sz w:val="18"/>
                <w:szCs w:val="18"/>
              </w:rPr>
            </w:pPr>
            <w:r>
              <w:rPr>
                <w:rFonts w:hint="eastAsia"/>
                <w:b/>
                <w:sz w:val="18"/>
                <w:szCs w:val="18"/>
              </w:rPr>
              <w:t>违法情节</w:t>
            </w:r>
          </w:p>
        </w:tc>
        <w:tc>
          <w:tcPr>
            <w:tcW w:w="454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DCDFFCD">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8606" w:type="dxa"/>
            <w:gridSpan w:val="5"/>
            <w:tcBorders>
              <w:top w:val="single" w:color="000000" w:sz="4" w:space="0"/>
              <w:left w:val="single" w:color="000000" w:sz="4" w:space="0"/>
              <w:bottom w:val="single" w:color="auto" w:sz="4" w:space="0"/>
              <w:right w:val="single" w:color="auto" w:sz="4" w:space="0"/>
            </w:tcBorders>
            <w:vAlign w:val="center"/>
          </w:tcPr>
          <w:p w14:paraId="2B47123C">
            <w:pPr>
              <w:spacing w:before="156" w:beforeLines="50" w:after="156" w:afterLines="50"/>
              <w:rPr>
                <w:b/>
                <w:sz w:val="18"/>
                <w:szCs w:val="18"/>
              </w:rPr>
            </w:pPr>
            <w:r>
              <w:rPr>
                <w:rFonts w:hint="eastAsia"/>
                <w:b/>
                <w:sz w:val="18"/>
                <w:szCs w:val="18"/>
              </w:rPr>
              <w:t>【法定幅度和种类】对违法船舶所有人或者船舶经营人处1000元以上1万元以下罚款；情节严重的，处1万元以上3万元以下罚款。对船长或者其他责任人员处100元以上1000元以下罚款；情节严重的，处1000元以上3000元以下罚款。</w:t>
            </w:r>
          </w:p>
        </w:tc>
      </w:tr>
      <w:tr w14:paraId="3649C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59"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E13EB5">
            <w:pPr>
              <w:spacing w:before="156" w:beforeLines="50" w:after="156" w:afterLines="50"/>
              <w:jc w:val="center"/>
              <w:rPr>
                <w:b/>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9DC0A48">
            <w:pPr>
              <w:spacing w:before="156" w:beforeLines="50" w:after="156" w:afterLines="50"/>
              <w:jc w:val="center"/>
              <w:rPr>
                <w:b/>
                <w:sz w:val="18"/>
                <w:szCs w:val="18"/>
              </w:rPr>
            </w:pPr>
          </w:p>
        </w:tc>
        <w:tc>
          <w:tcPr>
            <w:tcW w:w="4261"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676A7DA">
            <w:pPr>
              <w:spacing w:before="156" w:beforeLines="50" w:after="156" w:afterLines="50"/>
              <w:jc w:val="center"/>
              <w:rPr>
                <w:b/>
                <w:sz w:val="18"/>
                <w:szCs w:val="18"/>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35A65BAA">
            <w:pPr>
              <w:spacing w:before="156" w:beforeLines="50" w:after="156" w:afterLines="50"/>
              <w:jc w:val="left"/>
              <w:rPr>
                <w:b/>
                <w:sz w:val="18"/>
                <w:szCs w:val="18"/>
              </w:rPr>
            </w:pPr>
          </w:p>
        </w:tc>
        <w:tc>
          <w:tcPr>
            <w:tcW w:w="454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B693B18">
            <w:pPr>
              <w:spacing w:before="156" w:beforeLines="50" w:after="156" w:afterLines="50"/>
              <w:jc w:val="left"/>
              <w:rPr>
                <w:b/>
                <w:sz w:val="18"/>
                <w:szCs w:val="18"/>
              </w:rPr>
            </w:pPr>
          </w:p>
        </w:tc>
        <w:tc>
          <w:tcPr>
            <w:tcW w:w="8606" w:type="dxa"/>
            <w:gridSpan w:val="5"/>
            <w:tcBorders>
              <w:top w:val="single" w:color="auto" w:sz="4" w:space="0"/>
              <w:left w:val="single" w:color="000000" w:sz="4" w:space="0"/>
              <w:bottom w:val="single" w:color="auto" w:sz="4" w:space="0"/>
              <w:right w:val="single" w:color="auto" w:sz="4" w:space="0"/>
            </w:tcBorders>
            <w:vAlign w:val="center"/>
          </w:tcPr>
          <w:p w14:paraId="62ED87E4">
            <w:pPr>
              <w:spacing w:before="156" w:beforeLines="50" w:after="156" w:afterLines="50"/>
              <w:jc w:val="center"/>
              <w:rPr>
                <w:b/>
                <w:sz w:val="18"/>
                <w:szCs w:val="18"/>
              </w:rPr>
            </w:pPr>
            <w:r>
              <w:rPr>
                <w:rFonts w:hint="eastAsia"/>
                <w:b/>
                <w:sz w:val="18"/>
                <w:szCs w:val="18"/>
              </w:rPr>
              <w:t>处罚基准</w:t>
            </w:r>
          </w:p>
        </w:tc>
      </w:tr>
      <w:tr w14:paraId="275E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1E1E79">
            <w:pPr>
              <w:spacing w:before="156" w:beforeLines="50" w:after="156" w:afterLines="50"/>
              <w:jc w:val="center"/>
              <w:rPr>
                <w:b/>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83BAC4">
            <w:pPr>
              <w:spacing w:before="156" w:beforeLines="50" w:after="156" w:afterLines="50"/>
              <w:jc w:val="center"/>
              <w:rPr>
                <w:b/>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vAlign w:val="center"/>
          </w:tcPr>
          <w:p w14:paraId="0F3BDCE8">
            <w:pPr>
              <w:spacing w:before="156" w:beforeLines="50" w:after="156" w:afterLines="50"/>
              <w:jc w:val="center"/>
              <w:rPr>
                <w:b/>
                <w:sz w:val="18"/>
                <w:szCs w:val="18"/>
              </w:rPr>
            </w:pPr>
            <w:r>
              <w:rPr>
                <w:rFonts w:hint="eastAsia"/>
                <w:b/>
                <w:sz w:val="18"/>
                <w:szCs w:val="18"/>
              </w:rPr>
              <w:t>违反条款</w:t>
            </w:r>
          </w:p>
        </w:tc>
        <w:tc>
          <w:tcPr>
            <w:tcW w:w="2661" w:type="dxa"/>
            <w:gridSpan w:val="3"/>
            <w:tcBorders>
              <w:top w:val="single" w:color="000000" w:sz="4" w:space="0"/>
              <w:left w:val="single" w:color="000000" w:sz="4" w:space="0"/>
              <w:bottom w:val="single" w:color="000000" w:sz="4" w:space="0"/>
              <w:right w:val="single" w:color="000000" w:sz="4" w:space="0"/>
            </w:tcBorders>
            <w:vAlign w:val="center"/>
          </w:tcPr>
          <w:p w14:paraId="0B38ABFE">
            <w:pPr>
              <w:spacing w:before="156" w:beforeLines="50" w:after="156" w:afterLines="50"/>
              <w:jc w:val="center"/>
              <w:rPr>
                <w:b/>
                <w:sz w:val="18"/>
                <w:szCs w:val="18"/>
              </w:rPr>
            </w:pPr>
            <w:r>
              <w:rPr>
                <w:rFonts w:hint="eastAsia"/>
                <w:b/>
                <w:sz w:val="18"/>
                <w:szCs w:val="18"/>
              </w:rPr>
              <w:t>处罚依据</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2FB070B9">
            <w:pPr>
              <w:spacing w:before="156" w:beforeLines="50" w:after="156" w:afterLines="50"/>
              <w:jc w:val="left"/>
              <w:rPr>
                <w:b/>
                <w:sz w:val="18"/>
                <w:szCs w:val="18"/>
              </w:rPr>
            </w:pPr>
          </w:p>
        </w:tc>
        <w:tc>
          <w:tcPr>
            <w:tcW w:w="454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178676E">
            <w:pPr>
              <w:spacing w:before="156" w:beforeLines="50" w:after="156" w:afterLines="50"/>
              <w:jc w:val="left"/>
              <w:rPr>
                <w:b/>
                <w:sz w:val="18"/>
                <w:szCs w:val="18"/>
              </w:rPr>
            </w:pPr>
          </w:p>
        </w:tc>
        <w:tc>
          <w:tcPr>
            <w:tcW w:w="2640" w:type="dxa"/>
            <w:gridSpan w:val="3"/>
            <w:tcBorders>
              <w:top w:val="single" w:color="auto" w:sz="4" w:space="0"/>
              <w:left w:val="single" w:color="000000" w:sz="4" w:space="0"/>
              <w:bottom w:val="single" w:color="auto" w:sz="4" w:space="0"/>
              <w:right w:val="single" w:color="auto" w:sz="4" w:space="0"/>
            </w:tcBorders>
            <w:vAlign w:val="center"/>
          </w:tcPr>
          <w:p w14:paraId="6657C474">
            <w:pPr>
              <w:spacing w:before="156" w:beforeLines="50" w:after="156" w:afterLines="50"/>
              <w:jc w:val="left"/>
              <w:rPr>
                <w:b/>
                <w:sz w:val="18"/>
                <w:szCs w:val="18"/>
              </w:rPr>
            </w:pPr>
            <w:r>
              <w:rPr>
                <w:rFonts w:hint="eastAsia"/>
                <w:b/>
                <w:sz w:val="18"/>
                <w:szCs w:val="18"/>
              </w:rPr>
              <w:t>【对象】船舶所有人、经营人或者管理人</w:t>
            </w:r>
          </w:p>
        </w:tc>
        <w:tc>
          <w:tcPr>
            <w:tcW w:w="5966" w:type="dxa"/>
            <w:gridSpan w:val="2"/>
            <w:tcBorders>
              <w:top w:val="single" w:color="auto" w:sz="4" w:space="0"/>
              <w:left w:val="single" w:color="000000" w:sz="4" w:space="0"/>
              <w:bottom w:val="single" w:color="auto" w:sz="4" w:space="0"/>
              <w:right w:val="single" w:color="auto" w:sz="4" w:space="0"/>
            </w:tcBorders>
            <w:vAlign w:val="center"/>
          </w:tcPr>
          <w:p w14:paraId="7E5D9869">
            <w:pPr>
              <w:spacing w:before="156" w:beforeLines="50" w:after="156" w:afterLines="50"/>
              <w:jc w:val="left"/>
              <w:rPr>
                <w:b/>
                <w:sz w:val="18"/>
                <w:szCs w:val="18"/>
              </w:rPr>
            </w:pPr>
            <w:r>
              <w:rPr>
                <w:rFonts w:hint="eastAsia"/>
                <w:b/>
                <w:sz w:val="18"/>
                <w:szCs w:val="18"/>
              </w:rPr>
              <w:t>【对象】船长或者其他责任人员</w:t>
            </w:r>
          </w:p>
        </w:tc>
      </w:tr>
      <w:tr w14:paraId="5B45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2F75F5">
            <w:pPr>
              <w:spacing w:before="156" w:beforeLines="50" w:after="156" w:afterLines="50"/>
              <w:jc w:val="center"/>
              <w:rPr>
                <w:sz w:val="18"/>
                <w:szCs w:val="18"/>
              </w:rPr>
            </w:pPr>
            <w:r>
              <w:rPr>
                <w:rFonts w:hint="eastAsia"/>
                <w:sz w:val="18"/>
                <w:szCs w:val="18"/>
              </w:rPr>
              <w:t>56</w:t>
            </w:r>
          </w:p>
        </w:tc>
        <w:tc>
          <w:tcPr>
            <w:tcW w:w="184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3176F1E">
            <w:pPr>
              <w:spacing w:before="156" w:beforeLines="50" w:after="156" w:afterLines="50"/>
              <w:rPr>
                <w:sz w:val="18"/>
                <w:szCs w:val="18"/>
              </w:rPr>
            </w:pPr>
            <w:r>
              <w:rPr>
                <w:rFonts w:hint="eastAsia" w:ascii="宋体"/>
                <w:sz w:val="18"/>
                <w:szCs w:val="18"/>
              </w:rPr>
              <w:t>船舶在纠正</w:t>
            </w:r>
            <w:r>
              <w:rPr>
                <w:rFonts w:hint="eastAsia"/>
                <w:sz w:val="18"/>
                <w:szCs w:val="18"/>
              </w:rPr>
              <w:t>《中华人民共和国船舶安全监督规则》规定应当申请复查的缺陷后未申请复查</w:t>
            </w:r>
          </w:p>
        </w:tc>
        <w:tc>
          <w:tcPr>
            <w:tcW w:w="16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B047F90">
            <w:pPr>
              <w:pStyle w:val="3"/>
              <w:spacing w:before="156" w:beforeLines="50" w:after="156" w:afterLines="50"/>
            </w:pPr>
            <w:r>
              <w:rPr>
                <w:rFonts w:hint="eastAsia"/>
              </w:rPr>
              <w:t>《中华人民共和国船舶安全监督规则》第三十条第一款</w:t>
            </w:r>
          </w:p>
        </w:tc>
        <w:tc>
          <w:tcPr>
            <w:tcW w:w="266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91002E0">
            <w:pPr>
              <w:pStyle w:val="3"/>
              <w:spacing w:before="156" w:beforeLines="50" w:after="156" w:afterLines="50"/>
            </w:pPr>
            <w:r>
              <w:rPr>
                <w:rFonts w:hint="eastAsia"/>
              </w:rPr>
              <w:t>1.《中华人民共和国船舶安全监督规则》第五十二条第（三）项；</w:t>
            </w:r>
          </w:p>
          <w:p w14:paraId="07C839D9">
            <w:pPr>
              <w:pStyle w:val="13"/>
              <w:spacing w:before="156" w:beforeLines="50" w:after="156" w:afterLines="50"/>
            </w:pPr>
            <w:r>
              <w:rPr>
                <w:rFonts w:hint="eastAsia"/>
                <w:sz w:val="18"/>
                <w:szCs w:val="18"/>
              </w:rPr>
              <w:t>2.《中华人民共和国行政处罚法》第三十二条（从轻）。</w:t>
            </w:r>
          </w:p>
          <w:p w14:paraId="1524F63D">
            <w:pPr>
              <w:pStyle w:val="3"/>
              <w:spacing w:before="156" w:beforeLines="50" w:after="156" w:afterLines="50"/>
            </w:pPr>
          </w:p>
        </w:tc>
        <w:tc>
          <w:tcPr>
            <w:tcW w:w="782" w:type="dxa"/>
            <w:tcBorders>
              <w:top w:val="single" w:color="000000" w:sz="4" w:space="0"/>
              <w:left w:val="single" w:color="000000" w:sz="4" w:space="0"/>
              <w:bottom w:val="single" w:color="000000" w:sz="4" w:space="0"/>
              <w:right w:val="single" w:color="000000" w:sz="4" w:space="0"/>
            </w:tcBorders>
            <w:vAlign w:val="center"/>
          </w:tcPr>
          <w:p w14:paraId="0F984258">
            <w:pPr>
              <w:pStyle w:val="3"/>
              <w:spacing w:before="156" w:beforeLines="50" w:after="156" w:afterLines="50"/>
              <w:jc w:val="center"/>
            </w:pPr>
            <w:r>
              <w:rPr>
                <w:rFonts w:hint="eastAsia"/>
              </w:rPr>
              <w:t>从轻</w:t>
            </w:r>
          </w:p>
        </w:tc>
        <w:tc>
          <w:tcPr>
            <w:tcW w:w="4540" w:type="dxa"/>
            <w:gridSpan w:val="3"/>
            <w:tcBorders>
              <w:top w:val="single" w:color="000000" w:sz="4" w:space="0"/>
              <w:left w:val="single" w:color="000000" w:sz="4" w:space="0"/>
              <w:bottom w:val="single" w:color="000000" w:sz="4" w:space="0"/>
              <w:right w:val="single" w:color="000000" w:sz="4" w:space="0"/>
            </w:tcBorders>
            <w:vAlign w:val="center"/>
          </w:tcPr>
          <w:p w14:paraId="5C9CF731">
            <w:pPr>
              <w:pStyle w:val="3"/>
              <w:spacing w:before="156" w:beforeLines="50" w:after="156" w:afterLines="50"/>
            </w:pPr>
            <w:r>
              <w:rPr>
                <w:rFonts w:hint="eastAsia"/>
              </w:rPr>
              <w:t>具有法定从轻情节的。</w:t>
            </w:r>
          </w:p>
        </w:tc>
        <w:tc>
          <w:tcPr>
            <w:tcW w:w="2634" w:type="dxa"/>
            <w:gridSpan w:val="2"/>
            <w:tcBorders>
              <w:top w:val="single" w:color="000000" w:sz="4" w:space="0"/>
              <w:left w:val="single" w:color="000000" w:sz="4" w:space="0"/>
              <w:bottom w:val="single" w:color="auto" w:sz="4" w:space="0"/>
              <w:right w:val="single" w:color="auto" w:sz="4" w:space="0"/>
            </w:tcBorders>
            <w:vAlign w:val="center"/>
          </w:tcPr>
          <w:p w14:paraId="36C06DBA">
            <w:pPr>
              <w:spacing w:before="156" w:beforeLines="50" w:after="156" w:afterLines="50"/>
              <w:jc w:val="center"/>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5972" w:type="dxa"/>
            <w:gridSpan w:val="3"/>
            <w:tcBorders>
              <w:top w:val="single" w:color="000000" w:sz="4" w:space="0"/>
              <w:left w:val="single" w:color="000000" w:sz="4" w:space="0"/>
              <w:bottom w:val="single" w:color="auto" w:sz="4" w:space="0"/>
              <w:right w:val="single" w:color="auto" w:sz="4" w:space="0"/>
            </w:tcBorders>
            <w:vAlign w:val="center"/>
          </w:tcPr>
          <w:p w14:paraId="655E3D54">
            <w:pPr>
              <w:spacing w:before="156" w:beforeLines="50" w:after="156" w:afterLines="50"/>
              <w:jc w:val="center"/>
              <w:rPr>
                <w:sz w:val="18"/>
                <w:szCs w:val="18"/>
              </w:rPr>
            </w:pPr>
            <w:r>
              <w:rPr>
                <w:sz w:val="18"/>
                <w:szCs w:val="18"/>
              </w:rPr>
              <w:t>100</w:t>
            </w:r>
            <w:r>
              <w:rPr>
                <w:rFonts w:hint="eastAsia"/>
                <w:sz w:val="18"/>
                <w:szCs w:val="18"/>
              </w:rPr>
              <w:t>元及以上40</w:t>
            </w:r>
            <w:r>
              <w:rPr>
                <w:sz w:val="18"/>
                <w:szCs w:val="18"/>
              </w:rPr>
              <w:t>0</w:t>
            </w:r>
            <w:r>
              <w:rPr>
                <w:rFonts w:hint="eastAsia"/>
                <w:sz w:val="18"/>
                <w:szCs w:val="18"/>
              </w:rPr>
              <w:t>元以下</w:t>
            </w:r>
          </w:p>
        </w:tc>
      </w:tr>
      <w:tr w14:paraId="7561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885D6F9">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5CD3C1">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235D77">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1F69CD">
            <w:pPr>
              <w:pStyle w:val="3"/>
              <w:spacing w:before="156" w:beforeLines="50" w:after="156" w:afterLines="50"/>
              <w:jc w:val="center"/>
            </w:pPr>
          </w:p>
        </w:tc>
        <w:tc>
          <w:tcPr>
            <w:tcW w:w="782" w:type="dxa"/>
            <w:vMerge w:val="restart"/>
            <w:tcBorders>
              <w:top w:val="single" w:color="000000" w:sz="4" w:space="0"/>
              <w:left w:val="single" w:color="000000" w:sz="4" w:space="0"/>
              <w:right w:val="single" w:color="000000" w:sz="4" w:space="0"/>
            </w:tcBorders>
            <w:vAlign w:val="center"/>
          </w:tcPr>
          <w:p w14:paraId="61FF5061">
            <w:pPr>
              <w:pStyle w:val="3"/>
              <w:spacing w:before="156" w:beforeLines="50" w:after="156" w:afterLines="50"/>
              <w:jc w:val="center"/>
            </w:pPr>
            <w:r>
              <w:rPr>
                <w:rFonts w:hint="eastAsia"/>
              </w:rPr>
              <w:t>一般</w:t>
            </w:r>
          </w:p>
          <w:p w14:paraId="6D830FD6">
            <w:pPr>
              <w:pStyle w:val="3"/>
              <w:spacing w:before="156" w:beforeLines="50" w:after="156" w:afterLines="50"/>
              <w:jc w:val="center"/>
            </w:pPr>
          </w:p>
        </w:tc>
        <w:tc>
          <w:tcPr>
            <w:tcW w:w="4540" w:type="dxa"/>
            <w:gridSpan w:val="3"/>
            <w:tcBorders>
              <w:top w:val="single" w:color="auto" w:sz="4" w:space="0"/>
              <w:left w:val="single" w:color="000000" w:sz="4" w:space="0"/>
              <w:bottom w:val="single" w:color="auto" w:sz="4" w:space="0"/>
              <w:right w:val="single" w:color="000000" w:sz="4" w:space="0"/>
            </w:tcBorders>
            <w:vAlign w:val="center"/>
          </w:tcPr>
          <w:p w14:paraId="6E3557D9">
            <w:pPr>
              <w:spacing w:before="156" w:beforeLines="50" w:after="156" w:afterLines="50"/>
              <w:rPr>
                <w:rFonts w:ascii="宋体"/>
                <w:sz w:val="18"/>
                <w:szCs w:val="18"/>
              </w:rPr>
            </w:pPr>
            <w:r>
              <w:rPr>
                <w:rFonts w:hint="eastAsia" w:ascii="宋体"/>
                <w:sz w:val="18"/>
                <w:szCs w:val="18"/>
              </w:rPr>
              <w:t>导致滞留、禁止船舶进港、限制船舶操作或者责令船舶离港的缺陷在2个及以下未申请复查的。</w:t>
            </w:r>
          </w:p>
        </w:tc>
        <w:tc>
          <w:tcPr>
            <w:tcW w:w="2634" w:type="dxa"/>
            <w:gridSpan w:val="2"/>
            <w:tcBorders>
              <w:top w:val="single" w:color="000000" w:sz="4" w:space="0"/>
              <w:left w:val="single" w:color="000000" w:sz="4" w:space="0"/>
              <w:bottom w:val="single" w:color="000000" w:sz="4" w:space="0"/>
              <w:right w:val="single" w:color="auto" w:sz="4" w:space="0"/>
            </w:tcBorders>
            <w:vAlign w:val="center"/>
          </w:tcPr>
          <w:p w14:paraId="07A2379D">
            <w:pPr>
              <w:spacing w:before="156" w:beforeLines="50" w:after="156" w:afterLines="50"/>
              <w:jc w:val="center"/>
              <w:rPr>
                <w:sz w:val="18"/>
                <w:szCs w:val="18"/>
              </w:rPr>
            </w:pPr>
            <w:r>
              <w:rPr>
                <w:rFonts w:hint="eastAsia"/>
                <w:sz w:val="18"/>
                <w:szCs w:val="18"/>
              </w:rPr>
              <w:t>20</w:t>
            </w:r>
            <w:r>
              <w:rPr>
                <w:sz w:val="18"/>
                <w:szCs w:val="18"/>
              </w:rPr>
              <w:t>00</w:t>
            </w:r>
            <w:r>
              <w:rPr>
                <w:rFonts w:hint="eastAsia"/>
                <w:sz w:val="18"/>
                <w:szCs w:val="18"/>
              </w:rPr>
              <w:t>元及以上4000元以下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14:paraId="0F85125C">
            <w:pPr>
              <w:spacing w:before="156" w:beforeLines="50" w:after="156" w:afterLines="50"/>
              <w:jc w:val="center"/>
              <w:rPr>
                <w:sz w:val="18"/>
                <w:szCs w:val="18"/>
              </w:rPr>
            </w:pPr>
            <w:r>
              <w:rPr>
                <w:rFonts w:hint="eastAsia"/>
                <w:sz w:val="18"/>
                <w:szCs w:val="18"/>
              </w:rPr>
              <w:t>400元及以上600元以下</w:t>
            </w:r>
          </w:p>
        </w:tc>
      </w:tr>
      <w:tr w14:paraId="10878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82F62F">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48A8CB">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219CBE">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3C8788">
            <w:pPr>
              <w:pStyle w:val="3"/>
              <w:spacing w:before="156" w:beforeLines="50" w:after="156" w:afterLines="50"/>
              <w:jc w:val="center"/>
            </w:pPr>
          </w:p>
        </w:tc>
        <w:tc>
          <w:tcPr>
            <w:tcW w:w="782" w:type="dxa"/>
            <w:vMerge w:val="continue"/>
            <w:tcBorders>
              <w:left w:val="single" w:color="000000" w:sz="4" w:space="0"/>
              <w:right w:val="single" w:color="000000" w:sz="4" w:space="0"/>
            </w:tcBorders>
            <w:vAlign w:val="center"/>
          </w:tcPr>
          <w:p w14:paraId="124AB92F">
            <w:pPr>
              <w:pStyle w:val="3"/>
              <w:spacing w:before="156" w:beforeLines="50" w:after="156" w:afterLines="50"/>
              <w:jc w:val="center"/>
            </w:pPr>
          </w:p>
        </w:tc>
        <w:tc>
          <w:tcPr>
            <w:tcW w:w="4540" w:type="dxa"/>
            <w:gridSpan w:val="3"/>
            <w:tcBorders>
              <w:top w:val="single" w:color="auto" w:sz="4" w:space="0"/>
              <w:left w:val="single" w:color="000000" w:sz="4" w:space="0"/>
              <w:bottom w:val="single" w:color="auto" w:sz="4" w:space="0"/>
              <w:right w:val="single" w:color="000000" w:sz="4" w:space="0"/>
            </w:tcBorders>
            <w:vAlign w:val="center"/>
          </w:tcPr>
          <w:p w14:paraId="6D5FDBF3">
            <w:pPr>
              <w:spacing w:before="156" w:beforeLines="50" w:after="156" w:afterLines="50"/>
              <w:rPr>
                <w:rFonts w:ascii="宋体"/>
                <w:sz w:val="18"/>
                <w:szCs w:val="18"/>
              </w:rPr>
            </w:pPr>
            <w:r>
              <w:rPr>
                <w:rFonts w:hint="eastAsia" w:ascii="宋体"/>
                <w:sz w:val="18"/>
                <w:szCs w:val="18"/>
              </w:rPr>
              <w:t>导致滞留、禁止船舶进港、限制船舶操作或者责令船舶离港的缺陷在2个以上未申请复查的。</w:t>
            </w:r>
          </w:p>
        </w:tc>
        <w:tc>
          <w:tcPr>
            <w:tcW w:w="2634" w:type="dxa"/>
            <w:gridSpan w:val="2"/>
            <w:tcBorders>
              <w:top w:val="single" w:color="auto" w:sz="4" w:space="0"/>
              <w:left w:val="single" w:color="000000" w:sz="4" w:space="0"/>
              <w:bottom w:val="single" w:color="auto" w:sz="4" w:space="0"/>
              <w:right w:val="single" w:color="auto" w:sz="4" w:space="0"/>
            </w:tcBorders>
            <w:vAlign w:val="center"/>
          </w:tcPr>
          <w:p w14:paraId="369E8470">
            <w:pPr>
              <w:spacing w:before="156" w:beforeLines="50" w:after="156" w:afterLines="50"/>
              <w:jc w:val="center"/>
              <w:rPr>
                <w:sz w:val="18"/>
                <w:szCs w:val="18"/>
              </w:rPr>
            </w:pPr>
            <w:r>
              <w:rPr>
                <w:rFonts w:hint="eastAsia"/>
                <w:sz w:val="18"/>
                <w:szCs w:val="18"/>
              </w:rPr>
              <w:t>4000元及以上6000元以下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14:paraId="61C0785C">
            <w:pPr>
              <w:spacing w:before="156" w:beforeLines="50" w:after="156" w:afterLines="50"/>
              <w:jc w:val="center"/>
              <w:rPr>
                <w:sz w:val="18"/>
                <w:szCs w:val="18"/>
              </w:rPr>
            </w:pPr>
            <w:r>
              <w:rPr>
                <w:rFonts w:hint="eastAsia"/>
                <w:sz w:val="18"/>
                <w:szCs w:val="18"/>
              </w:rPr>
              <w:t>600元及以上800元以下</w:t>
            </w:r>
          </w:p>
        </w:tc>
      </w:tr>
      <w:tr w14:paraId="1DF06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495"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5B2AF36">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945CF2">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6B82FA">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C8C66DC">
            <w:pPr>
              <w:pStyle w:val="3"/>
              <w:spacing w:before="156" w:beforeLines="50" w:after="156" w:afterLines="50"/>
              <w:jc w:val="center"/>
            </w:pPr>
          </w:p>
        </w:tc>
        <w:tc>
          <w:tcPr>
            <w:tcW w:w="782" w:type="dxa"/>
            <w:vMerge w:val="continue"/>
            <w:tcBorders>
              <w:left w:val="single" w:color="000000" w:sz="4" w:space="0"/>
              <w:bottom w:val="single" w:color="000000" w:sz="4" w:space="0"/>
              <w:right w:val="single" w:color="000000" w:sz="4" w:space="0"/>
            </w:tcBorders>
            <w:vAlign w:val="center"/>
          </w:tcPr>
          <w:p w14:paraId="1ADD7299">
            <w:pPr>
              <w:pStyle w:val="3"/>
              <w:spacing w:before="156" w:beforeLines="50" w:after="156" w:afterLines="50"/>
              <w:jc w:val="center"/>
            </w:pPr>
          </w:p>
        </w:tc>
        <w:tc>
          <w:tcPr>
            <w:tcW w:w="4540" w:type="dxa"/>
            <w:gridSpan w:val="3"/>
            <w:tcBorders>
              <w:top w:val="single" w:color="auto" w:sz="4" w:space="0"/>
              <w:left w:val="single" w:color="000000" w:sz="4" w:space="0"/>
              <w:bottom w:val="single" w:color="000000" w:sz="4" w:space="0"/>
              <w:right w:val="single" w:color="000000" w:sz="4" w:space="0"/>
            </w:tcBorders>
            <w:vAlign w:val="center"/>
          </w:tcPr>
          <w:p w14:paraId="7C77603C">
            <w:pPr>
              <w:spacing w:before="156" w:beforeLines="50" w:after="156" w:afterLines="50"/>
              <w:rPr>
                <w:rFonts w:ascii="宋体"/>
                <w:sz w:val="18"/>
                <w:szCs w:val="18"/>
              </w:rPr>
            </w:pPr>
            <w:r>
              <w:rPr>
                <w:rFonts w:hint="eastAsia" w:ascii="宋体"/>
                <w:sz w:val="18"/>
                <w:szCs w:val="18"/>
              </w:rPr>
              <w:t>按规定应当申请复查而未申请复查而导致一般及以下水上交通事故的。</w:t>
            </w:r>
          </w:p>
        </w:tc>
        <w:tc>
          <w:tcPr>
            <w:tcW w:w="2634" w:type="dxa"/>
            <w:gridSpan w:val="2"/>
            <w:tcBorders>
              <w:top w:val="single" w:color="auto" w:sz="4" w:space="0"/>
              <w:left w:val="single" w:color="000000" w:sz="4" w:space="0"/>
              <w:bottom w:val="single" w:color="000000" w:sz="4" w:space="0"/>
              <w:right w:val="single" w:color="auto" w:sz="4" w:space="0"/>
            </w:tcBorders>
            <w:vAlign w:val="center"/>
          </w:tcPr>
          <w:p w14:paraId="2FAC8C1B">
            <w:pPr>
              <w:spacing w:before="156" w:beforeLines="50" w:after="156" w:afterLines="50"/>
              <w:jc w:val="center"/>
              <w:rPr>
                <w:sz w:val="18"/>
                <w:szCs w:val="18"/>
              </w:rPr>
            </w:pPr>
            <w:r>
              <w:rPr>
                <w:rFonts w:hint="eastAsia"/>
                <w:sz w:val="18"/>
                <w:szCs w:val="18"/>
              </w:rPr>
              <w:t>6000元及以上1万元以下</w:t>
            </w:r>
          </w:p>
        </w:tc>
        <w:tc>
          <w:tcPr>
            <w:tcW w:w="5972" w:type="dxa"/>
            <w:gridSpan w:val="3"/>
            <w:tcBorders>
              <w:top w:val="single" w:color="auto" w:sz="4" w:space="0"/>
              <w:left w:val="single" w:color="000000" w:sz="4" w:space="0"/>
              <w:bottom w:val="single" w:color="auto" w:sz="4" w:space="0"/>
              <w:right w:val="single" w:color="auto" w:sz="4" w:space="0"/>
            </w:tcBorders>
            <w:vAlign w:val="center"/>
          </w:tcPr>
          <w:p w14:paraId="75B44434">
            <w:pPr>
              <w:spacing w:before="156" w:beforeLines="50" w:after="156" w:afterLines="50"/>
              <w:jc w:val="center"/>
              <w:rPr>
                <w:sz w:val="18"/>
                <w:szCs w:val="18"/>
              </w:rPr>
            </w:pPr>
            <w:r>
              <w:rPr>
                <w:rFonts w:hint="eastAsia"/>
                <w:sz w:val="18"/>
                <w:szCs w:val="18"/>
              </w:rPr>
              <w:t>8</w:t>
            </w:r>
            <w:r>
              <w:rPr>
                <w:sz w:val="18"/>
                <w:szCs w:val="18"/>
              </w:rPr>
              <w:t>00</w:t>
            </w:r>
            <w:r>
              <w:rPr>
                <w:rFonts w:hint="eastAsia"/>
                <w:sz w:val="18"/>
                <w:szCs w:val="18"/>
              </w:rPr>
              <w:t>元及以上10</w:t>
            </w:r>
            <w:r>
              <w:rPr>
                <w:sz w:val="18"/>
                <w:szCs w:val="18"/>
              </w:rPr>
              <w:t>00</w:t>
            </w:r>
            <w:r>
              <w:rPr>
                <w:rFonts w:hint="eastAsia"/>
                <w:sz w:val="18"/>
                <w:szCs w:val="18"/>
              </w:rPr>
              <w:t>元以下</w:t>
            </w:r>
          </w:p>
        </w:tc>
      </w:tr>
      <w:tr w14:paraId="321C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1042" w:hRule="atLeast"/>
        </w:trPr>
        <w:tc>
          <w:tcPr>
            <w:tcW w:w="7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1279C3">
            <w:pPr>
              <w:spacing w:before="156" w:beforeLines="50" w:after="156" w:afterLines="50"/>
              <w:jc w:val="left"/>
              <w:rPr>
                <w:sz w:val="18"/>
                <w:szCs w:val="18"/>
              </w:rPr>
            </w:pPr>
          </w:p>
        </w:tc>
        <w:tc>
          <w:tcPr>
            <w:tcW w:w="184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08BF64">
            <w:pPr>
              <w:pStyle w:val="3"/>
              <w:spacing w:before="156" w:beforeLines="50" w:after="156" w:afterLines="50"/>
              <w:jc w:val="center"/>
            </w:pPr>
          </w:p>
        </w:tc>
        <w:tc>
          <w:tcPr>
            <w:tcW w:w="16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3D92B8">
            <w:pPr>
              <w:pStyle w:val="3"/>
              <w:spacing w:before="156" w:beforeLines="50" w:after="156" w:afterLines="50"/>
              <w:jc w:val="center"/>
            </w:pPr>
          </w:p>
        </w:tc>
        <w:tc>
          <w:tcPr>
            <w:tcW w:w="26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131FDDB">
            <w:pPr>
              <w:pStyle w:val="3"/>
              <w:spacing w:before="156" w:beforeLines="50" w:after="156" w:afterLines="50"/>
              <w:jc w:val="center"/>
            </w:pPr>
          </w:p>
        </w:tc>
        <w:tc>
          <w:tcPr>
            <w:tcW w:w="782" w:type="dxa"/>
            <w:tcBorders>
              <w:top w:val="single" w:color="auto" w:sz="4" w:space="0"/>
              <w:left w:val="single" w:color="000000" w:sz="4" w:space="0"/>
              <w:bottom w:val="single" w:color="000000" w:sz="4" w:space="0"/>
              <w:right w:val="single" w:color="auto" w:sz="4" w:space="0"/>
            </w:tcBorders>
            <w:vAlign w:val="center"/>
          </w:tcPr>
          <w:p w14:paraId="707B8D27">
            <w:pPr>
              <w:pStyle w:val="3"/>
              <w:spacing w:before="156" w:beforeLines="50" w:after="156" w:afterLines="50"/>
              <w:jc w:val="center"/>
            </w:pPr>
            <w:r>
              <w:rPr>
                <w:rFonts w:hint="eastAsia"/>
              </w:rPr>
              <w:t>情节</w:t>
            </w:r>
          </w:p>
          <w:p w14:paraId="6143A576">
            <w:pPr>
              <w:pStyle w:val="3"/>
              <w:spacing w:before="156" w:beforeLines="50" w:after="156" w:afterLines="50"/>
              <w:jc w:val="center"/>
            </w:pPr>
            <w:r>
              <w:rPr>
                <w:rFonts w:hint="eastAsia"/>
              </w:rPr>
              <w:t>严重</w:t>
            </w:r>
          </w:p>
        </w:tc>
        <w:tc>
          <w:tcPr>
            <w:tcW w:w="4540" w:type="dxa"/>
            <w:gridSpan w:val="3"/>
            <w:tcBorders>
              <w:top w:val="single" w:color="auto" w:sz="4" w:space="0"/>
              <w:left w:val="single" w:color="auto" w:sz="4" w:space="0"/>
              <w:bottom w:val="single" w:color="auto" w:sz="4" w:space="0"/>
              <w:right w:val="single" w:color="000000" w:sz="4" w:space="0"/>
            </w:tcBorders>
            <w:vAlign w:val="center"/>
          </w:tcPr>
          <w:p w14:paraId="71D3DFDC">
            <w:pPr>
              <w:spacing w:before="156" w:beforeLines="50" w:after="156" w:afterLines="50"/>
              <w:rPr>
                <w:rFonts w:ascii="宋体"/>
                <w:sz w:val="18"/>
                <w:szCs w:val="18"/>
              </w:rPr>
            </w:pPr>
            <w:r>
              <w:rPr>
                <w:rFonts w:hint="eastAsia" w:ascii="宋体"/>
                <w:sz w:val="18"/>
                <w:szCs w:val="18"/>
              </w:rPr>
              <w:t>1.按规定应当申请复查而未申请复查而导致一般以上水上交通事故或者严重污染事故的；</w:t>
            </w:r>
          </w:p>
          <w:p w14:paraId="32EC5EA0">
            <w:pPr>
              <w:spacing w:before="156" w:beforeLines="50" w:after="156" w:afterLines="50"/>
              <w:rPr>
                <w:rFonts w:ascii="宋体"/>
                <w:sz w:val="18"/>
                <w:szCs w:val="18"/>
              </w:rPr>
            </w:pPr>
            <w:r>
              <w:rPr>
                <w:rFonts w:hint="eastAsia" w:ascii="宋体"/>
                <w:sz w:val="18"/>
                <w:szCs w:val="18"/>
              </w:rPr>
              <w:t>2.具有其他严重情节的。</w:t>
            </w:r>
          </w:p>
        </w:tc>
        <w:tc>
          <w:tcPr>
            <w:tcW w:w="2634" w:type="dxa"/>
            <w:gridSpan w:val="2"/>
            <w:tcBorders>
              <w:top w:val="single" w:color="auto" w:sz="4" w:space="0"/>
              <w:left w:val="single" w:color="000000" w:sz="4" w:space="0"/>
              <w:bottom w:val="single" w:color="auto" w:sz="4" w:space="0"/>
              <w:right w:val="single" w:color="auto" w:sz="4" w:space="0"/>
            </w:tcBorders>
            <w:vAlign w:val="center"/>
          </w:tcPr>
          <w:p w14:paraId="02D58AE7">
            <w:pPr>
              <w:spacing w:before="156" w:beforeLines="50" w:after="156" w:afterLines="50"/>
              <w:jc w:val="center"/>
              <w:rPr>
                <w:sz w:val="18"/>
                <w:szCs w:val="18"/>
              </w:rPr>
            </w:pPr>
            <w:r>
              <w:rPr>
                <w:rFonts w:hint="eastAsia"/>
                <w:sz w:val="18"/>
                <w:szCs w:val="18"/>
              </w:rPr>
              <w:t>1万元及以上至</w:t>
            </w:r>
            <w:r>
              <w:rPr>
                <w:sz w:val="18"/>
                <w:szCs w:val="18"/>
              </w:rPr>
              <w:t>3</w:t>
            </w:r>
            <w:r>
              <w:rPr>
                <w:rFonts w:hint="eastAsia"/>
                <w:sz w:val="18"/>
                <w:szCs w:val="18"/>
              </w:rPr>
              <w:t>万元</w:t>
            </w:r>
          </w:p>
        </w:tc>
        <w:tc>
          <w:tcPr>
            <w:tcW w:w="5972" w:type="dxa"/>
            <w:gridSpan w:val="3"/>
            <w:tcBorders>
              <w:top w:val="single" w:color="auto" w:sz="4" w:space="0"/>
              <w:left w:val="single" w:color="000000" w:sz="4" w:space="0"/>
              <w:bottom w:val="single" w:color="auto" w:sz="4" w:space="0"/>
              <w:right w:val="single" w:color="auto" w:sz="4" w:space="0"/>
            </w:tcBorders>
            <w:vAlign w:val="center"/>
          </w:tcPr>
          <w:p w14:paraId="0430974A">
            <w:pPr>
              <w:spacing w:before="156" w:beforeLines="50" w:after="156" w:afterLines="50"/>
              <w:jc w:val="center"/>
              <w:rPr>
                <w:sz w:val="18"/>
                <w:szCs w:val="18"/>
              </w:rPr>
            </w:pPr>
            <w:r>
              <w:rPr>
                <w:rFonts w:hint="eastAsia"/>
                <w:sz w:val="18"/>
                <w:szCs w:val="18"/>
              </w:rPr>
              <w:t>10</w:t>
            </w:r>
            <w:r>
              <w:rPr>
                <w:sz w:val="18"/>
                <w:szCs w:val="18"/>
              </w:rPr>
              <w:t>00</w:t>
            </w:r>
            <w:r>
              <w:rPr>
                <w:rFonts w:hint="eastAsia"/>
                <w:sz w:val="18"/>
                <w:szCs w:val="18"/>
              </w:rPr>
              <w:t>元及以上至</w:t>
            </w:r>
            <w:r>
              <w:rPr>
                <w:sz w:val="18"/>
                <w:szCs w:val="18"/>
              </w:rPr>
              <w:t>3000</w:t>
            </w:r>
            <w:r>
              <w:rPr>
                <w:rFonts w:hint="eastAsia"/>
                <w:sz w:val="18"/>
                <w:szCs w:val="18"/>
              </w:rPr>
              <w:t>元</w:t>
            </w:r>
          </w:p>
        </w:tc>
      </w:tr>
    </w:tbl>
    <w:p w14:paraId="0EE01D5C">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576"/>
        <w:gridCol w:w="698"/>
        <w:gridCol w:w="1995"/>
        <w:gridCol w:w="2268"/>
        <w:gridCol w:w="2268"/>
        <w:gridCol w:w="2382"/>
        <w:gridCol w:w="1787"/>
        <w:gridCol w:w="1813"/>
        <w:gridCol w:w="3475"/>
      </w:tblGrid>
      <w:tr w14:paraId="139D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7F659CE0">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14:paraId="3DA6A95E">
            <w:pPr>
              <w:spacing w:before="156" w:beforeLines="50" w:after="156" w:afterLines="50"/>
              <w:jc w:val="left"/>
              <w:rPr>
                <w:b/>
                <w:sz w:val="18"/>
                <w:szCs w:val="18"/>
              </w:rPr>
            </w:pPr>
            <w:r>
              <w:rPr>
                <w:rFonts w:hint="eastAsia"/>
                <w:b/>
                <w:sz w:val="18"/>
                <w:szCs w:val="18"/>
              </w:rPr>
              <w:t>案由</w:t>
            </w:r>
          </w:p>
        </w:tc>
        <w:tc>
          <w:tcPr>
            <w:tcW w:w="2693" w:type="dxa"/>
            <w:gridSpan w:val="2"/>
            <w:vMerge w:val="restart"/>
            <w:vAlign w:val="center"/>
          </w:tcPr>
          <w:p w14:paraId="648AD8D9">
            <w:pPr>
              <w:spacing w:before="156" w:beforeLines="50" w:after="156" w:afterLines="50"/>
              <w:jc w:val="center"/>
              <w:rPr>
                <w:b/>
                <w:sz w:val="18"/>
                <w:szCs w:val="18"/>
              </w:rPr>
            </w:pPr>
            <w:r>
              <w:rPr>
                <w:rFonts w:hint="eastAsia"/>
                <w:b/>
                <w:sz w:val="18"/>
                <w:szCs w:val="18"/>
              </w:rPr>
              <w:t>法律依据</w:t>
            </w:r>
          </w:p>
        </w:tc>
        <w:tc>
          <w:tcPr>
            <w:tcW w:w="698" w:type="dxa"/>
            <w:vMerge w:val="restart"/>
            <w:vAlign w:val="center"/>
          </w:tcPr>
          <w:p w14:paraId="2D49DFA5">
            <w:pPr>
              <w:spacing w:before="156" w:beforeLines="50" w:after="156" w:afterLines="50"/>
              <w:jc w:val="left"/>
              <w:rPr>
                <w:b/>
                <w:sz w:val="18"/>
                <w:szCs w:val="18"/>
              </w:rPr>
            </w:pPr>
            <w:r>
              <w:rPr>
                <w:rFonts w:hint="eastAsia"/>
                <w:b/>
                <w:sz w:val="18"/>
                <w:szCs w:val="18"/>
              </w:rPr>
              <w:t>违法行为情节</w:t>
            </w:r>
          </w:p>
        </w:tc>
        <w:tc>
          <w:tcPr>
            <w:tcW w:w="1995" w:type="dxa"/>
            <w:vMerge w:val="restart"/>
            <w:vAlign w:val="center"/>
          </w:tcPr>
          <w:p w14:paraId="38BCC48B">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993" w:type="dxa"/>
            <w:gridSpan w:val="6"/>
            <w:vAlign w:val="center"/>
          </w:tcPr>
          <w:p w14:paraId="1C780AD7">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1721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14:paraId="7E52C726">
            <w:pPr>
              <w:spacing w:before="156" w:beforeLines="50" w:after="156" w:afterLines="50"/>
              <w:jc w:val="left"/>
              <w:rPr>
                <w:b/>
                <w:sz w:val="18"/>
                <w:szCs w:val="18"/>
              </w:rPr>
            </w:pPr>
          </w:p>
        </w:tc>
        <w:tc>
          <w:tcPr>
            <w:tcW w:w="871" w:type="dxa"/>
            <w:vMerge w:val="continue"/>
            <w:vAlign w:val="center"/>
          </w:tcPr>
          <w:p w14:paraId="2C89945A">
            <w:pPr>
              <w:spacing w:before="156" w:beforeLines="50" w:after="156" w:afterLines="50"/>
              <w:jc w:val="left"/>
              <w:rPr>
                <w:b/>
                <w:sz w:val="18"/>
                <w:szCs w:val="18"/>
              </w:rPr>
            </w:pPr>
          </w:p>
        </w:tc>
        <w:tc>
          <w:tcPr>
            <w:tcW w:w="2693" w:type="dxa"/>
            <w:gridSpan w:val="2"/>
            <w:vMerge w:val="continue"/>
            <w:vAlign w:val="center"/>
          </w:tcPr>
          <w:p w14:paraId="01E91408">
            <w:pPr>
              <w:spacing w:before="156" w:beforeLines="50" w:after="156" w:afterLines="50"/>
              <w:jc w:val="left"/>
              <w:rPr>
                <w:b/>
                <w:sz w:val="18"/>
                <w:szCs w:val="18"/>
              </w:rPr>
            </w:pPr>
          </w:p>
        </w:tc>
        <w:tc>
          <w:tcPr>
            <w:tcW w:w="698" w:type="dxa"/>
            <w:vMerge w:val="continue"/>
            <w:vAlign w:val="center"/>
          </w:tcPr>
          <w:p w14:paraId="12BB2E3F">
            <w:pPr>
              <w:spacing w:before="156" w:beforeLines="50" w:after="156" w:afterLines="50"/>
              <w:jc w:val="left"/>
              <w:rPr>
                <w:b/>
                <w:sz w:val="18"/>
                <w:szCs w:val="18"/>
              </w:rPr>
            </w:pPr>
          </w:p>
        </w:tc>
        <w:tc>
          <w:tcPr>
            <w:tcW w:w="1995" w:type="dxa"/>
            <w:vMerge w:val="continue"/>
            <w:vAlign w:val="center"/>
          </w:tcPr>
          <w:p w14:paraId="2058E38C">
            <w:pPr>
              <w:spacing w:before="156" w:beforeLines="50" w:after="156" w:afterLines="50"/>
              <w:jc w:val="left"/>
              <w:rPr>
                <w:rFonts w:ascii="宋体"/>
                <w:b/>
                <w:sz w:val="18"/>
                <w:szCs w:val="18"/>
              </w:rPr>
            </w:pPr>
          </w:p>
        </w:tc>
        <w:tc>
          <w:tcPr>
            <w:tcW w:w="8705" w:type="dxa"/>
            <w:gridSpan w:val="4"/>
            <w:vAlign w:val="center"/>
          </w:tcPr>
          <w:p w14:paraId="6A29721E">
            <w:pPr>
              <w:spacing w:before="156" w:beforeLines="50" w:after="156" w:afterLines="50"/>
              <w:jc w:val="center"/>
              <w:rPr>
                <w:b/>
                <w:sz w:val="18"/>
                <w:szCs w:val="18"/>
              </w:rPr>
            </w:pPr>
            <w:r>
              <w:rPr>
                <w:rFonts w:hint="eastAsia"/>
                <w:b/>
                <w:sz w:val="18"/>
                <w:szCs w:val="18"/>
              </w:rPr>
              <w:t>处罚基准</w:t>
            </w:r>
          </w:p>
        </w:tc>
        <w:tc>
          <w:tcPr>
            <w:tcW w:w="5288" w:type="dxa"/>
            <w:gridSpan w:val="2"/>
          </w:tcPr>
          <w:p w14:paraId="0351191C">
            <w:pPr>
              <w:spacing w:before="156" w:beforeLines="50" w:after="156" w:afterLines="50"/>
              <w:jc w:val="center"/>
              <w:rPr>
                <w:b/>
                <w:sz w:val="18"/>
                <w:szCs w:val="18"/>
              </w:rPr>
            </w:pPr>
            <w:r>
              <w:rPr>
                <w:rFonts w:hint="eastAsia"/>
                <w:b/>
                <w:sz w:val="18"/>
                <w:szCs w:val="18"/>
              </w:rPr>
              <w:t>减轻处罚基准</w:t>
            </w:r>
          </w:p>
        </w:tc>
      </w:tr>
      <w:tr w14:paraId="7525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14:paraId="77C9A3C8">
            <w:pPr>
              <w:spacing w:before="156" w:beforeLines="50" w:after="156" w:afterLines="50"/>
              <w:jc w:val="left"/>
              <w:rPr>
                <w:b/>
                <w:sz w:val="18"/>
                <w:szCs w:val="18"/>
              </w:rPr>
            </w:pPr>
          </w:p>
        </w:tc>
        <w:tc>
          <w:tcPr>
            <w:tcW w:w="871" w:type="dxa"/>
            <w:vMerge w:val="continue"/>
            <w:vAlign w:val="center"/>
          </w:tcPr>
          <w:p w14:paraId="0EEBA3EE">
            <w:pPr>
              <w:spacing w:before="156" w:beforeLines="50" w:after="156" w:afterLines="50"/>
              <w:jc w:val="left"/>
              <w:rPr>
                <w:b/>
                <w:sz w:val="18"/>
                <w:szCs w:val="18"/>
              </w:rPr>
            </w:pPr>
          </w:p>
        </w:tc>
        <w:tc>
          <w:tcPr>
            <w:tcW w:w="2693" w:type="dxa"/>
            <w:gridSpan w:val="2"/>
            <w:vMerge w:val="continue"/>
            <w:vAlign w:val="center"/>
          </w:tcPr>
          <w:p w14:paraId="76DABD78">
            <w:pPr>
              <w:spacing w:before="156" w:beforeLines="50" w:after="156" w:afterLines="50"/>
              <w:jc w:val="left"/>
              <w:rPr>
                <w:b/>
                <w:sz w:val="18"/>
                <w:szCs w:val="18"/>
              </w:rPr>
            </w:pPr>
          </w:p>
        </w:tc>
        <w:tc>
          <w:tcPr>
            <w:tcW w:w="698" w:type="dxa"/>
            <w:vMerge w:val="continue"/>
            <w:vAlign w:val="center"/>
          </w:tcPr>
          <w:p w14:paraId="4CCECEEB">
            <w:pPr>
              <w:spacing w:before="156" w:beforeLines="50" w:after="156" w:afterLines="50"/>
              <w:jc w:val="left"/>
              <w:rPr>
                <w:b/>
                <w:sz w:val="18"/>
                <w:szCs w:val="18"/>
              </w:rPr>
            </w:pPr>
          </w:p>
        </w:tc>
        <w:tc>
          <w:tcPr>
            <w:tcW w:w="1995" w:type="dxa"/>
            <w:vMerge w:val="continue"/>
            <w:vAlign w:val="center"/>
          </w:tcPr>
          <w:p w14:paraId="3BDF4EB5">
            <w:pPr>
              <w:spacing w:before="156" w:beforeLines="50" w:after="156" w:afterLines="50"/>
              <w:jc w:val="left"/>
              <w:rPr>
                <w:rFonts w:ascii="宋体"/>
                <w:b/>
                <w:sz w:val="18"/>
                <w:szCs w:val="18"/>
              </w:rPr>
            </w:pPr>
          </w:p>
        </w:tc>
        <w:tc>
          <w:tcPr>
            <w:tcW w:w="8705" w:type="dxa"/>
            <w:gridSpan w:val="4"/>
            <w:vAlign w:val="center"/>
          </w:tcPr>
          <w:p w14:paraId="7A4A090A">
            <w:pPr>
              <w:spacing w:before="156" w:beforeLines="50" w:after="156" w:afterLines="50"/>
              <w:jc w:val="center"/>
              <w:rPr>
                <w:b/>
                <w:sz w:val="18"/>
                <w:szCs w:val="18"/>
              </w:rPr>
            </w:pPr>
            <w:r>
              <w:rPr>
                <w:rFonts w:hint="eastAsia"/>
                <w:b/>
                <w:sz w:val="18"/>
                <w:szCs w:val="18"/>
              </w:rPr>
              <w:t>【对象】船舶经营人或所有人</w:t>
            </w:r>
          </w:p>
        </w:tc>
        <w:tc>
          <w:tcPr>
            <w:tcW w:w="5288" w:type="dxa"/>
            <w:gridSpan w:val="2"/>
            <w:vAlign w:val="center"/>
          </w:tcPr>
          <w:p w14:paraId="27269CF3">
            <w:pPr>
              <w:spacing w:before="156" w:beforeLines="50" w:after="156" w:afterLines="50"/>
              <w:jc w:val="center"/>
              <w:rPr>
                <w:b/>
                <w:sz w:val="18"/>
                <w:szCs w:val="18"/>
              </w:rPr>
            </w:pPr>
            <w:r>
              <w:rPr>
                <w:rFonts w:hint="eastAsia"/>
                <w:b/>
                <w:sz w:val="18"/>
                <w:szCs w:val="18"/>
              </w:rPr>
              <w:t>【对象】船舶经营人或所有人</w:t>
            </w:r>
          </w:p>
        </w:tc>
      </w:tr>
      <w:tr w14:paraId="77AA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66BB4C29">
            <w:pPr>
              <w:spacing w:before="156" w:beforeLines="50" w:after="156" w:afterLines="50"/>
              <w:jc w:val="left"/>
              <w:rPr>
                <w:b/>
                <w:sz w:val="18"/>
                <w:szCs w:val="18"/>
              </w:rPr>
            </w:pPr>
          </w:p>
        </w:tc>
        <w:tc>
          <w:tcPr>
            <w:tcW w:w="871" w:type="dxa"/>
            <w:vMerge w:val="continue"/>
            <w:vAlign w:val="center"/>
          </w:tcPr>
          <w:p w14:paraId="1635C056">
            <w:pPr>
              <w:spacing w:before="156" w:beforeLines="50" w:after="156" w:afterLines="50"/>
              <w:jc w:val="left"/>
              <w:rPr>
                <w:b/>
                <w:sz w:val="18"/>
                <w:szCs w:val="18"/>
              </w:rPr>
            </w:pPr>
          </w:p>
        </w:tc>
        <w:tc>
          <w:tcPr>
            <w:tcW w:w="1117" w:type="dxa"/>
            <w:vAlign w:val="center"/>
          </w:tcPr>
          <w:p w14:paraId="417E6291">
            <w:pPr>
              <w:spacing w:before="156" w:beforeLines="50" w:after="156" w:afterLines="50"/>
              <w:jc w:val="center"/>
              <w:rPr>
                <w:b/>
                <w:sz w:val="18"/>
                <w:szCs w:val="18"/>
              </w:rPr>
            </w:pPr>
            <w:r>
              <w:rPr>
                <w:rFonts w:hint="eastAsia"/>
                <w:b/>
                <w:sz w:val="18"/>
                <w:szCs w:val="18"/>
              </w:rPr>
              <w:t>违反条款</w:t>
            </w:r>
          </w:p>
        </w:tc>
        <w:tc>
          <w:tcPr>
            <w:tcW w:w="1576" w:type="dxa"/>
            <w:vAlign w:val="center"/>
          </w:tcPr>
          <w:p w14:paraId="6F9E643C">
            <w:pPr>
              <w:spacing w:before="156" w:beforeLines="50" w:after="156" w:afterLines="50"/>
              <w:jc w:val="center"/>
              <w:rPr>
                <w:b/>
                <w:sz w:val="18"/>
                <w:szCs w:val="18"/>
              </w:rPr>
            </w:pPr>
            <w:r>
              <w:rPr>
                <w:rFonts w:hint="eastAsia"/>
                <w:b/>
                <w:sz w:val="18"/>
                <w:szCs w:val="18"/>
              </w:rPr>
              <w:t>处罚依据</w:t>
            </w:r>
          </w:p>
        </w:tc>
        <w:tc>
          <w:tcPr>
            <w:tcW w:w="698" w:type="dxa"/>
            <w:vMerge w:val="continue"/>
            <w:vAlign w:val="center"/>
          </w:tcPr>
          <w:p w14:paraId="7378F9A6">
            <w:pPr>
              <w:spacing w:before="156" w:beforeLines="50" w:after="156" w:afterLines="50"/>
              <w:jc w:val="left"/>
              <w:rPr>
                <w:b/>
                <w:sz w:val="18"/>
                <w:szCs w:val="18"/>
              </w:rPr>
            </w:pPr>
          </w:p>
        </w:tc>
        <w:tc>
          <w:tcPr>
            <w:tcW w:w="1995" w:type="dxa"/>
            <w:vMerge w:val="continue"/>
            <w:vAlign w:val="center"/>
          </w:tcPr>
          <w:p w14:paraId="60E76C61">
            <w:pPr>
              <w:spacing w:before="156" w:beforeLines="50" w:after="156" w:afterLines="50"/>
              <w:jc w:val="left"/>
              <w:rPr>
                <w:b/>
                <w:sz w:val="18"/>
                <w:szCs w:val="18"/>
              </w:rPr>
            </w:pPr>
          </w:p>
        </w:tc>
        <w:tc>
          <w:tcPr>
            <w:tcW w:w="2268" w:type="dxa"/>
            <w:vAlign w:val="center"/>
          </w:tcPr>
          <w:p w14:paraId="1B0C07CA">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14:paraId="4269E7B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82" w:type="dxa"/>
            <w:vAlign w:val="center"/>
          </w:tcPr>
          <w:p w14:paraId="1C69943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787" w:type="dxa"/>
            <w:vAlign w:val="center"/>
          </w:tcPr>
          <w:p w14:paraId="2CBE0927">
            <w:pPr>
              <w:spacing w:before="156" w:beforeLines="50" w:after="156" w:afterLines="50"/>
              <w:rPr>
                <w:rFonts w:ascii="宋体"/>
                <w:b/>
                <w:sz w:val="18"/>
                <w:szCs w:val="18"/>
              </w:rPr>
            </w:pPr>
            <w:r>
              <w:rPr>
                <w:rFonts w:hint="eastAsia" w:ascii="宋体"/>
                <w:b/>
                <w:sz w:val="18"/>
                <w:szCs w:val="18"/>
              </w:rPr>
              <w:t>【对象】责任船员</w:t>
            </w:r>
          </w:p>
        </w:tc>
        <w:tc>
          <w:tcPr>
            <w:tcW w:w="1813" w:type="dxa"/>
            <w:vAlign w:val="center"/>
          </w:tcPr>
          <w:p w14:paraId="5D2F5DF9">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475" w:type="dxa"/>
            <w:vAlign w:val="center"/>
          </w:tcPr>
          <w:p w14:paraId="2FB7AA4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5E5F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3B66EB23">
            <w:pPr>
              <w:spacing w:before="156" w:beforeLines="50" w:after="156" w:afterLines="50"/>
              <w:jc w:val="center"/>
              <w:rPr>
                <w:sz w:val="18"/>
                <w:szCs w:val="18"/>
              </w:rPr>
            </w:pPr>
            <w:r>
              <w:rPr>
                <w:rFonts w:hint="eastAsia"/>
                <w:sz w:val="18"/>
                <w:szCs w:val="18"/>
              </w:rPr>
              <w:t>57</w:t>
            </w:r>
          </w:p>
        </w:tc>
        <w:tc>
          <w:tcPr>
            <w:tcW w:w="871" w:type="dxa"/>
            <w:vMerge w:val="restart"/>
            <w:vAlign w:val="center"/>
          </w:tcPr>
          <w:p w14:paraId="7D76ACE0">
            <w:pPr>
              <w:spacing w:before="156" w:beforeLines="50" w:after="156" w:afterLines="50"/>
              <w:rPr>
                <w:sz w:val="18"/>
                <w:szCs w:val="18"/>
              </w:rPr>
            </w:pPr>
            <w:r>
              <w:rPr>
                <w:rFonts w:hint="eastAsia"/>
                <w:sz w:val="18"/>
                <w:szCs w:val="18"/>
              </w:rPr>
              <w:t>船舶违规使用低闪点燃油</w:t>
            </w:r>
          </w:p>
          <w:p w14:paraId="498A22D6">
            <w:pPr>
              <w:spacing w:before="156" w:beforeLines="50" w:after="156" w:afterLines="50"/>
              <w:rPr>
                <w:rFonts w:ascii="宋体"/>
                <w:sz w:val="18"/>
                <w:szCs w:val="18"/>
              </w:rPr>
            </w:pPr>
          </w:p>
        </w:tc>
        <w:tc>
          <w:tcPr>
            <w:tcW w:w="1117" w:type="dxa"/>
            <w:vMerge w:val="restart"/>
            <w:vAlign w:val="center"/>
          </w:tcPr>
          <w:p w14:paraId="2310867B">
            <w:pPr>
              <w:spacing w:before="156" w:beforeLines="50" w:after="156" w:afterLines="50"/>
              <w:rPr>
                <w:sz w:val="18"/>
                <w:szCs w:val="18"/>
              </w:rPr>
            </w:pPr>
            <w:r>
              <w:rPr>
                <w:rFonts w:hint="eastAsia"/>
                <w:sz w:val="18"/>
                <w:szCs w:val="18"/>
              </w:rPr>
              <w:t>《中华人民共和国内河交通安全管理条例》第二十一条第一款</w:t>
            </w:r>
          </w:p>
          <w:p w14:paraId="0BCDA2C8">
            <w:pPr>
              <w:widowControl/>
              <w:spacing w:before="156" w:beforeLines="50" w:after="156" w:afterLines="50"/>
              <w:rPr>
                <w:sz w:val="18"/>
                <w:szCs w:val="18"/>
              </w:rPr>
            </w:pPr>
          </w:p>
        </w:tc>
        <w:tc>
          <w:tcPr>
            <w:tcW w:w="1576" w:type="dxa"/>
            <w:vMerge w:val="restart"/>
            <w:vAlign w:val="center"/>
          </w:tcPr>
          <w:p w14:paraId="3D39E30D">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1851FE05">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内河海事行政处罚规定》第十八条第一款和第二款第（五）项；</w:t>
            </w:r>
          </w:p>
          <w:p w14:paraId="15A4F718">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0435C11C">
            <w:pPr>
              <w:spacing w:before="156" w:beforeLines="50" w:after="156" w:afterLines="50"/>
              <w:rPr>
                <w:sz w:val="18"/>
                <w:szCs w:val="18"/>
              </w:rPr>
            </w:pPr>
          </w:p>
        </w:tc>
        <w:tc>
          <w:tcPr>
            <w:tcW w:w="698" w:type="dxa"/>
            <w:vAlign w:val="center"/>
          </w:tcPr>
          <w:p w14:paraId="31383211">
            <w:pPr>
              <w:spacing w:before="156" w:beforeLines="50" w:after="156" w:afterLines="50"/>
              <w:jc w:val="center"/>
              <w:rPr>
                <w:rFonts w:ascii="宋体"/>
                <w:sz w:val="18"/>
                <w:szCs w:val="18"/>
              </w:rPr>
            </w:pPr>
            <w:r>
              <w:rPr>
                <w:rFonts w:hint="eastAsia"/>
                <w:sz w:val="18"/>
                <w:szCs w:val="18"/>
              </w:rPr>
              <w:t>从轻</w:t>
            </w:r>
          </w:p>
        </w:tc>
        <w:tc>
          <w:tcPr>
            <w:tcW w:w="1995" w:type="dxa"/>
            <w:vAlign w:val="center"/>
          </w:tcPr>
          <w:p w14:paraId="6024363D">
            <w:pPr>
              <w:widowControl/>
              <w:spacing w:before="156" w:beforeLines="50" w:after="156" w:afterLines="50"/>
              <w:jc w:val="left"/>
              <w:rPr>
                <w:sz w:val="18"/>
                <w:szCs w:val="18"/>
              </w:rPr>
            </w:pPr>
            <w:r>
              <w:rPr>
                <w:rFonts w:hint="eastAsia"/>
                <w:sz w:val="18"/>
                <w:szCs w:val="18"/>
              </w:rPr>
              <w:t>具有法定从轻情节的。</w:t>
            </w:r>
          </w:p>
        </w:tc>
        <w:tc>
          <w:tcPr>
            <w:tcW w:w="2268" w:type="dxa"/>
            <w:vAlign w:val="center"/>
          </w:tcPr>
          <w:p w14:paraId="1C2CCFD5">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vAlign w:val="center"/>
          </w:tcPr>
          <w:p w14:paraId="71D7B2EA">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382" w:type="dxa"/>
            <w:vAlign w:val="center"/>
          </w:tcPr>
          <w:p w14:paraId="4ACC8FC6">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787" w:type="dxa"/>
            <w:vAlign w:val="center"/>
          </w:tcPr>
          <w:p w14:paraId="62872997">
            <w:pPr>
              <w:widowControl/>
              <w:spacing w:before="156" w:beforeLines="50" w:after="156" w:afterLines="50"/>
              <w:jc w:val="center"/>
              <w:rPr>
                <w:rFonts w:ascii="宋体"/>
                <w:kern w:val="0"/>
                <w:sz w:val="18"/>
                <w:szCs w:val="18"/>
              </w:rPr>
            </w:pPr>
            <w:r>
              <w:rPr>
                <w:rFonts w:ascii="宋体"/>
                <w:kern w:val="0"/>
                <w:sz w:val="18"/>
                <w:szCs w:val="18"/>
              </w:rPr>
              <w:t>/</w:t>
            </w:r>
          </w:p>
        </w:tc>
        <w:tc>
          <w:tcPr>
            <w:tcW w:w="1813" w:type="dxa"/>
            <w:vMerge w:val="restart"/>
            <w:vAlign w:val="center"/>
          </w:tcPr>
          <w:p w14:paraId="77EE24B7">
            <w:pPr>
              <w:spacing w:before="156" w:beforeLines="50" w:after="156" w:afterLines="50"/>
            </w:pPr>
            <w:r>
              <w:rPr>
                <w:rFonts w:hint="eastAsia"/>
                <w:sz w:val="18"/>
                <w:szCs w:val="18"/>
              </w:rPr>
              <w:t>船舶违规使用低闪点燃油，未发生事故的：4000元及以上8000元以下。</w:t>
            </w:r>
          </w:p>
        </w:tc>
        <w:tc>
          <w:tcPr>
            <w:tcW w:w="3475" w:type="dxa"/>
            <w:vMerge w:val="restart"/>
            <w:vAlign w:val="center"/>
          </w:tcPr>
          <w:p w14:paraId="3E633AA6">
            <w:pPr>
              <w:spacing w:before="156" w:beforeLines="50" w:after="156" w:afterLines="50"/>
            </w:pPr>
            <w:r>
              <w:rPr>
                <w:rFonts w:hint="eastAsia"/>
                <w:sz w:val="18"/>
                <w:szCs w:val="18"/>
              </w:rPr>
              <w:t>船舶违规使用低闪点燃油，未发生事故的：6000元及以上2万元以下。</w:t>
            </w:r>
          </w:p>
        </w:tc>
      </w:tr>
      <w:tr w14:paraId="12D9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11919363">
            <w:pPr>
              <w:spacing w:before="156" w:beforeLines="50" w:after="156" w:afterLines="50"/>
              <w:jc w:val="left"/>
              <w:rPr>
                <w:sz w:val="18"/>
                <w:szCs w:val="18"/>
              </w:rPr>
            </w:pPr>
          </w:p>
        </w:tc>
        <w:tc>
          <w:tcPr>
            <w:tcW w:w="871" w:type="dxa"/>
            <w:vMerge w:val="continue"/>
            <w:vAlign w:val="center"/>
          </w:tcPr>
          <w:p w14:paraId="40082FB9">
            <w:pPr>
              <w:spacing w:before="156" w:beforeLines="50" w:after="156" w:afterLines="50"/>
              <w:jc w:val="left"/>
              <w:rPr>
                <w:sz w:val="18"/>
                <w:szCs w:val="18"/>
              </w:rPr>
            </w:pPr>
          </w:p>
        </w:tc>
        <w:tc>
          <w:tcPr>
            <w:tcW w:w="1117" w:type="dxa"/>
            <w:vMerge w:val="continue"/>
            <w:vAlign w:val="center"/>
          </w:tcPr>
          <w:p w14:paraId="4D61BAC8">
            <w:pPr>
              <w:spacing w:before="156" w:beforeLines="50" w:after="156" w:afterLines="50"/>
              <w:jc w:val="left"/>
              <w:rPr>
                <w:sz w:val="18"/>
                <w:szCs w:val="18"/>
              </w:rPr>
            </w:pPr>
          </w:p>
        </w:tc>
        <w:tc>
          <w:tcPr>
            <w:tcW w:w="1576" w:type="dxa"/>
            <w:vMerge w:val="continue"/>
            <w:vAlign w:val="center"/>
          </w:tcPr>
          <w:p w14:paraId="122F24C4">
            <w:pPr>
              <w:spacing w:before="156" w:beforeLines="50" w:after="156" w:afterLines="50"/>
              <w:jc w:val="left"/>
              <w:rPr>
                <w:sz w:val="18"/>
                <w:szCs w:val="18"/>
              </w:rPr>
            </w:pPr>
          </w:p>
        </w:tc>
        <w:tc>
          <w:tcPr>
            <w:tcW w:w="698" w:type="dxa"/>
            <w:vMerge w:val="restart"/>
            <w:vAlign w:val="center"/>
          </w:tcPr>
          <w:p w14:paraId="1CF8D348">
            <w:pPr>
              <w:spacing w:before="156" w:beforeLines="50" w:after="156" w:afterLines="50"/>
              <w:jc w:val="center"/>
              <w:rPr>
                <w:sz w:val="18"/>
                <w:szCs w:val="18"/>
              </w:rPr>
            </w:pPr>
            <w:r>
              <w:rPr>
                <w:rFonts w:hint="eastAsia"/>
                <w:sz w:val="18"/>
                <w:szCs w:val="18"/>
              </w:rPr>
              <w:t>一般</w:t>
            </w:r>
          </w:p>
          <w:p w14:paraId="690DEBD0">
            <w:pPr>
              <w:spacing w:before="156" w:beforeLines="50" w:after="156" w:afterLines="50"/>
              <w:jc w:val="center"/>
              <w:rPr>
                <w:sz w:val="18"/>
                <w:szCs w:val="18"/>
              </w:rPr>
            </w:pPr>
          </w:p>
        </w:tc>
        <w:tc>
          <w:tcPr>
            <w:tcW w:w="1995" w:type="dxa"/>
            <w:vAlign w:val="center"/>
          </w:tcPr>
          <w:p w14:paraId="2F73A938">
            <w:pPr>
              <w:widowControl/>
              <w:spacing w:before="156" w:beforeLines="50" w:after="156" w:afterLines="50"/>
              <w:jc w:val="left"/>
              <w:rPr>
                <w:sz w:val="18"/>
                <w:szCs w:val="18"/>
              </w:rPr>
            </w:pPr>
            <w:r>
              <w:rPr>
                <w:rFonts w:hint="eastAsia"/>
                <w:sz w:val="18"/>
                <w:szCs w:val="18"/>
              </w:rPr>
              <w:t>船舶违规使用低闪点燃油。</w:t>
            </w:r>
          </w:p>
        </w:tc>
        <w:tc>
          <w:tcPr>
            <w:tcW w:w="2268" w:type="dxa"/>
            <w:vAlign w:val="center"/>
          </w:tcPr>
          <w:p w14:paraId="7E753370">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vAlign w:val="center"/>
          </w:tcPr>
          <w:p w14:paraId="24EF5725">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382" w:type="dxa"/>
            <w:vAlign w:val="center"/>
          </w:tcPr>
          <w:p w14:paraId="4B7049E5">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787" w:type="dxa"/>
            <w:vAlign w:val="center"/>
          </w:tcPr>
          <w:p w14:paraId="391A4831">
            <w:pPr>
              <w:widowControl/>
              <w:spacing w:before="156" w:beforeLines="50" w:after="156" w:afterLines="50"/>
              <w:jc w:val="center"/>
              <w:rPr>
                <w:sz w:val="18"/>
                <w:szCs w:val="18"/>
              </w:rPr>
            </w:pPr>
            <w:r>
              <w:rPr>
                <w:rFonts w:ascii="宋体"/>
                <w:kern w:val="0"/>
                <w:sz w:val="18"/>
                <w:szCs w:val="18"/>
              </w:rPr>
              <w:t>/</w:t>
            </w:r>
          </w:p>
        </w:tc>
        <w:tc>
          <w:tcPr>
            <w:tcW w:w="1813" w:type="dxa"/>
            <w:vMerge w:val="continue"/>
            <w:vAlign w:val="center"/>
          </w:tcPr>
          <w:p w14:paraId="518B5768">
            <w:pPr>
              <w:widowControl/>
              <w:spacing w:before="156" w:beforeLines="50" w:after="156" w:afterLines="50"/>
              <w:jc w:val="left"/>
              <w:rPr>
                <w:sz w:val="18"/>
                <w:szCs w:val="18"/>
              </w:rPr>
            </w:pPr>
          </w:p>
        </w:tc>
        <w:tc>
          <w:tcPr>
            <w:tcW w:w="3475" w:type="dxa"/>
            <w:vMerge w:val="continue"/>
            <w:vAlign w:val="center"/>
          </w:tcPr>
          <w:p w14:paraId="39DD7450">
            <w:pPr>
              <w:widowControl/>
              <w:spacing w:before="156" w:beforeLines="50" w:after="156" w:afterLines="50"/>
              <w:jc w:val="left"/>
              <w:rPr>
                <w:sz w:val="18"/>
                <w:szCs w:val="18"/>
              </w:rPr>
            </w:pPr>
          </w:p>
        </w:tc>
      </w:tr>
      <w:tr w14:paraId="1D15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55" w:type="dxa"/>
            <w:vMerge w:val="continue"/>
          </w:tcPr>
          <w:p w14:paraId="545852C5">
            <w:pPr>
              <w:spacing w:before="156" w:beforeLines="50" w:after="156" w:afterLines="50"/>
              <w:jc w:val="left"/>
              <w:rPr>
                <w:sz w:val="18"/>
                <w:szCs w:val="18"/>
              </w:rPr>
            </w:pPr>
          </w:p>
        </w:tc>
        <w:tc>
          <w:tcPr>
            <w:tcW w:w="871" w:type="dxa"/>
            <w:vMerge w:val="continue"/>
            <w:vAlign w:val="center"/>
          </w:tcPr>
          <w:p w14:paraId="2060E0F0">
            <w:pPr>
              <w:spacing w:before="156" w:beforeLines="50" w:after="156" w:afterLines="50"/>
              <w:jc w:val="left"/>
              <w:rPr>
                <w:sz w:val="18"/>
                <w:szCs w:val="18"/>
              </w:rPr>
            </w:pPr>
          </w:p>
        </w:tc>
        <w:tc>
          <w:tcPr>
            <w:tcW w:w="1117" w:type="dxa"/>
            <w:vMerge w:val="continue"/>
            <w:vAlign w:val="center"/>
          </w:tcPr>
          <w:p w14:paraId="3E221E67">
            <w:pPr>
              <w:spacing w:before="156" w:beforeLines="50" w:after="156" w:afterLines="50"/>
              <w:jc w:val="left"/>
              <w:rPr>
                <w:sz w:val="18"/>
                <w:szCs w:val="18"/>
              </w:rPr>
            </w:pPr>
          </w:p>
        </w:tc>
        <w:tc>
          <w:tcPr>
            <w:tcW w:w="1576" w:type="dxa"/>
            <w:vMerge w:val="continue"/>
            <w:vAlign w:val="center"/>
          </w:tcPr>
          <w:p w14:paraId="6C0368C4">
            <w:pPr>
              <w:spacing w:before="156" w:beforeLines="50" w:after="156" w:afterLines="50"/>
              <w:jc w:val="left"/>
              <w:rPr>
                <w:sz w:val="18"/>
                <w:szCs w:val="18"/>
              </w:rPr>
            </w:pPr>
          </w:p>
        </w:tc>
        <w:tc>
          <w:tcPr>
            <w:tcW w:w="698" w:type="dxa"/>
            <w:vMerge w:val="continue"/>
            <w:vAlign w:val="center"/>
          </w:tcPr>
          <w:p w14:paraId="198E51E3">
            <w:pPr>
              <w:spacing w:before="156" w:beforeLines="50" w:after="156" w:afterLines="50"/>
              <w:jc w:val="center"/>
              <w:rPr>
                <w:sz w:val="18"/>
                <w:szCs w:val="18"/>
              </w:rPr>
            </w:pPr>
          </w:p>
        </w:tc>
        <w:tc>
          <w:tcPr>
            <w:tcW w:w="1995" w:type="dxa"/>
            <w:vAlign w:val="center"/>
          </w:tcPr>
          <w:p w14:paraId="132C3D81">
            <w:pPr>
              <w:widowControl/>
              <w:spacing w:before="156" w:beforeLines="50" w:after="156" w:afterLines="50"/>
              <w:jc w:val="left"/>
              <w:rPr>
                <w:sz w:val="18"/>
                <w:szCs w:val="18"/>
              </w:rPr>
            </w:pPr>
            <w:r>
              <w:rPr>
                <w:rFonts w:hint="eastAsia"/>
                <w:sz w:val="18"/>
                <w:szCs w:val="18"/>
              </w:rPr>
              <w:t>船舶违规使用低闪点燃油，导致发生一般以下水上交通事故。</w:t>
            </w:r>
          </w:p>
        </w:tc>
        <w:tc>
          <w:tcPr>
            <w:tcW w:w="2268" w:type="dxa"/>
            <w:vAlign w:val="center"/>
          </w:tcPr>
          <w:p w14:paraId="3878CFD6">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68" w:type="dxa"/>
            <w:vAlign w:val="center"/>
          </w:tcPr>
          <w:p w14:paraId="7CD6DFBE">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382" w:type="dxa"/>
            <w:vAlign w:val="center"/>
          </w:tcPr>
          <w:p w14:paraId="1CFC82AC">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787" w:type="dxa"/>
            <w:vAlign w:val="center"/>
          </w:tcPr>
          <w:p w14:paraId="4C385D9F">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813" w:type="dxa"/>
            <w:vMerge w:val="continue"/>
            <w:vAlign w:val="center"/>
          </w:tcPr>
          <w:p w14:paraId="6A854277">
            <w:pPr>
              <w:widowControl/>
              <w:spacing w:before="156" w:beforeLines="50" w:after="156" w:afterLines="50"/>
              <w:jc w:val="left"/>
              <w:rPr>
                <w:sz w:val="18"/>
                <w:szCs w:val="18"/>
              </w:rPr>
            </w:pPr>
          </w:p>
        </w:tc>
        <w:tc>
          <w:tcPr>
            <w:tcW w:w="3475" w:type="dxa"/>
            <w:vMerge w:val="continue"/>
            <w:vAlign w:val="center"/>
          </w:tcPr>
          <w:p w14:paraId="631545ED">
            <w:pPr>
              <w:widowControl/>
              <w:spacing w:before="156" w:beforeLines="50" w:after="156" w:afterLines="50"/>
              <w:jc w:val="left"/>
              <w:rPr>
                <w:sz w:val="18"/>
                <w:szCs w:val="18"/>
              </w:rPr>
            </w:pPr>
          </w:p>
        </w:tc>
      </w:tr>
      <w:tr w14:paraId="6187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55" w:type="dxa"/>
            <w:vMerge w:val="continue"/>
          </w:tcPr>
          <w:p w14:paraId="3DD5646E">
            <w:pPr>
              <w:spacing w:before="156" w:beforeLines="50" w:after="156" w:afterLines="50"/>
              <w:jc w:val="left"/>
              <w:rPr>
                <w:sz w:val="18"/>
                <w:szCs w:val="18"/>
              </w:rPr>
            </w:pPr>
          </w:p>
        </w:tc>
        <w:tc>
          <w:tcPr>
            <w:tcW w:w="871" w:type="dxa"/>
            <w:vMerge w:val="continue"/>
            <w:vAlign w:val="center"/>
          </w:tcPr>
          <w:p w14:paraId="33F5B999">
            <w:pPr>
              <w:spacing w:before="156" w:beforeLines="50" w:after="156" w:afterLines="50"/>
              <w:jc w:val="left"/>
              <w:rPr>
                <w:sz w:val="18"/>
                <w:szCs w:val="18"/>
              </w:rPr>
            </w:pPr>
          </w:p>
        </w:tc>
        <w:tc>
          <w:tcPr>
            <w:tcW w:w="1117" w:type="dxa"/>
            <w:vMerge w:val="continue"/>
            <w:vAlign w:val="center"/>
          </w:tcPr>
          <w:p w14:paraId="71486C0F">
            <w:pPr>
              <w:spacing w:before="156" w:beforeLines="50" w:after="156" w:afterLines="50"/>
              <w:jc w:val="left"/>
              <w:rPr>
                <w:sz w:val="18"/>
                <w:szCs w:val="18"/>
              </w:rPr>
            </w:pPr>
          </w:p>
        </w:tc>
        <w:tc>
          <w:tcPr>
            <w:tcW w:w="1576" w:type="dxa"/>
            <w:vMerge w:val="continue"/>
            <w:vAlign w:val="center"/>
          </w:tcPr>
          <w:p w14:paraId="20156C6E">
            <w:pPr>
              <w:spacing w:before="156" w:beforeLines="50" w:after="156" w:afterLines="50"/>
              <w:jc w:val="left"/>
              <w:rPr>
                <w:sz w:val="18"/>
                <w:szCs w:val="18"/>
              </w:rPr>
            </w:pPr>
          </w:p>
        </w:tc>
        <w:tc>
          <w:tcPr>
            <w:tcW w:w="698" w:type="dxa"/>
            <w:vMerge w:val="continue"/>
            <w:vAlign w:val="center"/>
          </w:tcPr>
          <w:p w14:paraId="181FEE10">
            <w:pPr>
              <w:spacing w:before="156" w:beforeLines="50" w:after="156" w:afterLines="50"/>
              <w:jc w:val="center"/>
              <w:rPr>
                <w:sz w:val="18"/>
                <w:szCs w:val="18"/>
              </w:rPr>
            </w:pPr>
          </w:p>
        </w:tc>
        <w:tc>
          <w:tcPr>
            <w:tcW w:w="1995" w:type="dxa"/>
            <w:tcBorders>
              <w:bottom w:val="single" w:color="auto" w:sz="4" w:space="0"/>
            </w:tcBorders>
            <w:vAlign w:val="center"/>
          </w:tcPr>
          <w:p w14:paraId="7BA4D6BF">
            <w:pPr>
              <w:widowControl/>
              <w:spacing w:before="156" w:beforeLines="50" w:after="156" w:afterLines="50"/>
              <w:jc w:val="left"/>
              <w:rPr>
                <w:sz w:val="18"/>
                <w:szCs w:val="18"/>
              </w:rPr>
            </w:pPr>
            <w:r>
              <w:rPr>
                <w:rFonts w:hint="eastAsia"/>
                <w:sz w:val="18"/>
                <w:szCs w:val="18"/>
              </w:rPr>
              <w:t>船舶违规使用低闪点燃油，导致发生一般及以上水上交通事故。</w:t>
            </w:r>
          </w:p>
        </w:tc>
        <w:tc>
          <w:tcPr>
            <w:tcW w:w="2268" w:type="dxa"/>
            <w:tcBorders>
              <w:bottom w:val="single" w:color="auto" w:sz="4" w:space="0"/>
            </w:tcBorders>
            <w:vAlign w:val="center"/>
          </w:tcPr>
          <w:p w14:paraId="1E0E0854">
            <w:pPr>
              <w:spacing w:before="156" w:beforeLines="50" w:after="156" w:afterLines="50"/>
              <w:jc w:val="left"/>
              <w:rPr>
                <w:sz w:val="18"/>
                <w:szCs w:val="18"/>
              </w:rPr>
            </w:pPr>
            <w:r>
              <w:rPr>
                <w:rFonts w:hint="eastAsia"/>
                <w:sz w:val="18"/>
                <w:szCs w:val="18"/>
              </w:rPr>
              <w:t>4万元及以上</w:t>
            </w:r>
            <w:r>
              <w:rPr>
                <w:sz w:val="18"/>
                <w:szCs w:val="18"/>
              </w:rPr>
              <w:t>10</w:t>
            </w:r>
            <w:r>
              <w:rPr>
                <w:rFonts w:hint="eastAsia"/>
                <w:sz w:val="18"/>
                <w:szCs w:val="18"/>
              </w:rPr>
              <w:t>万元及以下</w:t>
            </w:r>
            <w:r>
              <w:rPr>
                <w:sz w:val="18"/>
                <w:szCs w:val="18"/>
              </w:rPr>
              <w:t xml:space="preserve"> </w:t>
            </w:r>
          </w:p>
        </w:tc>
        <w:tc>
          <w:tcPr>
            <w:tcW w:w="2268" w:type="dxa"/>
            <w:tcBorders>
              <w:bottom w:val="single" w:color="auto" w:sz="4" w:space="0"/>
            </w:tcBorders>
            <w:vAlign w:val="center"/>
          </w:tcPr>
          <w:p w14:paraId="32C7FEF6">
            <w:pPr>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2382" w:type="dxa"/>
            <w:tcBorders>
              <w:bottom w:val="single" w:color="auto" w:sz="4" w:space="0"/>
            </w:tcBorders>
            <w:vAlign w:val="center"/>
          </w:tcPr>
          <w:p w14:paraId="6B5A4586">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1787" w:type="dxa"/>
            <w:tcBorders>
              <w:bottom w:val="single" w:color="auto" w:sz="4" w:space="0"/>
            </w:tcBorders>
            <w:vAlign w:val="center"/>
          </w:tcPr>
          <w:p w14:paraId="74F7F885">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813" w:type="dxa"/>
            <w:vMerge w:val="continue"/>
          </w:tcPr>
          <w:p w14:paraId="038A47BA">
            <w:pPr>
              <w:widowControl/>
              <w:spacing w:before="156" w:beforeLines="50" w:after="156" w:afterLines="50"/>
              <w:jc w:val="left"/>
              <w:rPr>
                <w:sz w:val="18"/>
                <w:szCs w:val="18"/>
              </w:rPr>
            </w:pPr>
          </w:p>
        </w:tc>
        <w:tc>
          <w:tcPr>
            <w:tcW w:w="3475" w:type="dxa"/>
            <w:vMerge w:val="continue"/>
          </w:tcPr>
          <w:p w14:paraId="113CF1ED">
            <w:pPr>
              <w:widowControl/>
              <w:spacing w:before="156" w:beforeLines="50" w:after="156" w:afterLines="50"/>
              <w:jc w:val="left"/>
              <w:rPr>
                <w:sz w:val="18"/>
                <w:szCs w:val="18"/>
              </w:rPr>
            </w:pPr>
          </w:p>
        </w:tc>
      </w:tr>
    </w:tbl>
    <w:p w14:paraId="437DC2B4">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449"/>
        <w:gridCol w:w="2105"/>
        <w:gridCol w:w="1596"/>
        <w:gridCol w:w="1527"/>
        <w:gridCol w:w="2410"/>
        <w:gridCol w:w="3162"/>
      </w:tblGrid>
      <w:tr w14:paraId="63B2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6A90DC24">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14:paraId="6A9B6DF7">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14:paraId="28AB1A20">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14:paraId="23ECC782">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14:paraId="6F5A667F">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249" w:type="dxa"/>
            <w:gridSpan w:val="6"/>
            <w:vAlign w:val="center"/>
          </w:tcPr>
          <w:p w14:paraId="69B05B77">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责令改正，处以</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34E5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3A68C950">
            <w:pPr>
              <w:spacing w:before="156" w:beforeLines="50" w:after="156" w:afterLines="50"/>
              <w:jc w:val="left"/>
              <w:rPr>
                <w:b/>
                <w:sz w:val="18"/>
                <w:szCs w:val="18"/>
              </w:rPr>
            </w:pPr>
          </w:p>
        </w:tc>
        <w:tc>
          <w:tcPr>
            <w:tcW w:w="871" w:type="dxa"/>
            <w:vMerge w:val="continue"/>
            <w:vAlign w:val="center"/>
          </w:tcPr>
          <w:p w14:paraId="13C66213">
            <w:pPr>
              <w:spacing w:before="156" w:beforeLines="50" w:after="156" w:afterLines="50"/>
              <w:jc w:val="left"/>
              <w:rPr>
                <w:b/>
                <w:sz w:val="18"/>
                <w:szCs w:val="18"/>
              </w:rPr>
            </w:pPr>
          </w:p>
        </w:tc>
        <w:tc>
          <w:tcPr>
            <w:tcW w:w="2400" w:type="dxa"/>
            <w:gridSpan w:val="2"/>
            <w:vMerge w:val="continue"/>
            <w:vAlign w:val="center"/>
          </w:tcPr>
          <w:p w14:paraId="6ACD42BA">
            <w:pPr>
              <w:spacing w:before="156" w:beforeLines="50" w:after="156" w:afterLines="50"/>
              <w:jc w:val="left"/>
              <w:rPr>
                <w:b/>
                <w:sz w:val="18"/>
                <w:szCs w:val="18"/>
              </w:rPr>
            </w:pPr>
          </w:p>
        </w:tc>
        <w:tc>
          <w:tcPr>
            <w:tcW w:w="991" w:type="dxa"/>
            <w:vMerge w:val="continue"/>
            <w:vAlign w:val="center"/>
          </w:tcPr>
          <w:p w14:paraId="5312D462">
            <w:pPr>
              <w:spacing w:before="156" w:beforeLines="50" w:after="156" w:afterLines="50"/>
              <w:jc w:val="left"/>
              <w:rPr>
                <w:b/>
                <w:sz w:val="18"/>
                <w:szCs w:val="18"/>
              </w:rPr>
            </w:pPr>
          </w:p>
        </w:tc>
        <w:tc>
          <w:tcPr>
            <w:tcW w:w="2739" w:type="dxa"/>
            <w:vMerge w:val="continue"/>
            <w:vAlign w:val="center"/>
          </w:tcPr>
          <w:p w14:paraId="718F2DF3">
            <w:pPr>
              <w:spacing w:before="156" w:beforeLines="50" w:after="156" w:afterLines="50"/>
              <w:jc w:val="left"/>
              <w:rPr>
                <w:rFonts w:ascii="宋体"/>
                <w:b/>
                <w:sz w:val="18"/>
                <w:szCs w:val="18"/>
              </w:rPr>
            </w:pPr>
          </w:p>
        </w:tc>
        <w:tc>
          <w:tcPr>
            <w:tcW w:w="7677" w:type="dxa"/>
            <w:gridSpan w:val="4"/>
            <w:vAlign w:val="center"/>
          </w:tcPr>
          <w:p w14:paraId="59AA0B98">
            <w:pPr>
              <w:spacing w:before="156" w:beforeLines="50" w:after="156" w:afterLines="50"/>
              <w:jc w:val="center"/>
              <w:rPr>
                <w:b/>
                <w:sz w:val="18"/>
                <w:szCs w:val="18"/>
              </w:rPr>
            </w:pPr>
            <w:r>
              <w:rPr>
                <w:rFonts w:hint="eastAsia"/>
                <w:b/>
                <w:sz w:val="18"/>
                <w:szCs w:val="18"/>
              </w:rPr>
              <w:t>处罚基准</w:t>
            </w:r>
          </w:p>
        </w:tc>
        <w:tc>
          <w:tcPr>
            <w:tcW w:w="5572" w:type="dxa"/>
            <w:gridSpan w:val="2"/>
          </w:tcPr>
          <w:p w14:paraId="18BBB1DE">
            <w:pPr>
              <w:spacing w:before="156" w:beforeLines="50" w:after="156" w:afterLines="50"/>
              <w:jc w:val="center"/>
              <w:rPr>
                <w:b/>
                <w:sz w:val="18"/>
                <w:szCs w:val="18"/>
              </w:rPr>
            </w:pPr>
            <w:r>
              <w:rPr>
                <w:rFonts w:hint="eastAsia"/>
                <w:b/>
                <w:sz w:val="18"/>
                <w:szCs w:val="18"/>
              </w:rPr>
              <w:t>减轻处罚基准</w:t>
            </w:r>
          </w:p>
        </w:tc>
      </w:tr>
      <w:tr w14:paraId="1CBC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688CE6CB">
            <w:pPr>
              <w:spacing w:before="156" w:beforeLines="50" w:after="156" w:afterLines="50"/>
              <w:jc w:val="left"/>
              <w:rPr>
                <w:b/>
                <w:sz w:val="18"/>
                <w:szCs w:val="18"/>
              </w:rPr>
            </w:pPr>
          </w:p>
        </w:tc>
        <w:tc>
          <w:tcPr>
            <w:tcW w:w="871" w:type="dxa"/>
            <w:vMerge w:val="continue"/>
            <w:vAlign w:val="center"/>
          </w:tcPr>
          <w:p w14:paraId="4AE232EB">
            <w:pPr>
              <w:spacing w:before="156" w:beforeLines="50" w:after="156" w:afterLines="50"/>
              <w:jc w:val="left"/>
              <w:rPr>
                <w:b/>
                <w:sz w:val="18"/>
                <w:szCs w:val="18"/>
              </w:rPr>
            </w:pPr>
          </w:p>
        </w:tc>
        <w:tc>
          <w:tcPr>
            <w:tcW w:w="2400" w:type="dxa"/>
            <w:gridSpan w:val="2"/>
            <w:vMerge w:val="continue"/>
            <w:vAlign w:val="center"/>
          </w:tcPr>
          <w:p w14:paraId="2E8DA491">
            <w:pPr>
              <w:spacing w:before="156" w:beforeLines="50" w:after="156" w:afterLines="50"/>
              <w:jc w:val="left"/>
              <w:rPr>
                <w:b/>
                <w:sz w:val="18"/>
                <w:szCs w:val="18"/>
              </w:rPr>
            </w:pPr>
          </w:p>
        </w:tc>
        <w:tc>
          <w:tcPr>
            <w:tcW w:w="991" w:type="dxa"/>
            <w:vMerge w:val="continue"/>
            <w:vAlign w:val="center"/>
          </w:tcPr>
          <w:p w14:paraId="58892497">
            <w:pPr>
              <w:spacing w:before="156" w:beforeLines="50" w:after="156" w:afterLines="50"/>
              <w:jc w:val="left"/>
              <w:rPr>
                <w:b/>
                <w:sz w:val="18"/>
                <w:szCs w:val="18"/>
              </w:rPr>
            </w:pPr>
          </w:p>
        </w:tc>
        <w:tc>
          <w:tcPr>
            <w:tcW w:w="2739" w:type="dxa"/>
            <w:vMerge w:val="continue"/>
            <w:vAlign w:val="center"/>
          </w:tcPr>
          <w:p w14:paraId="30FD10EE">
            <w:pPr>
              <w:spacing w:before="156" w:beforeLines="50" w:after="156" w:afterLines="50"/>
              <w:jc w:val="left"/>
              <w:rPr>
                <w:rFonts w:ascii="宋体"/>
                <w:b/>
                <w:sz w:val="18"/>
                <w:szCs w:val="18"/>
              </w:rPr>
            </w:pPr>
          </w:p>
        </w:tc>
        <w:tc>
          <w:tcPr>
            <w:tcW w:w="7677" w:type="dxa"/>
            <w:gridSpan w:val="4"/>
            <w:vAlign w:val="center"/>
          </w:tcPr>
          <w:p w14:paraId="7BA9CC2C">
            <w:pPr>
              <w:spacing w:before="156" w:beforeLines="50" w:after="156" w:afterLines="50"/>
              <w:jc w:val="center"/>
              <w:rPr>
                <w:b/>
                <w:sz w:val="18"/>
                <w:szCs w:val="18"/>
              </w:rPr>
            </w:pPr>
            <w:r>
              <w:rPr>
                <w:rFonts w:hint="eastAsia"/>
                <w:b/>
                <w:sz w:val="18"/>
                <w:szCs w:val="18"/>
              </w:rPr>
              <w:t>【对象】船舶经营人或所有人</w:t>
            </w:r>
          </w:p>
        </w:tc>
        <w:tc>
          <w:tcPr>
            <w:tcW w:w="5572" w:type="dxa"/>
            <w:gridSpan w:val="2"/>
          </w:tcPr>
          <w:p w14:paraId="1FAA646E">
            <w:pPr>
              <w:spacing w:before="156" w:beforeLines="50" w:after="156" w:afterLines="50"/>
              <w:jc w:val="center"/>
              <w:rPr>
                <w:b/>
                <w:sz w:val="18"/>
                <w:szCs w:val="18"/>
              </w:rPr>
            </w:pPr>
            <w:r>
              <w:rPr>
                <w:rFonts w:hint="eastAsia"/>
                <w:b/>
                <w:sz w:val="18"/>
                <w:szCs w:val="18"/>
              </w:rPr>
              <w:t>【对象】船舶经营人或所有人</w:t>
            </w:r>
          </w:p>
        </w:tc>
      </w:tr>
      <w:tr w14:paraId="0052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44798D4C">
            <w:pPr>
              <w:spacing w:before="156" w:beforeLines="50" w:after="156" w:afterLines="50"/>
              <w:jc w:val="left"/>
              <w:rPr>
                <w:b/>
                <w:sz w:val="18"/>
                <w:szCs w:val="18"/>
              </w:rPr>
            </w:pPr>
          </w:p>
        </w:tc>
        <w:tc>
          <w:tcPr>
            <w:tcW w:w="871" w:type="dxa"/>
            <w:vMerge w:val="continue"/>
            <w:vAlign w:val="center"/>
          </w:tcPr>
          <w:p w14:paraId="518CC249">
            <w:pPr>
              <w:spacing w:before="156" w:beforeLines="50" w:after="156" w:afterLines="50"/>
              <w:jc w:val="left"/>
              <w:rPr>
                <w:b/>
                <w:sz w:val="18"/>
                <w:szCs w:val="18"/>
              </w:rPr>
            </w:pPr>
          </w:p>
        </w:tc>
        <w:tc>
          <w:tcPr>
            <w:tcW w:w="1117" w:type="dxa"/>
            <w:vAlign w:val="center"/>
          </w:tcPr>
          <w:p w14:paraId="3FC9233F">
            <w:pPr>
              <w:spacing w:before="156" w:beforeLines="50" w:after="156" w:afterLines="50"/>
              <w:jc w:val="center"/>
              <w:rPr>
                <w:b/>
                <w:sz w:val="18"/>
                <w:szCs w:val="18"/>
              </w:rPr>
            </w:pPr>
            <w:r>
              <w:rPr>
                <w:rFonts w:hint="eastAsia"/>
                <w:b/>
                <w:sz w:val="18"/>
                <w:szCs w:val="18"/>
              </w:rPr>
              <w:t>违反条款</w:t>
            </w:r>
          </w:p>
        </w:tc>
        <w:tc>
          <w:tcPr>
            <w:tcW w:w="1283" w:type="dxa"/>
            <w:vAlign w:val="center"/>
          </w:tcPr>
          <w:p w14:paraId="207F4C91">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14:paraId="242ED0C9">
            <w:pPr>
              <w:spacing w:before="156" w:beforeLines="50" w:after="156" w:afterLines="50"/>
              <w:jc w:val="left"/>
              <w:rPr>
                <w:b/>
                <w:sz w:val="18"/>
                <w:szCs w:val="18"/>
              </w:rPr>
            </w:pPr>
          </w:p>
        </w:tc>
        <w:tc>
          <w:tcPr>
            <w:tcW w:w="2739" w:type="dxa"/>
            <w:vMerge w:val="continue"/>
            <w:vAlign w:val="center"/>
          </w:tcPr>
          <w:p w14:paraId="62B0C32C">
            <w:pPr>
              <w:spacing w:before="156" w:beforeLines="50" w:after="156" w:afterLines="50"/>
              <w:jc w:val="left"/>
              <w:rPr>
                <w:b/>
                <w:sz w:val="18"/>
                <w:szCs w:val="18"/>
              </w:rPr>
            </w:pPr>
          </w:p>
        </w:tc>
        <w:tc>
          <w:tcPr>
            <w:tcW w:w="2449" w:type="dxa"/>
            <w:vAlign w:val="center"/>
          </w:tcPr>
          <w:p w14:paraId="68A7B87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05" w:type="dxa"/>
            <w:vAlign w:val="center"/>
          </w:tcPr>
          <w:p w14:paraId="3CA6229B">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596" w:type="dxa"/>
            <w:vAlign w:val="center"/>
          </w:tcPr>
          <w:p w14:paraId="7248585A">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527" w:type="dxa"/>
            <w:vAlign w:val="center"/>
          </w:tcPr>
          <w:p w14:paraId="2F3E4ACB">
            <w:pPr>
              <w:spacing w:before="156" w:beforeLines="50" w:after="156" w:afterLines="50"/>
              <w:rPr>
                <w:rFonts w:ascii="宋体"/>
                <w:b/>
                <w:sz w:val="18"/>
                <w:szCs w:val="18"/>
              </w:rPr>
            </w:pPr>
            <w:r>
              <w:rPr>
                <w:rFonts w:hint="eastAsia" w:ascii="宋体"/>
                <w:b/>
                <w:sz w:val="18"/>
                <w:szCs w:val="18"/>
              </w:rPr>
              <w:t>【对象】责任船员</w:t>
            </w:r>
          </w:p>
        </w:tc>
        <w:tc>
          <w:tcPr>
            <w:tcW w:w="2410" w:type="dxa"/>
            <w:vAlign w:val="center"/>
          </w:tcPr>
          <w:p w14:paraId="45A1B1D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3162" w:type="dxa"/>
            <w:vAlign w:val="center"/>
          </w:tcPr>
          <w:p w14:paraId="69AA624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4C84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72127290">
            <w:pPr>
              <w:spacing w:before="156" w:beforeLines="50" w:after="156" w:afterLines="50"/>
              <w:jc w:val="center"/>
              <w:rPr>
                <w:sz w:val="18"/>
                <w:szCs w:val="18"/>
              </w:rPr>
            </w:pPr>
            <w:r>
              <w:rPr>
                <w:rFonts w:hint="eastAsia"/>
                <w:sz w:val="18"/>
                <w:szCs w:val="18"/>
              </w:rPr>
              <w:t>58</w:t>
            </w:r>
          </w:p>
        </w:tc>
        <w:tc>
          <w:tcPr>
            <w:tcW w:w="871" w:type="dxa"/>
            <w:vMerge w:val="restart"/>
            <w:vAlign w:val="center"/>
          </w:tcPr>
          <w:p w14:paraId="60C2E771">
            <w:pPr>
              <w:spacing w:before="156" w:beforeLines="50" w:after="156" w:afterLines="50"/>
              <w:rPr>
                <w:sz w:val="18"/>
                <w:szCs w:val="18"/>
              </w:rPr>
            </w:pPr>
            <w:r>
              <w:rPr>
                <w:rFonts w:hint="eastAsia"/>
                <w:sz w:val="18"/>
                <w:szCs w:val="18"/>
              </w:rPr>
              <w:t>不按照规定载运易流态化货物或者不按照规定向海事管理机构备案</w:t>
            </w:r>
          </w:p>
          <w:p w14:paraId="4711A7F7">
            <w:pPr>
              <w:spacing w:before="156" w:beforeLines="50" w:after="156" w:afterLines="50"/>
              <w:rPr>
                <w:rFonts w:ascii="宋体"/>
                <w:sz w:val="18"/>
                <w:szCs w:val="18"/>
              </w:rPr>
            </w:pPr>
          </w:p>
          <w:p w14:paraId="511ECEB2">
            <w:pPr>
              <w:spacing w:before="156" w:beforeLines="50" w:after="156" w:afterLines="50"/>
              <w:rPr>
                <w:rFonts w:ascii="宋体"/>
                <w:sz w:val="18"/>
                <w:szCs w:val="18"/>
              </w:rPr>
            </w:pPr>
          </w:p>
        </w:tc>
        <w:tc>
          <w:tcPr>
            <w:tcW w:w="1117" w:type="dxa"/>
            <w:vMerge w:val="restart"/>
            <w:vAlign w:val="center"/>
          </w:tcPr>
          <w:p w14:paraId="35DF20C7">
            <w:pPr>
              <w:spacing w:before="156" w:beforeLines="50" w:after="156" w:afterLines="50"/>
              <w:rPr>
                <w:sz w:val="18"/>
                <w:szCs w:val="18"/>
              </w:rPr>
            </w:pPr>
            <w:r>
              <w:rPr>
                <w:rFonts w:hint="eastAsia"/>
                <w:sz w:val="18"/>
                <w:szCs w:val="18"/>
              </w:rPr>
              <w:t>《中华人民共和国内河交通安全管理条例》第二十一条第一款</w:t>
            </w:r>
          </w:p>
          <w:p w14:paraId="0023539E">
            <w:pPr>
              <w:widowControl/>
              <w:spacing w:before="156" w:beforeLines="50" w:after="156" w:afterLines="50"/>
              <w:rPr>
                <w:sz w:val="18"/>
                <w:szCs w:val="18"/>
              </w:rPr>
            </w:pPr>
          </w:p>
        </w:tc>
        <w:tc>
          <w:tcPr>
            <w:tcW w:w="1283" w:type="dxa"/>
            <w:vMerge w:val="restart"/>
            <w:vAlign w:val="center"/>
          </w:tcPr>
          <w:p w14:paraId="54D5009F">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53864237">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内河海事行政处罚规定》第十八条第一款和第二款第（二）项；</w:t>
            </w:r>
          </w:p>
          <w:p w14:paraId="105AFE15">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1D533FA0">
            <w:pPr>
              <w:spacing w:before="156" w:beforeLines="50" w:after="156" w:afterLines="50"/>
              <w:rPr>
                <w:sz w:val="18"/>
                <w:szCs w:val="18"/>
              </w:rPr>
            </w:pPr>
          </w:p>
          <w:p w14:paraId="6B9E9BCB">
            <w:pPr>
              <w:spacing w:before="156" w:beforeLines="50" w:after="156" w:afterLines="50"/>
              <w:rPr>
                <w:sz w:val="18"/>
                <w:szCs w:val="18"/>
              </w:rPr>
            </w:pPr>
          </w:p>
        </w:tc>
        <w:tc>
          <w:tcPr>
            <w:tcW w:w="991" w:type="dxa"/>
            <w:vAlign w:val="center"/>
          </w:tcPr>
          <w:p w14:paraId="0AB7F09F">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14:paraId="716782EB">
            <w:pPr>
              <w:widowControl/>
              <w:spacing w:before="156" w:beforeLines="50" w:after="156" w:afterLines="50"/>
              <w:jc w:val="left"/>
              <w:rPr>
                <w:sz w:val="18"/>
                <w:szCs w:val="18"/>
              </w:rPr>
            </w:pPr>
            <w:r>
              <w:rPr>
                <w:rFonts w:hint="eastAsia"/>
                <w:sz w:val="18"/>
                <w:szCs w:val="18"/>
              </w:rPr>
              <w:t>具有法定从轻情节的。</w:t>
            </w:r>
          </w:p>
        </w:tc>
        <w:tc>
          <w:tcPr>
            <w:tcW w:w="2449" w:type="dxa"/>
            <w:vAlign w:val="center"/>
          </w:tcPr>
          <w:p w14:paraId="2B662BA3">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105" w:type="dxa"/>
            <w:vAlign w:val="center"/>
          </w:tcPr>
          <w:p w14:paraId="3A6163BF">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596" w:type="dxa"/>
            <w:vAlign w:val="center"/>
          </w:tcPr>
          <w:p w14:paraId="0C0A9D9E">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527" w:type="dxa"/>
            <w:vAlign w:val="center"/>
          </w:tcPr>
          <w:p w14:paraId="16C74EAC">
            <w:pPr>
              <w:widowControl/>
              <w:spacing w:before="156" w:beforeLines="50" w:after="156" w:afterLines="50"/>
              <w:jc w:val="center"/>
              <w:rPr>
                <w:rFonts w:ascii="宋体"/>
                <w:kern w:val="0"/>
                <w:sz w:val="18"/>
                <w:szCs w:val="18"/>
              </w:rPr>
            </w:pPr>
            <w:r>
              <w:rPr>
                <w:rFonts w:ascii="宋体"/>
                <w:kern w:val="0"/>
                <w:sz w:val="18"/>
                <w:szCs w:val="18"/>
              </w:rPr>
              <w:t>/</w:t>
            </w:r>
          </w:p>
        </w:tc>
        <w:tc>
          <w:tcPr>
            <w:tcW w:w="2410" w:type="dxa"/>
            <w:vMerge w:val="restart"/>
            <w:vAlign w:val="center"/>
          </w:tcPr>
          <w:p w14:paraId="23DA2974">
            <w:pPr>
              <w:spacing w:before="156" w:beforeLines="50" w:after="156" w:afterLines="50"/>
            </w:pPr>
            <w:r>
              <w:rPr>
                <w:rFonts w:hint="eastAsia"/>
                <w:sz w:val="18"/>
                <w:szCs w:val="18"/>
              </w:rPr>
              <w:t>不按照规定载运易流态化货物或者不按照规定向海事管理机构备案，未发生事故的：4000元及以上8000元以下。</w:t>
            </w:r>
          </w:p>
        </w:tc>
        <w:tc>
          <w:tcPr>
            <w:tcW w:w="3162" w:type="dxa"/>
            <w:vMerge w:val="restart"/>
            <w:vAlign w:val="center"/>
          </w:tcPr>
          <w:p w14:paraId="6DC55E9B">
            <w:pPr>
              <w:spacing w:before="156" w:beforeLines="50" w:after="156" w:afterLines="50"/>
            </w:pPr>
            <w:r>
              <w:rPr>
                <w:rFonts w:hint="eastAsia"/>
                <w:sz w:val="18"/>
                <w:szCs w:val="18"/>
              </w:rPr>
              <w:t>不按照规定载运易流态化货物或者不按照规定向海事管理机构备案，未发生事故的：6000元及以上2万元以下。</w:t>
            </w:r>
          </w:p>
        </w:tc>
      </w:tr>
      <w:tr w14:paraId="2270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5936CC2F">
            <w:pPr>
              <w:spacing w:before="156" w:beforeLines="50" w:after="156" w:afterLines="50"/>
              <w:jc w:val="left"/>
              <w:rPr>
                <w:sz w:val="18"/>
                <w:szCs w:val="18"/>
              </w:rPr>
            </w:pPr>
          </w:p>
        </w:tc>
        <w:tc>
          <w:tcPr>
            <w:tcW w:w="871" w:type="dxa"/>
            <w:vMerge w:val="continue"/>
            <w:vAlign w:val="center"/>
          </w:tcPr>
          <w:p w14:paraId="27B8171F">
            <w:pPr>
              <w:spacing w:before="156" w:beforeLines="50" w:after="156" w:afterLines="50"/>
              <w:jc w:val="left"/>
              <w:rPr>
                <w:sz w:val="18"/>
                <w:szCs w:val="18"/>
              </w:rPr>
            </w:pPr>
          </w:p>
        </w:tc>
        <w:tc>
          <w:tcPr>
            <w:tcW w:w="1117" w:type="dxa"/>
            <w:vMerge w:val="continue"/>
            <w:vAlign w:val="center"/>
          </w:tcPr>
          <w:p w14:paraId="65EB6E97">
            <w:pPr>
              <w:spacing w:before="156" w:beforeLines="50" w:after="156" w:afterLines="50"/>
              <w:jc w:val="left"/>
              <w:rPr>
                <w:sz w:val="18"/>
                <w:szCs w:val="18"/>
              </w:rPr>
            </w:pPr>
          </w:p>
        </w:tc>
        <w:tc>
          <w:tcPr>
            <w:tcW w:w="1283" w:type="dxa"/>
            <w:vMerge w:val="continue"/>
            <w:vAlign w:val="center"/>
          </w:tcPr>
          <w:p w14:paraId="13B33DF2">
            <w:pPr>
              <w:spacing w:before="156" w:beforeLines="50" w:after="156" w:afterLines="50"/>
              <w:jc w:val="left"/>
              <w:rPr>
                <w:sz w:val="18"/>
                <w:szCs w:val="18"/>
              </w:rPr>
            </w:pPr>
          </w:p>
        </w:tc>
        <w:tc>
          <w:tcPr>
            <w:tcW w:w="991" w:type="dxa"/>
            <w:vMerge w:val="restart"/>
            <w:vAlign w:val="center"/>
          </w:tcPr>
          <w:p w14:paraId="12119361">
            <w:pPr>
              <w:spacing w:before="156" w:beforeLines="50" w:after="156" w:afterLines="50"/>
              <w:jc w:val="center"/>
              <w:rPr>
                <w:sz w:val="18"/>
                <w:szCs w:val="18"/>
              </w:rPr>
            </w:pPr>
            <w:r>
              <w:rPr>
                <w:rFonts w:hint="eastAsia"/>
                <w:sz w:val="18"/>
                <w:szCs w:val="18"/>
              </w:rPr>
              <w:t>一般</w:t>
            </w:r>
          </w:p>
          <w:p w14:paraId="73D7B3E8">
            <w:pPr>
              <w:spacing w:before="156" w:beforeLines="50" w:after="156" w:afterLines="50"/>
              <w:jc w:val="center"/>
              <w:rPr>
                <w:sz w:val="18"/>
                <w:szCs w:val="18"/>
              </w:rPr>
            </w:pPr>
          </w:p>
          <w:p w14:paraId="5669801E">
            <w:pPr>
              <w:spacing w:before="156" w:beforeLines="50" w:after="156" w:afterLines="50"/>
              <w:jc w:val="center"/>
              <w:rPr>
                <w:sz w:val="18"/>
                <w:szCs w:val="18"/>
              </w:rPr>
            </w:pPr>
          </w:p>
        </w:tc>
        <w:tc>
          <w:tcPr>
            <w:tcW w:w="2739" w:type="dxa"/>
            <w:vAlign w:val="center"/>
          </w:tcPr>
          <w:p w14:paraId="65EB778F">
            <w:pPr>
              <w:widowControl/>
              <w:spacing w:before="156" w:beforeLines="50" w:after="156" w:afterLines="50"/>
              <w:jc w:val="left"/>
              <w:rPr>
                <w:sz w:val="18"/>
                <w:szCs w:val="18"/>
              </w:rPr>
            </w:pPr>
            <w:r>
              <w:rPr>
                <w:rFonts w:hint="eastAsia"/>
                <w:sz w:val="18"/>
                <w:szCs w:val="18"/>
              </w:rPr>
              <w:t>不按照规定载运易流态化货物或者不按照规定向海事管理机构备案。</w:t>
            </w:r>
          </w:p>
        </w:tc>
        <w:tc>
          <w:tcPr>
            <w:tcW w:w="2449" w:type="dxa"/>
            <w:vAlign w:val="center"/>
          </w:tcPr>
          <w:p w14:paraId="1B1D7B86">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105" w:type="dxa"/>
            <w:vAlign w:val="center"/>
          </w:tcPr>
          <w:p w14:paraId="3670D79F">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1596" w:type="dxa"/>
            <w:vAlign w:val="center"/>
          </w:tcPr>
          <w:p w14:paraId="24C810D7">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527" w:type="dxa"/>
            <w:vAlign w:val="center"/>
          </w:tcPr>
          <w:p w14:paraId="36A78606">
            <w:pPr>
              <w:widowControl/>
              <w:spacing w:before="156" w:beforeLines="50" w:after="156" w:afterLines="50"/>
              <w:jc w:val="center"/>
              <w:rPr>
                <w:sz w:val="18"/>
                <w:szCs w:val="18"/>
              </w:rPr>
            </w:pPr>
            <w:r>
              <w:rPr>
                <w:rFonts w:ascii="宋体"/>
                <w:kern w:val="0"/>
                <w:sz w:val="18"/>
                <w:szCs w:val="18"/>
              </w:rPr>
              <w:t>/</w:t>
            </w:r>
          </w:p>
        </w:tc>
        <w:tc>
          <w:tcPr>
            <w:tcW w:w="2410" w:type="dxa"/>
            <w:vMerge w:val="continue"/>
            <w:vAlign w:val="center"/>
          </w:tcPr>
          <w:p w14:paraId="26030FC5">
            <w:pPr>
              <w:widowControl/>
              <w:spacing w:before="156" w:beforeLines="50" w:after="156" w:afterLines="50"/>
              <w:jc w:val="left"/>
              <w:rPr>
                <w:sz w:val="18"/>
                <w:szCs w:val="18"/>
              </w:rPr>
            </w:pPr>
          </w:p>
        </w:tc>
        <w:tc>
          <w:tcPr>
            <w:tcW w:w="3162" w:type="dxa"/>
            <w:vMerge w:val="continue"/>
            <w:vAlign w:val="center"/>
          </w:tcPr>
          <w:p w14:paraId="1E3B2498">
            <w:pPr>
              <w:widowControl/>
              <w:spacing w:before="156" w:beforeLines="50" w:after="156" w:afterLines="50"/>
              <w:jc w:val="left"/>
              <w:rPr>
                <w:sz w:val="18"/>
                <w:szCs w:val="18"/>
              </w:rPr>
            </w:pPr>
          </w:p>
        </w:tc>
      </w:tr>
      <w:tr w14:paraId="0F92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14:paraId="00F3C4E4">
            <w:pPr>
              <w:spacing w:before="156" w:beforeLines="50" w:after="156" w:afterLines="50"/>
              <w:jc w:val="left"/>
              <w:rPr>
                <w:sz w:val="18"/>
                <w:szCs w:val="18"/>
              </w:rPr>
            </w:pPr>
          </w:p>
        </w:tc>
        <w:tc>
          <w:tcPr>
            <w:tcW w:w="871" w:type="dxa"/>
            <w:vMerge w:val="continue"/>
            <w:vAlign w:val="center"/>
          </w:tcPr>
          <w:p w14:paraId="0529C2D5">
            <w:pPr>
              <w:spacing w:before="156" w:beforeLines="50" w:after="156" w:afterLines="50"/>
              <w:jc w:val="left"/>
              <w:rPr>
                <w:sz w:val="18"/>
                <w:szCs w:val="18"/>
              </w:rPr>
            </w:pPr>
          </w:p>
        </w:tc>
        <w:tc>
          <w:tcPr>
            <w:tcW w:w="1117" w:type="dxa"/>
            <w:vMerge w:val="continue"/>
            <w:vAlign w:val="center"/>
          </w:tcPr>
          <w:p w14:paraId="72A5F19C">
            <w:pPr>
              <w:spacing w:before="156" w:beforeLines="50" w:after="156" w:afterLines="50"/>
              <w:jc w:val="left"/>
              <w:rPr>
                <w:sz w:val="18"/>
                <w:szCs w:val="18"/>
              </w:rPr>
            </w:pPr>
          </w:p>
        </w:tc>
        <w:tc>
          <w:tcPr>
            <w:tcW w:w="1283" w:type="dxa"/>
            <w:vMerge w:val="continue"/>
            <w:vAlign w:val="center"/>
          </w:tcPr>
          <w:p w14:paraId="79F4107A">
            <w:pPr>
              <w:spacing w:before="156" w:beforeLines="50" w:after="156" w:afterLines="50"/>
              <w:jc w:val="left"/>
              <w:rPr>
                <w:sz w:val="18"/>
                <w:szCs w:val="18"/>
              </w:rPr>
            </w:pPr>
          </w:p>
        </w:tc>
        <w:tc>
          <w:tcPr>
            <w:tcW w:w="991" w:type="dxa"/>
            <w:vMerge w:val="continue"/>
            <w:vAlign w:val="center"/>
          </w:tcPr>
          <w:p w14:paraId="0FA35730">
            <w:pPr>
              <w:spacing w:before="156" w:beforeLines="50" w:after="156" w:afterLines="50"/>
              <w:jc w:val="center"/>
              <w:rPr>
                <w:sz w:val="18"/>
                <w:szCs w:val="18"/>
              </w:rPr>
            </w:pPr>
          </w:p>
        </w:tc>
        <w:tc>
          <w:tcPr>
            <w:tcW w:w="2739" w:type="dxa"/>
            <w:vAlign w:val="center"/>
          </w:tcPr>
          <w:p w14:paraId="65492EE1">
            <w:pPr>
              <w:widowControl/>
              <w:spacing w:before="156" w:beforeLines="50" w:after="156" w:afterLines="50"/>
              <w:jc w:val="left"/>
              <w:rPr>
                <w:sz w:val="18"/>
                <w:szCs w:val="18"/>
              </w:rPr>
            </w:pPr>
            <w:r>
              <w:rPr>
                <w:rFonts w:hint="eastAsia"/>
                <w:sz w:val="18"/>
                <w:szCs w:val="18"/>
              </w:rPr>
              <w:t>不按照规定载运易流态化货物或者不按照规定向海事管理机构备案，导致发生一般以下水上交通事故。</w:t>
            </w:r>
          </w:p>
        </w:tc>
        <w:tc>
          <w:tcPr>
            <w:tcW w:w="2449" w:type="dxa"/>
            <w:vAlign w:val="center"/>
          </w:tcPr>
          <w:p w14:paraId="6DAB6A4F">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105" w:type="dxa"/>
            <w:vAlign w:val="center"/>
          </w:tcPr>
          <w:p w14:paraId="28CE4D7E">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1596" w:type="dxa"/>
            <w:vAlign w:val="center"/>
          </w:tcPr>
          <w:p w14:paraId="2FC427C8">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527" w:type="dxa"/>
            <w:vAlign w:val="center"/>
          </w:tcPr>
          <w:p w14:paraId="24D4260B">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410" w:type="dxa"/>
            <w:vMerge w:val="continue"/>
            <w:vAlign w:val="center"/>
          </w:tcPr>
          <w:p w14:paraId="55B8EAE2">
            <w:pPr>
              <w:widowControl/>
              <w:spacing w:before="156" w:beforeLines="50" w:after="156" w:afterLines="50"/>
              <w:jc w:val="left"/>
              <w:rPr>
                <w:sz w:val="18"/>
                <w:szCs w:val="18"/>
              </w:rPr>
            </w:pPr>
          </w:p>
        </w:tc>
        <w:tc>
          <w:tcPr>
            <w:tcW w:w="3162" w:type="dxa"/>
            <w:vMerge w:val="continue"/>
            <w:vAlign w:val="center"/>
          </w:tcPr>
          <w:p w14:paraId="34E4D346">
            <w:pPr>
              <w:widowControl/>
              <w:spacing w:before="156" w:beforeLines="50" w:after="156" w:afterLines="50"/>
              <w:jc w:val="left"/>
              <w:rPr>
                <w:sz w:val="18"/>
                <w:szCs w:val="18"/>
              </w:rPr>
            </w:pPr>
          </w:p>
        </w:tc>
      </w:tr>
      <w:tr w14:paraId="4D19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655" w:type="dxa"/>
            <w:vMerge w:val="continue"/>
          </w:tcPr>
          <w:p w14:paraId="2FEBFEA0">
            <w:pPr>
              <w:spacing w:before="156" w:beforeLines="50" w:after="156" w:afterLines="50"/>
              <w:jc w:val="left"/>
              <w:rPr>
                <w:sz w:val="18"/>
                <w:szCs w:val="18"/>
              </w:rPr>
            </w:pPr>
          </w:p>
        </w:tc>
        <w:tc>
          <w:tcPr>
            <w:tcW w:w="871" w:type="dxa"/>
            <w:vMerge w:val="continue"/>
            <w:vAlign w:val="center"/>
          </w:tcPr>
          <w:p w14:paraId="13729BC6">
            <w:pPr>
              <w:spacing w:before="156" w:beforeLines="50" w:after="156" w:afterLines="50"/>
              <w:jc w:val="left"/>
              <w:rPr>
                <w:sz w:val="18"/>
                <w:szCs w:val="18"/>
              </w:rPr>
            </w:pPr>
          </w:p>
        </w:tc>
        <w:tc>
          <w:tcPr>
            <w:tcW w:w="1117" w:type="dxa"/>
            <w:vMerge w:val="continue"/>
            <w:vAlign w:val="center"/>
          </w:tcPr>
          <w:p w14:paraId="3F6E350E">
            <w:pPr>
              <w:spacing w:before="156" w:beforeLines="50" w:after="156" w:afterLines="50"/>
              <w:jc w:val="left"/>
              <w:rPr>
                <w:sz w:val="18"/>
                <w:szCs w:val="18"/>
              </w:rPr>
            </w:pPr>
          </w:p>
        </w:tc>
        <w:tc>
          <w:tcPr>
            <w:tcW w:w="1283" w:type="dxa"/>
            <w:vMerge w:val="continue"/>
            <w:vAlign w:val="center"/>
          </w:tcPr>
          <w:p w14:paraId="10F9128E">
            <w:pPr>
              <w:spacing w:before="156" w:beforeLines="50" w:after="156" w:afterLines="50"/>
              <w:jc w:val="left"/>
              <w:rPr>
                <w:sz w:val="18"/>
                <w:szCs w:val="18"/>
              </w:rPr>
            </w:pPr>
          </w:p>
        </w:tc>
        <w:tc>
          <w:tcPr>
            <w:tcW w:w="991" w:type="dxa"/>
            <w:vMerge w:val="continue"/>
            <w:vAlign w:val="center"/>
          </w:tcPr>
          <w:p w14:paraId="60E8EC13">
            <w:pPr>
              <w:spacing w:before="156" w:beforeLines="50" w:after="156" w:afterLines="50"/>
              <w:jc w:val="center"/>
              <w:rPr>
                <w:sz w:val="18"/>
                <w:szCs w:val="18"/>
              </w:rPr>
            </w:pPr>
          </w:p>
        </w:tc>
        <w:tc>
          <w:tcPr>
            <w:tcW w:w="2739" w:type="dxa"/>
            <w:tcBorders>
              <w:bottom w:val="single" w:color="auto" w:sz="4" w:space="0"/>
            </w:tcBorders>
            <w:vAlign w:val="center"/>
          </w:tcPr>
          <w:p w14:paraId="51F60445">
            <w:pPr>
              <w:widowControl/>
              <w:spacing w:before="156" w:beforeLines="50" w:after="156" w:afterLines="50"/>
              <w:jc w:val="left"/>
              <w:rPr>
                <w:sz w:val="18"/>
                <w:szCs w:val="18"/>
              </w:rPr>
            </w:pPr>
            <w:r>
              <w:rPr>
                <w:rFonts w:hint="eastAsia"/>
                <w:sz w:val="18"/>
                <w:szCs w:val="18"/>
              </w:rPr>
              <w:t>不按照规定载运易流态化货物或者不按照规定向海事管理机构备案，导致发生一般及以上水上交通事故。</w:t>
            </w:r>
          </w:p>
        </w:tc>
        <w:tc>
          <w:tcPr>
            <w:tcW w:w="2449" w:type="dxa"/>
            <w:tcBorders>
              <w:bottom w:val="single" w:color="auto" w:sz="4" w:space="0"/>
            </w:tcBorders>
            <w:vAlign w:val="center"/>
          </w:tcPr>
          <w:p w14:paraId="21589F93">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105" w:type="dxa"/>
            <w:tcBorders>
              <w:bottom w:val="single" w:color="auto" w:sz="4" w:space="0"/>
            </w:tcBorders>
            <w:vAlign w:val="center"/>
          </w:tcPr>
          <w:p w14:paraId="71857319">
            <w:pPr>
              <w:widowControl/>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1596" w:type="dxa"/>
            <w:tcBorders>
              <w:bottom w:val="single" w:color="auto" w:sz="4" w:space="0"/>
            </w:tcBorders>
            <w:vAlign w:val="center"/>
          </w:tcPr>
          <w:p w14:paraId="58DB779C">
            <w:pPr>
              <w:widowControl/>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527" w:type="dxa"/>
            <w:tcBorders>
              <w:bottom w:val="single" w:color="auto" w:sz="4" w:space="0"/>
            </w:tcBorders>
            <w:vAlign w:val="center"/>
          </w:tcPr>
          <w:p w14:paraId="51304ED6">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410" w:type="dxa"/>
            <w:vMerge w:val="continue"/>
          </w:tcPr>
          <w:p w14:paraId="1886DB3D">
            <w:pPr>
              <w:widowControl/>
              <w:spacing w:before="156" w:beforeLines="50" w:after="156" w:afterLines="50"/>
              <w:jc w:val="left"/>
              <w:rPr>
                <w:sz w:val="18"/>
                <w:szCs w:val="18"/>
              </w:rPr>
            </w:pPr>
          </w:p>
        </w:tc>
        <w:tc>
          <w:tcPr>
            <w:tcW w:w="3162" w:type="dxa"/>
            <w:vMerge w:val="continue"/>
          </w:tcPr>
          <w:p w14:paraId="6D5925DE">
            <w:pPr>
              <w:widowControl/>
              <w:spacing w:before="156" w:beforeLines="50" w:after="156" w:afterLines="50"/>
              <w:jc w:val="left"/>
              <w:rPr>
                <w:sz w:val="18"/>
                <w:szCs w:val="18"/>
              </w:rPr>
            </w:pPr>
          </w:p>
        </w:tc>
      </w:tr>
    </w:tbl>
    <w:p w14:paraId="20CDB08A">
      <w:pPr>
        <w:widowControl/>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76"/>
        <w:gridCol w:w="1191"/>
        <w:gridCol w:w="1380"/>
        <w:gridCol w:w="1072"/>
        <w:gridCol w:w="2029"/>
        <w:gridCol w:w="2409"/>
        <w:gridCol w:w="2268"/>
        <w:gridCol w:w="2261"/>
        <w:gridCol w:w="2090"/>
        <w:gridCol w:w="1902"/>
        <w:gridCol w:w="2619"/>
      </w:tblGrid>
      <w:tr w14:paraId="7BE9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0" w:type="dxa"/>
            <w:vMerge w:val="restart"/>
            <w:vAlign w:val="center"/>
          </w:tcPr>
          <w:p w14:paraId="30C6570A">
            <w:pPr>
              <w:spacing w:before="156" w:beforeLines="50" w:after="156" w:afterLines="50"/>
              <w:jc w:val="center"/>
              <w:rPr>
                <w:b/>
                <w:sz w:val="18"/>
                <w:szCs w:val="18"/>
              </w:rPr>
            </w:pPr>
            <w:r>
              <w:rPr>
                <w:rFonts w:hint="eastAsia"/>
                <w:b/>
                <w:sz w:val="18"/>
                <w:szCs w:val="18"/>
              </w:rPr>
              <w:t>序号</w:t>
            </w:r>
          </w:p>
        </w:tc>
        <w:tc>
          <w:tcPr>
            <w:tcW w:w="976" w:type="dxa"/>
            <w:vMerge w:val="restart"/>
            <w:vAlign w:val="center"/>
          </w:tcPr>
          <w:p w14:paraId="2B6F5D26">
            <w:pPr>
              <w:spacing w:before="156" w:beforeLines="50" w:after="156" w:afterLines="50"/>
              <w:jc w:val="center"/>
              <w:rPr>
                <w:b/>
                <w:sz w:val="18"/>
                <w:szCs w:val="18"/>
              </w:rPr>
            </w:pPr>
            <w:r>
              <w:rPr>
                <w:rFonts w:hint="eastAsia"/>
                <w:b/>
                <w:sz w:val="18"/>
                <w:szCs w:val="18"/>
              </w:rPr>
              <w:t>案由</w:t>
            </w:r>
          </w:p>
        </w:tc>
        <w:tc>
          <w:tcPr>
            <w:tcW w:w="2571" w:type="dxa"/>
            <w:gridSpan w:val="2"/>
            <w:vMerge w:val="restart"/>
            <w:vAlign w:val="center"/>
          </w:tcPr>
          <w:p w14:paraId="09044924">
            <w:pPr>
              <w:spacing w:before="156" w:beforeLines="50" w:after="156" w:afterLines="50"/>
              <w:jc w:val="center"/>
              <w:rPr>
                <w:b/>
                <w:sz w:val="18"/>
                <w:szCs w:val="18"/>
              </w:rPr>
            </w:pPr>
            <w:r>
              <w:rPr>
                <w:rFonts w:hint="eastAsia"/>
                <w:b/>
                <w:sz w:val="18"/>
                <w:szCs w:val="18"/>
              </w:rPr>
              <w:t>法律依据</w:t>
            </w:r>
          </w:p>
        </w:tc>
        <w:tc>
          <w:tcPr>
            <w:tcW w:w="1072" w:type="dxa"/>
            <w:vMerge w:val="restart"/>
            <w:vAlign w:val="center"/>
          </w:tcPr>
          <w:p w14:paraId="49243E7B">
            <w:pPr>
              <w:spacing w:before="156" w:beforeLines="50" w:after="156" w:afterLines="50"/>
              <w:jc w:val="center"/>
              <w:rPr>
                <w:b/>
                <w:sz w:val="18"/>
                <w:szCs w:val="18"/>
              </w:rPr>
            </w:pPr>
            <w:r>
              <w:rPr>
                <w:rFonts w:hint="eastAsia"/>
                <w:b/>
                <w:sz w:val="18"/>
                <w:szCs w:val="18"/>
              </w:rPr>
              <w:t>违法行为情节</w:t>
            </w:r>
          </w:p>
        </w:tc>
        <w:tc>
          <w:tcPr>
            <w:tcW w:w="2029" w:type="dxa"/>
            <w:vMerge w:val="restart"/>
            <w:vAlign w:val="center"/>
          </w:tcPr>
          <w:p w14:paraId="7D863A74">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549" w:type="dxa"/>
            <w:gridSpan w:val="6"/>
            <w:vAlign w:val="center"/>
          </w:tcPr>
          <w:p w14:paraId="354EED2C">
            <w:pPr>
              <w:spacing w:before="156" w:beforeLines="50" w:after="156" w:afterLines="50"/>
              <w:jc w:val="left"/>
              <w:rPr>
                <w:b/>
                <w:sz w:val="18"/>
                <w:szCs w:val="18"/>
              </w:rPr>
            </w:pPr>
            <w:r>
              <w:rPr>
                <w:rFonts w:hint="eastAsia"/>
                <w:b/>
                <w:sz w:val="18"/>
                <w:szCs w:val="18"/>
              </w:rPr>
              <w:t>【法定幅度和种类】责令改正，处</w:t>
            </w:r>
            <w:r>
              <w:rPr>
                <w:b/>
                <w:sz w:val="18"/>
                <w:szCs w:val="18"/>
              </w:rPr>
              <w:t>2</w:t>
            </w:r>
            <w:r>
              <w:rPr>
                <w:rFonts w:hint="eastAsia"/>
                <w:b/>
                <w:sz w:val="18"/>
                <w:szCs w:val="18"/>
              </w:rPr>
              <w:t>万元以上</w:t>
            </w:r>
            <w:r>
              <w:rPr>
                <w:b/>
                <w:sz w:val="18"/>
                <w:szCs w:val="18"/>
              </w:rPr>
              <w:t>10</w:t>
            </w:r>
            <w:r>
              <w:rPr>
                <w:rFonts w:hint="eastAsia"/>
                <w:b/>
                <w:sz w:val="18"/>
                <w:szCs w:val="18"/>
              </w:rPr>
              <w:t>万元以下罚款，并可以对责任船员给予暂扣适任证书或者其他适任证件</w:t>
            </w:r>
            <w:r>
              <w:rPr>
                <w:b/>
                <w:sz w:val="18"/>
                <w:szCs w:val="18"/>
              </w:rPr>
              <w:t>6</w:t>
            </w:r>
            <w:r>
              <w:rPr>
                <w:rFonts w:hint="eastAsia"/>
                <w:b/>
                <w:sz w:val="18"/>
                <w:szCs w:val="18"/>
              </w:rPr>
              <w:t>个月以上直至吊销适任证书或者其他适任证件的处罚，并对超载运输的船舶强制卸载，因卸载而发生的卸货费、存货费、旅客安置费和船舶监管费由船舶经营人或所有人承担。</w:t>
            </w:r>
          </w:p>
        </w:tc>
      </w:tr>
      <w:tr w14:paraId="04E7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vMerge w:val="continue"/>
            <w:vAlign w:val="center"/>
          </w:tcPr>
          <w:p w14:paraId="2C7E1950">
            <w:pPr>
              <w:spacing w:before="156" w:beforeLines="50" w:after="156" w:afterLines="50"/>
              <w:jc w:val="left"/>
              <w:rPr>
                <w:b/>
                <w:sz w:val="18"/>
                <w:szCs w:val="18"/>
              </w:rPr>
            </w:pPr>
          </w:p>
        </w:tc>
        <w:tc>
          <w:tcPr>
            <w:tcW w:w="976" w:type="dxa"/>
            <w:vMerge w:val="continue"/>
            <w:vAlign w:val="center"/>
          </w:tcPr>
          <w:p w14:paraId="3C53C275">
            <w:pPr>
              <w:spacing w:before="156" w:beforeLines="50" w:after="156" w:afterLines="50"/>
              <w:jc w:val="left"/>
              <w:rPr>
                <w:b/>
                <w:sz w:val="18"/>
                <w:szCs w:val="18"/>
              </w:rPr>
            </w:pPr>
          </w:p>
        </w:tc>
        <w:tc>
          <w:tcPr>
            <w:tcW w:w="2571" w:type="dxa"/>
            <w:gridSpan w:val="2"/>
            <w:vMerge w:val="continue"/>
            <w:vAlign w:val="center"/>
          </w:tcPr>
          <w:p w14:paraId="53CF6E24">
            <w:pPr>
              <w:spacing w:before="156" w:beforeLines="50" w:after="156" w:afterLines="50"/>
              <w:jc w:val="left"/>
              <w:rPr>
                <w:b/>
                <w:sz w:val="18"/>
                <w:szCs w:val="18"/>
              </w:rPr>
            </w:pPr>
          </w:p>
        </w:tc>
        <w:tc>
          <w:tcPr>
            <w:tcW w:w="1072" w:type="dxa"/>
            <w:vMerge w:val="continue"/>
            <w:vAlign w:val="center"/>
          </w:tcPr>
          <w:p w14:paraId="5A25834A">
            <w:pPr>
              <w:spacing w:before="156" w:beforeLines="50" w:after="156" w:afterLines="50"/>
              <w:jc w:val="left"/>
              <w:rPr>
                <w:b/>
                <w:sz w:val="18"/>
                <w:szCs w:val="18"/>
              </w:rPr>
            </w:pPr>
          </w:p>
        </w:tc>
        <w:tc>
          <w:tcPr>
            <w:tcW w:w="2029" w:type="dxa"/>
            <w:vMerge w:val="continue"/>
            <w:vAlign w:val="center"/>
          </w:tcPr>
          <w:p w14:paraId="4D014ECA">
            <w:pPr>
              <w:spacing w:before="156" w:beforeLines="50" w:after="156" w:afterLines="50"/>
              <w:jc w:val="left"/>
              <w:rPr>
                <w:rFonts w:ascii="宋体"/>
                <w:b/>
                <w:sz w:val="18"/>
                <w:szCs w:val="18"/>
              </w:rPr>
            </w:pPr>
          </w:p>
        </w:tc>
        <w:tc>
          <w:tcPr>
            <w:tcW w:w="9028" w:type="dxa"/>
            <w:gridSpan w:val="4"/>
            <w:vAlign w:val="center"/>
          </w:tcPr>
          <w:p w14:paraId="501198BD">
            <w:pPr>
              <w:spacing w:before="156" w:beforeLines="50" w:after="156" w:afterLines="50"/>
              <w:jc w:val="center"/>
              <w:rPr>
                <w:b/>
                <w:sz w:val="18"/>
                <w:szCs w:val="18"/>
              </w:rPr>
            </w:pPr>
            <w:r>
              <w:rPr>
                <w:rFonts w:hint="eastAsia"/>
                <w:b/>
                <w:sz w:val="18"/>
                <w:szCs w:val="18"/>
              </w:rPr>
              <w:t>处罚基准</w:t>
            </w:r>
          </w:p>
        </w:tc>
        <w:tc>
          <w:tcPr>
            <w:tcW w:w="4521" w:type="dxa"/>
            <w:gridSpan w:val="2"/>
            <w:vAlign w:val="center"/>
          </w:tcPr>
          <w:p w14:paraId="4E05AD7C">
            <w:pPr>
              <w:spacing w:before="156" w:beforeLines="50" w:after="156" w:afterLines="50"/>
              <w:jc w:val="center"/>
              <w:rPr>
                <w:b/>
                <w:sz w:val="18"/>
                <w:szCs w:val="18"/>
              </w:rPr>
            </w:pPr>
            <w:r>
              <w:rPr>
                <w:rFonts w:hint="eastAsia"/>
                <w:b/>
                <w:sz w:val="18"/>
                <w:szCs w:val="18"/>
              </w:rPr>
              <w:t>减轻处罚基准</w:t>
            </w:r>
          </w:p>
        </w:tc>
      </w:tr>
      <w:tr w14:paraId="2E7C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0" w:type="dxa"/>
            <w:vMerge w:val="continue"/>
            <w:vAlign w:val="center"/>
          </w:tcPr>
          <w:p w14:paraId="25F641F9">
            <w:pPr>
              <w:spacing w:before="156" w:beforeLines="50" w:after="156" w:afterLines="50"/>
              <w:jc w:val="left"/>
              <w:rPr>
                <w:b/>
                <w:sz w:val="18"/>
                <w:szCs w:val="18"/>
              </w:rPr>
            </w:pPr>
          </w:p>
        </w:tc>
        <w:tc>
          <w:tcPr>
            <w:tcW w:w="976" w:type="dxa"/>
            <w:vMerge w:val="continue"/>
            <w:vAlign w:val="center"/>
          </w:tcPr>
          <w:p w14:paraId="58392B35">
            <w:pPr>
              <w:spacing w:before="156" w:beforeLines="50" w:after="156" w:afterLines="50"/>
              <w:jc w:val="left"/>
              <w:rPr>
                <w:b/>
                <w:sz w:val="18"/>
                <w:szCs w:val="18"/>
              </w:rPr>
            </w:pPr>
          </w:p>
        </w:tc>
        <w:tc>
          <w:tcPr>
            <w:tcW w:w="2571" w:type="dxa"/>
            <w:gridSpan w:val="2"/>
            <w:vMerge w:val="continue"/>
            <w:vAlign w:val="center"/>
          </w:tcPr>
          <w:p w14:paraId="3366A17C">
            <w:pPr>
              <w:spacing w:before="156" w:beforeLines="50" w:after="156" w:afterLines="50"/>
              <w:jc w:val="left"/>
              <w:rPr>
                <w:b/>
                <w:sz w:val="18"/>
                <w:szCs w:val="18"/>
              </w:rPr>
            </w:pPr>
          </w:p>
        </w:tc>
        <w:tc>
          <w:tcPr>
            <w:tcW w:w="1072" w:type="dxa"/>
            <w:vMerge w:val="continue"/>
            <w:vAlign w:val="center"/>
          </w:tcPr>
          <w:p w14:paraId="75692643">
            <w:pPr>
              <w:spacing w:before="156" w:beforeLines="50" w:after="156" w:afterLines="50"/>
              <w:jc w:val="left"/>
              <w:rPr>
                <w:b/>
                <w:sz w:val="18"/>
                <w:szCs w:val="18"/>
              </w:rPr>
            </w:pPr>
          </w:p>
        </w:tc>
        <w:tc>
          <w:tcPr>
            <w:tcW w:w="2029" w:type="dxa"/>
            <w:vMerge w:val="continue"/>
            <w:vAlign w:val="center"/>
          </w:tcPr>
          <w:p w14:paraId="62D03429">
            <w:pPr>
              <w:spacing w:before="156" w:beforeLines="50" w:after="156" w:afterLines="50"/>
              <w:jc w:val="left"/>
              <w:rPr>
                <w:rFonts w:ascii="宋体"/>
                <w:b/>
                <w:sz w:val="18"/>
                <w:szCs w:val="18"/>
              </w:rPr>
            </w:pPr>
          </w:p>
        </w:tc>
        <w:tc>
          <w:tcPr>
            <w:tcW w:w="9028" w:type="dxa"/>
            <w:gridSpan w:val="4"/>
            <w:vAlign w:val="center"/>
          </w:tcPr>
          <w:p w14:paraId="6F7CC577">
            <w:pPr>
              <w:spacing w:before="156" w:beforeLines="50" w:after="156" w:afterLines="50"/>
              <w:jc w:val="center"/>
              <w:rPr>
                <w:b/>
                <w:sz w:val="18"/>
                <w:szCs w:val="18"/>
              </w:rPr>
            </w:pPr>
            <w:r>
              <w:rPr>
                <w:rFonts w:hint="eastAsia"/>
                <w:b/>
                <w:sz w:val="18"/>
                <w:szCs w:val="18"/>
              </w:rPr>
              <w:t>【对象】船舶经营人或所有人</w:t>
            </w:r>
          </w:p>
        </w:tc>
        <w:tc>
          <w:tcPr>
            <w:tcW w:w="4521" w:type="dxa"/>
            <w:gridSpan w:val="2"/>
          </w:tcPr>
          <w:p w14:paraId="7A42A7D4">
            <w:pPr>
              <w:spacing w:before="156" w:beforeLines="50" w:after="156" w:afterLines="50"/>
              <w:jc w:val="center"/>
              <w:rPr>
                <w:b/>
                <w:sz w:val="18"/>
                <w:szCs w:val="18"/>
              </w:rPr>
            </w:pPr>
            <w:r>
              <w:rPr>
                <w:rFonts w:hint="eastAsia"/>
                <w:b/>
                <w:sz w:val="18"/>
                <w:szCs w:val="18"/>
              </w:rPr>
              <w:t>【对象】船舶经营人或所有人</w:t>
            </w:r>
          </w:p>
        </w:tc>
      </w:tr>
      <w:tr w14:paraId="27F0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90" w:type="dxa"/>
            <w:vMerge w:val="continue"/>
            <w:vAlign w:val="center"/>
          </w:tcPr>
          <w:p w14:paraId="008748F7">
            <w:pPr>
              <w:spacing w:before="156" w:beforeLines="50" w:after="156" w:afterLines="50"/>
              <w:jc w:val="left"/>
              <w:rPr>
                <w:b/>
                <w:sz w:val="18"/>
                <w:szCs w:val="18"/>
              </w:rPr>
            </w:pPr>
          </w:p>
        </w:tc>
        <w:tc>
          <w:tcPr>
            <w:tcW w:w="976" w:type="dxa"/>
            <w:vMerge w:val="continue"/>
            <w:vAlign w:val="center"/>
          </w:tcPr>
          <w:p w14:paraId="0080EBB5">
            <w:pPr>
              <w:spacing w:before="156" w:beforeLines="50" w:after="156" w:afterLines="50"/>
              <w:jc w:val="left"/>
              <w:rPr>
                <w:b/>
                <w:sz w:val="18"/>
                <w:szCs w:val="18"/>
              </w:rPr>
            </w:pPr>
          </w:p>
        </w:tc>
        <w:tc>
          <w:tcPr>
            <w:tcW w:w="1191" w:type="dxa"/>
            <w:vAlign w:val="center"/>
          </w:tcPr>
          <w:p w14:paraId="16720155">
            <w:pPr>
              <w:spacing w:before="156" w:beforeLines="50" w:after="156" w:afterLines="50"/>
              <w:jc w:val="center"/>
              <w:rPr>
                <w:b/>
                <w:sz w:val="18"/>
                <w:szCs w:val="18"/>
              </w:rPr>
            </w:pPr>
            <w:r>
              <w:rPr>
                <w:rFonts w:hint="eastAsia"/>
                <w:b/>
                <w:sz w:val="18"/>
                <w:szCs w:val="18"/>
              </w:rPr>
              <w:t>违反条款</w:t>
            </w:r>
          </w:p>
        </w:tc>
        <w:tc>
          <w:tcPr>
            <w:tcW w:w="1380" w:type="dxa"/>
            <w:vAlign w:val="center"/>
          </w:tcPr>
          <w:p w14:paraId="347A80F8">
            <w:pPr>
              <w:spacing w:before="156" w:beforeLines="50" w:after="156" w:afterLines="50"/>
              <w:jc w:val="center"/>
              <w:rPr>
                <w:b/>
                <w:sz w:val="18"/>
                <w:szCs w:val="18"/>
              </w:rPr>
            </w:pPr>
            <w:r>
              <w:rPr>
                <w:rFonts w:hint="eastAsia"/>
                <w:b/>
                <w:sz w:val="18"/>
                <w:szCs w:val="18"/>
              </w:rPr>
              <w:t>处罚依据</w:t>
            </w:r>
          </w:p>
        </w:tc>
        <w:tc>
          <w:tcPr>
            <w:tcW w:w="1072" w:type="dxa"/>
            <w:vMerge w:val="continue"/>
            <w:vAlign w:val="center"/>
          </w:tcPr>
          <w:p w14:paraId="122D704D">
            <w:pPr>
              <w:spacing w:before="156" w:beforeLines="50" w:after="156" w:afterLines="50"/>
              <w:jc w:val="left"/>
              <w:rPr>
                <w:b/>
                <w:sz w:val="18"/>
                <w:szCs w:val="18"/>
              </w:rPr>
            </w:pPr>
          </w:p>
        </w:tc>
        <w:tc>
          <w:tcPr>
            <w:tcW w:w="2029" w:type="dxa"/>
            <w:vMerge w:val="continue"/>
            <w:vAlign w:val="center"/>
          </w:tcPr>
          <w:p w14:paraId="248D418C">
            <w:pPr>
              <w:spacing w:before="156" w:beforeLines="50" w:after="156" w:afterLines="50"/>
              <w:jc w:val="left"/>
              <w:rPr>
                <w:b/>
                <w:sz w:val="18"/>
                <w:szCs w:val="18"/>
              </w:rPr>
            </w:pPr>
          </w:p>
        </w:tc>
        <w:tc>
          <w:tcPr>
            <w:tcW w:w="2409" w:type="dxa"/>
            <w:vAlign w:val="center"/>
          </w:tcPr>
          <w:p w14:paraId="34CD5653">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8" w:type="dxa"/>
            <w:vAlign w:val="center"/>
          </w:tcPr>
          <w:p w14:paraId="39D4FE0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1" w:type="dxa"/>
            <w:vAlign w:val="center"/>
          </w:tcPr>
          <w:p w14:paraId="52AEC8A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090" w:type="dxa"/>
            <w:vAlign w:val="center"/>
          </w:tcPr>
          <w:p w14:paraId="4DC6EFAF">
            <w:pPr>
              <w:spacing w:before="156" w:beforeLines="50" w:after="156" w:afterLines="50"/>
              <w:rPr>
                <w:rFonts w:ascii="宋体"/>
                <w:b/>
                <w:sz w:val="18"/>
                <w:szCs w:val="18"/>
              </w:rPr>
            </w:pPr>
            <w:r>
              <w:rPr>
                <w:rFonts w:hint="eastAsia" w:ascii="宋体"/>
                <w:b/>
                <w:sz w:val="18"/>
                <w:szCs w:val="18"/>
              </w:rPr>
              <w:t>【对象】责任船员</w:t>
            </w:r>
          </w:p>
        </w:tc>
        <w:tc>
          <w:tcPr>
            <w:tcW w:w="1902" w:type="dxa"/>
            <w:vAlign w:val="center"/>
          </w:tcPr>
          <w:p w14:paraId="221823E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619" w:type="dxa"/>
            <w:vAlign w:val="center"/>
          </w:tcPr>
          <w:p w14:paraId="2D5F8DF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669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0" w:type="dxa"/>
            <w:vMerge w:val="restart"/>
            <w:vAlign w:val="center"/>
          </w:tcPr>
          <w:p w14:paraId="69078439">
            <w:pPr>
              <w:spacing w:before="156" w:beforeLines="50" w:after="156" w:afterLines="50"/>
              <w:jc w:val="center"/>
              <w:rPr>
                <w:sz w:val="18"/>
                <w:szCs w:val="18"/>
              </w:rPr>
            </w:pPr>
            <w:r>
              <w:rPr>
                <w:rFonts w:hint="eastAsia"/>
                <w:sz w:val="18"/>
                <w:szCs w:val="18"/>
              </w:rPr>
              <w:t>59</w:t>
            </w:r>
          </w:p>
        </w:tc>
        <w:tc>
          <w:tcPr>
            <w:tcW w:w="976" w:type="dxa"/>
            <w:vMerge w:val="restart"/>
            <w:vAlign w:val="center"/>
          </w:tcPr>
          <w:p w14:paraId="7A05B487">
            <w:pPr>
              <w:spacing w:before="156" w:beforeLines="50" w:after="156" w:afterLines="50"/>
              <w:rPr>
                <w:rFonts w:ascii="宋体"/>
                <w:sz w:val="18"/>
                <w:szCs w:val="18"/>
              </w:rPr>
            </w:pPr>
            <w:r>
              <w:rPr>
                <w:rFonts w:hint="eastAsia"/>
                <w:sz w:val="18"/>
                <w:szCs w:val="18"/>
              </w:rPr>
              <w:t>集装箱船装载超过核定箱数</w:t>
            </w:r>
          </w:p>
        </w:tc>
        <w:tc>
          <w:tcPr>
            <w:tcW w:w="1191" w:type="dxa"/>
            <w:vMerge w:val="restart"/>
            <w:vAlign w:val="center"/>
          </w:tcPr>
          <w:p w14:paraId="3C487CAD">
            <w:pPr>
              <w:spacing w:before="156" w:beforeLines="50" w:after="156" w:afterLines="50"/>
              <w:rPr>
                <w:sz w:val="18"/>
                <w:szCs w:val="18"/>
              </w:rPr>
            </w:pPr>
            <w:r>
              <w:rPr>
                <w:rFonts w:hint="eastAsia"/>
                <w:sz w:val="18"/>
                <w:szCs w:val="18"/>
              </w:rPr>
              <w:t>《中华人民共和国内河交通安全管理条例》第二十一条第二款</w:t>
            </w:r>
          </w:p>
        </w:tc>
        <w:tc>
          <w:tcPr>
            <w:tcW w:w="1380" w:type="dxa"/>
            <w:vMerge w:val="restart"/>
            <w:vAlign w:val="center"/>
          </w:tcPr>
          <w:p w14:paraId="2F9422CA">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363FBCF6">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内河海事行政处罚规定》第十八条第一款和第三款第（二）项；</w:t>
            </w:r>
          </w:p>
          <w:p w14:paraId="7F9FEAB4">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6F0E3C26">
            <w:pPr>
              <w:spacing w:before="156" w:beforeLines="50" w:after="156" w:afterLines="50"/>
              <w:rPr>
                <w:sz w:val="18"/>
                <w:szCs w:val="18"/>
              </w:rPr>
            </w:pPr>
          </w:p>
        </w:tc>
        <w:tc>
          <w:tcPr>
            <w:tcW w:w="1072" w:type="dxa"/>
            <w:vAlign w:val="center"/>
          </w:tcPr>
          <w:p w14:paraId="1456196E">
            <w:pPr>
              <w:spacing w:before="156" w:beforeLines="50" w:after="156" w:afterLines="50"/>
              <w:jc w:val="center"/>
              <w:rPr>
                <w:sz w:val="18"/>
                <w:szCs w:val="18"/>
              </w:rPr>
            </w:pPr>
            <w:r>
              <w:rPr>
                <w:rFonts w:hint="eastAsia"/>
                <w:sz w:val="18"/>
                <w:szCs w:val="18"/>
              </w:rPr>
              <w:t>从轻</w:t>
            </w:r>
          </w:p>
        </w:tc>
        <w:tc>
          <w:tcPr>
            <w:tcW w:w="2029" w:type="dxa"/>
            <w:vAlign w:val="center"/>
          </w:tcPr>
          <w:p w14:paraId="4B7A191F">
            <w:pPr>
              <w:spacing w:before="156" w:beforeLines="50" w:after="156" w:afterLines="50"/>
              <w:rPr>
                <w:sz w:val="18"/>
                <w:szCs w:val="18"/>
              </w:rPr>
            </w:pPr>
            <w:r>
              <w:rPr>
                <w:rFonts w:hint="eastAsia"/>
                <w:sz w:val="18"/>
                <w:szCs w:val="18"/>
              </w:rPr>
              <w:t>具有法定从轻情节的。</w:t>
            </w:r>
          </w:p>
        </w:tc>
        <w:tc>
          <w:tcPr>
            <w:tcW w:w="2409" w:type="dxa"/>
            <w:vAlign w:val="center"/>
          </w:tcPr>
          <w:p w14:paraId="38ACB758">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vAlign w:val="center"/>
          </w:tcPr>
          <w:p w14:paraId="30E3AC4F">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1" w:type="dxa"/>
            <w:vAlign w:val="center"/>
          </w:tcPr>
          <w:p w14:paraId="065A4E4D">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090" w:type="dxa"/>
            <w:vAlign w:val="center"/>
          </w:tcPr>
          <w:p w14:paraId="6779AFA1">
            <w:pPr>
              <w:widowControl/>
              <w:spacing w:before="156" w:beforeLines="50" w:after="156" w:afterLines="50"/>
              <w:jc w:val="center"/>
              <w:rPr>
                <w:rFonts w:ascii="宋体"/>
                <w:kern w:val="0"/>
                <w:sz w:val="18"/>
                <w:szCs w:val="18"/>
              </w:rPr>
            </w:pPr>
            <w:r>
              <w:rPr>
                <w:rFonts w:ascii="宋体"/>
                <w:kern w:val="0"/>
                <w:sz w:val="18"/>
                <w:szCs w:val="18"/>
              </w:rPr>
              <w:t>/</w:t>
            </w:r>
          </w:p>
        </w:tc>
        <w:tc>
          <w:tcPr>
            <w:tcW w:w="1902" w:type="dxa"/>
            <w:vMerge w:val="restart"/>
            <w:vAlign w:val="center"/>
          </w:tcPr>
          <w:p w14:paraId="63AF00BA">
            <w:pPr>
              <w:spacing w:before="156" w:beforeLines="50" w:after="156" w:afterLines="50"/>
              <w:rPr>
                <w:sz w:val="18"/>
                <w:szCs w:val="18"/>
              </w:rPr>
            </w:pPr>
            <w:r>
              <w:rPr>
                <w:rFonts w:hint="eastAsia"/>
                <w:sz w:val="18"/>
                <w:szCs w:val="18"/>
              </w:rPr>
              <w:t>1. 超核定箱数10%以下：2</w:t>
            </w:r>
            <w:r>
              <w:rPr>
                <w:sz w:val="18"/>
                <w:szCs w:val="18"/>
              </w:rPr>
              <w:t>000</w:t>
            </w:r>
            <w:r>
              <w:rPr>
                <w:rFonts w:hint="eastAsia"/>
                <w:sz w:val="18"/>
                <w:szCs w:val="18"/>
              </w:rPr>
              <w:t>元及以上</w:t>
            </w:r>
            <w:r>
              <w:rPr>
                <w:sz w:val="18"/>
                <w:szCs w:val="18"/>
              </w:rPr>
              <w:t>4000</w:t>
            </w:r>
            <w:r>
              <w:rPr>
                <w:rFonts w:hint="eastAsia"/>
                <w:sz w:val="18"/>
                <w:szCs w:val="18"/>
              </w:rPr>
              <w:t>元以下；</w:t>
            </w:r>
          </w:p>
          <w:p w14:paraId="33356F68">
            <w:pPr>
              <w:spacing w:before="156" w:beforeLines="50" w:after="156" w:afterLines="50"/>
              <w:rPr>
                <w:sz w:val="18"/>
                <w:szCs w:val="18"/>
              </w:rPr>
            </w:pPr>
            <w:r>
              <w:rPr>
                <w:rFonts w:hint="eastAsia" w:ascii="宋体"/>
                <w:kern w:val="0"/>
                <w:sz w:val="18"/>
                <w:szCs w:val="18"/>
              </w:rPr>
              <w:t>2.</w:t>
            </w:r>
            <w:r>
              <w:rPr>
                <w:rFonts w:hint="eastAsia"/>
                <w:sz w:val="18"/>
                <w:szCs w:val="18"/>
              </w:rPr>
              <w:t xml:space="preserve"> 超核定箱数10%及以上20%以下：3</w:t>
            </w:r>
            <w:r>
              <w:rPr>
                <w:sz w:val="18"/>
                <w:szCs w:val="18"/>
              </w:rPr>
              <w:t>000</w:t>
            </w:r>
            <w:r>
              <w:rPr>
                <w:rFonts w:hint="eastAsia"/>
                <w:sz w:val="18"/>
                <w:szCs w:val="18"/>
              </w:rPr>
              <w:t>元及以上5</w:t>
            </w:r>
            <w:r>
              <w:rPr>
                <w:sz w:val="18"/>
                <w:szCs w:val="18"/>
              </w:rPr>
              <w:t>000</w:t>
            </w:r>
            <w:r>
              <w:rPr>
                <w:rFonts w:hint="eastAsia"/>
                <w:sz w:val="18"/>
                <w:szCs w:val="18"/>
              </w:rPr>
              <w:t>元以下；3.超核定箱数20%及以上30%以下：4</w:t>
            </w:r>
            <w:r>
              <w:rPr>
                <w:sz w:val="18"/>
                <w:szCs w:val="18"/>
              </w:rPr>
              <w:t>000</w:t>
            </w:r>
            <w:r>
              <w:rPr>
                <w:rFonts w:hint="eastAsia"/>
                <w:sz w:val="18"/>
                <w:szCs w:val="18"/>
              </w:rPr>
              <w:t>元及以上1万元以下。</w:t>
            </w:r>
          </w:p>
        </w:tc>
        <w:tc>
          <w:tcPr>
            <w:tcW w:w="2619" w:type="dxa"/>
            <w:vMerge w:val="restart"/>
            <w:vAlign w:val="center"/>
          </w:tcPr>
          <w:p w14:paraId="4900CFE4">
            <w:pPr>
              <w:spacing w:before="156" w:beforeLines="50" w:after="156" w:afterLines="50"/>
              <w:rPr>
                <w:sz w:val="18"/>
                <w:szCs w:val="18"/>
              </w:rPr>
            </w:pPr>
            <w:r>
              <w:rPr>
                <w:rFonts w:hint="eastAsia"/>
                <w:sz w:val="18"/>
                <w:szCs w:val="18"/>
              </w:rPr>
              <w:t>1. 超核定箱数10%以下：3</w:t>
            </w:r>
            <w:r>
              <w:rPr>
                <w:sz w:val="18"/>
                <w:szCs w:val="18"/>
              </w:rPr>
              <w:t>000</w:t>
            </w:r>
            <w:r>
              <w:rPr>
                <w:rFonts w:hint="eastAsia"/>
                <w:sz w:val="18"/>
                <w:szCs w:val="18"/>
              </w:rPr>
              <w:t>元及以上</w:t>
            </w:r>
            <w:r>
              <w:rPr>
                <w:sz w:val="18"/>
                <w:szCs w:val="18"/>
              </w:rPr>
              <w:t>5000</w:t>
            </w:r>
            <w:r>
              <w:rPr>
                <w:rFonts w:hint="eastAsia"/>
                <w:sz w:val="18"/>
                <w:szCs w:val="18"/>
              </w:rPr>
              <w:t>元以下；</w:t>
            </w:r>
          </w:p>
          <w:p w14:paraId="65675BE8">
            <w:pPr>
              <w:spacing w:before="156" w:beforeLines="50" w:after="156" w:afterLines="50"/>
              <w:rPr>
                <w:sz w:val="18"/>
                <w:szCs w:val="18"/>
              </w:rPr>
            </w:pPr>
            <w:r>
              <w:rPr>
                <w:rFonts w:hint="eastAsia" w:ascii="宋体"/>
                <w:kern w:val="0"/>
                <w:sz w:val="18"/>
                <w:szCs w:val="18"/>
              </w:rPr>
              <w:t>2.</w:t>
            </w:r>
            <w:r>
              <w:rPr>
                <w:rFonts w:hint="eastAsia"/>
                <w:sz w:val="18"/>
                <w:szCs w:val="18"/>
              </w:rPr>
              <w:t>超核定箱数10%及以上20%以下：4</w:t>
            </w:r>
            <w:r>
              <w:rPr>
                <w:sz w:val="18"/>
                <w:szCs w:val="18"/>
              </w:rPr>
              <w:t>000</w:t>
            </w:r>
            <w:r>
              <w:rPr>
                <w:rFonts w:hint="eastAsia"/>
                <w:sz w:val="18"/>
                <w:szCs w:val="18"/>
              </w:rPr>
              <w:t>元及以上6</w:t>
            </w:r>
            <w:r>
              <w:rPr>
                <w:sz w:val="18"/>
                <w:szCs w:val="18"/>
              </w:rPr>
              <w:t>000</w:t>
            </w:r>
            <w:r>
              <w:rPr>
                <w:rFonts w:hint="eastAsia"/>
                <w:sz w:val="18"/>
                <w:szCs w:val="18"/>
              </w:rPr>
              <w:t>元以下；</w:t>
            </w:r>
          </w:p>
          <w:p w14:paraId="0C0FCC71">
            <w:pPr>
              <w:spacing w:before="156" w:beforeLines="50" w:after="156" w:afterLines="50"/>
              <w:rPr>
                <w:sz w:val="18"/>
                <w:szCs w:val="18"/>
              </w:rPr>
            </w:pPr>
            <w:r>
              <w:rPr>
                <w:rFonts w:hint="eastAsia"/>
                <w:sz w:val="18"/>
                <w:szCs w:val="18"/>
              </w:rPr>
              <w:t>3. 超核定箱数20%及以上30%以下：6</w:t>
            </w:r>
            <w:r>
              <w:rPr>
                <w:sz w:val="18"/>
                <w:szCs w:val="18"/>
              </w:rPr>
              <w:t>000</w:t>
            </w:r>
            <w:r>
              <w:rPr>
                <w:rFonts w:hint="eastAsia"/>
                <w:sz w:val="18"/>
                <w:szCs w:val="18"/>
              </w:rPr>
              <w:t>元及以上2万元以下。</w:t>
            </w:r>
          </w:p>
        </w:tc>
      </w:tr>
      <w:tr w14:paraId="4343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90" w:type="dxa"/>
            <w:vMerge w:val="continue"/>
          </w:tcPr>
          <w:p w14:paraId="27C8CB07">
            <w:pPr>
              <w:spacing w:before="156" w:beforeLines="50" w:after="156" w:afterLines="50"/>
              <w:jc w:val="left"/>
              <w:rPr>
                <w:sz w:val="18"/>
                <w:szCs w:val="18"/>
              </w:rPr>
            </w:pPr>
          </w:p>
        </w:tc>
        <w:tc>
          <w:tcPr>
            <w:tcW w:w="976" w:type="dxa"/>
            <w:vMerge w:val="continue"/>
            <w:vAlign w:val="center"/>
          </w:tcPr>
          <w:p w14:paraId="5D955E59">
            <w:pPr>
              <w:spacing w:before="156" w:beforeLines="50" w:after="156" w:afterLines="50"/>
              <w:jc w:val="left"/>
              <w:rPr>
                <w:sz w:val="18"/>
                <w:szCs w:val="18"/>
              </w:rPr>
            </w:pPr>
          </w:p>
        </w:tc>
        <w:tc>
          <w:tcPr>
            <w:tcW w:w="1191" w:type="dxa"/>
            <w:vMerge w:val="continue"/>
            <w:vAlign w:val="center"/>
          </w:tcPr>
          <w:p w14:paraId="2FD89659">
            <w:pPr>
              <w:spacing w:before="156" w:beforeLines="50" w:after="156" w:afterLines="50"/>
              <w:jc w:val="left"/>
              <w:rPr>
                <w:sz w:val="18"/>
                <w:szCs w:val="18"/>
              </w:rPr>
            </w:pPr>
          </w:p>
        </w:tc>
        <w:tc>
          <w:tcPr>
            <w:tcW w:w="1380" w:type="dxa"/>
            <w:vMerge w:val="continue"/>
            <w:vAlign w:val="center"/>
          </w:tcPr>
          <w:p w14:paraId="6E13BF4E">
            <w:pPr>
              <w:spacing w:before="156" w:beforeLines="50" w:after="156" w:afterLines="50"/>
              <w:jc w:val="left"/>
              <w:rPr>
                <w:sz w:val="18"/>
                <w:szCs w:val="18"/>
              </w:rPr>
            </w:pPr>
          </w:p>
        </w:tc>
        <w:tc>
          <w:tcPr>
            <w:tcW w:w="1072" w:type="dxa"/>
            <w:vMerge w:val="restart"/>
            <w:vAlign w:val="center"/>
          </w:tcPr>
          <w:p w14:paraId="3044BA00">
            <w:pPr>
              <w:spacing w:before="156" w:beforeLines="50" w:after="156" w:afterLines="50"/>
              <w:jc w:val="center"/>
              <w:rPr>
                <w:sz w:val="18"/>
                <w:szCs w:val="18"/>
              </w:rPr>
            </w:pPr>
            <w:r>
              <w:rPr>
                <w:rFonts w:hint="eastAsia"/>
                <w:sz w:val="18"/>
                <w:szCs w:val="18"/>
              </w:rPr>
              <w:t>一般</w:t>
            </w:r>
          </w:p>
          <w:p w14:paraId="0FD38A0A">
            <w:pPr>
              <w:spacing w:before="156" w:beforeLines="50" w:after="156" w:afterLines="50"/>
              <w:jc w:val="center"/>
              <w:rPr>
                <w:sz w:val="18"/>
                <w:szCs w:val="18"/>
              </w:rPr>
            </w:pPr>
          </w:p>
        </w:tc>
        <w:tc>
          <w:tcPr>
            <w:tcW w:w="2029" w:type="dxa"/>
            <w:vAlign w:val="center"/>
          </w:tcPr>
          <w:p w14:paraId="7199A8B3">
            <w:pPr>
              <w:spacing w:before="156" w:beforeLines="50" w:after="156" w:afterLines="50"/>
              <w:jc w:val="left"/>
              <w:rPr>
                <w:sz w:val="18"/>
                <w:szCs w:val="18"/>
              </w:rPr>
            </w:pPr>
            <w:r>
              <w:rPr>
                <w:rFonts w:hint="eastAsia"/>
                <w:sz w:val="18"/>
                <w:szCs w:val="18"/>
              </w:rPr>
              <w:t>超核定箱数20%以下。</w:t>
            </w:r>
          </w:p>
        </w:tc>
        <w:tc>
          <w:tcPr>
            <w:tcW w:w="2409" w:type="dxa"/>
            <w:vAlign w:val="center"/>
          </w:tcPr>
          <w:p w14:paraId="7B3EA12D">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vAlign w:val="center"/>
          </w:tcPr>
          <w:p w14:paraId="6306ACE6">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1" w:type="dxa"/>
            <w:vAlign w:val="center"/>
          </w:tcPr>
          <w:p w14:paraId="022AA71E">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2090" w:type="dxa"/>
            <w:vAlign w:val="center"/>
          </w:tcPr>
          <w:p w14:paraId="5D8DAD5D">
            <w:pPr>
              <w:spacing w:before="156" w:beforeLines="50" w:after="156" w:afterLines="50"/>
              <w:jc w:val="center"/>
              <w:rPr>
                <w:sz w:val="18"/>
                <w:szCs w:val="18"/>
              </w:rPr>
            </w:pPr>
            <w:r>
              <w:rPr>
                <w:rFonts w:ascii="宋体"/>
                <w:kern w:val="0"/>
                <w:sz w:val="18"/>
                <w:szCs w:val="18"/>
              </w:rPr>
              <w:t>/</w:t>
            </w:r>
          </w:p>
        </w:tc>
        <w:tc>
          <w:tcPr>
            <w:tcW w:w="1902" w:type="dxa"/>
            <w:vMerge w:val="continue"/>
            <w:vAlign w:val="center"/>
          </w:tcPr>
          <w:p w14:paraId="4318A94C">
            <w:pPr>
              <w:spacing w:before="156" w:beforeLines="50" w:after="156" w:afterLines="50"/>
              <w:jc w:val="left"/>
              <w:rPr>
                <w:sz w:val="18"/>
                <w:szCs w:val="18"/>
              </w:rPr>
            </w:pPr>
          </w:p>
        </w:tc>
        <w:tc>
          <w:tcPr>
            <w:tcW w:w="2619" w:type="dxa"/>
            <w:vMerge w:val="continue"/>
            <w:vAlign w:val="center"/>
          </w:tcPr>
          <w:p w14:paraId="6499FC8B">
            <w:pPr>
              <w:spacing w:before="156" w:beforeLines="50" w:after="156" w:afterLines="50"/>
              <w:jc w:val="left"/>
              <w:rPr>
                <w:sz w:val="18"/>
                <w:szCs w:val="18"/>
              </w:rPr>
            </w:pPr>
          </w:p>
        </w:tc>
      </w:tr>
      <w:tr w14:paraId="042B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vMerge w:val="continue"/>
          </w:tcPr>
          <w:p w14:paraId="083CAAFB">
            <w:pPr>
              <w:spacing w:before="156" w:beforeLines="50" w:after="156" w:afterLines="50"/>
              <w:jc w:val="left"/>
              <w:rPr>
                <w:sz w:val="18"/>
                <w:szCs w:val="18"/>
              </w:rPr>
            </w:pPr>
          </w:p>
        </w:tc>
        <w:tc>
          <w:tcPr>
            <w:tcW w:w="976" w:type="dxa"/>
            <w:vMerge w:val="continue"/>
            <w:vAlign w:val="center"/>
          </w:tcPr>
          <w:p w14:paraId="38186125">
            <w:pPr>
              <w:spacing w:before="156" w:beforeLines="50" w:after="156" w:afterLines="50"/>
              <w:jc w:val="left"/>
              <w:rPr>
                <w:sz w:val="18"/>
                <w:szCs w:val="18"/>
              </w:rPr>
            </w:pPr>
          </w:p>
        </w:tc>
        <w:tc>
          <w:tcPr>
            <w:tcW w:w="1191" w:type="dxa"/>
            <w:vMerge w:val="continue"/>
            <w:vAlign w:val="center"/>
          </w:tcPr>
          <w:p w14:paraId="02B20D17">
            <w:pPr>
              <w:spacing w:before="156" w:beforeLines="50" w:after="156" w:afterLines="50"/>
              <w:jc w:val="left"/>
              <w:rPr>
                <w:sz w:val="18"/>
                <w:szCs w:val="18"/>
              </w:rPr>
            </w:pPr>
          </w:p>
        </w:tc>
        <w:tc>
          <w:tcPr>
            <w:tcW w:w="1380" w:type="dxa"/>
            <w:vMerge w:val="continue"/>
            <w:vAlign w:val="center"/>
          </w:tcPr>
          <w:p w14:paraId="7186CB5F">
            <w:pPr>
              <w:spacing w:before="156" w:beforeLines="50" w:after="156" w:afterLines="50"/>
              <w:jc w:val="left"/>
              <w:rPr>
                <w:sz w:val="18"/>
                <w:szCs w:val="18"/>
              </w:rPr>
            </w:pPr>
          </w:p>
        </w:tc>
        <w:tc>
          <w:tcPr>
            <w:tcW w:w="1072" w:type="dxa"/>
            <w:vMerge w:val="continue"/>
            <w:vAlign w:val="center"/>
          </w:tcPr>
          <w:p w14:paraId="11B0A710">
            <w:pPr>
              <w:spacing w:before="156" w:beforeLines="50" w:after="156" w:afterLines="50"/>
              <w:jc w:val="center"/>
              <w:rPr>
                <w:sz w:val="18"/>
                <w:szCs w:val="18"/>
              </w:rPr>
            </w:pPr>
          </w:p>
        </w:tc>
        <w:tc>
          <w:tcPr>
            <w:tcW w:w="2029" w:type="dxa"/>
            <w:vAlign w:val="center"/>
          </w:tcPr>
          <w:p w14:paraId="67C31D89">
            <w:pPr>
              <w:spacing w:before="156" w:beforeLines="50" w:after="156" w:afterLines="50"/>
              <w:jc w:val="left"/>
              <w:rPr>
                <w:sz w:val="18"/>
                <w:szCs w:val="18"/>
              </w:rPr>
            </w:pPr>
            <w:r>
              <w:rPr>
                <w:rFonts w:hint="eastAsia"/>
                <w:sz w:val="18"/>
                <w:szCs w:val="18"/>
              </w:rPr>
              <w:t>超核定箱数20%及以上。</w:t>
            </w:r>
          </w:p>
        </w:tc>
        <w:tc>
          <w:tcPr>
            <w:tcW w:w="2409" w:type="dxa"/>
            <w:vAlign w:val="center"/>
          </w:tcPr>
          <w:p w14:paraId="72B0477A">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8" w:type="dxa"/>
            <w:vAlign w:val="center"/>
          </w:tcPr>
          <w:p w14:paraId="60703758">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1" w:type="dxa"/>
            <w:vAlign w:val="center"/>
          </w:tcPr>
          <w:p w14:paraId="285F76E1">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090" w:type="dxa"/>
            <w:vAlign w:val="center"/>
          </w:tcPr>
          <w:p w14:paraId="2AAC252E">
            <w:pPr>
              <w:spacing w:before="156" w:beforeLines="50" w:after="156" w:afterLines="50"/>
              <w:jc w:val="center"/>
              <w:rPr>
                <w:sz w:val="18"/>
                <w:szCs w:val="18"/>
              </w:rPr>
            </w:pPr>
            <w:r>
              <w:rPr>
                <w:rFonts w:ascii="宋体"/>
                <w:kern w:val="0"/>
                <w:sz w:val="18"/>
                <w:szCs w:val="18"/>
              </w:rPr>
              <w:t>/</w:t>
            </w:r>
          </w:p>
        </w:tc>
        <w:tc>
          <w:tcPr>
            <w:tcW w:w="1902" w:type="dxa"/>
            <w:vMerge w:val="continue"/>
            <w:vAlign w:val="center"/>
          </w:tcPr>
          <w:p w14:paraId="119620F0">
            <w:pPr>
              <w:spacing w:before="156" w:beforeLines="50" w:after="156" w:afterLines="50"/>
              <w:jc w:val="left"/>
              <w:rPr>
                <w:sz w:val="18"/>
                <w:szCs w:val="18"/>
              </w:rPr>
            </w:pPr>
          </w:p>
        </w:tc>
        <w:tc>
          <w:tcPr>
            <w:tcW w:w="2619" w:type="dxa"/>
            <w:vMerge w:val="continue"/>
            <w:vAlign w:val="center"/>
          </w:tcPr>
          <w:p w14:paraId="63F9B1A9">
            <w:pPr>
              <w:spacing w:before="156" w:beforeLines="50" w:after="156" w:afterLines="50"/>
              <w:jc w:val="left"/>
              <w:rPr>
                <w:sz w:val="18"/>
                <w:szCs w:val="18"/>
              </w:rPr>
            </w:pPr>
          </w:p>
        </w:tc>
      </w:tr>
      <w:tr w14:paraId="534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90" w:type="dxa"/>
            <w:vMerge w:val="continue"/>
          </w:tcPr>
          <w:p w14:paraId="3C32A055">
            <w:pPr>
              <w:spacing w:before="156" w:beforeLines="50" w:after="156" w:afterLines="50"/>
              <w:jc w:val="left"/>
              <w:rPr>
                <w:sz w:val="18"/>
                <w:szCs w:val="18"/>
              </w:rPr>
            </w:pPr>
          </w:p>
        </w:tc>
        <w:tc>
          <w:tcPr>
            <w:tcW w:w="976" w:type="dxa"/>
            <w:vMerge w:val="continue"/>
            <w:vAlign w:val="center"/>
          </w:tcPr>
          <w:p w14:paraId="1634967D">
            <w:pPr>
              <w:spacing w:before="156" w:beforeLines="50" w:after="156" w:afterLines="50"/>
              <w:jc w:val="left"/>
              <w:rPr>
                <w:sz w:val="18"/>
                <w:szCs w:val="18"/>
              </w:rPr>
            </w:pPr>
          </w:p>
        </w:tc>
        <w:tc>
          <w:tcPr>
            <w:tcW w:w="1191" w:type="dxa"/>
            <w:vMerge w:val="continue"/>
            <w:vAlign w:val="center"/>
          </w:tcPr>
          <w:p w14:paraId="1B9A318E">
            <w:pPr>
              <w:spacing w:before="156" w:beforeLines="50" w:after="156" w:afterLines="50"/>
              <w:jc w:val="left"/>
              <w:rPr>
                <w:sz w:val="18"/>
                <w:szCs w:val="18"/>
              </w:rPr>
            </w:pPr>
          </w:p>
        </w:tc>
        <w:tc>
          <w:tcPr>
            <w:tcW w:w="1380" w:type="dxa"/>
            <w:vMerge w:val="continue"/>
            <w:vAlign w:val="center"/>
          </w:tcPr>
          <w:p w14:paraId="04E7F9D9">
            <w:pPr>
              <w:spacing w:before="156" w:beforeLines="50" w:after="156" w:afterLines="50"/>
              <w:jc w:val="left"/>
              <w:rPr>
                <w:sz w:val="18"/>
                <w:szCs w:val="18"/>
              </w:rPr>
            </w:pPr>
          </w:p>
        </w:tc>
        <w:tc>
          <w:tcPr>
            <w:tcW w:w="1072" w:type="dxa"/>
            <w:vMerge w:val="continue"/>
            <w:vAlign w:val="center"/>
          </w:tcPr>
          <w:p w14:paraId="3AB22E1B">
            <w:pPr>
              <w:spacing w:before="156" w:beforeLines="50" w:after="156" w:afterLines="50"/>
              <w:jc w:val="center"/>
              <w:rPr>
                <w:sz w:val="18"/>
                <w:szCs w:val="18"/>
              </w:rPr>
            </w:pPr>
          </w:p>
        </w:tc>
        <w:tc>
          <w:tcPr>
            <w:tcW w:w="2029" w:type="dxa"/>
            <w:vAlign w:val="center"/>
          </w:tcPr>
          <w:p w14:paraId="1F76379A">
            <w:pPr>
              <w:spacing w:before="156" w:beforeLines="50" w:after="156" w:afterLines="50"/>
              <w:jc w:val="left"/>
              <w:rPr>
                <w:rFonts w:ascii="宋体"/>
                <w:kern w:val="0"/>
                <w:sz w:val="18"/>
                <w:szCs w:val="18"/>
              </w:rPr>
            </w:pPr>
            <w:r>
              <w:rPr>
                <w:rFonts w:hint="eastAsia" w:ascii="宋体"/>
                <w:sz w:val="18"/>
                <w:szCs w:val="18"/>
              </w:rPr>
              <w:t>因超载运输，发生一般以下水上交通事故的。</w:t>
            </w:r>
          </w:p>
        </w:tc>
        <w:tc>
          <w:tcPr>
            <w:tcW w:w="2409" w:type="dxa"/>
            <w:vAlign w:val="center"/>
          </w:tcPr>
          <w:p w14:paraId="13DA7B8F">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268" w:type="dxa"/>
            <w:vAlign w:val="center"/>
          </w:tcPr>
          <w:p w14:paraId="462B0ABA">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4.5</w:t>
            </w:r>
            <w:r>
              <w:rPr>
                <w:rFonts w:hint="eastAsia"/>
                <w:sz w:val="18"/>
                <w:szCs w:val="18"/>
              </w:rPr>
              <w:t>万元以下</w:t>
            </w:r>
          </w:p>
        </w:tc>
        <w:tc>
          <w:tcPr>
            <w:tcW w:w="2261" w:type="dxa"/>
            <w:vAlign w:val="center"/>
          </w:tcPr>
          <w:p w14:paraId="24BCDF7C">
            <w:pPr>
              <w:spacing w:before="156" w:beforeLines="50" w:after="156" w:afterLines="50"/>
              <w:jc w:val="left"/>
              <w:rPr>
                <w:sz w:val="18"/>
                <w:szCs w:val="18"/>
              </w:rPr>
            </w:pPr>
            <w:r>
              <w:rPr>
                <w:rFonts w:hint="eastAsia"/>
                <w:sz w:val="18"/>
                <w:szCs w:val="18"/>
              </w:rPr>
              <w:t>4万元及以上</w:t>
            </w:r>
            <w:r>
              <w:rPr>
                <w:sz w:val="18"/>
                <w:szCs w:val="18"/>
              </w:rPr>
              <w:t>5</w:t>
            </w:r>
            <w:r>
              <w:rPr>
                <w:rFonts w:hint="eastAsia"/>
                <w:sz w:val="18"/>
                <w:szCs w:val="18"/>
              </w:rPr>
              <w:t>万元以下</w:t>
            </w:r>
          </w:p>
        </w:tc>
        <w:tc>
          <w:tcPr>
            <w:tcW w:w="2090" w:type="dxa"/>
            <w:vAlign w:val="center"/>
          </w:tcPr>
          <w:p w14:paraId="73E40AE7">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902" w:type="dxa"/>
            <w:vMerge w:val="continue"/>
          </w:tcPr>
          <w:p w14:paraId="17AC9305">
            <w:pPr>
              <w:spacing w:before="156" w:beforeLines="50" w:after="156" w:afterLines="50"/>
              <w:jc w:val="left"/>
              <w:rPr>
                <w:sz w:val="18"/>
                <w:szCs w:val="18"/>
              </w:rPr>
            </w:pPr>
          </w:p>
        </w:tc>
        <w:tc>
          <w:tcPr>
            <w:tcW w:w="2619" w:type="dxa"/>
            <w:vMerge w:val="continue"/>
          </w:tcPr>
          <w:p w14:paraId="56C7038A">
            <w:pPr>
              <w:spacing w:before="156" w:beforeLines="50" w:after="156" w:afterLines="50"/>
              <w:jc w:val="left"/>
              <w:rPr>
                <w:sz w:val="18"/>
                <w:szCs w:val="18"/>
              </w:rPr>
            </w:pPr>
          </w:p>
        </w:tc>
      </w:tr>
      <w:tr w14:paraId="4F1B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0" w:type="dxa"/>
            <w:vMerge w:val="continue"/>
          </w:tcPr>
          <w:p w14:paraId="0F1EF2AA">
            <w:pPr>
              <w:spacing w:before="156" w:beforeLines="50" w:after="156" w:afterLines="50"/>
              <w:jc w:val="left"/>
              <w:rPr>
                <w:sz w:val="18"/>
                <w:szCs w:val="18"/>
              </w:rPr>
            </w:pPr>
          </w:p>
        </w:tc>
        <w:tc>
          <w:tcPr>
            <w:tcW w:w="976" w:type="dxa"/>
            <w:vMerge w:val="continue"/>
            <w:vAlign w:val="center"/>
          </w:tcPr>
          <w:p w14:paraId="4A06110F">
            <w:pPr>
              <w:spacing w:before="156" w:beforeLines="50" w:after="156" w:afterLines="50"/>
              <w:jc w:val="left"/>
              <w:rPr>
                <w:sz w:val="18"/>
                <w:szCs w:val="18"/>
              </w:rPr>
            </w:pPr>
          </w:p>
        </w:tc>
        <w:tc>
          <w:tcPr>
            <w:tcW w:w="1191" w:type="dxa"/>
            <w:vMerge w:val="continue"/>
            <w:vAlign w:val="center"/>
          </w:tcPr>
          <w:p w14:paraId="770BB0ED">
            <w:pPr>
              <w:spacing w:before="156" w:beforeLines="50" w:after="156" w:afterLines="50"/>
              <w:jc w:val="left"/>
              <w:rPr>
                <w:sz w:val="18"/>
                <w:szCs w:val="18"/>
              </w:rPr>
            </w:pPr>
          </w:p>
        </w:tc>
        <w:tc>
          <w:tcPr>
            <w:tcW w:w="1380" w:type="dxa"/>
            <w:vMerge w:val="continue"/>
            <w:vAlign w:val="center"/>
          </w:tcPr>
          <w:p w14:paraId="294F5404">
            <w:pPr>
              <w:spacing w:before="156" w:beforeLines="50" w:after="156" w:afterLines="50"/>
              <w:jc w:val="left"/>
              <w:rPr>
                <w:sz w:val="18"/>
                <w:szCs w:val="18"/>
              </w:rPr>
            </w:pPr>
          </w:p>
        </w:tc>
        <w:tc>
          <w:tcPr>
            <w:tcW w:w="1072" w:type="dxa"/>
            <w:vMerge w:val="continue"/>
            <w:vAlign w:val="center"/>
          </w:tcPr>
          <w:p w14:paraId="2F5BCEDD">
            <w:pPr>
              <w:spacing w:before="156" w:beforeLines="50" w:after="156" w:afterLines="50"/>
              <w:jc w:val="center"/>
              <w:rPr>
                <w:sz w:val="18"/>
                <w:szCs w:val="18"/>
              </w:rPr>
            </w:pPr>
          </w:p>
        </w:tc>
        <w:tc>
          <w:tcPr>
            <w:tcW w:w="2029" w:type="dxa"/>
            <w:tcBorders>
              <w:bottom w:val="single" w:color="auto" w:sz="4" w:space="0"/>
            </w:tcBorders>
            <w:vAlign w:val="center"/>
          </w:tcPr>
          <w:p w14:paraId="7880E73F">
            <w:pPr>
              <w:spacing w:before="156" w:beforeLines="50" w:after="156" w:afterLines="50"/>
              <w:jc w:val="left"/>
              <w:rPr>
                <w:sz w:val="18"/>
                <w:szCs w:val="18"/>
              </w:rPr>
            </w:pPr>
            <w:r>
              <w:rPr>
                <w:rFonts w:hint="eastAsia"/>
                <w:sz w:val="18"/>
                <w:szCs w:val="18"/>
              </w:rPr>
              <w:t xml:space="preserve"> 因超载运输，发生一般及以上水上交通事故。</w:t>
            </w:r>
          </w:p>
        </w:tc>
        <w:tc>
          <w:tcPr>
            <w:tcW w:w="2409" w:type="dxa"/>
            <w:tcBorders>
              <w:bottom w:val="single" w:color="auto" w:sz="4" w:space="0"/>
            </w:tcBorders>
            <w:vAlign w:val="center"/>
          </w:tcPr>
          <w:p w14:paraId="14679C09">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68" w:type="dxa"/>
            <w:tcBorders>
              <w:bottom w:val="single" w:color="auto" w:sz="4" w:space="0"/>
            </w:tcBorders>
            <w:vAlign w:val="center"/>
          </w:tcPr>
          <w:p w14:paraId="399C8051">
            <w:pPr>
              <w:spacing w:before="156" w:beforeLines="50" w:after="156" w:afterLines="50"/>
              <w:jc w:val="left"/>
              <w:rPr>
                <w:sz w:val="18"/>
                <w:szCs w:val="18"/>
              </w:rPr>
            </w:pPr>
            <w:r>
              <w:rPr>
                <w:rFonts w:hint="eastAsia"/>
                <w:sz w:val="18"/>
                <w:szCs w:val="18"/>
              </w:rPr>
              <w:t>4.5万元及以上</w:t>
            </w:r>
            <w:r>
              <w:rPr>
                <w:sz w:val="18"/>
                <w:szCs w:val="18"/>
              </w:rPr>
              <w:t>10</w:t>
            </w:r>
            <w:r>
              <w:rPr>
                <w:rFonts w:hint="eastAsia"/>
                <w:sz w:val="18"/>
                <w:szCs w:val="18"/>
              </w:rPr>
              <w:t>万元及以下</w:t>
            </w:r>
          </w:p>
        </w:tc>
        <w:tc>
          <w:tcPr>
            <w:tcW w:w="2261" w:type="dxa"/>
            <w:tcBorders>
              <w:bottom w:val="single" w:color="auto" w:sz="4" w:space="0"/>
            </w:tcBorders>
            <w:vAlign w:val="center"/>
          </w:tcPr>
          <w:p w14:paraId="0D064CF6">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2090" w:type="dxa"/>
            <w:tcBorders>
              <w:bottom w:val="single" w:color="auto" w:sz="4" w:space="0"/>
            </w:tcBorders>
            <w:vAlign w:val="center"/>
          </w:tcPr>
          <w:p w14:paraId="2E1ACAC4">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902" w:type="dxa"/>
            <w:vMerge w:val="continue"/>
          </w:tcPr>
          <w:p w14:paraId="7151C16E">
            <w:pPr>
              <w:spacing w:before="156" w:beforeLines="50" w:after="156" w:afterLines="50"/>
              <w:jc w:val="left"/>
              <w:rPr>
                <w:sz w:val="18"/>
                <w:szCs w:val="18"/>
              </w:rPr>
            </w:pPr>
          </w:p>
        </w:tc>
        <w:tc>
          <w:tcPr>
            <w:tcW w:w="2619" w:type="dxa"/>
            <w:vMerge w:val="continue"/>
          </w:tcPr>
          <w:p w14:paraId="6F36819B">
            <w:pPr>
              <w:spacing w:before="156" w:beforeLines="50" w:after="156" w:afterLines="50"/>
              <w:jc w:val="left"/>
              <w:rPr>
                <w:sz w:val="18"/>
                <w:szCs w:val="18"/>
              </w:rPr>
            </w:pPr>
          </w:p>
        </w:tc>
      </w:tr>
    </w:tbl>
    <w:p w14:paraId="500882C1">
      <w:pPr>
        <w:spacing w:before="156" w:beforeLines="50" w:after="156" w:afterLines="50"/>
        <w:jc w:val="left"/>
        <w:rPr>
          <w:b/>
          <w:sz w:val="18"/>
          <w:szCs w:val="18"/>
        </w:rPr>
      </w:pPr>
      <w:r>
        <w:rPr>
          <w:b/>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
        <w:gridCol w:w="976"/>
        <w:gridCol w:w="427"/>
        <w:gridCol w:w="764"/>
        <w:gridCol w:w="987"/>
        <w:gridCol w:w="393"/>
        <w:gridCol w:w="1072"/>
        <w:gridCol w:w="753"/>
        <w:gridCol w:w="656"/>
        <w:gridCol w:w="620"/>
        <w:gridCol w:w="2551"/>
        <w:gridCol w:w="495"/>
        <w:gridCol w:w="1915"/>
        <w:gridCol w:w="1745"/>
        <w:gridCol w:w="523"/>
        <w:gridCol w:w="1426"/>
        <w:gridCol w:w="486"/>
        <w:gridCol w:w="1647"/>
        <w:gridCol w:w="2744"/>
        <w:gridCol w:w="17"/>
      </w:tblGrid>
      <w:tr w14:paraId="3A96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90" w:type="dxa"/>
            <w:gridSpan w:val="2"/>
            <w:vMerge w:val="restart"/>
            <w:vAlign w:val="center"/>
          </w:tcPr>
          <w:p w14:paraId="1B579AEB">
            <w:pPr>
              <w:spacing w:before="156" w:beforeLines="50" w:after="156" w:afterLines="50"/>
              <w:jc w:val="center"/>
              <w:rPr>
                <w:b/>
                <w:sz w:val="18"/>
                <w:szCs w:val="18"/>
              </w:rPr>
            </w:pPr>
            <w:r>
              <w:rPr>
                <w:rFonts w:hint="eastAsia"/>
                <w:b/>
                <w:sz w:val="18"/>
                <w:szCs w:val="18"/>
              </w:rPr>
              <w:t>序号</w:t>
            </w:r>
          </w:p>
        </w:tc>
        <w:tc>
          <w:tcPr>
            <w:tcW w:w="976" w:type="dxa"/>
            <w:vMerge w:val="restart"/>
            <w:vAlign w:val="center"/>
          </w:tcPr>
          <w:p w14:paraId="34DA58E4">
            <w:pPr>
              <w:spacing w:before="156" w:beforeLines="50" w:after="156" w:afterLines="50"/>
              <w:jc w:val="center"/>
              <w:rPr>
                <w:b/>
                <w:sz w:val="18"/>
                <w:szCs w:val="18"/>
              </w:rPr>
            </w:pPr>
            <w:r>
              <w:rPr>
                <w:rFonts w:hint="eastAsia"/>
                <w:b/>
                <w:sz w:val="18"/>
                <w:szCs w:val="18"/>
              </w:rPr>
              <w:t>案由</w:t>
            </w:r>
          </w:p>
        </w:tc>
        <w:tc>
          <w:tcPr>
            <w:tcW w:w="2571" w:type="dxa"/>
            <w:gridSpan w:val="4"/>
            <w:vMerge w:val="restart"/>
            <w:vAlign w:val="center"/>
          </w:tcPr>
          <w:p w14:paraId="16F6A31B">
            <w:pPr>
              <w:spacing w:before="156" w:beforeLines="50" w:after="156" w:afterLines="50"/>
              <w:jc w:val="center"/>
              <w:rPr>
                <w:b/>
                <w:sz w:val="18"/>
                <w:szCs w:val="18"/>
              </w:rPr>
            </w:pPr>
            <w:r>
              <w:rPr>
                <w:rFonts w:hint="eastAsia"/>
                <w:b/>
                <w:sz w:val="18"/>
                <w:szCs w:val="18"/>
              </w:rPr>
              <w:t>法律依据</w:t>
            </w:r>
          </w:p>
        </w:tc>
        <w:tc>
          <w:tcPr>
            <w:tcW w:w="1072" w:type="dxa"/>
            <w:vMerge w:val="restart"/>
            <w:vAlign w:val="center"/>
          </w:tcPr>
          <w:p w14:paraId="5036C398">
            <w:pPr>
              <w:spacing w:before="156" w:beforeLines="50" w:after="156" w:afterLines="50"/>
              <w:jc w:val="center"/>
              <w:rPr>
                <w:b/>
                <w:sz w:val="18"/>
                <w:szCs w:val="18"/>
              </w:rPr>
            </w:pPr>
            <w:r>
              <w:rPr>
                <w:rFonts w:hint="eastAsia"/>
                <w:b/>
                <w:sz w:val="18"/>
                <w:szCs w:val="18"/>
              </w:rPr>
              <w:t>违法行为情节</w:t>
            </w:r>
          </w:p>
        </w:tc>
        <w:tc>
          <w:tcPr>
            <w:tcW w:w="2029" w:type="dxa"/>
            <w:gridSpan w:val="3"/>
            <w:vMerge w:val="restart"/>
            <w:vAlign w:val="center"/>
          </w:tcPr>
          <w:p w14:paraId="6792B2F7">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549" w:type="dxa"/>
            <w:gridSpan w:val="10"/>
            <w:vAlign w:val="center"/>
          </w:tcPr>
          <w:p w14:paraId="2846EF23">
            <w:pPr>
              <w:spacing w:before="156" w:beforeLines="50" w:after="156" w:afterLines="50"/>
              <w:jc w:val="left"/>
              <w:rPr>
                <w:b/>
                <w:sz w:val="18"/>
                <w:szCs w:val="18"/>
              </w:rPr>
            </w:pPr>
            <w:r>
              <w:rPr>
                <w:rFonts w:hint="eastAsia"/>
                <w:b/>
                <w:sz w:val="18"/>
                <w:szCs w:val="18"/>
              </w:rPr>
              <w:t>【法定幅度和种类】责令改正，处</w:t>
            </w:r>
            <w:r>
              <w:rPr>
                <w:b/>
                <w:sz w:val="18"/>
                <w:szCs w:val="18"/>
              </w:rPr>
              <w:t>2</w:t>
            </w:r>
            <w:r>
              <w:rPr>
                <w:rFonts w:hint="eastAsia"/>
                <w:b/>
                <w:sz w:val="18"/>
                <w:szCs w:val="18"/>
              </w:rPr>
              <w:t>万元以上</w:t>
            </w:r>
            <w:r>
              <w:rPr>
                <w:b/>
                <w:sz w:val="18"/>
                <w:szCs w:val="18"/>
              </w:rPr>
              <w:t>10</w:t>
            </w:r>
            <w:r>
              <w:rPr>
                <w:rFonts w:hint="eastAsia"/>
                <w:b/>
                <w:sz w:val="18"/>
                <w:szCs w:val="18"/>
              </w:rPr>
              <w:t>万元以下罚款，并可以对责任船员给予暂扣适任证书或者其他适任证件</w:t>
            </w:r>
            <w:r>
              <w:rPr>
                <w:b/>
                <w:sz w:val="18"/>
                <w:szCs w:val="18"/>
              </w:rPr>
              <w:t>6</w:t>
            </w:r>
            <w:r>
              <w:rPr>
                <w:rFonts w:hint="eastAsia"/>
                <w:b/>
                <w:sz w:val="18"/>
                <w:szCs w:val="18"/>
              </w:rPr>
              <w:t>个月以上直至吊销适任证书或者其他适任证件的处罚，并对超载运输的船舶强制卸载，因卸载而发生的卸货费、存货费、旅客安置费和船舶监管费由船舶经营人或所有人承担。</w:t>
            </w:r>
          </w:p>
        </w:tc>
      </w:tr>
      <w:tr w14:paraId="478F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0" w:type="dxa"/>
            <w:gridSpan w:val="2"/>
            <w:vMerge w:val="continue"/>
            <w:vAlign w:val="center"/>
          </w:tcPr>
          <w:p w14:paraId="5508AE8D">
            <w:pPr>
              <w:spacing w:before="156" w:beforeLines="50" w:after="156" w:afterLines="50"/>
              <w:jc w:val="left"/>
              <w:rPr>
                <w:b/>
                <w:sz w:val="18"/>
                <w:szCs w:val="18"/>
              </w:rPr>
            </w:pPr>
          </w:p>
        </w:tc>
        <w:tc>
          <w:tcPr>
            <w:tcW w:w="976" w:type="dxa"/>
            <w:vMerge w:val="continue"/>
            <w:vAlign w:val="center"/>
          </w:tcPr>
          <w:p w14:paraId="71DC13F7">
            <w:pPr>
              <w:spacing w:before="156" w:beforeLines="50" w:after="156" w:afterLines="50"/>
              <w:jc w:val="left"/>
              <w:rPr>
                <w:b/>
                <w:sz w:val="18"/>
                <w:szCs w:val="18"/>
              </w:rPr>
            </w:pPr>
          </w:p>
        </w:tc>
        <w:tc>
          <w:tcPr>
            <w:tcW w:w="2571" w:type="dxa"/>
            <w:gridSpan w:val="4"/>
            <w:vMerge w:val="continue"/>
            <w:vAlign w:val="center"/>
          </w:tcPr>
          <w:p w14:paraId="7D96F832">
            <w:pPr>
              <w:spacing w:before="156" w:beforeLines="50" w:after="156" w:afterLines="50"/>
              <w:jc w:val="left"/>
              <w:rPr>
                <w:b/>
                <w:sz w:val="18"/>
                <w:szCs w:val="18"/>
              </w:rPr>
            </w:pPr>
          </w:p>
        </w:tc>
        <w:tc>
          <w:tcPr>
            <w:tcW w:w="1072" w:type="dxa"/>
            <w:vMerge w:val="continue"/>
            <w:vAlign w:val="center"/>
          </w:tcPr>
          <w:p w14:paraId="6FA00A51">
            <w:pPr>
              <w:spacing w:before="156" w:beforeLines="50" w:after="156" w:afterLines="50"/>
              <w:jc w:val="left"/>
              <w:rPr>
                <w:b/>
                <w:sz w:val="18"/>
                <w:szCs w:val="18"/>
              </w:rPr>
            </w:pPr>
          </w:p>
        </w:tc>
        <w:tc>
          <w:tcPr>
            <w:tcW w:w="2029" w:type="dxa"/>
            <w:gridSpan w:val="3"/>
            <w:vMerge w:val="continue"/>
            <w:vAlign w:val="center"/>
          </w:tcPr>
          <w:p w14:paraId="0FE06D82">
            <w:pPr>
              <w:spacing w:before="156" w:beforeLines="50" w:after="156" w:afterLines="50"/>
              <w:jc w:val="left"/>
              <w:rPr>
                <w:rFonts w:ascii="宋体"/>
                <w:b/>
                <w:sz w:val="18"/>
                <w:szCs w:val="18"/>
              </w:rPr>
            </w:pPr>
          </w:p>
        </w:tc>
        <w:tc>
          <w:tcPr>
            <w:tcW w:w="9141" w:type="dxa"/>
            <w:gridSpan w:val="7"/>
            <w:vAlign w:val="center"/>
          </w:tcPr>
          <w:p w14:paraId="2202E16B">
            <w:pPr>
              <w:spacing w:before="156" w:beforeLines="50" w:after="156" w:afterLines="50"/>
              <w:jc w:val="center"/>
              <w:rPr>
                <w:b/>
                <w:sz w:val="18"/>
                <w:szCs w:val="18"/>
              </w:rPr>
            </w:pPr>
            <w:r>
              <w:rPr>
                <w:rFonts w:hint="eastAsia"/>
                <w:b/>
                <w:sz w:val="18"/>
                <w:szCs w:val="18"/>
              </w:rPr>
              <w:t>处罚基准</w:t>
            </w:r>
          </w:p>
        </w:tc>
        <w:tc>
          <w:tcPr>
            <w:tcW w:w="4408" w:type="dxa"/>
            <w:gridSpan w:val="3"/>
            <w:vAlign w:val="center"/>
          </w:tcPr>
          <w:p w14:paraId="2302E61A">
            <w:pPr>
              <w:spacing w:before="156" w:beforeLines="50" w:after="156" w:afterLines="50"/>
              <w:jc w:val="center"/>
              <w:rPr>
                <w:b/>
                <w:sz w:val="18"/>
                <w:szCs w:val="18"/>
              </w:rPr>
            </w:pPr>
            <w:r>
              <w:rPr>
                <w:rFonts w:hint="eastAsia"/>
                <w:b/>
                <w:sz w:val="18"/>
                <w:szCs w:val="18"/>
              </w:rPr>
              <w:t>减轻处罚基准</w:t>
            </w:r>
          </w:p>
        </w:tc>
      </w:tr>
      <w:tr w14:paraId="7DB1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0" w:type="dxa"/>
            <w:gridSpan w:val="2"/>
            <w:vMerge w:val="continue"/>
            <w:vAlign w:val="center"/>
          </w:tcPr>
          <w:p w14:paraId="5574A9F5">
            <w:pPr>
              <w:spacing w:before="156" w:beforeLines="50" w:after="156" w:afterLines="50"/>
              <w:jc w:val="left"/>
              <w:rPr>
                <w:b/>
                <w:sz w:val="18"/>
                <w:szCs w:val="18"/>
              </w:rPr>
            </w:pPr>
          </w:p>
        </w:tc>
        <w:tc>
          <w:tcPr>
            <w:tcW w:w="976" w:type="dxa"/>
            <w:vMerge w:val="continue"/>
            <w:vAlign w:val="center"/>
          </w:tcPr>
          <w:p w14:paraId="0421F62A">
            <w:pPr>
              <w:spacing w:before="156" w:beforeLines="50" w:after="156" w:afterLines="50"/>
              <w:jc w:val="left"/>
              <w:rPr>
                <w:b/>
                <w:sz w:val="18"/>
                <w:szCs w:val="18"/>
              </w:rPr>
            </w:pPr>
          </w:p>
        </w:tc>
        <w:tc>
          <w:tcPr>
            <w:tcW w:w="2571" w:type="dxa"/>
            <w:gridSpan w:val="4"/>
            <w:vMerge w:val="continue"/>
            <w:vAlign w:val="center"/>
          </w:tcPr>
          <w:p w14:paraId="46D3181E">
            <w:pPr>
              <w:spacing w:before="156" w:beforeLines="50" w:after="156" w:afterLines="50"/>
              <w:jc w:val="left"/>
              <w:rPr>
                <w:b/>
                <w:sz w:val="18"/>
                <w:szCs w:val="18"/>
              </w:rPr>
            </w:pPr>
          </w:p>
        </w:tc>
        <w:tc>
          <w:tcPr>
            <w:tcW w:w="1072" w:type="dxa"/>
            <w:vMerge w:val="continue"/>
            <w:vAlign w:val="center"/>
          </w:tcPr>
          <w:p w14:paraId="2602EDC4">
            <w:pPr>
              <w:spacing w:before="156" w:beforeLines="50" w:after="156" w:afterLines="50"/>
              <w:jc w:val="left"/>
              <w:rPr>
                <w:b/>
                <w:sz w:val="18"/>
                <w:szCs w:val="18"/>
              </w:rPr>
            </w:pPr>
          </w:p>
        </w:tc>
        <w:tc>
          <w:tcPr>
            <w:tcW w:w="2029" w:type="dxa"/>
            <w:gridSpan w:val="3"/>
            <w:vMerge w:val="continue"/>
            <w:vAlign w:val="center"/>
          </w:tcPr>
          <w:p w14:paraId="229166E8">
            <w:pPr>
              <w:spacing w:before="156" w:beforeLines="50" w:after="156" w:afterLines="50"/>
              <w:jc w:val="left"/>
              <w:rPr>
                <w:rFonts w:ascii="宋体"/>
                <w:b/>
                <w:sz w:val="18"/>
                <w:szCs w:val="18"/>
              </w:rPr>
            </w:pPr>
          </w:p>
        </w:tc>
        <w:tc>
          <w:tcPr>
            <w:tcW w:w="9141" w:type="dxa"/>
            <w:gridSpan w:val="7"/>
            <w:vAlign w:val="center"/>
          </w:tcPr>
          <w:p w14:paraId="4D9074A8">
            <w:pPr>
              <w:spacing w:before="156" w:beforeLines="50" w:after="156" w:afterLines="50"/>
              <w:jc w:val="center"/>
              <w:rPr>
                <w:b/>
                <w:sz w:val="18"/>
                <w:szCs w:val="18"/>
              </w:rPr>
            </w:pPr>
            <w:r>
              <w:rPr>
                <w:rFonts w:hint="eastAsia"/>
                <w:b/>
                <w:sz w:val="18"/>
                <w:szCs w:val="18"/>
              </w:rPr>
              <w:t>【对象】船舶经营人或所有人</w:t>
            </w:r>
          </w:p>
        </w:tc>
        <w:tc>
          <w:tcPr>
            <w:tcW w:w="4408" w:type="dxa"/>
            <w:gridSpan w:val="3"/>
          </w:tcPr>
          <w:p w14:paraId="1003343A">
            <w:pPr>
              <w:spacing w:before="156" w:beforeLines="50" w:after="156" w:afterLines="50"/>
              <w:jc w:val="center"/>
              <w:rPr>
                <w:b/>
                <w:sz w:val="18"/>
                <w:szCs w:val="18"/>
              </w:rPr>
            </w:pPr>
            <w:r>
              <w:rPr>
                <w:rFonts w:hint="eastAsia"/>
                <w:b/>
                <w:sz w:val="18"/>
                <w:szCs w:val="18"/>
              </w:rPr>
              <w:t>【对象】船舶经营人或所有人</w:t>
            </w:r>
          </w:p>
        </w:tc>
      </w:tr>
      <w:tr w14:paraId="19AB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90" w:type="dxa"/>
            <w:gridSpan w:val="2"/>
            <w:vMerge w:val="continue"/>
            <w:vAlign w:val="center"/>
          </w:tcPr>
          <w:p w14:paraId="271FA5E3">
            <w:pPr>
              <w:spacing w:before="156" w:beforeLines="50" w:after="156" w:afterLines="50"/>
              <w:jc w:val="left"/>
              <w:rPr>
                <w:b/>
                <w:sz w:val="18"/>
                <w:szCs w:val="18"/>
              </w:rPr>
            </w:pPr>
          </w:p>
        </w:tc>
        <w:tc>
          <w:tcPr>
            <w:tcW w:w="976" w:type="dxa"/>
            <w:vMerge w:val="continue"/>
            <w:vAlign w:val="center"/>
          </w:tcPr>
          <w:p w14:paraId="186CC6D2">
            <w:pPr>
              <w:spacing w:before="156" w:beforeLines="50" w:after="156" w:afterLines="50"/>
              <w:jc w:val="left"/>
              <w:rPr>
                <w:b/>
                <w:sz w:val="18"/>
                <w:szCs w:val="18"/>
              </w:rPr>
            </w:pPr>
          </w:p>
        </w:tc>
        <w:tc>
          <w:tcPr>
            <w:tcW w:w="1191" w:type="dxa"/>
            <w:gridSpan w:val="2"/>
            <w:vAlign w:val="center"/>
          </w:tcPr>
          <w:p w14:paraId="595BD60B">
            <w:pPr>
              <w:spacing w:before="156" w:beforeLines="50" w:after="156" w:afterLines="50"/>
              <w:jc w:val="center"/>
              <w:rPr>
                <w:b/>
                <w:sz w:val="18"/>
                <w:szCs w:val="18"/>
              </w:rPr>
            </w:pPr>
            <w:r>
              <w:rPr>
                <w:rFonts w:hint="eastAsia"/>
                <w:b/>
                <w:sz w:val="18"/>
                <w:szCs w:val="18"/>
              </w:rPr>
              <w:t>违反条款</w:t>
            </w:r>
          </w:p>
        </w:tc>
        <w:tc>
          <w:tcPr>
            <w:tcW w:w="1380" w:type="dxa"/>
            <w:gridSpan w:val="2"/>
            <w:vAlign w:val="center"/>
          </w:tcPr>
          <w:p w14:paraId="3031F7A9">
            <w:pPr>
              <w:spacing w:before="156" w:beforeLines="50" w:after="156" w:afterLines="50"/>
              <w:jc w:val="center"/>
              <w:rPr>
                <w:b/>
                <w:sz w:val="18"/>
                <w:szCs w:val="18"/>
              </w:rPr>
            </w:pPr>
            <w:r>
              <w:rPr>
                <w:rFonts w:hint="eastAsia"/>
                <w:b/>
                <w:sz w:val="18"/>
                <w:szCs w:val="18"/>
              </w:rPr>
              <w:t>处罚依据</w:t>
            </w:r>
          </w:p>
        </w:tc>
        <w:tc>
          <w:tcPr>
            <w:tcW w:w="1072" w:type="dxa"/>
            <w:vMerge w:val="continue"/>
            <w:vAlign w:val="center"/>
          </w:tcPr>
          <w:p w14:paraId="76E38044">
            <w:pPr>
              <w:spacing w:before="156" w:beforeLines="50" w:after="156" w:afterLines="50"/>
              <w:jc w:val="left"/>
              <w:rPr>
                <w:b/>
                <w:sz w:val="18"/>
                <w:szCs w:val="18"/>
              </w:rPr>
            </w:pPr>
          </w:p>
        </w:tc>
        <w:tc>
          <w:tcPr>
            <w:tcW w:w="2029" w:type="dxa"/>
            <w:gridSpan w:val="3"/>
            <w:vMerge w:val="continue"/>
            <w:vAlign w:val="center"/>
          </w:tcPr>
          <w:p w14:paraId="2E62DB09">
            <w:pPr>
              <w:spacing w:before="156" w:beforeLines="50" w:after="156" w:afterLines="50"/>
              <w:jc w:val="left"/>
              <w:rPr>
                <w:b/>
                <w:sz w:val="18"/>
                <w:szCs w:val="18"/>
              </w:rPr>
            </w:pPr>
          </w:p>
        </w:tc>
        <w:tc>
          <w:tcPr>
            <w:tcW w:w="2551" w:type="dxa"/>
            <w:vAlign w:val="center"/>
          </w:tcPr>
          <w:p w14:paraId="35BC7DD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gridSpan w:val="2"/>
            <w:vAlign w:val="center"/>
          </w:tcPr>
          <w:p w14:paraId="4A57BE1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gridSpan w:val="2"/>
            <w:vAlign w:val="center"/>
          </w:tcPr>
          <w:p w14:paraId="6339614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12" w:type="dxa"/>
            <w:gridSpan w:val="2"/>
            <w:vAlign w:val="center"/>
          </w:tcPr>
          <w:p w14:paraId="74357058">
            <w:pPr>
              <w:spacing w:before="156" w:beforeLines="50" w:after="156" w:afterLines="50"/>
              <w:rPr>
                <w:rFonts w:ascii="宋体"/>
                <w:b/>
                <w:sz w:val="18"/>
                <w:szCs w:val="18"/>
              </w:rPr>
            </w:pPr>
            <w:r>
              <w:rPr>
                <w:rFonts w:hint="eastAsia" w:ascii="宋体"/>
                <w:b/>
                <w:sz w:val="18"/>
                <w:szCs w:val="18"/>
              </w:rPr>
              <w:t>【对象】责任船员</w:t>
            </w:r>
          </w:p>
        </w:tc>
        <w:tc>
          <w:tcPr>
            <w:tcW w:w="1647" w:type="dxa"/>
            <w:vAlign w:val="center"/>
          </w:tcPr>
          <w:p w14:paraId="77BDFE3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761" w:type="dxa"/>
            <w:gridSpan w:val="2"/>
            <w:vAlign w:val="center"/>
          </w:tcPr>
          <w:p w14:paraId="5F05E84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4A46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90" w:type="dxa"/>
            <w:gridSpan w:val="2"/>
            <w:vMerge w:val="restart"/>
            <w:vAlign w:val="center"/>
          </w:tcPr>
          <w:p w14:paraId="5976AF1A">
            <w:pPr>
              <w:spacing w:before="156" w:beforeLines="50" w:after="156" w:afterLines="50"/>
              <w:jc w:val="center"/>
              <w:rPr>
                <w:sz w:val="18"/>
                <w:szCs w:val="18"/>
              </w:rPr>
            </w:pPr>
            <w:r>
              <w:rPr>
                <w:rFonts w:hint="eastAsia"/>
                <w:sz w:val="18"/>
                <w:szCs w:val="18"/>
              </w:rPr>
              <w:t>60</w:t>
            </w:r>
          </w:p>
        </w:tc>
        <w:tc>
          <w:tcPr>
            <w:tcW w:w="976" w:type="dxa"/>
            <w:vMerge w:val="restart"/>
            <w:vAlign w:val="center"/>
          </w:tcPr>
          <w:p w14:paraId="44287E5C">
            <w:pPr>
              <w:spacing w:before="156" w:beforeLines="50" w:after="156" w:afterLines="50"/>
              <w:rPr>
                <w:sz w:val="18"/>
                <w:szCs w:val="18"/>
              </w:rPr>
            </w:pPr>
            <w:r>
              <w:rPr>
                <w:rFonts w:hint="eastAsia"/>
                <w:sz w:val="18"/>
                <w:szCs w:val="18"/>
              </w:rPr>
              <w:t>滚装船装载超出检验证书核定的车辆数量</w:t>
            </w:r>
          </w:p>
          <w:p w14:paraId="1ADB035C">
            <w:pPr>
              <w:spacing w:before="156" w:beforeLines="50" w:after="156" w:afterLines="50"/>
              <w:rPr>
                <w:sz w:val="18"/>
                <w:szCs w:val="18"/>
              </w:rPr>
            </w:pPr>
          </w:p>
        </w:tc>
        <w:tc>
          <w:tcPr>
            <w:tcW w:w="1191" w:type="dxa"/>
            <w:gridSpan w:val="2"/>
            <w:vMerge w:val="restart"/>
            <w:vAlign w:val="center"/>
          </w:tcPr>
          <w:p w14:paraId="434D78D2">
            <w:pPr>
              <w:spacing w:before="156" w:beforeLines="50" w:after="156" w:afterLines="50"/>
              <w:rPr>
                <w:sz w:val="18"/>
                <w:szCs w:val="18"/>
              </w:rPr>
            </w:pPr>
            <w:r>
              <w:rPr>
                <w:rFonts w:hint="eastAsia"/>
                <w:sz w:val="18"/>
                <w:szCs w:val="18"/>
              </w:rPr>
              <w:t>《中华人民共和国内河交通安全管理条例》第二十一条第二款</w:t>
            </w:r>
          </w:p>
        </w:tc>
        <w:tc>
          <w:tcPr>
            <w:tcW w:w="1380" w:type="dxa"/>
            <w:gridSpan w:val="2"/>
            <w:vMerge w:val="restart"/>
            <w:vAlign w:val="center"/>
          </w:tcPr>
          <w:p w14:paraId="42E4B6D4">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3A7B37BB">
            <w:pPr>
              <w:spacing w:before="156" w:beforeLines="50" w:after="156" w:afterLines="50"/>
              <w:jc w:val="left"/>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内河海事行政处罚规定》第十八条第一款和第三款第（四）项</w:t>
            </w:r>
            <w:r>
              <w:rPr>
                <w:rFonts w:hint="eastAsia" w:ascii="宋体"/>
                <w:b/>
                <w:sz w:val="18"/>
                <w:szCs w:val="18"/>
              </w:rPr>
              <w:t>；</w:t>
            </w:r>
          </w:p>
          <w:p w14:paraId="43FEF1F4">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1E8CA0F6">
            <w:pPr>
              <w:spacing w:before="156" w:beforeLines="50" w:after="156" w:afterLines="50"/>
              <w:rPr>
                <w:rFonts w:ascii="宋体"/>
                <w:sz w:val="18"/>
                <w:szCs w:val="18"/>
              </w:rPr>
            </w:pPr>
          </w:p>
        </w:tc>
        <w:tc>
          <w:tcPr>
            <w:tcW w:w="1072" w:type="dxa"/>
            <w:vAlign w:val="center"/>
          </w:tcPr>
          <w:p w14:paraId="32E2BA0D">
            <w:pPr>
              <w:spacing w:before="156" w:beforeLines="50" w:after="156" w:afterLines="50"/>
              <w:jc w:val="center"/>
              <w:rPr>
                <w:rFonts w:ascii="宋体"/>
                <w:sz w:val="18"/>
                <w:szCs w:val="18"/>
              </w:rPr>
            </w:pPr>
            <w:r>
              <w:rPr>
                <w:rFonts w:hint="eastAsia"/>
                <w:sz w:val="18"/>
                <w:szCs w:val="18"/>
              </w:rPr>
              <w:t>从轻</w:t>
            </w:r>
          </w:p>
        </w:tc>
        <w:tc>
          <w:tcPr>
            <w:tcW w:w="2029" w:type="dxa"/>
            <w:gridSpan w:val="3"/>
            <w:vAlign w:val="center"/>
          </w:tcPr>
          <w:p w14:paraId="0A1608D4">
            <w:pPr>
              <w:spacing w:before="156" w:beforeLines="50" w:after="156" w:afterLines="50"/>
              <w:rPr>
                <w:sz w:val="18"/>
                <w:szCs w:val="18"/>
              </w:rPr>
            </w:pPr>
            <w:r>
              <w:rPr>
                <w:rFonts w:hint="eastAsia"/>
                <w:sz w:val="18"/>
                <w:szCs w:val="18"/>
              </w:rPr>
              <w:t>具有法定从轻情节的。</w:t>
            </w:r>
          </w:p>
        </w:tc>
        <w:tc>
          <w:tcPr>
            <w:tcW w:w="2551" w:type="dxa"/>
            <w:vAlign w:val="center"/>
          </w:tcPr>
          <w:p w14:paraId="304A3022">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gridSpan w:val="2"/>
            <w:vAlign w:val="center"/>
          </w:tcPr>
          <w:p w14:paraId="68DF9256">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8" w:type="dxa"/>
            <w:gridSpan w:val="2"/>
            <w:vAlign w:val="center"/>
          </w:tcPr>
          <w:p w14:paraId="7B332667">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12" w:type="dxa"/>
            <w:gridSpan w:val="2"/>
            <w:vAlign w:val="center"/>
          </w:tcPr>
          <w:p w14:paraId="301DFA59">
            <w:pPr>
              <w:widowControl/>
              <w:spacing w:before="156" w:beforeLines="50" w:after="156" w:afterLines="50"/>
              <w:jc w:val="center"/>
              <w:rPr>
                <w:rFonts w:ascii="宋体"/>
                <w:kern w:val="0"/>
                <w:sz w:val="18"/>
                <w:szCs w:val="18"/>
              </w:rPr>
            </w:pPr>
            <w:r>
              <w:rPr>
                <w:rFonts w:ascii="宋体"/>
                <w:kern w:val="0"/>
                <w:sz w:val="18"/>
                <w:szCs w:val="18"/>
              </w:rPr>
              <w:t>/</w:t>
            </w:r>
          </w:p>
        </w:tc>
        <w:tc>
          <w:tcPr>
            <w:tcW w:w="1647" w:type="dxa"/>
            <w:vMerge w:val="restart"/>
            <w:vAlign w:val="center"/>
          </w:tcPr>
          <w:p w14:paraId="3E092EA0">
            <w:pPr>
              <w:spacing w:before="156" w:beforeLines="50" w:after="156" w:afterLines="50"/>
              <w:jc w:val="left"/>
              <w:rPr>
                <w:sz w:val="18"/>
                <w:szCs w:val="18"/>
              </w:rPr>
            </w:pPr>
            <w:r>
              <w:rPr>
                <w:rFonts w:hint="eastAsia"/>
                <w:sz w:val="18"/>
                <w:szCs w:val="18"/>
              </w:rPr>
              <w:t>1. 超核定的车辆数量10%以下：2</w:t>
            </w:r>
            <w:r>
              <w:rPr>
                <w:sz w:val="18"/>
                <w:szCs w:val="18"/>
              </w:rPr>
              <w:t>000</w:t>
            </w:r>
            <w:r>
              <w:rPr>
                <w:rFonts w:hint="eastAsia"/>
                <w:sz w:val="18"/>
                <w:szCs w:val="18"/>
              </w:rPr>
              <w:t>元及以上</w:t>
            </w:r>
            <w:r>
              <w:rPr>
                <w:sz w:val="18"/>
                <w:szCs w:val="18"/>
              </w:rPr>
              <w:t>4000</w:t>
            </w:r>
            <w:r>
              <w:rPr>
                <w:rFonts w:hint="eastAsia"/>
                <w:sz w:val="18"/>
                <w:szCs w:val="18"/>
              </w:rPr>
              <w:t>元以下；</w:t>
            </w:r>
          </w:p>
          <w:p w14:paraId="17B0D22F">
            <w:pPr>
              <w:spacing w:before="156" w:beforeLines="50" w:after="156" w:afterLines="50"/>
              <w:jc w:val="left"/>
              <w:rPr>
                <w:sz w:val="18"/>
                <w:szCs w:val="18"/>
              </w:rPr>
            </w:pPr>
            <w:r>
              <w:rPr>
                <w:rFonts w:hint="eastAsia" w:ascii="宋体"/>
                <w:kern w:val="0"/>
                <w:sz w:val="18"/>
                <w:szCs w:val="18"/>
              </w:rPr>
              <w:t>2.</w:t>
            </w:r>
            <w:r>
              <w:rPr>
                <w:rFonts w:hint="eastAsia"/>
                <w:sz w:val="18"/>
                <w:szCs w:val="18"/>
              </w:rPr>
              <w:t xml:space="preserve"> 超核定的车辆数量10%及以上20%以下：3</w:t>
            </w:r>
            <w:r>
              <w:rPr>
                <w:sz w:val="18"/>
                <w:szCs w:val="18"/>
              </w:rPr>
              <w:t>000</w:t>
            </w:r>
            <w:r>
              <w:rPr>
                <w:rFonts w:hint="eastAsia"/>
                <w:sz w:val="18"/>
                <w:szCs w:val="18"/>
              </w:rPr>
              <w:t>元及以上5</w:t>
            </w:r>
            <w:r>
              <w:rPr>
                <w:sz w:val="18"/>
                <w:szCs w:val="18"/>
              </w:rPr>
              <w:t>000</w:t>
            </w:r>
            <w:r>
              <w:rPr>
                <w:rFonts w:hint="eastAsia"/>
                <w:sz w:val="18"/>
                <w:szCs w:val="18"/>
              </w:rPr>
              <w:t>元以下；</w:t>
            </w:r>
          </w:p>
          <w:p w14:paraId="4838439F">
            <w:pPr>
              <w:spacing w:before="156" w:beforeLines="50" w:after="156" w:afterLines="50"/>
              <w:jc w:val="left"/>
              <w:rPr>
                <w:sz w:val="18"/>
                <w:szCs w:val="18"/>
              </w:rPr>
            </w:pPr>
            <w:r>
              <w:rPr>
                <w:rFonts w:hint="eastAsia"/>
                <w:sz w:val="18"/>
                <w:szCs w:val="18"/>
              </w:rPr>
              <w:t>3. 超核定的车辆数量20%及以上30%以下：4</w:t>
            </w:r>
            <w:r>
              <w:rPr>
                <w:sz w:val="18"/>
                <w:szCs w:val="18"/>
              </w:rPr>
              <w:t>000</w:t>
            </w:r>
            <w:r>
              <w:rPr>
                <w:rFonts w:hint="eastAsia"/>
                <w:sz w:val="18"/>
                <w:szCs w:val="18"/>
              </w:rPr>
              <w:t>元及以上1万元以下。</w:t>
            </w:r>
          </w:p>
        </w:tc>
        <w:tc>
          <w:tcPr>
            <w:tcW w:w="2761" w:type="dxa"/>
            <w:gridSpan w:val="2"/>
            <w:vMerge w:val="restart"/>
            <w:vAlign w:val="center"/>
          </w:tcPr>
          <w:p w14:paraId="35544608">
            <w:pPr>
              <w:spacing w:before="156" w:beforeLines="50" w:after="156" w:afterLines="50"/>
              <w:jc w:val="left"/>
              <w:rPr>
                <w:sz w:val="18"/>
                <w:szCs w:val="18"/>
              </w:rPr>
            </w:pPr>
            <w:r>
              <w:rPr>
                <w:sz w:val="18"/>
                <w:szCs w:val="18"/>
              </w:rPr>
              <w:t xml:space="preserve"> </w:t>
            </w:r>
            <w:r>
              <w:rPr>
                <w:rFonts w:hint="eastAsia"/>
                <w:sz w:val="18"/>
                <w:szCs w:val="18"/>
              </w:rPr>
              <w:t>1. 超核定的车辆数量10%以下：3</w:t>
            </w:r>
            <w:r>
              <w:rPr>
                <w:sz w:val="18"/>
                <w:szCs w:val="18"/>
              </w:rPr>
              <w:t>000</w:t>
            </w:r>
            <w:r>
              <w:rPr>
                <w:rFonts w:hint="eastAsia"/>
                <w:sz w:val="18"/>
                <w:szCs w:val="18"/>
              </w:rPr>
              <w:t>元及以上</w:t>
            </w:r>
            <w:r>
              <w:rPr>
                <w:sz w:val="18"/>
                <w:szCs w:val="18"/>
              </w:rPr>
              <w:t>5000</w:t>
            </w:r>
            <w:r>
              <w:rPr>
                <w:rFonts w:hint="eastAsia"/>
                <w:sz w:val="18"/>
                <w:szCs w:val="18"/>
              </w:rPr>
              <w:t>元以下；</w:t>
            </w:r>
          </w:p>
          <w:p w14:paraId="3C9635CE">
            <w:pPr>
              <w:spacing w:before="156" w:beforeLines="50" w:after="156" w:afterLines="50"/>
              <w:jc w:val="left"/>
              <w:rPr>
                <w:sz w:val="18"/>
                <w:szCs w:val="18"/>
              </w:rPr>
            </w:pPr>
            <w:r>
              <w:rPr>
                <w:rFonts w:hint="eastAsia" w:ascii="宋体"/>
                <w:kern w:val="0"/>
                <w:sz w:val="18"/>
                <w:szCs w:val="18"/>
              </w:rPr>
              <w:t>2.</w:t>
            </w:r>
            <w:r>
              <w:rPr>
                <w:rFonts w:hint="eastAsia"/>
                <w:sz w:val="18"/>
                <w:szCs w:val="18"/>
              </w:rPr>
              <w:t xml:space="preserve"> 超核定的车辆数量10%及以上20%以下：4</w:t>
            </w:r>
            <w:r>
              <w:rPr>
                <w:sz w:val="18"/>
                <w:szCs w:val="18"/>
              </w:rPr>
              <w:t>000</w:t>
            </w:r>
            <w:r>
              <w:rPr>
                <w:rFonts w:hint="eastAsia"/>
                <w:sz w:val="18"/>
                <w:szCs w:val="18"/>
              </w:rPr>
              <w:t>元及以上6</w:t>
            </w:r>
            <w:r>
              <w:rPr>
                <w:sz w:val="18"/>
                <w:szCs w:val="18"/>
              </w:rPr>
              <w:t>000</w:t>
            </w:r>
            <w:r>
              <w:rPr>
                <w:rFonts w:hint="eastAsia"/>
                <w:sz w:val="18"/>
                <w:szCs w:val="18"/>
              </w:rPr>
              <w:t>元以下；</w:t>
            </w:r>
          </w:p>
          <w:p w14:paraId="767208DA">
            <w:pPr>
              <w:spacing w:before="156" w:beforeLines="50" w:after="156" w:afterLines="50"/>
              <w:jc w:val="left"/>
              <w:rPr>
                <w:sz w:val="18"/>
                <w:szCs w:val="18"/>
              </w:rPr>
            </w:pPr>
            <w:r>
              <w:rPr>
                <w:rFonts w:hint="eastAsia"/>
                <w:sz w:val="18"/>
                <w:szCs w:val="18"/>
              </w:rPr>
              <w:t>3. 超核定的车辆数量20%及以上30%以下：6</w:t>
            </w:r>
            <w:r>
              <w:rPr>
                <w:sz w:val="18"/>
                <w:szCs w:val="18"/>
              </w:rPr>
              <w:t>000</w:t>
            </w:r>
            <w:r>
              <w:rPr>
                <w:rFonts w:hint="eastAsia"/>
                <w:sz w:val="18"/>
                <w:szCs w:val="18"/>
              </w:rPr>
              <w:t>元及以上2万元以下。</w:t>
            </w:r>
          </w:p>
        </w:tc>
      </w:tr>
      <w:tr w14:paraId="6A72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90" w:type="dxa"/>
            <w:gridSpan w:val="2"/>
            <w:vMerge w:val="continue"/>
          </w:tcPr>
          <w:p w14:paraId="359CE681">
            <w:pPr>
              <w:spacing w:before="156" w:beforeLines="50" w:after="156" w:afterLines="50"/>
              <w:jc w:val="left"/>
              <w:rPr>
                <w:sz w:val="18"/>
                <w:szCs w:val="18"/>
              </w:rPr>
            </w:pPr>
          </w:p>
        </w:tc>
        <w:tc>
          <w:tcPr>
            <w:tcW w:w="976" w:type="dxa"/>
            <w:vMerge w:val="continue"/>
            <w:vAlign w:val="center"/>
          </w:tcPr>
          <w:p w14:paraId="0C7FEFE6">
            <w:pPr>
              <w:spacing w:before="156" w:beforeLines="50" w:after="156" w:afterLines="50"/>
              <w:jc w:val="left"/>
              <w:rPr>
                <w:sz w:val="18"/>
                <w:szCs w:val="18"/>
              </w:rPr>
            </w:pPr>
          </w:p>
        </w:tc>
        <w:tc>
          <w:tcPr>
            <w:tcW w:w="1191" w:type="dxa"/>
            <w:gridSpan w:val="2"/>
            <w:vMerge w:val="continue"/>
            <w:vAlign w:val="center"/>
          </w:tcPr>
          <w:p w14:paraId="11E1A106">
            <w:pPr>
              <w:spacing w:before="156" w:beforeLines="50" w:after="156" w:afterLines="50"/>
              <w:jc w:val="left"/>
              <w:rPr>
                <w:sz w:val="18"/>
                <w:szCs w:val="18"/>
              </w:rPr>
            </w:pPr>
          </w:p>
        </w:tc>
        <w:tc>
          <w:tcPr>
            <w:tcW w:w="1380" w:type="dxa"/>
            <w:gridSpan w:val="2"/>
            <w:vMerge w:val="continue"/>
            <w:vAlign w:val="center"/>
          </w:tcPr>
          <w:p w14:paraId="1EE8E429">
            <w:pPr>
              <w:spacing w:before="156" w:beforeLines="50" w:after="156" w:afterLines="50"/>
              <w:jc w:val="left"/>
              <w:rPr>
                <w:sz w:val="18"/>
                <w:szCs w:val="18"/>
              </w:rPr>
            </w:pPr>
          </w:p>
        </w:tc>
        <w:tc>
          <w:tcPr>
            <w:tcW w:w="1072" w:type="dxa"/>
            <w:vMerge w:val="restart"/>
            <w:vAlign w:val="center"/>
          </w:tcPr>
          <w:p w14:paraId="37221B89">
            <w:pPr>
              <w:spacing w:before="156" w:beforeLines="50" w:after="156" w:afterLines="50"/>
              <w:jc w:val="center"/>
              <w:rPr>
                <w:sz w:val="18"/>
                <w:szCs w:val="18"/>
              </w:rPr>
            </w:pPr>
            <w:r>
              <w:rPr>
                <w:rFonts w:hint="eastAsia"/>
                <w:sz w:val="18"/>
                <w:szCs w:val="18"/>
              </w:rPr>
              <w:t>一般</w:t>
            </w:r>
          </w:p>
          <w:p w14:paraId="055C8B8F">
            <w:pPr>
              <w:spacing w:before="156" w:beforeLines="50" w:after="156" w:afterLines="50"/>
              <w:jc w:val="center"/>
              <w:rPr>
                <w:sz w:val="18"/>
                <w:szCs w:val="18"/>
              </w:rPr>
            </w:pPr>
          </w:p>
        </w:tc>
        <w:tc>
          <w:tcPr>
            <w:tcW w:w="2029" w:type="dxa"/>
            <w:gridSpan w:val="3"/>
            <w:vAlign w:val="center"/>
          </w:tcPr>
          <w:p w14:paraId="4B060017">
            <w:pPr>
              <w:spacing w:before="156" w:beforeLines="50" w:after="156" w:afterLines="50"/>
              <w:jc w:val="left"/>
              <w:rPr>
                <w:sz w:val="18"/>
                <w:szCs w:val="18"/>
              </w:rPr>
            </w:pPr>
            <w:r>
              <w:rPr>
                <w:rFonts w:hint="eastAsia"/>
                <w:sz w:val="18"/>
                <w:szCs w:val="18"/>
              </w:rPr>
              <w:t>超核定的车辆数量20%以下。</w:t>
            </w:r>
          </w:p>
        </w:tc>
        <w:tc>
          <w:tcPr>
            <w:tcW w:w="2551" w:type="dxa"/>
            <w:vAlign w:val="center"/>
          </w:tcPr>
          <w:p w14:paraId="785BA820">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gridSpan w:val="2"/>
            <w:vAlign w:val="center"/>
          </w:tcPr>
          <w:p w14:paraId="10184650">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8" w:type="dxa"/>
            <w:gridSpan w:val="2"/>
            <w:vAlign w:val="center"/>
          </w:tcPr>
          <w:p w14:paraId="5435F6AA">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912" w:type="dxa"/>
            <w:gridSpan w:val="2"/>
            <w:vAlign w:val="center"/>
          </w:tcPr>
          <w:p w14:paraId="10176903">
            <w:pPr>
              <w:spacing w:before="156" w:beforeLines="50" w:after="156" w:afterLines="50"/>
              <w:jc w:val="center"/>
              <w:rPr>
                <w:sz w:val="18"/>
                <w:szCs w:val="18"/>
              </w:rPr>
            </w:pPr>
            <w:r>
              <w:rPr>
                <w:rFonts w:ascii="宋体"/>
                <w:kern w:val="0"/>
                <w:sz w:val="18"/>
                <w:szCs w:val="18"/>
              </w:rPr>
              <w:t>/</w:t>
            </w:r>
          </w:p>
        </w:tc>
        <w:tc>
          <w:tcPr>
            <w:tcW w:w="1647" w:type="dxa"/>
            <w:vMerge w:val="continue"/>
            <w:vAlign w:val="center"/>
          </w:tcPr>
          <w:p w14:paraId="5FD1132D">
            <w:pPr>
              <w:spacing w:before="156" w:beforeLines="50" w:after="156" w:afterLines="50"/>
              <w:jc w:val="left"/>
              <w:rPr>
                <w:sz w:val="18"/>
                <w:szCs w:val="18"/>
              </w:rPr>
            </w:pPr>
          </w:p>
        </w:tc>
        <w:tc>
          <w:tcPr>
            <w:tcW w:w="2761" w:type="dxa"/>
            <w:gridSpan w:val="2"/>
            <w:vMerge w:val="continue"/>
            <w:vAlign w:val="center"/>
          </w:tcPr>
          <w:p w14:paraId="44F187B7">
            <w:pPr>
              <w:spacing w:before="156" w:beforeLines="50" w:after="156" w:afterLines="50"/>
              <w:jc w:val="left"/>
              <w:rPr>
                <w:sz w:val="18"/>
                <w:szCs w:val="18"/>
              </w:rPr>
            </w:pPr>
          </w:p>
        </w:tc>
      </w:tr>
      <w:tr w14:paraId="5E87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0" w:type="dxa"/>
            <w:gridSpan w:val="2"/>
            <w:vMerge w:val="continue"/>
          </w:tcPr>
          <w:p w14:paraId="628E9613">
            <w:pPr>
              <w:spacing w:before="156" w:beforeLines="50" w:after="156" w:afterLines="50"/>
              <w:jc w:val="left"/>
              <w:rPr>
                <w:sz w:val="18"/>
                <w:szCs w:val="18"/>
              </w:rPr>
            </w:pPr>
          </w:p>
        </w:tc>
        <w:tc>
          <w:tcPr>
            <w:tcW w:w="976" w:type="dxa"/>
            <w:vMerge w:val="continue"/>
            <w:vAlign w:val="center"/>
          </w:tcPr>
          <w:p w14:paraId="2675F2F9">
            <w:pPr>
              <w:spacing w:before="156" w:beforeLines="50" w:after="156" w:afterLines="50"/>
              <w:jc w:val="left"/>
              <w:rPr>
                <w:sz w:val="18"/>
                <w:szCs w:val="18"/>
              </w:rPr>
            </w:pPr>
          </w:p>
        </w:tc>
        <w:tc>
          <w:tcPr>
            <w:tcW w:w="1191" w:type="dxa"/>
            <w:gridSpan w:val="2"/>
            <w:vMerge w:val="continue"/>
            <w:vAlign w:val="center"/>
          </w:tcPr>
          <w:p w14:paraId="5D7C6CC4">
            <w:pPr>
              <w:spacing w:before="156" w:beforeLines="50" w:after="156" w:afterLines="50"/>
              <w:jc w:val="left"/>
              <w:rPr>
                <w:sz w:val="18"/>
                <w:szCs w:val="18"/>
              </w:rPr>
            </w:pPr>
          </w:p>
        </w:tc>
        <w:tc>
          <w:tcPr>
            <w:tcW w:w="1380" w:type="dxa"/>
            <w:gridSpan w:val="2"/>
            <w:vMerge w:val="continue"/>
            <w:vAlign w:val="center"/>
          </w:tcPr>
          <w:p w14:paraId="1E79E644">
            <w:pPr>
              <w:spacing w:before="156" w:beforeLines="50" w:after="156" w:afterLines="50"/>
              <w:jc w:val="left"/>
              <w:rPr>
                <w:sz w:val="18"/>
                <w:szCs w:val="18"/>
              </w:rPr>
            </w:pPr>
          </w:p>
        </w:tc>
        <w:tc>
          <w:tcPr>
            <w:tcW w:w="1072" w:type="dxa"/>
            <w:vMerge w:val="continue"/>
            <w:vAlign w:val="center"/>
          </w:tcPr>
          <w:p w14:paraId="6CECE4AB">
            <w:pPr>
              <w:spacing w:before="156" w:beforeLines="50" w:after="156" w:afterLines="50"/>
              <w:jc w:val="center"/>
              <w:rPr>
                <w:sz w:val="18"/>
                <w:szCs w:val="18"/>
              </w:rPr>
            </w:pPr>
          </w:p>
        </w:tc>
        <w:tc>
          <w:tcPr>
            <w:tcW w:w="2029" w:type="dxa"/>
            <w:gridSpan w:val="3"/>
            <w:vAlign w:val="center"/>
          </w:tcPr>
          <w:p w14:paraId="78BAC872">
            <w:pPr>
              <w:spacing w:before="156" w:beforeLines="50" w:after="156" w:afterLines="50"/>
              <w:jc w:val="left"/>
              <w:rPr>
                <w:sz w:val="18"/>
                <w:szCs w:val="18"/>
              </w:rPr>
            </w:pPr>
            <w:r>
              <w:rPr>
                <w:rFonts w:hint="eastAsia"/>
                <w:sz w:val="18"/>
                <w:szCs w:val="18"/>
              </w:rPr>
              <w:t>超核定的车辆数量20%及以上。</w:t>
            </w:r>
          </w:p>
        </w:tc>
        <w:tc>
          <w:tcPr>
            <w:tcW w:w="2551" w:type="dxa"/>
            <w:vAlign w:val="center"/>
          </w:tcPr>
          <w:p w14:paraId="551D3726">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410" w:type="dxa"/>
            <w:gridSpan w:val="2"/>
            <w:vAlign w:val="center"/>
          </w:tcPr>
          <w:p w14:paraId="5BC599AF">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3.5</w:t>
            </w:r>
            <w:r>
              <w:rPr>
                <w:rFonts w:hint="eastAsia"/>
                <w:sz w:val="18"/>
                <w:szCs w:val="18"/>
              </w:rPr>
              <w:t>万元以下</w:t>
            </w:r>
          </w:p>
        </w:tc>
        <w:tc>
          <w:tcPr>
            <w:tcW w:w="2268" w:type="dxa"/>
            <w:gridSpan w:val="2"/>
            <w:vAlign w:val="center"/>
          </w:tcPr>
          <w:p w14:paraId="7B53FCF6">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1912" w:type="dxa"/>
            <w:gridSpan w:val="2"/>
            <w:vAlign w:val="center"/>
          </w:tcPr>
          <w:p w14:paraId="582A21F2">
            <w:pPr>
              <w:spacing w:before="156" w:beforeLines="50" w:after="156" w:afterLines="50"/>
              <w:jc w:val="center"/>
              <w:rPr>
                <w:sz w:val="18"/>
                <w:szCs w:val="18"/>
              </w:rPr>
            </w:pPr>
            <w:r>
              <w:rPr>
                <w:rFonts w:ascii="宋体"/>
                <w:kern w:val="0"/>
                <w:sz w:val="18"/>
                <w:szCs w:val="18"/>
              </w:rPr>
              <w:t>/</w:t>
            </w:r>
          </w:p>
        </w:tc>
        <w:tc>
          <w:tcPr>
            <w:tcW w:w="1647" w:type="dxa"/>
            <w:vMerge w:val="continue"/>
            <w:vAlign w:val="center"/>
          </w:tcPr>
          <w:p w14:paraId="707AA1E9">
            <w:pPr>
              <w:spacing w:before="156" w:beforeLines="50" w:after="156" w:afterLines="50"/>
              <w:jc w:val="left"/>
              <w:rPr>
                <w:sz w:val="18"/>
                <w:szCs w:val="18"/>
              </w:rPr>
            </w:pPr>
          </w:p>
        </w:tc>
        <w:tc>
          <w:tcPr>
            <w:tcW w:w="2761" w:type="dxa"/>
            <w:gridSpan w:val="2"/>
            <w:vMerge w:val="continue"/>
            <w:vAlign w:val="center"/>
          </w:tcPr>
          <w:p w14:paraId="611F52D4">
            <w:pPr>
              <w:spacing w:before="156" w:beforeLines="50" w:after="156" w:afterLines="50"/>
              <w:jc w:val="left"/>
              <w:rPr>
                <w:sz w:val="18"/>
                <w:szCs w:val="18"/>
              </w:rPr>
            </w:pPr>
          </w:p>
        </w:tc>
      </w:tr>
      <w:tr w14:paraId="24CF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0" w:type="dxa"/>
            <w:gridSpan w:val="2"/>
            <w:vMerge w:val="continue"/>
          </w:tcPr>
          <w:p w14:paraId="75E6F03A">
            <w:pPr>
              <w:spacing w:before="156" w:beforeLines="50" w:after="156" w:afterLines="50"/>
              <w:jc w:val="left"/>
              <w:rPr>
                <w:sz w:val="18"/>
                <w:szCs w:val="18"/>
              </w:rPr>
            </w:pPr>
          </w:p>
        </w:tc>
        <w:tc>
          <w:tcPr>
            <w:tcW w:w="976" w:type="dxa"/>
            <w:vMerge w:val="continue"/>
            <w:vAlign w:val="center"/>
          </w:tcPr>
          <w:p w14:paraId="26655FA2">
            <w:pPr>
              <w:spacing w:before="156" w:beforeLines="50" w:after="156" w:afterLines="50"/>
              <w:jc w:val="left"/>
              <w:rPr>
                <w:sz w:val="18"/>
                <w:szCs w:val="18"/>
              </w:rPr>
            </w:pPr>
          </w:p>
        </w:tc>
        <w:tc>
          <w:tcPr>
            <w:tcW w:w="1191" w:type="dxa"/>
            <w:gridSpan w:val="2"/>
            <w:vMerge w:val="continue"/>
            <w:vAlign w:val="center"/>
          </w:tcPr>
          <w:p w14:paraId="6B7E1FB7">
            <w:pPr>
              <w:spacing w:before="156" w:beforeLines="50" w:after="156" w:afterLines="50"/>
              <w:jc w:val="left"/>
              <w:rPr>
                <w:sz w:val="18"/>
                <w:szCs w:val="18"/>
              </w:rPr>
            </w:pPr>
          </w:p>
        </w:tc>
        <w:tc>
          <w:tcPr>
            <w:tcW w:w="1380" w:type="dxa"/>
            <w:gridSpan w:val="2"/>
            <w:vMerge w:val="continue"/>
            <w:vAlign w:val="center"/>
          </w:tcPr>
          <w:p w14:paraId="20E93B3A">
            <w:pPr>
              <w:spacing w:before="156" w:beforeLines="50" w:after="156" w:afterLines="50"/>
              <w:jc w:val="left"/>
              <w:rPr>
                <w:sz w:val="18"/>
                <w:szCs w:val="18"/>
              </w:rPr>
            </w:pPr>
          </w:p>
        </w:tc>
        <w:tc>
          <w:tcPr>
            <w:tcW w:w="1072" w:type="dxa"/>
            <w:vMerge w:val="continue"/>
            <w:vAlign w:val="center"/>
          </w:tcPr>
          <w:p w14:paraId="78DE0111">
            <w:pPr>
              <w:spacing w:before="156" w:beforeLines="50" w:after="156" w:afterLines="50"/>
              <w:jc w:val="center"/>
              <w:rPr>
                <w:sz w:val="18"/>
                <w:szCs w:val="18"/>
              </w:rPr>
            </w:pPr>
          </w:p>
        </w:tc>
        <w:tc>
          <w:tcPr>
            <w:tcW w:w="2029" w:type="dxa"/>
            <w:gridSpan w:val="3"/>
            <w:vAlign w:val="center"/>
          </w:tcPr>
          <w:p w14:paraId="00AF0E89">
            <w:pPr>
              <w:spacing w:before="156" w:beforeLines="50" w:after="156" w:afterLines="50"/>
              <w:jc w:val="left"/>
              <w:rPr>
                <w:rFonts w:ascii="宋体"/>
                <w:kern w:val="0"/>
                <w:sz w:val="18"/>
                <w:szCs w:val="18"/>
              </w:rPr>
            </w:pPr>
            <w:r>
              <w:rPr>
                <w:rFonts w:hint="eastAsia" w:ascii="宋体"/>
                <w:sz w:val="18"/>
                <w:szCs w:val="18"/>
              </w:rPr>
              <w:t>因超载运输，发生一般以下水上交通事故。</w:t>
            </w:r>
          </w:p>
        </w:tc>
        <w:tc>
          <w:tcPr>
            <w:tcW w:w="2551" w:type="dxa"/>
            <w:vAlign w:val="center"/>
          </w:tcPr>
          <w:p w14:paraId="1B621821">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w:t>
            </w:r>
            <w:r>
              <w:rPr>
                <w:rFonts w:hint="eastAsia"/>
                <w:sz w:val="18"/>
                <w:szCs w:val="18"/>
              </w:rPr>
              <w:t>万元以下</w:t>
            </w:r>
          </w:p>
        </w:tc>
        <w:tc>
          <w:tcPr>
            <w:tcW w:w="2410" w:type="dxa"/>
            <w:gridSpan w:val="2"/>
            <w:vAlign w:val="center"/>
          </w:tcPr>
          <w:p w14:paraId="00F2EBC5">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4.5</w:t>
            </w:r>
            <w:r>
              <w:rPr>
                <w:rFonts w:hint="eastAsia"/>
                <w:sz w:val="18"/>
                <w:szCs w:val="18"/>
              </w:rPr>
              <w:t>万元以下</w:t>
            </w:r>
          </w:p>
        </w:tc>
        <w:tc>
          <w:tcPr>
            <w:tcW w:w="2268" w:type="dxa"/>
            <w:gridSpan w:val="2"/>
            <w:vAlign w:val="center"/>
          </w:tcPr>
          <w:p w14:paraId="487F142F">
            <w:pPr>
              <w:spacing w:before="156" w:beforeLines="50" w:after="156" w:afterLines="50"/>
              <w:jc w:val="left"/>
              <w:rPr>
                <w:sz w:val="18"/>
                <w:szCs w:val="18"/>
              </w:rPr>
            </w:pPr>
            <w:r>
              <w:rPr>
                <w:rFonts w:hint="eastAsia"/>
                <w:sz w:val="18"/>
                <w:szCs w:val="18"/>
              </w:rPr>
              <w:t>4万元及以上</w:t>
            </w:r>
            <w:r>
              <w:rPr>
                <w:sz w:val="18"/>
                <w:szCs w:val="18"/>
              </w:rPr>
              <w:t>5</w:t>
            </w:r>
            <w:r>
              <w:rPr>
                <w:rFonts w:hint="eastAsia"/>
                <w:sz w:val="18"/>
                <w:szCs w:val="18"/>
              </w:rPr>
              <w:t>万元以下</w:t>
            </w:r>
          </w:p>
        </w:tc>
        <w:tc>
          <w:tcPr>
            <w:tcW w:w="1912" w:type="dxa"/>
            <w:gridSpan w:val="2"/>
            <w:vAlign w:val="center"/>
          </w:tcPr>
          <w:p w14:paraId="55C8D719">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1647" w:type="dxa"/>
            <w:vMerge w:val="continue"/>
          </w:tcPr>
          <w:p w14:paraId="4FFB6EB2">
            <w:pPr>
              <w:spacing w:before="156" w:beforeLines="50" w:after="156" w:afterLines="50"/>
              <w:jc w:val="left"/>
              <w:rPr>
                <w:sz w:val="18"/>
                <w:szCs w:val="18"/>
              </w:rPr>
            </w:pPr>
          </w:p>
        </w:tc>
        <w:tc>
          <w:tcPr>
            <w:tcW w:w="2761" w:type="dxa"/>
            <w:gridSpan w:val="2"/>
            <w:vMerge w:val="continue"/>
          </w:tcPr>
          <w:p w14:paraId="522B050C">
            <w:pPr>
              <w:spacing w:before="156" w:beforeLines="50" w:after="156" w:afterLines="50"/>
              <w:jc w:val="left"/>
              <w:rPr>
                <w:sz w:val="18"/>
                <w:szCs w:val="18"/>
              </w:rPr>
            </w:pPr>
          </w:p>
        </w:tc>
      </w:tr>
      <w:tr w14:paraId="7A14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0" w:type="dxa"/>
            <w:gridSpan w:val="2"/>
            <w:vMerge w:val="continue"/>
          </w:tcPr>
          <w:p w14:paraId="0197D491">
            <w:pPr>
              <w:spacing w:before="156" w:beforeLines="50" w:after="156" w:afterLines="50"/>
              <w:jc w:val="left"/>
              <w:rPr>
                <w:sz w:val="18"/>
                <w:szCs w:val="18"/>
              </w:rPr>
            </w:pPr>
          </w:p>
        </w:tc>
        <w:tc>
          <w:tcPr>
            <w:tcW w:w="976" w:type="dxa"/>
            <w:vMerge w:val="continue"/>
            <w:vAlign w:val="center"/>
          </w:tcPr>
          <w:p w14:paraId="214237F5">
            <w:pPr>
              <w:spacing w:before="156" w:beforeLines="50" w:after="156" w:afterLines="50"/>
              <w:jc w:val="left"/>
              <w:rPr>
                <w:sz w:val="18"/>
                <w:szCs w:val="18"/>
              </w:rPr>
            </w:pPr>
          </w:p>
        </w:tc>
        <w:tc>
          <w:tcPr>
            <w:tcW w:w="1191" w:type="dxa"/>
            <w:gridSpan w:val="2"/>
            <w:vMerge w:val="continue"/>
            <w:vAlign w:val="center"/>
          </w:tcPr>
          <w:p w14:paraId="5D1C2FA5">
            <w:pPr>
              <w:spacing w:before="156" w:beforeLines="50" w:after="156" w:afterLines="50"/>
              <w:jc w:val="left"/>
              <w:rPr>
                <w:sz w:val="18"/>
                <w:szCs w:val="18"/>
              </w:rPr>
            </w:pPr>
          </w:p>
        </w:tc>
        <w:tc>
          <w:tcPr>
            <w:tcW w:w="1380" w:type="dxa"/>
            <w:gridSpan w:val="2"/>
            <w:vMerge w:val="continue"/>
            <w:vAlign w:val="center"/>
          </w:tcPr>
          <w:p w14:paraId="71C682EB">
            <w:pPr>
              <w:spacing w:before="156" w:beforeLines="50" w:after="156" w:afterLines="50"/>
              <w:jc w:val="left"/>
              <w:rPr>
                <w:sz w:val="18"/>
                <w:szCs w:val="18"/>
              </w:rPr>
            </w:pPr>
          </w:p>
        </w:tc>
        <w:tc>
          <w:tcPr>
            <w:tcW w:w="1072" w:type="dxa"/>
            <w:vMerge w:val="continue"/>
            <w:vAlign w:val="center"/>
          </w:tcPr>
          <w:p w14:paraId="3F2D6FC2">
            <w:pPr>
              <w:spacing w:before="156" w:beforeLines="50" w:after="156" w:afterLines="50"/>
              <w:jc w:val="center"/>
              <w:rPr>
                <w:sz w:val="18"/>
                <w:szCs w:val="18"/>
              </w:rPr>
            </w:pPr>
          </w:p>
        </w:tc>
        <w:tc>
          <w:tcPr>
            <w:tcW w:w="2029" w:type="dxa"/>
            <w:gridSpan w:val="3"/>
            <w:tcBorders>
              <w:bottom w:val="single" w:color="auto" w:sz="4" w:space="0"/>
            </w:tcBorders>
            <w:vAlign w:val="center"/>
          </w:tcPr>
          <w:p w14:paraId="75A520A2">
            <w:pPr>
              <w:spacing w:before="156" w:beforeLines="50" w:after="156" w:afterLines="50"/>
              <w:jc w:val="left"/>
              <w:rPr>
                <w:sz w:val="18"/>
                <w:szCs w:val="18"/>
              </w:rPr>
            </w:pPr>
            <w:r>
              <w:rPr>
                <w:rFonts w:hint="eastAsia"/>
                <w:sz w:val="18"/>
                <w:szCs w:val="18"/>
              </w:rPr>
              <w:t>因超载运输，发生一般</w:t>
            </w:r>
            <w:r>
              <w:rPr>
                <w:rFonts w:hint="eastAsia" w:ascii="宋体"/>
                <w:sz w:val="18"/>
                <w:szCs w:val="18"/>
              </w:rPr>
              <w:t>及</w:t>
            </w:r>
            <w:r>
              <w:rPr>
                <w:rFonts w:hint="eastAsia"/>
                <w:sz w:val="18"/>
                <w:szCs w:val="18"/>
              </w:rPr>
              <w:t>以上水上交通事故。</w:t>
            </w:r>
          </w:p>
        </w:tc>
        <w:tc>
          <w:tcPr>
            <w:tcW w:w="2551" w:type="dxa"/>
            <w:tcBorders>
              <w:bottom w:val="single" w:color="auto" w:sz="4" w:space="0"/>
            </w:tcBorders>
            <w:vAlign w:val="center"/>
          </w:tcPr>
          <w:p w14:paraId="32E7B79F">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410" w:type="dxa"/>
            <w:gridSpan w:val="2"/>
            <w:tcBorders>
              <w:bottom w:val="single" w:color="auto" w:sz="4" w:space="0"/>
            </w:tcBorders>
            <w:vAlign w:val="center"/>
          </w:tcPr>
          <w:p w14:paraId="3D8704B2">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268" w:type="dxa"/>
            <w:gridSpan w:val="2"/>
            <w:tcBorders>
              <w:bottom w:val="single" w:color="auto" w:sz="4" w:space="0"/>
            </w:tcBorders>
            <w:vAlign w:val="center"/>
          </w:tcPr>
          <w:p w14:paraId="0D749B1E">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912" w:type="dxa"/>
            <w:gridSpan w:val="2"/>
            <w:tcBorders>
              <w:bottom w:val="single" w:color="auto" w:sz="4" w:space="0"/>
            </w:tcBorders>
            <w:vAlign w:val="center"/>
          </w:tcPr>
          <w:p w14:paraId="349D187D">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1647" w:type="dxa"/>
            <w:vMerge w:val="continue"/>
          </w:tcPr>
          <w:p w14:paraId="69617AC0">
            <w:pPr>
              <w:spacing w:before="156" w:beforeLines="50" w:after="156" w:afterLines="50"/>
              <w:jc w:val="left"/>
              <w:rPr>
                <w:sz w:val="18"/>
                <w:szCs w:val="18"/>
              </w:rPr>
            </w:pPr>
          </w:p>
        </w:tc>
        <w:tc>
          <w:tcPr>
            <w:tcW w:w="2761" w:type="dxa"/>
            <w:gridSpan w:val="2"/>
            <w:vMerge w:val="continue"/>
          </w:tcPr>
          <w:p w14:paraId="0954F3CB">
            <w:pPr>
              <w:spacing w:before="156" w:beforeLines="50" w:after="156" w:afterLines="50"/>
              <w:jc w:val="left"/>
              <w:rPr>
                <w:sz w:val="18"/>
                <w:szCs w:val="18"/>
              </w:rPr>
            </w:pPr>
          </w:p>
        </w:tc>
      </w:tr>
      <w:tr w14:paraId="55014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33" w:hRule="atLeast"/>
        </w:trPr>
        <w:tc>
          <w:tcPr>
            <w:tcW w:w="684" w:type="dxa"/>
            <w:vMerge w:val="restart"/>
            <w:vAlign w:val="center"/>
          </w:tcPr>
          <w:p w14:paraId="4E404854">
            <w:pPr>
              <w:spacing w:before="156" w:beforeLines="50" w:after="156" w:afterLines="50"/>
              <w:jc w:val="center"/>
              <w:rPr>
                <w:rFonts w:ascii="宋体"/>
                <w:b/>
                <w:kern w:val="0"/>
                <w:sz w:val="18"/>
                <w:szCs w:val="18"/>
              </w:rPr>
            </w:pPr>
            <w:r>
              <w:rPr>
                <w:b/>
                <w:sz w:val="18"/>
                <w:szCs w:val="18"/>
              </w:rPr>
              <w:br w:type="page"/>
            </w:r>
            <w:r>
              <w:rPr>
                <w:rFonts w:hint="eastAsia" w:ascii="宋体"/>
                <w:b/>
                <w:kern w:val="0"/>
                <w:sz w:val="18"/>
                <w:szCs w:val="18"/>
              </w:rPr>
              <w:t>序号</w:t>
            </w:r>
          </w:p>
        </w:tc>
        <w:tc>
          <w:tcPr>
            <w:tcW w:w="1409" w:type="dxa"/>
            <w:gridSpan w:val="3"/>
            <w:vMerge w:val="restart"/>
            <w:vAlign w:val="center"/>
          </w:tcPr>
          <w:p w14:paraId="6F02B19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5"/>
            <w:vMerge w:val="restart"/>
            <w:vAlign w:val="center"/>
          </w:tcPr>
          <w:p w14:paraId="4CC3AE63">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vMerge w:val="restart"/>
            <w:vAlign w:val="center"/>
          </w:tcPr>
          <w:p w14:paraId="04C427DF">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gridSpan w:val="3"/>
            <w:vMerge w:val="restart"/>
            <w:vAlign w:val="center"/>
          </w:tcPr>
          <w:p w14:paraId="40A105F7">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486" w:type="dxa"/>
            <w:gridSpan w:val="7"/>
            <w:tcBorders>
              <w:bottom w:val="single" w:color="auto" w:sz="4" w:space="0"/>
              <w:right w:val="single" w:color="auto" w:sz="4" w:space="0"/>
            </w:tcBorders>
            <w:vAlign w:val="center"/>
          </w:tcPr>
          <w:p w14:paraId="0CD25116">
            <w:pPr>
              <w:spacing w:before="156" w:beforeLines="50" w:after="156" w:afterLines="50"/>
              <w:jc w:val="left"/>
              <w:rPr>
                <w:rFonts w:ascii="宋体"/>
                <w:b/>
                <w:kern w:val="0"/>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个月以上直至吊销适任证书或者其他适任证件的处罚，并对超载运输的船舶强制卸载，因卸载而发生的卸货费、存货费、旅客安置费和船舶监管费由船舶经营人或所有人承担。</w:t>
            </w:r>
          </w:p>
        </w:tc>
      </w:tr>
      <w:tr w14:paraId="1A1D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54E03A49">
            <w:pPr>
              <w:spacing w:before="156" w:beforeLines="50" w:after="156" w:afterLines="50"/>
              <w:jc w:val="left"/>
              <w:rPr>
                <w:rFonts w:ascii="宋体"/>
                <w:b/>
                <w:kern w:val="0"/>
                <w:sz w:val="18"/>
                <w:szCs w:val="18"/>
              </w:rPr>
            </w:pPr>
          </w:p>
        </w:tc>
        <w:tc>
          <w:tcPr>
            <w:tcW w:w="1409" w:type="dxa"/>
            <w:gridSpan w:val="3"/>
            <w:vMerge w:val="continue"/>
          </w:tcPr>
          <w:p w14:paraId="6427A42B">
            <w:pPr>
              <w:spacing w:before="156" w:beforeLines="50" w:after="156" w:afterLines="50"/>
              <w:jc w:val="left"/>
              <w:rPr>
                <w:rFonts w:ascii="宋体"/>
                <w:b/>
                <w:kern w:val="0"/>
                <w:sz w:val="18"/>
                <w:szCs w:val="18"/>
              </w:rPr>
            </w:pPr>
          </w:p>
        </w:tc>
        <w:tc>
          <w:tcPr>
            <w:tcW w:w="3969" w:type="dxa"/>
            <w:gridSpan w:val="5"/>
            <w:vMerge w:val="continue"/>
            <w:vAlign w:val="center"/>
          </w:tcPr>
          <w:p w14:paraId="3C8F359A">
            <w:pPr>
              <w:spacing w:before="156" w:beforeLines="50" w:after="156" w:afterLines="50"/>
              <w:jc w:val="left"/>
              <w:rPr>
                <w:rFonts w:ascii="宋体"/>
                <w:b/>
                <w:kern w:val="0"/>
                <w:sz w:val="18"/>
                <w:szCs w:val="18"/>
              </w:rPr>
            </w:pPr>
          </w:p>
        </w:tc>
        <w:tc>
          <w:tcPr>
            <w:tcW w:w="656" w:type="dxa"/>
            <w:vMerge w:val="continue"/>
            <w:vAlign w:val="center"/>
          </w:tcPr>
          <w:p w14:paraId="331BED2D">
            <w:pPr>
              <w:spacing w:before="156" w:beforeLines="50" w:after="156" w:afterLines="50"/>
              <w:jc w:val="left"/>
              <w:rPr>
                <w:rFonts w:ascii="宋体"/>
                <w:b/>
                <w:kern w:val="0"/>
                <w:sz w:val="18"/>
                <w:szCs w:val="18"/>
              </w:rPr>
            </w:pPr>
          </w:p>
        </w:tc>
        <w:tc>
          <w:tcPr>
            <w:tcW w:w="3666" w:type="dxa"/>
            <w:gridSpan w:val="3"/>
            <w:vMerge w:val="continue"/>
            <w:vAlign w:val="center"/>
          </w:tcPr>
          <w:p w14:paraId="64C788A3">
            <w:pPr>
              <w:spacing w:before="156" w:beforeLines="50" w:after="156" w:afterLines="50"/>
              <w:jc w:val="left"/>
              <w:rPr>
                <w:rFonts w:ascii="宋体"/>
                <w:b/>
                <w:kern w:val="0"/>
                <w:sz w:val="18"/>
                <w:szCs w:val="18"/>
              </w:rPr>
            </w:pPr>
          </w:p>
        </w:tc>
        <w:tc>
          <w:tcPr>
            <w:tcW w:w="5609" w:type="dxa"/>
            <w:gridSpan w:val="4"/>
            <w:tcBorders>
              <w:top w:val="single" w:color="auto" w:sz="4" w:space="0"/>
              <w:bottom w:val="single" w:color="auto" w:sz="4" w:space="0"/>
              <w:right w:val="single" w:color="auto" w:sz="4" w:space="0"/>
            </w:tcBorders>
            <w:vAlign w:val="center"/>
          </w:tcPr>
          <w:p w14:paraId="69799914">
            <w:pPr>
              <w:spacing w:before="156" w:beforeLines="50" w:after="156" w:afterLines="50"/>
              <w:jc w:val="center"/>
              <w:rPr>
                <w:b/>
                <w:sz w:val="18"/>
                <w:szCs w:val="18"/>
              </w:rPr>
            </w:pPr>
            <w:r>
              <w:rPr>
                <w:rFonts w:hint="eastAsia" w:ascii="宋体"/>
                <w:b/>
                <w:kern w:val="0"/>
                <w:sz w:val="18"/>
                <w:szCs w:val="18"/>
              </w:rPr>
              <w:t>处罚基准</w:t>
            </w:r>
          </w:p>
        </w:tc>
        <w:tc>
          <w:tcPr>
            <w:tcW w:w="4877" w:type="dxa"/>
            <w:gridSpan w:val="3"/>
            <w:tcBorders>
              <w:top w:val="single" w:color="auto" w:sz="4" w:space="0"/>
              <w:bottom w:val="single" w:color="auto" w:sz="4" w:space="0"/>
              <w:right w:val="single" w:color="auto" w:sz="4" w:space="0"/>
            </w:tcBorders>
            <w:vAlign w:val="center"/>
          </w:tcPr>
          <w:p w14:paraId="2C3928D2">
            <w:pPr>
              <w:spacing w:before="156" w:beforeLines="50" w:after="156" w:afterLines="50"/>
              <w:jc w:val="center"/>
              <w:rPr>
                <w:b/>
                <w:sz w:val="18"/>
                <w:szCs w:val="18"/>
              </w:rPr>
            </w:pPr>
            <w:r>
              <w:rPr>
                <w:rFonts w:hint="eastAsia" w:ascii="宋体"/>
                <w:b/>
                <w:kern w:val="0"/>
                <w:sz w:val="18"/>
                <w:szCs w:val="18"/>
              </w:rPr>
              <w:t>减轻处罚基准</w:t>
            </w:r>
          </w:p>
        </w:tc>
      </w:tr>
      <w:tr w14:paraId="6079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1EAD338D">
            <w:pPr>
              <w:spacing w:before="156" w:beforeLines="50" w:after="156" w:afterLines="50"/>
              <w:jc w:val="left"/>
              <w:rPr>
                <w:rFonts w:ascii="宋体"/>
                <w:b/>
                <w:kern w:val="0"/>
                <w:sz w:val="18"/>
                <w:szCs w:val="18"/>
              </w:rPr>
            </w:pPr>
          </w:p>
        </w:tc>
        <w:tc>
          <w:tcPr>
            <w:tcW w:w="1409" w:type="dxa"/>
            <w:gridSpan w:val="3"/>
            <w:vMerge w:val="continue"/>
          </w:tcPr>
          <w:p w14:paraId="687DBFDE">
            <w:pPr>
              <w:spacing w:before="156" w:beforeLines="50" w:after="156" w:afterLines="50"/>
              <w:jc w:val="left"/>
              <w:rPr>
                <w:rFonts w:ascii="宋体"/>
                <w:b/>
                <w:kern w:val="0"/>
                <w:sz w:val="18"/>
                <w:szCs w:val="18"/>
              </w:rPr>
            </w:pPr>
          </w:p>
        </w:tc>
        <w:tc>
          <w:tcPr>
            <w:tcW w:w="1751" w:type="dxa"/>
            <w:gridSpan w:val="2"/>
            <w:vAlign w:val="center"/>
          </w:tcPr>
          <w:p w14:paraId="3F0C632E">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gridSpan w:val="3"/>
            <w:vAlign w:val="center"/>
          </w:tcPr>
          <w:p w14:paraId="0F5FBB3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vMerge w:val="continue"/>
            <w:vAlign w:val="center"/>
          </w:tcPr>
          <w:p w14:paraId="5E430EAF">
            <w:pPr>
              <w:spacing w:before="156" w:beforeLines="50" w:after="156" w:afterLines="50"/>
              <w:jc w:val="left"/>
              <w:rPr>
                <w:rFonts w:ascii="宋体"/>
                <w:b/>
                <w:kern w:val="0"/>
                <w:sz w:val="18"/>
                <w:szCs w:val="18"/>
              </w:rPr>
            </w:pPr>
          </w:p>
        </w:tc>
        <w:tc>
          <w:tcPr>
            <w:tcW w:w="3666" w:type="dxa"/>
            <w:gridSpan w:val="3"/>
            <w:vMerge w:val="continue"/>
            <w:vAlign w:val="center"/>
          </w:tcPr>
          <w:p w14:paraId="366E5777">
            <w:pPr>
              <w:spacing w:before="156" w:beforeLines="50" w:after="156" w:afterLines="50"/>
              <w:jc w:val="left"/>
              <w:rPr>
                <w:rFonts w:ascii="宋体"/>
                <w:b/>
                <w:kern w:val="0"/>
                <w:sz w:val="18"/>
                <w:szCs w:val="18"/>
              </w:rPr>
            </w:pPr>
          </w:p>
        </w:tc>
        <w:tc>
          <w:tcPr>
            <w:tcW w:w="3660" w:type="dxa"/>
            <w:gridSpan w:val="2"/>
            <w:tcBorders>
              <w:top w:val="single" w:color="auto" w:sz="4" w:space="0"/>
              <w:right w:val="single" w:color="auto" w:sz="4" w:space="0"/>
            </w:tcBorders>
            <w:vAlign w:val="center"/>
          </w:tcPr>
          <w:p w14:paraId="490CF480">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c>
          <w:tcPr>
            <w:tcW w:w="1949" w:type="dxa"/>
            <w:gridSpan w:val="2"/>
            <w:tcBorders>
              <w:top w:val="single" w:color="auto" w:sz="4" w:space="0"/>
              <w:right w:val="single" w:color="auto" w:sz="4" w:space="0"/>
            </w:tcBorders>
            <w:vAlign w:val="center"/>
          </w:tcPr>
          <w:p w14:paraId="2AA163C5">
            <w:pPr>
              <w:spacing w:before="156" w:beforeLines="50" w:after="156" w:afterLines="50"/>
              <w:rPr>
                <w:rFonts w:ascii="宋体"/>
                <w:b/>
                <w:sz w:val="18"/>
                <w:szCs w:val="18"/>
              </w:rPr>
            </w:pPr>
            <w:r>
              <w:rPr>
                <w:rFonts w:hint="eastAsia" w:ascii="宋体"/>
                <w:b/>
                <w:sz w:val="18"/>
                <w:szCs w:val="18"/>
              </w:rPr>
              <w:t>【对象】责任船员</w:t>
            </w:r>
          </w:p>
        </w:tc>
        <w:tc>
          <w:tcPr>
            <w:tcW w:w="4877" w:type="dxa"/>
            <w:gridSpan w:val="3"/>
            <w:tcBorders>
              <w:top w:val="single" w:color="auto" w:sz="4" w:space="0"/>
              <w:right w:val="single" w:color="auto" w:sz="4" w:space="0"/>
            </w:tcBorders>
            <w:vAlign w:val="center"/>
          </w:tcPr>
          <w:p w14:paraId="53B9905A">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船舶经营人或所有人</w:t>
            </w:r>
          </w:p>
        </w:tc>
      </w:tr>
      <w:tr w14:paraId="2EF4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3" w:hRule="atLeast"/>
        </w:trPr>
        <w:tc>
          <w:tcPr>
            <w:tcW w:w="684" w:type="dxa"/>
            <w:vMerge w:val="restart"/>
            <w:vAlign w:val="center"/>
          </w:tcPr>
          <w:p w14:paraId="19BFAD96">
            <w:pPr>
              <w:spacing w:before="156" w:beforeLines="50" w:after="156" w:afterLines="50"/>
              <w:jc w:val="center"/>
              <w:rPr>
                <w:rFonts w:ascii="宋体"/>
                <w:kern w:val="0"/>
                <w:sz w:val="18"/>
                <w:szCs w:val="18"/>
              </w:rPr>
            </w:pPr>
            <w:r>
              <w:rPr>
                <w:rFonts w:hint="eastAsia" w:ascii="宋体"/>
                <w:kern w:val="0"/>
                <w:sz w:val="18"/>
                <w:szCs w:val="18"/>
              </w:rPr>
              <w:t>61</w:t>
            </w:r>
          </w:p>
        </w:tc>
        <w:tc>
          <w:tcPr>
            <w:tcW w:w="1409" w:type="dxa"/>
            <w:gridSpan w:val="3"/>
            <w:vMerge w:val="restart"/>
            <w:vAlign w:val="center"/>
          </w:tcPr>
          <w:p w14:paraId="1CB33EA7">
            <w:pPr>
              <w:pStyle w:val="13"/>
              <w:spacing w:before="156" w:beforeLines="50" w:after="156" w:afterLines="50"/>
              <w:rPr>
                <w:sz w:val="18"/>
                <w:szCs w:val="18"/>
              </w:rPr>
            </w:pPr>
            <w:r>
              <w:rPr>
                <w:rFonts w:hint="eastAsia"/>
                <w:sz w:val="18"/>
                <w:szCs w:val="18"/>
              </w:rPr>
              <w:t>未经核准乘客定额载客航行</w:t>
            </w:r>
          </w:p>
          <w:p w14:paraId="46CF516E">
            <w:pPr>
              <w:pStyle w:val="13"/>
              <w:spacing w:before="156" w:beforeLines="50" w:after="156" w:afterLines="50"/>
              <w:rPr>
                <w:sz w:val="18"/>
                <w:szCs w:val="18"/>
              </w:rPr>
            </w:pPr>
          </w:p>
          <w:p w14:paraId="29B09BE8">
            <w:pPr>
              <w:pStyle w:val="13"/>
              <w:spacing w:before="156" w:beforeLines="50" w:after="156" w:afterLines="50"/>
              <w:rPr>
                <w:sz w:val="18"/>
                <w:szCs w:val="18"/>
              </w:rPr>
            </w:pPr>
          </w:p>
          <w:p w14:paraId="768F7D5D">
            <w:pPr>
              <w:pStyle w:val="13"/>
              <w:spacing w:before="156" w:beforeLines="50" w:after="156" w:afterLines="50"/>
              <w:rPr>
                <w:sz w:val="18"/>
                <w:szCs w:val="18"/>
              </w:rPr>
            </w:pPr>
          </w:p>
        </w:tc>
        <w:tc>
          <w:tcPr>
            <w:tcW w:w="1751" w:type="dxa"/>
            <w:gridSpan w:val="2"/>
            <w:vMerge w:val="restart"/>
            <w:vAlign w:val="center"/>
          </w:tcPr>
          <w:p w14:paraId="52AC6D82">
            <w:pPr>
              <w:pStyle w:val="13"/>
              <w:spacing w:before="156" w:beforeLines="50" w:after="156" w:afterLines="50"/>
              <w:rPr>
                <w:rFonts w:ascii="宋体"/>
                <w:sz w:val="18"/>
                <w:szCs w:val="18"/>
              </w:rPr>
            </w:pPr>
            <w:r>
              <w:rPr>
                <w:rFonts w:hint="eastAsia"/>
                <w:sz w:val="18"/>
                <w:szCs w:val="18"/>
              </w:rPr>
              <w:t>《中华人民共和国内河交通安全管理条例》第二十一条第二款</w:t>
            </w:r>
            <w:r>
              <w:rPr>
                <w:rFonts w:ascii="宋体"/>
                <w:sz w:val="18"/>
                <w:szCs w:val="18"/>
              </w:rPr>
              <w:t xml:space="preserve"> </w:t>
            </w:r>
          </w:p>
        </w:tc>
        <w:tc>
          <w:tcPr>
            <w:tcW w:w="2218" w:type="dxa"/>
            <w:gridSpan w:val="3"/>
            <w:vMerge w:val="restart"/>
            <w:vAlign w:val="center"/>
          </w:tcPr>
          <w:p w14:paraId="12A62DD3">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7CD548F7">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内河海事行政处罚规定》第十八条第一款和第三款第（五）项；</w:t>
            </w:r>
          </w:p>
          <w:p w14:paraId="1137C727">
            <w:pPr>
              <w:pStyle w:val="13"/>
              <w:spacing w:before="156" w:beforeLines="50" w:after="156" w:afterLines="50"/>
              <w:rPr>
                <w:sz w:val="18"/>
                <w:szCs w:val="18"/>
              </w:rPr>
            </w:pPr>
            <w:r>
              <w:rPr>
                <w:rFonts w:hint="eastAsia"/>
                <w:sz w:val="18"/>
                <w:szCs w:val="18"/>
              </w:rPr>
              <w:t>3.《中华人民共和国行政处罚法》第三十二条（从轻）。</w:t>
            </w:r>
          </w:p>
          <w:p w14:paraId="70F18530">
            <w:pPr>
              <w:spacing w:before="156" w:beforeLines="50" w:after="156" w:afterLines="50"/>
              <w:rPr>
                <w:rFonts w:ascii="宋体"/>
                <w:kern w:val="0"/>
                <w:sz w:val="18"/>
                <w:szCs w:val="18"/>
              </w:rPr>
            </w:pPr>
          </w:p>
        </w:tc>
        <w:tc>
          <w:tcPr>
            <w:tcW w:w="656" w:type="dxa"/>
            <w:vAlign w:val="center"/>
          </w:tcPr>
          <w:p w14:paraId="50955D1C">
            <w:pPr>
              <w:spacing w:before="156" w:beforeLines="50" w:after="156" w:afterLines="50"/>
              <w:jc w:val="left"/>
              <w:rPr>
                <w:rFonts w:ascii="宋体"/>
                <w:kern w:val="0"/>
                <w:sz w:val="18"/>
                <w:szCs w:val="18"/>
              </w:rPr>
            </w:pPr>
            <w:r>
              <w:rPr>
                <w:rFonts w:hint="eastAsia" w:ascii="宋体"/>
                <w:kern w:val="0"/>
                <w:sz w:val="18"/>
                <w:szCs w:val="18"/>
              </w:rPr>
              <w:t>从轻</w:t>
            </w:r>
          </w:p>
        </w:tc>
        <w:tc>
          <w:tcPr>
            <w:tcW w:w="3666" w:type="dxa"/>
            <w:gridSpan w:val="3"/>
            <w:vAlign w:val="center"/>
          </w:tcPr>
          <w:p w14:paraId="2103215C">
            <w:pPr>
              <w:pStyle w:val="13"/>
              <w:spacing w:before="156" w:beforeLines="50" w:after="156" w:afterLines="50"/>
              <w:jc w:val="left"/>
              <w:rPr>
                <w:rFonts w:ascii="宋体"/>
                <w:sz w:val="18"/>
                <w:szCs w:val="18"/>
              </w:rPr>
            </w:pPr>
            <w:r>
              <w:rPr>
                <w:rFonts w:hint="eastAsia"/>
                <w:sz w:val="18"/>
                <w:szCs w:val="18"/>
              </w:rPr>
              <w:t>具有法定从轻情节的。</w:t>
            </w:r>
          </w:p>
        </w:tc>
        <w:tc>
          <w:tcPr>
            <w:tcW w:w="3660" w:type="dxa"/>
            <w:gridSpan w:val="2"/>
            <w:tcBorders>
              <w:bottom w:val="single" w:color="auto" w:sz="4" w:space="0"/>
              <w:right w:val="single" w:color="auto" w:sz="4" w:space="0"/>
            </w:tcBorders>
            <w:vAlign w:val="center"/>
          </w:tcPr>
          <w:p w14:paraId="01F3A3C6">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49" w:type="dxa"/>
            <w:gridSpan w:val="2"/>
            <w:tcBorders>
              <w:bottom w:val="single" w:color="auto" w:sz="4" w:space="0"/>
              <w:right w:val="single" w:color="auto" w:sz="4" w:space="0"/>
            </w:tcBorders>
            <w:vAlign w:val="center"/>
          </w:tcPr>
          <w:p w14:paraId="3E787BDB">
            <w:pPr>
              <w:widowControl/>
              <w:spacing w:before="156" w:beforeLines="50" w:after="156" w:afterLines="50"/>
              <w:jc w:val="center"/>
              <w:rPr>
                <w:rFonts w:ascii="宋体"/>
                <w:kern w:val="0"/>
                <w:sz w:val="18"/>
                <w:szCs w:val="18"/>
              </w:rPr>
            </w:pPr>
            <w:r>
              <w:rPr>
                <w:rFonts w:ascii="宋体"/>
                <w:kern w:val="0"/>
                <w:sz w:val="18"/>
                <w:szCs w:val="18"/>
              </w:rPr>
              <w:t>/</w:t>
            </w:r>
          </w:p>
        </w:tc>
        <w:tc>
          <w:tcPr>
            <w:tcW w:w="4877" w:type="dxa"/>
            <w:gridSpan w:val="3"/>
            <w:vMerge w:val="restart"/>
            <w:tcBorders>
              <w:right w:val="single" w:color="auto" w:sz="4" w:space="0"/>
            </w:tcBorders>
            <w:vAlign w:val="center"/>
          </w:tcPr>
          <w:p w14:paraId="7D973865">
            <w:pPr>
              <w:spacing w:before="156" w:beforeLines="50" w:after="156" w:afterLines="50"/>
              <w:jc w:val="left"/>
              <w:rPr>
                <w:rFonts w:ascii="宋体"/>
                <w:sz w:val="18"/>
                <w:szCs w:val="18"/>
              </w:rPr>
            </w:pPr>
            <w:r>
              <w:rPr>
                <w:rFonts w:hint="eastAsia" w:ascii="宋体"/>
                <w:sz w:val="18"/>
                <w:szCs w:val="18"/>
              </w:rPr>
              <w:t>未经核准乘客定额载客航行，且未发生事故的：</w:t>
            </w:r>
            <w:r>
              <w:rPr>
                <w:rFonts w:ascii="宋体"/>
                <w:sz w:val="18"/>
                <w:szCs w:val="18"/>
              </w:rPr>
              <w:t>5000</w:t>
            </w:r>
            <w:r>
              <w:rPr>
                <w:rFonts w:hint="eastAsia" w:ascii="宋体"/>
                <w:sz w:val="18"/>
                <w:szCs w:val="18"/>
              </w:rPr>
              <w:t>元及以上2万元以下</w:t>
            </w:r>
          </w:p>
        </w:tc>
      </w:tr>
      <w:tr w14:paraId="0423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1BFAC997">
            <w:pPr>
              <w:spacing w:before="156" w:beforeLines="50" w:after="156" w:afterLines="50"/>
              <w:jc w:val="left"/>
              <w:rPr>
                <w:rFonts w:ascii="宋体"/>
                <w:kern w:val="0"/>
                <w:sz w:val="18"/>
                <w:szCs w:val="18"/>
              </w:rPr>
            </w:pPr>
          </w:p>
        </w:tc>
        <w:tc>
          <w:tcPr>
            <w:tcW w:w="1409" w:type="dxa"/>
            <w:gridSpan w:val="3"/>
            <w:vMerge w:val="continue"/>
            <w:vAlign w:val="center"/>
          </w:tcPr>
          <w:p w14:paraId="219116E3">
            <w:pPr>
              <w:spacing w:before="156" w:beforeLines="50" w:after="156" w:afterLines="50"/>
              <w:jc w:val="left"/>
              <w:rPr>
                <w:rFonts w:ascii="宋体"/>
                <w:kern w:val="0"/>
                <w:sz w:val="18"/>
                <w:szCs w:val="18"/>
              </w:rPr>
            </w:pPr>
          </w:p>
        </w:tc>
        <w:tc>
          <w:tcPr>
            <w:tcW w:w="1751" w:type="dxa"/>
            <w:gridSpan w:val="2"/>
            <w:vMerge w:val="continue"/>
            <w:vAlign w:val="center"/>
          </w:tcPr>
          <w:p w14:paraId="5FF4E411">
            <w:pPr>
              <w:widowControl/>
              <w:spacing w:before="156" w:beforeLines="50" w:after="156" w:afterLines="50"/>
              <w:jc w:val="left"/>
              <w:rPr>
                <w:rFonts w:ascii="宋体"/>
                <w:kern w:val="0"/>
                <w:sz w:val="18"/>
                <w:szCs w:val="18"/>
              </w:rPr>
            </w:pPr>
          </w:p>
        </w:tc>
        <w:tc>
          <w:tcPr>
            <w:tcW w:w="2218" w:type="dxa"/>
            <w:gridSpan w:val="3"/>
            <w:vMerge w:val="continue"/>
            <w:vAlign w:val="center"/>
          </w:tcPr>
          <w:p w14:paraId="6144BF15">
            <w:pPr>
              <w:spacing w:before="156" w:beforeLines="50" w:after="156" w:afterLines="50"/>
              <w:jc w:val="left"/>
              <w:rPr>
                <w:rFonts w:ascii="宋体"/>
                <w:kern w:val="0"/>
                <w:sz w:val="18"/>
                <w:szCs w:val="18"/>
              </w:rPr>
            </w:pPr>
          </w:p>
        </w:tc>
        <w:tc>
          <w:tcPr>
            <w:tcW w:w="656" w:type="dxa"/>
            <w:vMerge w:val="restart"/>
            <w:vAlign w:val="center"/>
          </w:tcPr>
          <w:p w14:paraId="08E9A2C8">
            <w:pPr>
              <w:spacing w:before="156" w:beforeLines="50" w:after="156" w:afterLines="50"/>
              <w:jc w:val="left"/>
              <w:rPr>
                <w:rFonts w:ascii="宋体"/>
                <w:kern w:val="0"/>
                <w:sz w:val="18"/>
                <w:szCs w:val="18"/>
              </w:rPr>
            </w:pPr>
            <w:r>
              <w:rPr>
                <w:rFonts w:hint="eastAsia" w:ascii="宋体"/>
                <w:kern w:val="0"/>
                <w:sz w:val="18"/>
                <w:szCs w:val="18"/>
              </w:rPr>
              <w:t>一般</w:t>
            </w:r>
          </w:p>
          <w:p w14:paraId="7F86FDF0">
            <w:pPr>
              <w:spacing w:before="156" w:beforeLines="50" w:after="156" w:afterLines="50"/>
              <w:jc w:val="left"/>
              <w:rPr>
                <w:rFonts w:ascii="宋体"/>
                <w:kern w:val="0"/>
                <w:sz w:val="18"/>
                <w:szCs w:val="18"/>
              </w:rPr>
            </w:pPr>
          </w:p>
        </w:tc>
        <w:tc>
          <w:tcPr>
            <w:tcW w:w="3666" w:type="dxa"/>
            <w:gridSpan w:val="3"/>
            <w:tcBorders>
              <w:top w:val="single" w:color="auto" w:sz="4" w:space="0"/>
              <w:bottom w:val="single" w:color="auto" w:sz="4" w:space="0"/>
            </w:tcBorders>
            <w:vAlign w:val="center"/>
          </w:tcPr>
          <w:p w14:paraId="20AFEB3B">
            <w:pPr>
              <w:pStyle w:val="13"/>
              <w:spacing w:before="156" w:beforeLines="50" w:after="156" w:afterLines="50"/>
              <w:jc w:val="left"/>
              <w:rPr>
                <w:rFonts w:ascii="宋体"/>
                <w:sz w:val="18"/>
                <w:szCs w:val="18"/>
              </w:rPr>
            </w:pPr>
            <w:r>
              <w:rPr>
                <w:rFonts w:hint="eastAsia" w:ascii="宋体"/>
                <w:sz w:val="18"/>
                <w:szCs w:val="18"/>
              </w:rPr>
              <w:t>未经核准乘客定额载客航行。</w:t>
            </w:r>
          </w:p>
        </w:tc>
        <w:tc>
          <w:tcPr>
            <w:tcW w:w="3660" w:type="dxa"/>
            <w:gridSpan w:val="2"/>
            <w:tcBorders>
              <w:right w:val="single" w:color="auto" w:sz="4" w:space="0"/>
            </w:tcBorders>
            <w:vAlign w:val="center"/>
          </w:tcPr>
          <w:p w14:paraId="6FB75CA6">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1949" w:type="dxa"/>
            <w:gridSpan w:val="2"/>
            <w:tcBorders>
              <w:right w:val="single" w:color="auto" w:sz="4" w:space="0"/>
            </w:tcBorders>
            <w:vAlign w:val="center"/>
          </w:tcPr>
          <w:p w14:paraId="4AD180E7">
            <w:pPr>
              <w:spacing w:before="156" w:beforeLines="50" w:after="156" w:afterLines="50"/>
              <w:jc w:val="center"/>
              <w:rPr>
                <w:sz w:val="18"/>
                <w:szCs w:val="18"/>
              </w:rPr>
            </w:pPr>
            <w:r>
              <w:rPr>
                <w:rFonts w:ascii="宋体"/>
                <w:kern w:val="0"/>
                <w:sz w:val="18"/>
                <w:szCs w:val="18"/>
              </w:rPr>
              <w:t>/</w:t>
            </w:r>
          </w:p>
        </w:tc>
        <w:tc>
          <w:tcPr>
            <w:tcW w:w="4877" w:type="dxa"/>
            <w:gridSpan w:val="3"/>
            <w:vMerge w:val="continue"/>
            <w:tcBorders>
              <w:right w:val="single" w:color="auto" w:sz="4" w:space="0"/>
            </w:tcBorders>
            <w:vAlign w:val="center"/>
          </w:tcPr>
          <w:p w14:paraId="7EA95E25">
            <w:pPr>
              <w:spacing w:before="156" w:beforeLines="50" w:after="156" w:afterLines="50"/>
              <w:jc w:val="left"/>
              <w:rPr>
                <w:rFonts w:ascii="宋体"/>
                <w:sz w:val="18"/>
                <w:szCs w:val="18"/>
              </w:rPr>
            </w:pPr>
          </w:p>
        </w:tc>
      </w:tr>
      <w:tr w14:paraId="2C40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0DD1A99E">
            <w:pPr>
              <w:spacing w:before="156" w:beforeLines="50" w:after="156" w:afterLines="50"/>
              <w:jc w:val="left"/>
              <w:rPr>
                <w:rFonts w:ascii="宋体"/>
                <w:kern w:val="0"/>
                <w:sz w:val="18"/>
                <w:szCs w:val="18"/>
              </w:rPr>
            </w:pPr>
          </w:p>
        </w:tc>
        <w:tc>
          <w:tcPr>
            <w:tcW w:w="1409" w:type="dxa"/>
            <w:gridSpan w:val="3"/>
            <w:vMerge w:val="continue"/>
            <w:vAlign w:val="center"/>
          </w:tcPr>
          <w:p w14:paraId="0C9B07FB">
            <w:pPr>
              <w:spacing w:before="156" w:beforeLines="50" w:after="156" w:afterLines="50"/>
              <w:jc w:val="left"/>
              <w:rPr>
                <w:rFonts w:ascii="宋体"/>
                <w:kern w:val="0"/>
                <w:sz w:val="18"/>
                <w:szCs w:val="18"/>
              </w:rPr>
            </w:pPr>
          </w:p>
        </w:tc>
        <w:tc>
          <w:tcPr>
            <w:tcW w:w="1751" w:type="dxa"/>
            <w:gridSpan w:val="2"/>
            <w:vMerge w:val="continue"/>
            <w:vAlign w:val="center"/>
          </w:tcPr>
          <w:p w14:paraId="2DC5BC3D">
            <w:pPr>
              <w:spacing w:before="156" w:beforeLines="50" w:after="156" w:afterLines="50"/>
              <w:jc w:val="left"/>
              <w:rPr>
                <w:rFonts w:ascii="宋体"/>
                <w:kern w:val="0"/>
                <w:sz w:val="18"/>
                <w:szCs w:val="18"/>
              </w:rPr>
            </w:pPr>
          </w:p>
        </w:tc>
        <w:tc>
          <w:tcPr>
            <w:tcW w:w="2218" w:type="dxa"/>
            <w:gridSpan w:val="3"/>
            <w:vMerge w:val="continue"/>
            <w:vAlign w:val="center"/>
          </w:tcPr>
          <w:p w14:paraId="48BE80AF">
            <w:pPr>
              <w:spacing w:before="156" w:beforeLines="50" w:after="156" w:afterLines="50"/>
              <w:jc w:val="left"/>
              <w:rPr>
                <w:rFonts w:ascii="宋体"/>
                <w:kern w:val="0"/>
                <w:sz w:val="18"/>
                <w:szCs w:val="18"/>
              </w:rPr>
            </w:pPr>
          </w:p>
        </w:tc>
        <w:tc>
          <w:tcPr>
            <w:tcW w:w="656" w:type="dxa"/>
            <w:vMerge w:val="continue"/>
            <w:vAlign w:val="center"/>
          </w:tcPr>
          <w:p w14:paraId="0E48C784">
            <w:pPr>
              <w:spacing w:before="156" w:beforeLines="50" w:after="156" w:afterLines="50"/>
              <w:jc w:val="left"/>
              <w:rPr>
                <w:rFonts w:ascii="宋体"/>
                <w:kern w:val="0"/>
                <w:sz w:val="18"/>
                <w:szCs w:val="18"/>
              </w:rPr>
            </w:pPr>
          </w:p>
        </w:tc>
        <w:tc>
          <w:tcPr>
            <w:tcW w:w="3666" w:type="dxa"/>
            <w:gridSpan w:val="3"/>
            <w:tcBorders>
              <w:top w:val="single" w:color="auto" w:sz="4" w:space="0"/>
            </w:tcBorders>
            <w:vAlign w:val="center"/>
          </w:tcPr>
          <w:p w14:paraId="205A9A55">
            <w:pPr>
              <w:pStyle w:val="13"/>
              <w:spacing w:before="156" w:beforeLines="50" w:after="156" w:afterLines="50"/>
              <w:jc w:val="left"/>
              <w:rPr>
                <w:rFonts w:ascii="宋体"/>
                <w:sz w:val="18"/>
                <w:szCs w:val="18"/>
              </w:rPr>
            </w:pPr>
            <w:r>
              <w:rPr>
                <w:rFonts w:hint="eastAsia"/>
                <w:sz w:val="18"/>
                <w:szCs w:val="18"/>
              </w:rPr>
              <w:t>未经核准乘客定额载客航行，</w:t>
            </w:r>
            <w:r>
              <w:rPr>
                <w:rFonts w:hint="eastAsia" w:ascii="宋体"/>
                <w:sz w:val="18"/>
                <w:szCs w:val="18"/>
              </w:rPr>
              <w:t>发生一般以下水上交通事故的</w:t>
            </w:r>
            <w:r>
              <w:rPr>
                <w:rFonts w:hint="eastAsia"/>
                <w:sz w:val="18"/>
                <w:szCs w:val="18"/>
              </w:rPr>
              <w:t>。</w:t>
            </w:r>
          </w:p>
        </w:tc>
        <w:tc>
          <w:tcPr>
            <w:tcW w:w="3660" w:type="dxa"/>
            <w:gridSpan w:val="2"/>
            <w:tcBorders>
              <w:top w:val="single" w:color="auto" w:sz="4" w:space="0"/>
              <w:right w:val="single" w:color="auto" w:sz="4" w:space="0"/>
            </w:tcBorders>
            <w:vAlign w:val="center"/>
          </w:tcPr>
          <w:p w14:paraId="08784327">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5</w:t>
            </w:r>
            <w:r>
              <w:rPr>
                <w:rFonts w:hint="eastAsia"/>
                <w:sz w:val="18"/>
                <w:szCs w:val="18"/>
              </w:rPr>
              <w:t>万元以下</w:t>
            </w:r>
          </w:p>
        </w:tc>
        <w:tc>
          <w:tcPr>
            <w:tcW w:w="1949" w:type="dxa"/>
            <w:gridSpan w:val="2"/>
            <w:tcBorders>
              <w:top w:val="single" w:color="auto" w:sz="4" w:space="0"/>
              <w:right w:val="single" w:color="auto" w:sz="4" w:space="0"/>
            </w:tcBorders>
            <w:vAlign w:val="center"/>
          </w:tcPr>
          <w:p w14:paraId="04362046">
            <w:pPr>
              <w:spacing w:before="156" w:beforeLines="50" w:after="156" w:afterLines="50"/>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4877" w:type="dxa"/>
            <w:gridSpan w:val="3"/>
            <w:vMerge w:val="continue"/>
            <w:tcBorders>
              <w:right w:val="single" w:color="auto" w:sz="4" w:space="0"/>
            </w:tcBorders>
            <w:vAlign w:val="center"/>
          </w:tcPr>
          <w:p w14:paraId="004C0C21">
            <w:pPr>
              <w:spacing w:before="156" w:beforeLines="50" w:after="156" w:afterLines="50"/>
              <w:jc w:val="left"/>
              <w:rPr>
                <w:sz w:val="18"/>
                <w:szCs w:val="18"/>
              </w:rPr>
            </w:pPr>
          </w:p>
        </w:tc>
      </w:tr>
      <w:tr w14:paraId="6D86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10" w:hRule="atLeast"/>
        </w:trPr>
        <w:tc>
          <w:tcPr>
            <w:tcW w:w="684" w:type="dxa"/>
            <w:vMerge w:val="continue"/>
            <w:vAlign w:val="center"/>
          </w:tcPr>
          <w:p w14:paraId="61BE3AAA">
            <w:pPr>
              <w:spacing w:before="156" w:beforeLines="50" w:after="156" w:afterLines="50"/>
              <w:jc w:val="left"/>
              <w:rPr>
                <w:rFonts w:ascii="宋体"/>
                <w:kern w:val="0"/>
                <w:sz w:val="18"/>
                <w:szCs w:val="18"/>
              </w:rPr>
            </w:pPr>
          </w:p>
        </w:tc>
        <w:tc>
          <w:tcPr>
            <w:tcW w:w="1409" w:type="dxa"/>
            <w:gridSpan w:val="3"/>
            <w:vMerge w:val="continue"/>
            <w:vAlign w:val="center"/>
          </w:tcPr>
          <w:p w14:paraId="162BCAAF">
            <w:pPr>
              <w:spacing w:before="156" w:beforeLines="50" w:after="156" w:afterLines="50"/>
              <w:jc w:val="left"/>
              <w:rPr>
                <w:rFonts w:ascii="宋体"/>
                <w:kern w:val="0"/>
                <w:sz w:val="18"/>
                <w:szCs w:val="18"/>
              </w:rPr>
            </w:pPr>
          </w:p>
        </w:tc>
        <w:tc>
          <w:tcPr>
            <w:tcW w:w="1751" w:type="dxa"/>
            <w:gridSpan w:val="2"/>
            <w:vMerge w:val="continue"/>
            <w:vAlign w:val="center"/>
          </w:tcPr>
          <w:p w14:paraId="54079E89">
            <w:pPr>
              <w:spacing w:before="156" w:beforeLines="50" w:after="156" w:afterLines="50"/>
              <w:jc w:val="left"/>
              <w:rPr>
                <w:rFonts w:ascii="宋体"/>
                <w:kern w:val="0"/>
                <w:sz w:val="18"/>
                <w:szCs w:val="18"/>
              </w:rPr>
            </w:pPr>
          </w:p>
        </w:tc>
        <w:tc>
          <w:tcPr>
            <w:tcW w:w="2218" w:type="dxa"/>
            <w:gridSpan w:val="3"/>
            <w:vMerge w:val="continue"/>
            <w:vAlign w:val="center"/>
          </w:tcPr>
          <w:p w14:paraId="64386384">
            <w:pPr>
              <w:spacing w:before="156" w:beforeLines="50" w:after="156" w:afterLines="50"/>
              <w:jc w:val="left"/>
              <w:rPr>
                <w:rFonts w:ascii="宋体"/>
                <w:kern w:val="0"/>
                <w:sz w:val="18"/>
                <w:szCs w:val="18"/>
              </w:rPr>
            </w:pPr>
          </w:p>
        </w:tc>
        <w:tc>
          <w:tcPr>
            <w:tcW w:w="656" w:type="dxa"/>
            <w:vMerge w:val="continue"/>
            <w:vAlign w:val="center"/>
          </w:tcPr>
          <w:p w14:paraId="649A496F">
            <w:pPr>
              <w:spacing w:before="156" w:beforeLines="50" w:after="156" w:afterLines="50"/>
              <w:jc w:val="left"/>
              <w:rPr>
                <w:rFonts w:ascii="宋体"/>
                <w:kern w:val="0"/>
                <w:sz w:val="18"/>
                <w:szCs w:val="18"/>
              </w:rPr>
            </w:pPr>
          </w:p>
        </w:tc>
        <w:tc>
          <w:tcPr>
            <w:tcW w:w="3666" w:type="dxa"/>
            <w:gridSpan w:val="3"/>
            <w:tcBorders>
              <w:top w:val="single" w:color="auto" w:sz="4" w:space="0"/>
              <w:left w:val="single" w:color="auto" w:sz="4" w:space="0"/>
              <w:bottom w:val="single" w:color="auto" w:sz="4" w:space="0"/>
            </w:tcBorders>
            <w:vAlign w:val="center"/>
          </w:tcPr>
          <w:p w14:paraId="0F7B5ABF">
            <w:pPr>
              <w:pStyle w:val="13"/>
              <w:spacing w:before="156" w:beforeLines="50" w:after="156" w:afterLines="50"/>
              <w:jc w:val="left"/>
              <w:rPr>
                <w:sz w:val="18"/>
                <w:szCs w:val="18"/>
              </w:rPr>
            </w:pPr>
            <w:r>
              <w:rPr>
                <w:rFonts w:hint="eastAsia"/>
                <w:sz w:val="18"/>
                <w:szCs w:val="18"/>
              </w:rPr>
              <w:t>未经核准乘客定额载客航行，发生一般</w:t>
            </w:r>
            <w:r>
              <w:rPr>
                <w:rFonts w:hint="eastAsia" w:ascii="宋体"/>
                <w:sz w:val="18"/>
                <w:szCs w:val="18"/>
              </w:rPr>
              <w:t>及</w:t>
            </w:r>
            <w:r>
              <w:rPr>
                <w:rFonts w:hint="eastAsia"/>
                <w:sz w:val="18"/>
                <w:szCs w:val="18"/>
              </w:rPr>
              <w:t>以上水上交通事故的；</w:t>
            </w:r>
          </w:p>
        </w:tc>
        <w:tc>
          <w:tcPr>
            <w:tcW w:w="3660" w:type="dxa"/>
            <w:gridSpan w:val="2"/>
            <w:tcBorders>
              <w:top w:val="single" w:color="auto" w:sz="4" w:space="0"/>
              <w:bottom w:val="single" w:color="auto" w:sz="4" w:space="0"/>
              <w:right w:val="single" w:color="auto" w:sz="4" w:space="0"/>
            </w:tcBorders>
            <w:vAlign w:val="center"/>
          </w:tcPr>
          <w:p w14:paraId="4A9F83C7">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949" w:type="dxa"/>
            <w:gridSpan w:val="2"/>
            <w:tcBorders>
              <w:top w:val="single" w:color="auto" w:sz="4" w:space="0"/>
              <w:bottom w:val="single" w:color="auto" w:sz="4" w:space="0"/>
              <w:right w:val="single" w:color="auto" w:sz="4" w:space="0"/>
            </w:tcBorders>
            <w:vAlign w:val="center"/>
          </w:tcPr>
          <w:p w14:paraId="2D90C3F2">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4877" w:type="dxa"/>
            <w:gridSpan w:val="3"/>
            <w:vMerge w:val="continue"/>
            <w:tcBorders>
              <w:right w:val="single" w:color="auto" w:sz="4" w:space="0"/>
            </w:tcBorders>
            <w:vAlign w:val="center"/>
          </w:tcPr>
          <w:p w14:paraId="121865B2">
            <w:pPr>
              <w:spacing w:before="156" w:beforeLines="50" w:after="156" w:afterLines="50"/>
              <w:jc w:val="left"/>
              <w:rPr>
                <w:rFonts w:ascii="宋体"/>
                <w:sz w:val="18"/>
                <w:szCs w:val="18"/>
              </w:rPr>
            </w:pPr>
          </w:p>
        </w:tc>
      </w:tr>
    </w:tbl>
    <w:p w14:paraId="4289C09B">
      <w:pPr>
        <w:spacing w:before="156" w:beforeLines="50" w:after="156" w:afterLines="50"/>
        <w:jc w:val="left"/>
        <w:rPr>
          <w:b/>
          <w:sz w:val="18"/>
          <w:szCs w:val="18"/>
        </w:rPr>
      </w:pPr>
      <w:r>
        <w:rPr>
          <w:rFonts w:hint="eastAsia"/>
          <w:b/>
          <w:sz w:val="18"/>
          <w:szCs w:val="18"/>
        </w:rPr>
        <w:br w:type="page"/>
      </w:r>
    </w:p>
    <w:tbl>
      <w:tblPr>
        <w:tblStyle w:val="6"/>
        <w:tblpPr w:leftFromText="180" w:rightFromText="180" w:vertAnchor="text" w:horzAnchor="margin" w:tblpXSpec="center" w:tblpY="2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876"/>
        <w:gridCol w:w="1377"/>
        <w:gridCol w:w="2101"/>
        <w:gridCol w:w="851"/>
        <w:gridCol w:w="2126"/>
        <w:gridCol w:w="2436"/>
        <w:gridCol w:w="2552"/>
        <w:gridCol w:w="2268"/>
        <w:gridCol w:w="1701"/>
        <w:gridCol w:w="1701"/>
        <w:gridCol w:w="1853"/>
      </w:tblGrid>
      <w:tr w14:paraId="7C590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689" w:type="dxa"/>
            <w:vMerge w:val="restart"/>
            <w:vAlign w:val="center"/>
          </w:tcPr>
          <w:p w14:paraId="4E3AAF69">
            <w:pPr>
              <w:spacing w:before="156" w:beforeLines="50" w:after="156" w:afterLines="50"/>
              <w:jc w:val="left"/>
              <w:rPr>
                <w:rFonts w:ascii="宋体"/>
                <w:b/>
                <w:kern w:val="0"/>
                <w:sz w:val="18"/>
                <w:szCs w:val="18"/>
              </w:rPr>
            </w:pPr>
            <w:r>
              <w:rPr>
                <w:rFonts w:hint="eastAsia" w:ascii="宋体"/>
                <w:b/>
                <w:kern w:val="0"/>
                <w:sz w:val="18"/>
                <w:szCs w:val="18"/>
              </w:rPr>
              <w:t>序号</w:t>
            </w:r>
          </w:p>
        </w:tc>
        <w:tc>
          <w:tcPr>
            <w:tcW w:w="876" w:type="dxa"/>
            <w:vMerge w:val="restart"/>
            <w:vAlign w:val="center"/>
          </w:tcPr>
          <w:p w14:paraId="58CE5E22">
            <w:pPr>
              <w:spacing w:before="156" w:beforeLines="50" w:after="156" w:afterLines="50"/>
              <w:jc w:val="left"/>
              <w:rPr>
                <w:rFonts w:ascii="宋体"/>
                <w:b/>
                <w:kern w:val="0"/>
                <w:sz w:val="18"/>
                <w:szCs w:val="18"/>
              </w:rPr>
            </w:pPr>
            <w:r>
              <w:rPr>
                <w:rFonts w:hint="eastAsia" w:ascii="宋体"/>
                <w:b/>
                <w:kern w:val="0"/>
                <w:sz w:val="18"/>
                <w:szCs w:val="18"/>
              </w:rPr>
              <w:t>案由</w:t>
            </w:r>
          </w:p>
        </w:tc>
        <w:tc>
          <w:tcPr>
            <w:tcW w:w="3478" w:type="dxa"/>
            <w:gridSpan w:val="2"/>
            <w:vMerge w:val="restart"/>
            <w:vAlign w:val="center"/>
          </w:tcPr>
          <w:p w14:paraId="3B6B282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51" w:type="dxa"/>
            <w:vMerge w:val="restart"/>
            <w:vAlign w:val="center"/>
          </w:tcPr>
          <w:p w14:paraId="7A5ECFDF">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2126" w:type="dxa"/>
            <w:vMerge w:val="restart"/>
            <w:vAlign w:val="center"/>
          </w:tcPr>
          <w:p w14:paraId="19ECFB69">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2511" w:type="dxa"/>
            <w:gridSpan w:val="6"/>
            <w:tcBorders>
              <w:bottom w:val="single" w:color="auto" w:sz="4" w:space="0"/>
              <w:right w:val="single" w:color="auto" w:sz="4" w:space="0"/>
            </w:tcBorders>
            <w:vAlign w:val="center"/>
          </w:tcPr>
          <w:p w14:paraId="3ABD480E">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b/>
                <w:sz w:val="18"/>
                <w:szCs w:val="18"/>
              </w:rPr>
              <w:t>责令改正，处</w:t>
            </w:r>
            <w:r>
              <w:rPr>
                <w:b/>
                <w:sz w:val="18"/>
                <w:szCs w:val="18"/>
              </w:rPr>
              <w:t>5000</w:t>
            </w:r>
            <w:r>
              <w:rPr>
                <w:rFonts w:hint="eastAsia"/>
                <w:b/>
                <w:sz w:val="18"/>
                <w:szCs w:val="18"/>
              </w:rPr>
              <w:t>元以上</w:t>
            </w:r>
            <w:r>
              <w:rPr>
                <w:b/>
                <w:sz w:val="18"/>
                <w:szCs w:val="18"/>
              </w:rPr>
              <w:t>5</w:t>
            </w:r>
            <w:r>
              <w:rPr>
                <w:rFonts w:hint="eastAsia"/>
                <w:b/>
                <w:sz w:val="18"/>
                <w:szCs w:val="18"/>
              </w:rPr>
              <w:t>万元以下的罚款；情节严重的，禁止船舶进出港口或者责令停航，并可以对责任船员给予暂扣适任证书或者其他适任证件</w:t>
            </w:r>
            <w:r>
              <w:rPr>
                <w:b/>
                <w:sz w:val="18"/>
                <w:szCs w:val="18"/>
              </w:rPr>
              <w:t>3</w:t>
            </w:r>
            <w:r>
              <w:rPr>
                <w:rFonts w:hint="eastAsia"/>
                <w:b/>
                <w:sz w:val="18"/>
                <w:szCs w:val="18"/>
              </w:rPr>
              <w:t>个月至</w:t>
            </w:r>
            <w:r>
              <w:rPr>
                <w:b/>
                <w:sz w:val="18"/>
                <w:szCs w:val="18"/>
              </w:rPr>
              <w:t>6</w:t>
            </w:r>
            <w:r>
              <w:rPr>
                <w:rFonts w:hint="eastAsia"/>
                <w:b/>
                <w:sz w:val="18"/>
                <w:szCs w:val="18"/>
              </w:rPr>
              <w:t>个月的处罚。</w:t>
            </w:r>
          </w:p>
        </w:tc>
      </w:tr>
      <w:tr w14:paraId="07A23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9" w:type="dxa"/>
            <w:vMerge w:val="continue"/>
            <w:vAlign w:val="center"/>
          </w:tcPr>
          <w:p w14:paraId="7F56BCE7">
            <w:pPr>
              <w:spacing w:before="156" w:beforeLines="50" w:after="156" w:afterLines="50"/>
              <w:jc w:val="left"/>
              <w:rPr>
                <w:rFonts w:ascii="宋体"/>
                <w:b/>
                <w:kern w:val="0"/>
                <w:sz w:val="18"/>
                <w:szCs w:val="18"/>
              </w:rPr>
            </w:pPr>
          </w:p>
        </w:tc>
        <w:tc>
          <w:tcPr>
            <w:tcW w:w="876" w:type="dxa"/>
            <w:vMerge w:val="continue"/>
            <w:vAlign w:val="center"/>
          </w:tcPr>
          <w:p w14:paraId="255ABFB0">
            <w:pPr>
              <w:spacing w:before="156" w:beforeLines="50" w:after="156" w:afterLines="50"/>
              <w:jc w:val="left"/>
              <w:rPr>
                <w:rFonts w:ascii="宋体"/>
                <w:b/>
                <w:kern w:val="0"/>
                <w:sz w:val="18"/>
                <w:szCs w:val="18"/>
              </w:rPr>
            </w:pPr>
          </w:p>
        </w:tc>
        <w:tc>
          <w:tcPr>
            <w:tcW w:w="3478" w:type="dxa"/>
            <w:gridSpan w:val="2"/>
            <w:vMerge w:val="continue"/>
            <w:vAlign w:val="center"/>
          </w:tcPr>
          <w:p w14:paraId="1622B556">
            <w:pPr>
              <w:spacing w:before="156" w:beforeLines="50" w:after="156" w:afterLines="50"/>
              <w:jc w:val="center"/>
              <w:rPr>
                <w:rFonts w:ascii="宋体"/>
                <w:b/>
                <w:kern w:val="0"/>
                <w:sz w:val="18"/>
                <w:szCs w:val="18"/>
              </w:rPr>
            </w:pPr>
          </w:p>
        </w:tc>
        <w:tc>
          <w:tcPr>
            <w:tcW w:w="851" w:type="dxa"/>
            <w:vMerge w:val="continue"/>
            <w:vAlign w:val="center"/>
          </w:tcPr>
          <w:p w14:paraId="025BE086">
            <w:pPr>
              <w:spacing w:before="156" w:beforeLines="50" w:after="156" w:afterLines="50"/>
              <w:jc w:val="left"/>
              <w:rPr>
                <w:rFonts w:ascii="宋体"/>
                <w:b/>
                <w:kern w:val="0"/>
                <w:sz w:val="18"/>
                <w:szCs w:val="18"/>
              </w:rPr>
            </w:pPr>
          </w:p>
        </w:tc>
        <w:tc>
          <w:tcPr>
            <w:tcW w:w="2126" w:type="dxa"/>
            <w:vMerge w:val="continue"/>
            <w:vAlign w:val="center"/>
          </w:tcPr>
          <w:p w14:paraId="67AD6C81">
            <w:pPr>
              <w:spacing w:before="156" w:beforeLines="50" w:after="156" w:afterLines="50"/>
              <w:jc w:val="left"/>
              <w:rPr>
                <w:rFonts w:ascii="宋体"/>
                <w:b/>
                <w:kern w:val="0"/>
                <w:sz w:val="18"/>
                <w:szCs w:val="18"/>
              </w:rPr>
            </w:pPr>
          </w:p>
        </w:tc>
        <w:tc>
          <w:tcPr>
            <w:tcW w:w="8957" w:type="dxa"/>
            <w:gridSpan w:val="4"/>
            <w:tcBorders>
              <w:right w:val="single" w:color="auto" w:sz="4" w:space="0"/>
            </w:tcBorders>
            <w:vAlign w:val="center"/>
          </w:tcPr>
          <w:p w14:paraId="742169CC">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3554" w:type="dxa"/>
            <w:gridSpan w:val="2"/>
            <w:tcBorders>
              <w:right w:val="single" w:color="auto" w:sz="4" w:space="0"/>
            </w:tcBorders>
            <w:vAlign w:val="center"/>
          </w:tcPr>
          <w:p w14:paraId="0A46A649">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60C6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9" w:type="dxa"/>
            <w:vMerge w:val="continue"/>
            <w:vAlign w:val="center"/>
          </w:tcPr>
          <w:p w14:paraId="364F75C2">
            <w:pPr>
              <w:spacing w:before="156" w:beforeLines="50" w:after="156" w:afterLines="50"/>
              <w:jc w:val="left"/>
              <w:rPr>
                <w:rFonts w:ascii="宋体"/>
                <w:b/>
                <w:kern w:val="0"/>
                <w:sz w:val="18"/>
                <w:szCs w:val="18"/>
              </w:rPr>
            </w:pPr>
          </w:p>
        </w:tc>
        <w:tc>
          <w:tcPr>
            <w:tcW w:w="876" w:type="dxa"/>
            <w:vMerge w:val="continue"/>
            <w:vAlign w:val="center"/>
          </w:tcPr>
          <w:p w14:paraId="37BFB3A1">
            <w:pPr>
              <w:spacing w:before="156" w:beforeLines="50" w:after="156" w:afterLines="50"/>
              <w:jc w:val="left"/>
              <w:rPr>
                <w:rFonts w:ascii="宋体"/>
                <w:b/>
                <w:kern w:val="0"/>
                <w:sz w:val="18"/>
                <w:szCs w:val="18"/>
              </w:rPr>
            </w:pPr>
          </w:p>
        </w:tc>
        <w:tc>
          <w:tcPr>
            <w:tcW w:w="1377" w:type="dxa"/>
            <w:vMerge w:val="restart"/>
            <w:vAlign w:val="center"/>
          </w:tcPr>
          <w:p w14:paraId="3DCD8C79">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101" w:type="dxa"/>
            <w:vMerge w:val="restart"/>
            <w:vAlign w:val="center"/>
          </w:tcPr>
          <w:p w14:paraId="1A953D58">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51" w:type="dxa"/>
            <w:vMerge w:val="continue"/>
            <w:vAlign w:val="center"/>
          </w:tcPr>
          <w:p w14:paraId="03ABB4F9">
            <w:pPr>
              <w:spacing w:before="156" w:beforeLines="50" w:after="156" w:afterLines="50"/>
              <w:jc w:val="left"/>
              <w:rPr>
                <w:rFonts w:ascii="宋体"/>
                <w:b/>
                <w:kern w:val="0"/>
                <w:sz w:val="18"/>
                <w:szCs w:val="18"/>
              </w:rPr>
            </w:pPr>
          </w:p>
        </w:tc>
        <w:tc>
          <w:tcPr>
            <w:tcW w:w="2126" w:type="dxa"/>
            <w:vMerge w:val="continue"/>
            <w:vAlign w:val="center"/>
          </w:tcPr>
          <w:p w14:paraId="4F486D19">
            <w:pPr>
              <w:spacing w:before="156" w:beforeLines="50" w:after="156" w:afterLines="50"/>
              <w:jc w:val="left"/>
              <w:rPr>
                <w:rFonts w:ascii="宋体"/>
                <w:b/>
                <w:kern w:val="0"/>
                <w:sz w:val="18"/>
                <w:szCs w:val="18"/>
              </w:rPr>
            </w:pPr>
          </w:p>
        </w:tc>
        <w:tc>
          <w:tcPr>
            <w:tcW w:w="8957" w:type="dxa"/>
            <w:gridSpan w:val="4"/>
            <w:tcBorders>
              <w:top w:val="single" w:color="auto" w:sz="4" w:space="0"/>
              <w:bottom w:val="single" w:color="auto" w:sz="4" w:space="0"/>
              <w:right w:val="single" w:color="auto" w:sz="4" w:space="0"/>
            </w:tcBorders>
            <w:vAlign w:val="center"/>
          </w:tcPr>
          <w:p w14:paraId="35B427F8">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c>
          <w:tcPr>
            <w:tcW w:w="3554" w:type="dxa"/>
            <w:gridSpan w:val="2"/>
            <w:tcBorders>
              <w:top w:val="single" w:color="auto" w:sz="4" w:space="0"/>
              <w:left w:val="single" w:color="auto" w:sz="4" w:space="0"/>
              <w:bottom w:val="single" w:color="auto" w:sz="4" w:space="0"/>
              <w:right w:val="single" w:color="auto" w:sz="4" w:space="0"/>
            </w:tcBorders>
            <w:vAlign w:val="center"/>
          </w:tcPr>
          <w:p w14:paraId="49BB515D">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78B48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trPr>
        <w:tc>
          <w:tcPr>
            <w:tcW w:w="689" w:type="dxa"/>
            <w:vMerge w:val="continue"/>
            <w:vAlign w:val="center"/>
          </w:tcPr>
          <w:p w14:paraId="27265E0A">
            <w:pPr>
              <w:spacing w:before="156" w:beforeLines="50" w:after="156" w:afterLines="50"/>
              <w:jc w:val="left"/>
              <w:rPr>
                <w:rFonts w:ascii="宋体"/>
                <w:b/>
                <w:kern w:val="0"/>
                <w:sz w:val="18"/>
                <w:szCs w:val="18"/>
              </w:rPr>
            </w:pPr>
          </w:p>
        </w:tc>
        <w:tc>
          <w:tcPr>
            <w:tcW w:w="876" w:type="dxa"/>
            <w:vMerge w:val="continue"/>
            <w:vAlign w:val="center"/>
          </w:tcPr>
          <w:p w14:paraId="190F6C91">
            <w:pPr>
              <w:spacing w:before="156" w:beforeLines="50" w:after="156" w:afterLines="50"/>
              <w:jc w:val="left"/>
              <w:rPr>
                <w:rFonts w:ascii="宋体"/>
                <w:b/>
                <w:kern w:val="0"/>
                <w:sz w:val="18"/>
                <w:szCs w:val="18"/>
              </w:rPr>
            </w:pPr>
          </w:p>
        </w:tc>
        <w:tc>
          <w:tcPr>
            <w:tcW w:w="1377" w:type="dxa"/>
            <w:vMerge w:val="continue"/>
            <w:vAlign w:val="center"/>
          </w:tcPr>
          <w:p w14:paraId="0D18D940">
            <w:pPr>
              <w:spacing w:before="156" w:beforeLines="50" w:after="156" w:afterLines="50"/>
              <w:jc w:val="left"/>
              <w:rPr>
                <w:rFonts w:ascii="宋体"/>
                <w:b/>
                <w:kern w:val="0"/>
                <w:sz w:val="18"/>
                <w:szCs w:val="18"/>
              </w:rPr>
            </w:pPr>
          </w:p>
        </w:tc>
        <w:tc>
          <w:tcPr>
            <w:tcW w:w="2101" w:type="dxa"/>
            <w:vMerge w:val="continue"/>
            <w:vAlign w:val="center"/>
          </w:tcPr>
          <w:p w14:paraId="61C0F7CE">
            <w:pPr>
              <w:spacing w:before="156" w:beforeLines="50" w:after="156" w:afterLines="50"/>
              <w:jc w:val="left"/>
              <w:rPr>
                <w:rFonts w:ascii="宋体"/>
                <w:b/>
                <w:kern w:val="0"/>
                <w:sz w:val="18"/>
                <w:szCs w:val="18"/>
              </w:rPr>
            </w:pPr>
          </w:p>
        </w:tc>
        <w:tc>
          <w:tcPr>
            <w:tcW w:w="851" w:type="dxa"/>
            <w:vMerge w:val="continue"/>
            <w:vAlign w:val="center"/>
          </w:tcPr>
          <w:p w14:paraId="00C4F2FD">
            <w:pPr>
              <w:spacing w:before="156" w:beforeLines="50" w:after="156" w:afterLines="50"/>
              <w:jc w:val="left"/>
              <w:rPr>
                <w:rFonts w:ascii="宋体"/>
                <w:b/>
                <w:kern w:val="0"/>
                <w:sz w:val="18"/>
                <w:szCs w:val="18"/>
              </w:rPr>
            </w:pPr>
          </w:p>
        </w:tc>
        <w:tc>
          <w:tcPr>
            <w:tcW w:w="2126" w:type="dxa"/>
            <w:vMerge w:val="continue"/>
            <w:vAlign w:val="center"/>
          </w:tcPr>
          <w:p w14:paraId="3B5C4CAC">
            <w:pPr>
              <w:spacing w:before="156" w:beforeLines="50" w:after="156" w:afterLines="50"/>
              <w:jc w:val="left"/>
              <w:rPr>
                <w:rFonts w:ascii="宋体"/>
                <w:b/>
                <w:kern w:val="0"/>
                <w:sz w:val="18"/>
                <w:szCs w:val="18"/>
              </w:rPr>
            </w:pPr>
          </w:p>
        </w:tc>
        <w:tc>
          <w:tcPr>
            <w:tcW w:w="2436" w:type="dxa"/>
            <w:tcBorders>
              <w:top w:val="single" w:color="auto" w:sz="4" w:space="0"/>
              <w:right w:val="single" w:color="auto" w:sz="4" w:space="0"/>
            </w:tcBorders>
            <w:vAlign w:val="center"/>
          </w:tcPr>
          <w:p w14:paraId="3F7C262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52" w:type="dxa"/>
            <w:tcBorders>
              <w:top w:val="single" w:color="auto" w:sz="4" w:space="0"/>
              <w:right w:val="single" w:color="auto" w:sz="4" w:space="0"/>
            </w:tcBorders>
            <w:vAlign w:val="center"/>
          </w:tcPr>
          <w:p w14:paraId="4B8FE4A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268" w:type="dxa"/>
            <w:tcBorders>
              <w:top w:val="single" w:color="auto" w:sz="4" w:space="0"/>
              <w:right w:val="single" w:color="auto" w:sz="4" w:space="0"/>
            </w:tcBorders>
            <w:vAlign w:val="center"/>
          </w:tcPr>
          <w:p w14:paraId="12E2192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701" w:type="dxa"/>
            <w:tcBorders>
              <w:top w:val="single" w:color="auto" w:sz="4" w:space="0"/>
              <w:right w:val="single" w:color="auto" w:sz="4" w:space="0"/>
            </w:tcBorders>
            <w:vAlign w:val="center"/>
          </w:tcPr>
          <w:p w14:paraId="2AAFBC48">
            <w:pPr>
              <w:spacing w:before="156" w:beforeLines="50" w:after="156" w:afterLines="50"/>
              <w:rPr>
                <w:rFonts w:ascii="宋体"/>
                <w:b/>
                <w:sz w:val="18"/>
                <w:szCs w:val="18"/>
              </w:rPr>
            </w:pPr>
            <w:r>
              <w:rPr>
                <w:rFonts w:hint="eastAsia" w:ascii="宋体"/>
                <w:b/>
                <w:sz w:val="18"/>
                <w:szCs w:val="18"/>
              </w:rPr>
              <w:t>【对象】责任船员</w:t>
            </w:r>
          </w:p>
        </w:tc>
        <w:tc>
          <w:tcPr>
            <w:tcW w:w="1701" w:type="dxa"/>
            <w:tcBorders>
              <w:top w:val="single" w:color="auto" w:sz="4" w:space="0"/>
              <w:left w:val="single" w:color="auto" w:sz="4" w:space="0"/>
              <w:right w:val="single" w:color="auto" w:sz="4" w:space="0"/>
            </w:tcBorders>
            <w:vAlign w:val="center"/>
          </w:tcPr>
          <w:p w14:paraId="0EBFBA2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853" w:type="dxa"/>
            <w:tcBorders>
              <w:top w:val="single" w:color="auto" w:sz="4" w:space="0"/>
              <w:left w:val="single" w:color="auto" w:sz="4" w:space="0"/>
              <w:right w:val="single" w:color="auto" w:sz="4" w:space="0"/>
            </w:tcBorders>
            <w:vAlign w:val="center"/>
          </w:tcPr>
          <w:p w14:paraId="4E28A4D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593D5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89" w:type="dxa"/>
            <w:vMerge w:val="restart"/>
            <w:vAlign w:val="center"/>
          </w:tcPr>
          <w:p w14:paraId="25B0715B">
            <w:pPr>
              <w:spacing w:before="156" w:beforeLines="50" w:after="156" w:afterLines="50"/>
              <w:jc w:val="center"/>
              <w:rPr>
                <w:rFonts w:ascii="宋体"/>
                <w:kern w:val="0"/>
                <w:sz w:val="18"/>
                <w:szCs w:val="18"/>
              </w:rPr>
            </w:pPr>
            <w:r>
              <w:rPr>
                <w:rFonts w:hint="eastAsia" w:ascii="宋体"/>
                <w:kern w:val="0"/>
                <w:sz w:val="18"/>
                <w:szCs w:val="18"/>
              </w:rPr>
              <w:t>62</w:t>
            </w:r>
          </w:p>
        </w:tc>
        <w:tc>
          <w:tcPr>
            <w:tcW w:w="876" w:type="dxa"/>
            <w:vMerge w:val="restart"/>
            <w:vAlign w:val="center"/>
          </w:tcPr>
          <w:p w14:paraId="30E7299E">
            <w:pPr>
              <w:widowControl/>
              <w:spacing w:before="156" w:beforeLines="50" w:after="156" w:afterLines="50"/>
              <w:rPr>
                <w:rFonts w:ascii="宋体"/>
                <w:kern w:val="0"/>
                <w:sz w:val="18"/>
                <w:szCs w:val="18"/>
              </w:rPr>
            </w:pPr>
            <w:r>
              <w:rPr>
                <w:rFonts w:hint="eastAsia" w:ascii="宋体"/>
                <w:sz w:val="18"/>
                <w:szCs w:val="18"/>
              </w:rPr>
              <w:t>未按照规定标明船名、船籍港、载重线或者遮挡船名、船籍港、载重线</w:t>
            </w:r>
          </w:p>
        </w:tc>
        <w:tc>
          <w:tcPr>
            <w:tcW w:w="1377" w:type="dxa"/>
            <w:vMerge w:val="restart"/>
            <w:vAlign w:val="center"/>
          </w:tcPr>
          <w:p w14:paraId="251B40CD">
            <w:pPr>
              <w:spacing w:before="156" w:beforeLines="50" w:after="156" w:afterLines="50"/>
              <w:rPr>
                <w:sz w:val="18"/>
                <w:szCs w:val="18"/>
              </w:rPr>
            </w:pPr>
            <w:r>
              <w:rPr>
                <w:rFonts w:hint="eastAsia"/>
                <w:sz w:val="18"/>
                <w:szCs w:val="18"/>
              </w:rPr>
              <w:t>《中华人民共和国内河交通安全管理条例》第十四条第一款</w:t>
            </w:r>
          </w:p>
        </w:tc>
        <w:tc>
          <w:tcPr>
            <w:tcW w:w="2101" w:type="dxa"/>
            <w:vMerge w:val="restart"/>
            <w:vAlign w:val="center"/>
          </w:tcPr>
          <w:p w14:paraId="7E319125">
            <w:pPr>
              <w:spacing w:before="156" w:beforeLines="50" w:after="156" w:afterLines="50"/>
              <w:rPr>
                <w:sz w:val="18"/>
                <w:szCs w:val="18"/>
              </w:rPr>
            </w:pPr>
            <w:r>
              <w:rPr>
                <w:rFonts w:hint="eastAsia"/>
                <w:sz w:val="18"/>
                <w:szCs w:val="18"/>
              </w:rPr>
              <w:t>1.《中华人民共和国内河交通安全管理条例》第六十八条第（一）项；</w:t>
            </w:r>
          </w:p>
          <w:p w14:paraId="3EA2F7FC">
            <w:pPr>
              <w:spacing w:before="156" w:beforeLines="50" w:after="156" w:afterLines="50"/>
              <w:rPr>
                <w:sz w:val="18"/>
                <w:szCs w:val="18"/>
              </w:rPr>
            </w:pPr>
            <w:r>
              <w:rPr>
                <w:rFonts w:hint="eastAsia"/>
                <w:sz w:val="18"/>
                <w:szCs w:val="18"/>
              </w:rPr>
              <w:t>2.《中华人民共和国内河海事行政处罚规定》第十六条第（二）项；</w:t>
            </w:r>
          </w:p>
          <w:p w14:paraId="00CEBEF8">
            <w:pPr>
              <w:pStyle w:val="13"/>
              <w:spacing w:before="156" w:beforeLines="50" w:after="156" w:afterLines="50"/>
              <w:rPr>
                <w:sz w:val="18"/>
                <w:szCs w:val="18"/>
              </w:rPr>
            </w:pPr>
            <w:r>
              <w:rPr>
                <w:rFonts w:hint="eastAsia"/>
                <w:sz w:val="18"/>
                <w:szCs w:val="18"/>
              </w:rPr>
              <w:t>3.《中华人民共和国行政处罚法》第三十二条（从轻）。</w:t>
            </w:r>
          </w:p>
          <w:p w14:paraId="712C4B9C">
            <w:pPr>
              <w:spacing w:before="156" w:beforeLines="50" w:after="156" w:afterLines="50"/>
              <w:rPr>
                <w:sz w:val="18"/>
                <w:szCs w:val="18"/>
              </w:rPr>
            </w:pPr>
          </w:p>
        </w:tc>
        <w:tc>
          <w:tcPr>
            <w:tcW w:w="851" w:type="dxa"/>
            <w:vAlign w:val="center"/>
          </w:tcPr>
          <w:p w14:paraId="1E1B834C">
            <w:pPr>
              <w:spacing w:before="156" w:beforeLines="50" w:after="156" w:afterLines="50"/>
              <w:jc w:val="center"/>
              <w:rPr>
                <w:rFonts w:ascii="宋体"/>
                <w:kern w:val="0"/>
                <w:sz w:val="18"/>
                <w:szCs w:val="18"/>
              </w:rPr>
            </w:pPr>
            <w:r>
              <w:rPr>
                <w:rFonts w:hint="eastAsia" w:ascii="宋体"/>
                <w:kern w:val="0"/>
                <w:sz w:val="18"/>
                <w:szCs w:val="18"/>
              </w:rPr>
              <w:t>从轻</w:t>
            </w:r>
          </w:p>
        </w:tc>
        <w:tc>
          <w:tcPr>
            <w:tcW w:w="2126" w:type="dxa"/>
            <w:vAlign w:val="center"/>
          </w:tcPr>
          <w:p w14:paraId="61283787">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2436" w:type="dxa"/>
            <w:tcBorders>
              <w:right w:val="single" w:color="auto" w:sz="4" w:space="0"/>
            </w:tcBorders>
            <w:vAlign w:val="center"/>
          </w:tcPr>
          <w:p w14:paraId="0DA02762">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2552" w:type="dxa"/>
            <w:tcBorders>
              <w:right w:val="single" w:color="auto" w:sz="4" w:space="0"/>
            </w:tcBorders>
            <w:vAlign w:val="center"/>
          </w:tcPr>
          <w:p w14:paraId="5228F584">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2268" w:type="dxa"/>
            <w:tcBorders>
              <w:right w:val="single" w:color="auto" w:sz="4" w:space="0"/>
            </w:tcBorders>
            <w:vAlign w:val="center"/>
          </w:tcPr>
          <w:p w14:paraId="7EA70393">
            <w:pPr>
              <w:spacing w:before="156" w:beforeLines="50" w:after="156" w:afterLines="50"/>
              <w:jc w:val="left"/>
              <w:rPr>
                <w:sz w:val="18"/>
                <w:szCs w:val="18"/>
              </w:rPr>
            </w:pPr>
            <w:r>
              <w:rPr>
                <w:sz w:val="18"/>
                <w:szCs w:val="18"/>
              </w:rPr>
              <w:t>5000</w:t>
            </w:r>
            <w:r>
              <w:rPr>
                <w:rFonts w:hint="eastAsia"/>
                <w:sz w:val="18"/>
                <w:szCs w:val="18"/>
              </w:rPr>
              <w:t>元及以上6</w:t>
            </w:r>
            <w:r>
              <w:rPr>
                <w:sz w:val="18"/>
                <w:szCs w:val="18"/>
              </w:rPr>
              <w:t>000</w:t>
            </w:r>
            <w:r>
              <w:rPr>
                <w:rFonts w:hint="eastAsia"/>
                <w:sz w:val="18"/>
                <w:szCs w:val="18"/>
              </w:rPr>
              <w:t>元以下</w:t>
            </w:r>
          </w:p>
        </w:tc>
        <w:tc>
          <w:tcPr>
            <w:tcW w:w="1701" w:type="dxa"/>
            <w:tcBorders>
              <w:right w:val="single" w:color="auto" w:sz="4" w:space="0"/>
            </w:tcBorders>
            <w:vAlign w:val="center"/>
          </w:tcPr>
          <w:p w14:paraId="6127E987">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restart"/>
            <w:tcBorders>
              <w:left w:val="single" w:color="auto" w:sz="4" w:space="0"/>
              <w:right w:val="single" w:color="auto" w:sz="4" w:space="0"/>
            </w:tcBorders>
            <w:vAlign w:val="center"/>
          </w:tcPr>
          <w:p w14:paraId="3518028F">
            <w:pPr>
              <w:spacing w:before="156" w:beforeLines="50" w:after="156" w:afterLines="50"/>
              <w:rPr>
                <w:rFonts w:ascii="宋体"/>
                <w:sz w:val="18"/>
                <w:szCs w:val="18"/>
              </w:rPr>
            </w:pPr>
            <w:r>
              <w:rPr>
                <w:rFonts w:hint="eastAsia" w:ascii="宋体"/>
                <w:sz w:val="18"/>
                <w:szCs w:val="18"/>
              </w:rPr>
              <w:t>船名、船籍港、载重线</w:t>
            </w:r>
            <w:r>
              <w:rPr>
                <w:rFonts w:hint="eastAsia"/>
                <w:sz w:val="18"/>
                <w:szCs w:val="18"/>
              </w:rPr>
              <w:t>标示不清晰或者错误的或</w:t>
            </w:r>
            <w:r>
              <w:rPr>
                <w:rFonts w:hint="eastAsia" w:ascii="宋体"/>
                <w:sz w:val="18"/>
                <w:szCs w:val="18"/>
              </w:rPr>
              <w:t>遮挡船名、船籍港、载重线的</w:t>
            </w:r>
            <w:r>
              <w:rPr>
                <w:rFonts w:hint="eastAsia" w:ascii="宋体"/>
                <w:kern w:val="0"/>
                <w:sz w:val="18"/>
                <w:szCs w:val="18"/>
              </w:rPr>
              <w:t>：10</w:t>
            </w:r>
            <w:r>
              <w:rPr>
                <w:rFonts w:ascii="宋体"/>
                <w:kern w:val="0"/>
                <w:sz w:val="18"/>
                <w:szCs w:val="18"/>
              </w:rPr>
              <w:t>00</w:t>
            </w:r>
            <w:r>
              <w:rPr>
                <w:rFonts w:hint="eastAsia" w:ascii="宋体"/>
                <w:kern w:val="0"/>
                <w:sz w:val="18"/>
                <w:szCs w:val="18"/>
              </w:rPr>
              <w:t>元及以上30</w:t>
            </w:r>
            <w:r>
              <w:rPr>
                <w:rFonts w:ascii="宋体"/>
                <w:kern w:val="0"/>
                <w:sz w:val="18"/>
                <w:szCs w:val="18"/>
              </w:rPr>
              <w:t>00</w:t>
            </w:r>
            <w:r>
              <w:rPr>
                <w:rFonts w:hint="eastAsia" w:ascii="宋体"/>
                <w:kern w:val="0"/>
                <w:sz w:val="18"/>
                <w:szCs w:val="18"/>
              </w:rPr>
              <w:t>元以下</w:t>
            </w:r>
          </w:p>
        </w:tc>
        <w:tc>
          <w:tcPr>
            <w:tcW w:w="1853" w:type="dxa"/>
            <w:vMerge w:val="restart"/>
            <w:tcBorders>
              <w:left w:val="single" w:color="auto" w:sz="4" w:space="0"/>
              <w:right w:val="single" w:color="auto" w:sz="4" w:space="0"/>
            </w:tcBorders>
            <w:vAlign w:val="center"/>
          </w:tcPr>
          <w:p w14:paraId="385FB664">
            <w:pPr>
              <w:spacing w:before="156" w:beforeLines="50" w:after="156" w:afterLines="50"/>
              <w:rPr>
                <w:rFonts w:ascii="宋体"/>
                <w:kern w:val="0"/>
                <w:sz w:val="18"/>
                <w:szCs w:val="18"/>
              </w:rPr>
            </w:pPr>
            <w:r>
              <w:rPr>
                <w:rFonts w:hint="eastAsia" w:ascii="宋体"/>
                <w:sz w:val="18"/>
                <w:szCs w:val="18"/>
              </w:rPr>
              <w:t>船名、船籍港、载重线</w:t>
            </w:r>
            <w:r>
              <w:rPr>
                <w:rFonts w:hint="eastAsia"/>
                <w:sz w:val="18"/>
                <w:szCs w:val="18"/>
              </w:rPr>
              <w:t>标示不清晰或者错误的或</w:t>
            </w:r>
            <w:r>
              <w:rPr>
                <w:rFonts w:hint="eastAsia" w:ascii="宋体"/>
                <w:sz w:val="18"/>
                <w:szCs w:val="18"/>
              </w:rPr>
              <w:t>遮挡船名、船籍港、载重线的</w:t>
            </w:r>
            <w:r>
              <w:rPr>
                <w:rFonts w:hint="eastAsia"/>
                <w:sz w:val="18"/>
                <w:szCs w:val="18"/>
              </w:rPr>
              <w:t>：</w:t>
            </w:r>
            <w:r>
              <w:rPr>
                <w:rFonts w:hint="eastAsia" w:ascii="宋体"/>
                <w:kern w:val="0"/>
                <w:sz w:val="18"/>
                <w:szCs w:val="18"/>
              </w:rPr>
              <w:t>2</w:t>
            </w:r>
            <w:r>
              <w:rPr>
                <w:rFonts w:ascii="宋体"/>
                <w:kern w:val="0"/>
                <w:sz w:val="18"/>
                <w:szCs w:val="18"/>
              </w:rPr>
              <w:t>000</w:t>
            </w:r>
            <w:r>
              <w:rPr>
                <w:rFonts w:hint="eastAsia" w:ascii="宋体"/>
                <w:kern w:val="0"/>
                <w:sz w:val="18"/>
                <w:szCs w:val="18"/>
              </w:rPr>
              <w:t>元及以上500</w:t>
            </w:r>
            <w:r>
              <w:rPr>
                <w:rFonts w:ascii="宋体"/>
                <w:b/>
                <w:kern w:val="0"/>
                <w:sz w:val="18"/>
                <w:szCs w:val="18"/>
              </w:rPr>
              <w:t>0</w:t>
            </w:r>
            <w:r>
              <w:rPr>
                <w:rFonts w:hint="eastAsia" w:ascii="宋体"/>
                <w:kern w:val="0"/>
                <w:sz w:val="18"/>
                <w:szCs w:val="18"/>
              </w:rPr>
              <w:t>以下</w:t>
            </w:r>
          </w:p>
        </w:tc>
      </w:tr>
      <w:tr w14:paraId="51F6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1" w:hRule="atLeast"/>
        </w:trPr>
        <w:tc>
          <w:tcPr>
            <w:tcW w:w="689" w:type="dxa"/>
            <w:vMerge w:val="continue"/>
            <w:vAlign w:val="center"/>
          </w:tcPr>
          <w:p w14:paraId="044B671C">
            <w:pPr>
              <w:spacing w:before="156" w:beforeLines="50" w:after="156" w:afterLines="50"/>
              <w:jc w:val="left"/>
              <w:rPr>
                <w:rFonts w:ascii="宋体"/>
                <w:kern w:val="0"/>
                <w:sz w:val="18"/>
                <w:szCs w:val="18"/>
              </w:rPr>
            </w:pPr>
          </w:p>
        </w:tc>
        <w:tc>
          <w:tcPr>
            <w:tcW w:w="876" w:type="dxa"/>
            <w:vMerge w:val="continue"/>
            <w:vAlign w:val="center"/>
          </w:tcPr>
          <w:p w14:paraId="39F2AB0B">
            <w:pPr>
              <w:spacing w:before="156" w:beforeLines="50" w:after="156" w:afterLines="50"/>
              <w:jc w:val="left"/>
              <w:rPr>
                <w:rFonts w:ascii="宋体"/>
                <w:kern w:val="0"/>
                <w:sz w:val="18"/>
                <w:szCs w:val="18"/>
              </w:rPr>
            </w:pPr>
          </w:p>
        </w:tc>
        <w:tc>
          <w:tcPr>
            <w:tcW w:w="1377" w:type="dxa"/>
            <w:vMerge w:val="continue"/>
            <w:vAlign w:val="center"/>
          </w:tcPr>
          <w:p w14:paraId="6513FA92">
            <w:pPr>
              <w:widowControl/>
              <w:spacing w:before="156" w:beforeLines="50" w:after="156" w:afterLines="50"/>
              <w:jc w:val="left"/>
              <w:rPr>
                <w:rFonts w:ascii="宋体"/>
                <w:kern w:val="0"/>
                <w:sz w:val="18"/>
                <w:szCs w:val="18"/>
              </w:rPr>
            </w:pPr>
          </w:p>
        </w:tc>
        <w:tc>
          <w:tcPr>
            <w:tcW w:w="2101" w:type="dxa"/>
            <w:vMerge w:val="continue"/>
            <w:vAlign w:val="center"/>
          </w:tcPr>
          <w:p w14:paraId="0E10C462">
            <w:pPr>
              <w:spacing w:before="156" w:beforeLines="50" w:after="156" w:afterLines="50"/>
              <w:jc w:val="left"/>
              <w:rPr>
                <w:rFonts w:ascii="宋体"/>
                <w:kern w:val="0"/>
                <w:sz w:val="18"/>
                <w:szCs w:val="18"/>
              </w:rPr>
            </w:pPr>
          </w:p>
        </w:tc>
        <w:tc>
          <w:tcPr>
            <w:tcW w:w="851" w:type="dxa"/>
            <w:vMerge w:val="restart"/>
            <w:vAlign w:val="center"/>
          </w:tcPr>
          <w:p w14:paraId="4CCFA5DC">
            <w:pPr>
              <w:spacing w:before="156" w:beforeLines="50" w:after="156" w:afterLines="50"/>
              <w:jc w:val="center"/>
              <w:rPr>
                <w:rFonts w:ascii="宋体"/>
                <w:kern w:val="0"/>
                <w:sz w:val="18"/>
                <w:szCs w:val="18"/>
              </w:rPr>
            </w:pPr>
            <w:r>
              <w:rPr>
                <w:rFonts w:hint="eastAsia" w:ascii="宋体"/>
                <w:kern w:val="0"/>
                <w:sz w:val="18"/>
                <w:szCs w:val="18"/>
              </w:rPr>
              <w:t>一般</w:t>
            </w:r>
          </w:p>
          <w:p w14:paraId="7DF20017">
            <w:pPr>
              <w:spacing w:before="156" w:beforeLines="50" w:after="156" w:afterLines="50"/>
              <w:jc w:val="center"/>
              <w:rPr>
                <w:rFonts w:ascii="宋体"/>
                <w:kern w:val="0"/>
                <w:sz w:val="18"/>
                <w:szCs w:val="18"/>
              </w:rPr>
            </w:pPr>
          </w:p>
        </w:tc>
        <w:tc>
          <w:tcPr>
            <w:tcW w:w="2126" w:type="dxa"/>
            <w:vAlign w:val="center"/>
          </w:tcPr>
          <w:p w14:paraId="159E1408">
            <w:pPr>
              <w:widowControl/>
              <w:spacing w:before="156" w:beforeLines="50" w:after="156" w:afterLines="50"/>
              <w:jc w:val="left"/>
              <w:rPr>
                <w:rFonts w:ascii="宋体"/>
                <w:kern w:val="0"/>
                <w:sz w:val="18"/>
                <w:szCs w:val="18"/>
              </w:rPr>
            </w:pPr>
            <w:r>
              <w:rPr>
                <w:rFonts w:hint="eastAsia" w:ascii="宋体"/>
                <w:sz w:val="18"/>
                <w:szCs w:val="18"/>
              </w:rPr>
              <w:t>1.船名、船籍港、载重线</w:t>
            </w:r>
            <w:r>
              <w:rPr>
                <w:rFonts w:hint="eastAsia"/>
                <w:sz w:val="18"/>
                <w:szCs w:val="18"/>
              </w:rPr>
              <w:t>标示不清晰或者不符合规范要求的</w:t>
            </w:r>
            <w:r>
              <w:rPr>
                <w:rFonts w:hint="eastAsia" w:ascii="宋体"/>
                <w:kern w:val="0"/>
                <w:sz w:val="18"/>
                <w:szCs w:val="18"/>
              </w:rPr>
              <w:t>；</w:t>
            </w:r>
          </w:p>
          <w:p w14:paraId="6ADF12D5">
            <w:pPr>
              <w:widowControl/>
              <w:spacing w:before="156" w:beforeLines="50" w:after="156" w:afterLines="50"/>
              <w:jc w:val="left"/>
              <w:rPr>
                <w:rFonts w:ascii="宋体"/>
                <w:kern w:val="0"/>
                <w:sz w:val="18"/>
                <w:szCs w:val="18"/>
              </w:rPr>
            </w:pPr>
            <w:r>
              <w:rPr>
                <w:rFonts w:hint="eastAsia" w:ascii="宋体"/>
                <w:kern w:val="0"/>
                <w:sz w:val="18"/>
                <w:szCs w:val="18"/>
              </w:rPr>
              <w:t>2.</w:t>
            </w:r>
            <w:r>
              <w:rPr>
                <w:rFonts w:hint="eastAsia" w:ascii="宋体"/>
                <w:sz w:val="18"/>
                <w:szCs w:val="18"/>
              </w:rPr>
              <w:t>遮挡船名、船籍港、载重线。</w:t>
            </w:r>
          </w:p>
        </w:tc>
        <w:tc>
          <w:tcPr>
            <w:tcW w:w="2436" w:type="dxa"/>
            <w:tcBorders>
              <w:right w:val="single" w:color="auto" w:sz="4" w:space="0"/>
            </w:tcBorders>
            <w:vAlign w:val="center"/>
          </w:tcPr>
          <w:p w14:paraId="7BD87791">
            <w:pPr>
              <w:spacing w:before="156" w:beforeLines="50" w:after="156" w:afterLines="50"/>
              <w:jc w:val="left"/>
              <w:rPr>
                <w:rFonts w:ascii="宋体"/>
                <w:sz w:val="18"/>
                <w:szCs w:val="18"/>
              </w:rPr>
            </w:pPr>
            <w:r>
              <w:rPr>
                <w:rFonts w:hint="eastAsia"/>
                <w:sz w:val="18"/>
                <w:szCs w:val="18"/>
              </w:rPr>
              <w:t>6</w:t>
            </w:r>
            <w:r>
              <w:rPr>
                <w:sz w:val="18"/>
                <w:szCs w:val="18"/>
              </w:rPr>
              <w:t>000</w:t>
            </w:r>
            <w:r>
              <w:rPr>
                <w:rFonts w:hint="eastAsia"/>
                <w:sz w:val="18"/>
                <w:szCs w:val="18"/>
              </w:rPr>
              <w:t>元及以上</w:t>
            </w:r>
            <w:r>
              <w:rPr>
                <w:sz w:val="18"/>
                <w:szCs w:val="18"/>
              </w:rPr>
              <w:t>1</w:t>
            </w:r>
            <w:r>
              <w:rPr>
                <w:rFonts w:hint="eastAsia"/>
                <w:sz w:val="18"/>
                <w:szCs w:val="18"/>
              </w:rPr>
              <w:t>万元以下</w:t>
            </w:r>
          </w:p>
        </w:tc>
        <w:tc>
          <w:tcPr>
            <w:tcW w:w="2552" w:type="dxa"/>
            <w:tcBorders>
              <w:right w:val="single" w:color="auto" w:sz="4" w:space="0"/>
            </w:tcBorders>
            <w:vAlign w:val="center"/>
          </w:tcPr>
          <w:p w14:paraId="44BA3DB5">
            <w:pPr>
              <w:spacing w:before="156" w:beforeLines="50" w:after="156" w:afterLines="50"/>
              <w:rPr>
                <w:sz w:val="18"/>
                <w:szCs w:val="18"/>
              </w:rPr>
            </w:pPr>
            <w:r>
              <w:rPr>
                <w:rFonts w:hint="eastAsia"/>
                <w:sz w:val="18"/>
                <w:szCs w:val="18"/>
              </w:rPr>
              <w:t>6</w:t>
            </w:r>
            <w:r>
              <w:rPr>
                <w:sz w:val="18"/>
                <w:szCs w:val="18"/>
              </w:rPr>
              <w:t>000</w:t>
            </w:r>
            <w:r>
              <w:rPr>
                <w:rFonts w:hint="eastAsia"/>
                <w:sz w:val="18"/>
                <w:szCs w:val="18"/>
              </w:rPr>
              <w:t>元及以上</w:t>
            </w:r>
            <w:r>
              <w:rPr>
                <w:sz w:val="18"/>
                <w:szCs w:val="18"/>
              </w:rPr>
              <w:t>1</w:t>
            </w:r>
            <w:r>
              <w:rPr>
                <w:rFonts w:hint="eastAsia"/>
                <w:sz w:val="18"/>
                <w:szCs w:val="18"/>
              </w:rPr>
              <w:t>.5万元以下</w:t>
            </w:r>
          </w:p>
        </w:tc>
        <w:tc>
          <w:tcPr>
            <w:tcW w:w="2268" w:type="dxa"/>
            <w:tcBorders>
              <w:right w:val="single" w:color="auto" w:sz="4" w:space="0"/>
            </w:tcBorders>
            <w:vAlign w:val="center"/>
          </w:tcPr>
          <w:p w14:paraId="4D97E516">
            <w:pPr>
              <w:spacing w:before="156" w:beforeLines="50" w:after="156" w:afterLines="50"/>
              <w:rPr>
                <w:sz w:val="18"/>
                <w:szCs w:val="18"/>
              </w:rPr>
            </w:pPr>
            <w:r>
              <w:rPr>
                <w:rFonts w:hint="eastAsia"/>
                <w:sz w:val="18"/>
                <w:szCs w:val="18"/>
              </w:rPr>
              <w:t>6</w:t>
            </w:r>
            <w:r>
              <w:rPr>
                <w:sz w:val="18"/>
                <w:szCs w:val="18"/>
              </w:rPr>
              <w:t>000</w:t>
            </w:r>
            <w:r>
              <w:rPr>
                <w:rFonts w:hint="eastAsia"/>
                <w:sz w:val="18"/>
                <w:szCs w:val="18"/>
              </w:rPr>
              <w:t>元及以上2万元以下</w:t>
            </w:r>
          </w:p>
        </w:tc>
        <w:tc>
          <w:tcPr>
            <w:tcW w:w="1701" w:type="dxa"/>
            <w:tcBorders>
              <w:right w:val="single" w:color="auto" w:sz="4" w:space="0"/>
            </w:tcBorders>
            <w:vAlign w:val="center"/>
          </w:tcPr>
          <w:p w14:paraId="7B6536E9">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continue"/>
            <w:tcBorders>
              <w:left w:val="single" w:color="auto" w:sz="4" w:space="0"/>
              <w:right w:val="single" w:color="auto" w:sz="4" w:space="0"/>
            </w:tcBorders>
            <w:vAlign w:val="center"/>
          </w:tcPr>
          <w:p w14:paraId="09E89E26">
            <w:pPr>
              <w:spacing w:before="156" w:beforeLines="50" w:after="156" w:afterLines="50"/>
              <w:jc w:val="left"/>
              <w:rPr>
                <w:rFonts w:ascii="宋体"/>
                <w:kern w:val="0"/>
                <w:sz w:val="18"/>
                <w:szCs w:val="18"/>
              </w:rPr>
            </w:pPr>
          </w:p>
        </w:tc>
        <w:tc>
          <w:tcPr>
            <w:tcW w:w="1853" w:type="dxa"/>
            <w:vMerge w:val="continue"/>
            <w:tcBorders>
              <w:left w:val="single" w:color="auto" w:sz="4" w:space="0"/>
              <w:right w:val="single" w:color="auto" w:sz="4" w:space="0"/>
            </w:tcBorders>
            <w:vAlign w:val="center"/>
          </w:tcPr>
          <w:p w14:paraId="1D6D37B1">
            <w:pPr>
              <w:spacing w:before="156" w:beforeLines="50" w:after="156" w:afterLines="50"/>
              <w:jc w:val="left"/>
              <w:rPr>
                <w:rFonts w:ascii="宋体"/>
                <w:kern w:val="0"/>
                <w:sz w:val="18"/>
                <w:szCs w:val="18"/>
              </w:rPr>
            </w:pPr>
          </w:p>
        </w:tc>
      </w:tr>
      <w:tr w14:paraId="12E9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trPr>
        <w:tc>
          <w:tcPr>
            <w:tcW w:w="689" w:type="dxa"/>
            <w:vMerge w:val="continue"/>
            <w:vAlign w:val="center"/>
          </w:tcPr>
          <w:p w14:paraId="7D8DF585">
            <w:pPr>
              <w:spacing w:before="156" w:beforeLines="50" w:after="156" w:afterLines="50"/>
              <w:jc w:val="left"/>
              <w:rPr>
                <w:rFonts w:ascii="宋体"/>
                <w:kern w:val="0"/>
                <w:sz w:val="18"/>
                <w:szCs w:val="18"/>
              </w:rPr>
            </w:pPr>
          </w:p>
        </w:tc>
        <w:tc>
          <w:tcPr>
            <w:tcW w:w="876" w:type="dxa"/>
            <w:vMerge w:val="continue"/>
            <w:vAlign w:val="center"/>
          </w:tcPr>
          <w:p w14:paraId="68619ECC">
            <w:pPr>
              <w:spacing w:before="156" w:beforeLines="50" w:after="156" w:afterLines="50"/>
              <w:jc w:val="left"/>
              <w:rPr>
                <w:rFonts w:ascii="宋体"/>
                <w:kern w:val="0"/>
                <w:sz w:val="18"/>
                <w:szCs w:val="18"/>
              </w:rPr>
            </w:pPr>
          </w:p>
        </w:tc>
        <w:tc>
          <w:tcPr>
            <w:tcW w:w="1377" w:type="dxa"/>
            <w:vMerge w:val="continue"/>
            <w:vAlign w:val="center"/>
          </w:tcPr>
          <w:p w14:paraId="134CFAF5">
            <w:pPr>
              <w:spacing w:before="156" w:beforeLines="50" w:after="156" w:afterLines="50"/>
              <w:jc w:val="left"/>
              <w:rPr>
                <w:rFonts w:ascii="宋体"/>
                <w:kern w:val="0"/>
                <w:sz w:val="18"/>
                <w:szCs w:val="18"/>
              </w:rPr>
            </w:pPr>
          </w:p>
        </w:tc>
        <w:tc>
          <w:tcPr>
            <w:tcW w:w="2101" w:type="dxa"/>
            <w:vMerge w:val="continue"/>
            <w:vAlign w:val="center"/>
          </w:tcPr>
          <w:p w14:paraId="6A5B4B7E">
            <w:pPr>
              <w:spacing w:before="156" w:beforeLines="50" w:after="156" w:afterLines="50"/>
              <w:jc w:val="left"/>
              <w:rPr>
                <w:rFonts w:ascii="宋体"/>
                <w:kern w:val="0"/>
                <w:sz w:val="18"/>
                <w:szCs w:val="18"/>
              </w:rPr>
            </w:pPr>
          </w:p>
        </w:tc>
        <w:tc>
          <w:tcPr>
            <w:tcW w:w="851" w:type="dxa"/>
            <w:vMerge w:val="continue"/>
            <w:tcBorders>
              <w:bottom w:val="single" w:color="auto" w:sz="4" w:space="0"/>
            </w:tcBorders>
            <w:vAlign w:val="center"/>
          </w:tcPr>
          <w:p w14:paraId="5B248D1A">
            <w:pPr>
              <w:spacing w:before="156" w:beforeLines="50" w:after="156" w:afterLines="50"/>
              <w:jc w:val="center"/>
              <w:rPr>
                <w:rFonts w:ascii="宋体"/>
                <w:kern w:val="0"/>
                <w:sz w:val="18"/>
                <w:szCs w:val="18"/>
              </w:rPr>
            </w:pPr>
          </w:p>
        </w:tc>
        <w:tc>
          <w:tcPr>
            <w:tcW w:w="2126" w:type="dxa"/>
            <w:tcBorders>
              <w:top w:val="single" w:color="auto" w:sz="4" w:space="0"/>
              <w:bottom w:val="single" w:color="auto" w:sz="4" w:space="0"/>
            </w:tcBorders>
            <w:vAlign w:val="center"/>
          </w:tcPr>
          <w:p w14:paraId="44E924E4">
            <w:pPr>
              <w:widowControl/>
              <w:spacing w:before="156" w:beforeLines="50" w:after="156" w:afterLines="50"/>
              <w:jc w:val="left"/>
              <w:rPr>
                <w:rFonts w:ascii="宋体"/>
                <w:kern w:val="0"/>
                <w:sz w:val="18"/>
                <w:szCs w:val="18"/>
              </w:rPr>
            </w:pPr>
            <w:r>
              <w:rPr>
                <w:rFonts w:hint="eastAsia"/>
                <w:sz w:val="18"/>
                <w:szCs w:val="18"/>
              </w:rPr>
              <w:t>未标明船</w:t>
            </w:r>
            <w:r>
              <w:rPr>
                <w:rFonts w:hint="eastAsia" w:ascii="宋体"/>
                <w:sz w:val="18"/>
                <w:szCs w:val="18"/>
              </w:rPr>
              <w:t>名；或者未标明船籍港；或者未标明载重线</w:t>
            </w:r>
            <w:r>
              <w:rPr>
                <w:rFonts w:hint="eastAsia"/>
                <w:sz w:val="18"/>
                <w:szCs w:val="18"/>
              </w:rPr>
              <w:t>的</w:t>
            </w:r>
            <w:r>
              <w:rPr>
                <w:rFonts w:hint="eastAsia" w:ascii="宋体"/>
                <w:sz w:val="18"/>
                <w:szCs w:val="18"/>
              </w:rPr>
              <w:t>。</w:t>
            </w:r>
          </w:p>
        </w:tc>
        <w:tc>
          <w:tcPr>
            <w:tcW w:w="2436" w:type="dxa"/>
            <w:tcBorders>
              <w:top w:val="single" w:color="auto" w:sz="4" w:space="0"/>
              <w:bottom w:val="single" w:color="auto" w:sz="4" w:space="0"/>
              <w:right w:val="single" w:color="auto" w:sz="4" w:space="0"/>
            </w:tcBorders>
            <w:vAlign w:val="center"/>
          </w:tcPr>
          <w:p w14:paraId="4CDA66D3">
            <w:pPr>
              <w:spacing w:before="156" w:beforeLines="50" w:after="156" w:afterLines="50"/>
              <w:jc w:val="left"/>
              <w:rPr>
                <w:rFonts w:ascii="宋体"/>
                <w:sz w:val="18"/>
                <w:szCs w:val="18"/>
              </w:rPr>
            </w:pPr>
            <w:r>
              <w:rPr>
                <w:sz w:val="18"/>
                <w:szCs w:val="18"/>
              </w:rPr>
              <w:t>1</w:t>
            </w:r>
            <w:r>
              <w:rPr>
                <w:rFonts w:hint="eastAsia"/>
                <w:sz w:val="18"/>
                <w:szCs w:val="18"/>
              </w:rPr>
              <w:t>万元及以上2万元以下</w:t>
            </w:r>
          </w:p>
        </w:tc>
        <w:tc>
          <w:tcPr>
            <w:tcW w:w="2552" w:type="dxa"/>
            <w:tcBorders>
              <w:top w:val="single" w:color="auto" w:sz="4" w:space="0"/>
              <w:bottom w:val="single" w:color="auto" w:sz="4" w:space="0"/>
              <w:right w:val="single" w:color="auto" w:sz="4" w:space="0"/>
            </w:tcBorders>
            <w:vAlign w:val="center"/>
          </w:tcPr>
          <w:p w14:paraId="200E8888">
            <w:pPr>
              <w:spacing w:before="156" w:beforeLines="50" w:after="156" w:afterLines="50"/>
              <w:jc w:val="left"/>
              <w:rPr>
                <w:rFonts w:ascii="宋体"/>
                <w:sz w:val="18"/>
                <w:szCs w:val="18"/>
              </w:rPr>
            </w:pPr>
            <w:r>
              <w:rPr>
                <w:rFonts w:hint="eastAsia"/>
                <w:sz w:val="18"/>
                <w:szCs w:val="18"/>
              </w:rPr>
              <w:t>1.5万元及以上</w:t>
            </w:r>
            <w:r>
              <w:rPr>
                <w:sz w:val="18"/>
                <w:szCs w:val="18"/>
              </w:rPr>
              <w:t>2</w:t>
            </w:r>
            <w:r>
              <w:rPr>
                <w:rFonts w:hint="eastAsia"/>
                <w:sz w:val="18"/>
                <w:szCs w:val="18"/>
              </w:rPr>
              <w:t>.5万元以下</w:t>
            </w:r>
          </w:p>
        </w:tc>
        <w:tc>
          <w:tcPr>
            <w:tcW w:w="2268" w:type="dxa"/>
            <w:tcBorders>
              <w:top w:val="single" w:color="auto" w:sz="4" w:space="0"/>
              <w:bottom w:val="single" w:color="auto" w:sz="4" w:space="0"/>
              <w:right w:val="single" w:color="auto" w:sz="4" w:space="0"/>
            </w:tcBorders>
            <w:vAlign w:val="center"/>
          </w:tcPr>
          <w:p w14:paraId="76E54BD2">
            <w:pPr>
              <w:spacing w:before="156" w:beforeLines="50" w:after="156" w:afterLines="50"/>
              <w:jc w:val="left"/>
              <w:rPr>
                <w:rFonts w:ascii="宋体"/>
                <w:sz w:val="18"/>
                <w:szCs w:val="18"/>
              </w:rPr>
            </w:pPr>
            <w:r>
              <w:rPr>
                <w:rFonts w:hint="eastAsia"/>
                <w:sz w:val="18"/>
                <w:szCs w:val="18"/>
              </w:rPr>
              <w:t>2万元及以上</w:t>
            </w:r>
            <w:r>
              <w:rPr>
                <w:sz w:val="18"/>
                <w:szCs w:val="18"/>
              </w:rPr>
              <w:t>3</w:t>
            </w:r>
            <w:r>
              <w:rPr>
                <w:rFonts w:hint="eastAsia"/>
                <w:sz w:val="18"/>
                <w:szCs w:val="18"/>
              </w:rPr>
              <w:t>万元以下</w:t>
            </w:r>
          </w:p>
        </w:tc>
        <w:tc>
          <w:tcPr>
            <w:tcW w:w="1701" w:type="dxa"/>
            <w:tcBorders>
              <w:right w:val="single" w:color="auto" w:sz="4" w:space="0"/>
            </w:tcBorders>
            <w:vAlign w:val="center"/>
          </w:tcPr>
          <w:p w14:paraId="3D4CC88C">
            <w:pPr>
              <w:spacing w:before="156" w:beforeLines="50" w:after="156" w:afterLines="50"/>
              <w:jc w:val="center"/>
              <w:rPr>
                <w:rFonts w:ascii="宋体"/>
                <w:kern w:val="0"/>
                <w:sz w:val="18"/>
                <w:szCs w:val="18"/>
              </w:rPr>
            </w:pPr>
            <w:r>
              <w:rPr>
                <w:rFonts w:ascii="宋体"/>
                <w:kern w:val="0"/>
                <w:sz w:val="18"/>
                <w:szCs w:val="18"/>
              </w:rPr>
              <w:t>/</w:t>
            </w:r>
          </w:p>
        </w:tc>
        <w:tc>
          <w:tcPr>
            <w:tcW w:w="1701" w:type="dxa"/>
            <w:vMerge w:val="continue"/>
            <w:tcBorders>
              <w:left w:val="single" w:color="auto" w:sz="4" w:space="0"/>
              <w:right w:val="single" w:color="auto" w:sz="4" w:space="0"/>
            </w:tcBorders>
            <w:vAlign w:val="center"/>
          </w:tcPr>
          <w:p w14:paraId="003C5E28">
            <w:pPr>
              <w:spacing w:before="156" w:beforeLines="50" w:after="156" w:afterLines="50"/>
              <w:jc w:val="left"/>
              <w:rPr>
                <w:rFonts w:ascii="宋体"/>
                <w:kern w:val="0"/>
                <w:sz w:val="18"/>
                <w:szCs w:val="18"/>
              </w:rPr>
            </w:pPr>
          </w:p>
        </w:tc>
        <w:tc>
          <w:tcPr>
            <w:tcW w:w="1853" w:type="dxa"/>
            <w:vMerge w:val="continue"/>
            <w:tcBorders>
              <w:left w:val="single" w:color="auto" w:sz="4" w:space="0"/>
              <w:right w:val="single" w:color="auto" w:sz="4" w:space="0"/>
            </w:tcBorders>
            <w:vAlign w:val="center"/>
          </w:tcPr>
          <w:p w14:paraId="594FD776">
            <w:pPr>
              <w:spacing w:before="156" w:beforeLines="50" w:after="156" w:afterLines="50"/>
              <w:jc w:val="left"/>
              <w:rPr>
                <w:rFonts w:ascii="宋体"/>
                <w:kern w:val="0"/>
                <w:sz w:val="18"/>
                <w:szCs w:val="18"/>
              </w:rPr>
            </w:pPr>
          </w:p>
        </w:tc>
      </w:tr>
      <w:tr w14:paraId="0250E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89" w:type="dxa"/>
            <w:vMerge w:val="continue"/>
            <w:tcBorders>
              <w:bottom w:val="single" w:color="000000" w:sz="4" w:space="0"/>
            </w:tcBorders>
            <w:vAlign w:val="center"/>
          </w:tcPr>
          <w:p w14:paraId="2A2A619B">
            <w:pPr>
              <w:spacing w:before="156" w:beforeLines="50" w:after="156" w:afterLines="50"/>
              <w:jc w:val="left"/>
              <w:rPr>
                <w:rFonts w:ascii="宋体"/>
                <w:kern w:val="0"/>
                <w:sz w:val="18"/>
                <w:szCs w:val="18"/>
              </w:rPr>
            </w:pPr>
          </w:p>
        </w:tc>
        <w:tc>
          <w:tcPr>
            <w:tcW w:w="876" w:type="dxa"/>
            <w:vMerge w:val="continue"/>
            <w:tcBorders>
              <w:bottom w:val="single" w:color="000000" w:sz="4" w:space="0"/>
            </w:tcBorders>
            <w:vAlign w:val="center"/>
          </w:tcPr>
          <w:p w14:paraId="35ADD11B">
            <w:pPr>
              <w:spacing w:before="156" w:beforeLines="50" w:after="156" w:afterLines="50"/>
              <w:jc w:val="left"/>
              <w:rPr>
                <w:rFonts w:ascii="宋体"/>
                <w:kern w:val="0"/>
                <w:sz w:val="18"/>
                <w:szCs w:val="18"/>
              </w:rPr>
            </w:pPr>
          </w:p>
        </w:tc>
        <w:tc>
          <w:tcPr>
            <w:tcW w:w="1377" w:type="dxa"/>
            <w:vMerge w:val="continue"/>
            <w:tcBorders>
              <w:bottom w:val="single" w:color="000000" w:sz="4" w:space="0"/>
            </w:tcBorders>
            <w:vAlign w:val="center"/>
          </w:tcPr>
          <w:p w14:paraId="65507ABA">
            <w:pPr>
              <w:spacing w:before="156" w:beforeLines="50" w:after="156" w:afterLines="50"/>
              <w:jc w:val="left"/>
              <w:rPr>
                <w:rFonts w:ascii="宋体"/>
                <w:kern w:val="0"/>
                <w:sz w:val="18"/>
                <w:szCs w:val="18"/>
              </w:rPr>
            </w:pPr>
          </w:p>
        </w:tc>
        <w:tc>
          <w:tcPr>
            <w:tcW w:w="2101" w:type="dxa"/>
            <w:vMerge w:val="continue"/>
            <w:tcBorders>
              <w:bottom w:val="single" w:color="000000" w:sz="4" w:space="0"/>
            </w:tcBorders>
            <w:vAlign w:val="center"/>
          </w:tcPr>
          <w:p w14:paraId="650B11DA">
            <w:pPr>
              <w:spacing w:before="156" w:beforeLines="50" w:after="156" w:afterLines="50"/>
              <w:jc w:val="left"/>
              <w:rPr>
                <w:rFonts w:ascii="宋体"/>
                <w:kern w:val="0"/>
                <w:sz w:val="18"/>
                <w:szCs w:val="18"/>
              </w:rPr>
            </w:pPr>
          </w:p>
        </w:tc>
        <w:tc>
          <w:tcPr>
            <w:tcW w:w="851" w:type="dxa"/>
            <w:tcBorders>
              <w:top w:val="single" w:color="auto" w:sz="4" w:space="0"/>
              <w:bottom w:val="single" w:color="000000" w:sz="4" w:space="0"/>
              <w:right w:val="single" w:color="auto" w:sz="4" w:space="0"/>
            </w:tcBorders>
            <w:vAlign w:val="center"/>
          </w:tcPr>
          <w:p w14:paraId="7FE5DCE2">
            <w:pPr>
              <w:spacing w:before="156" w:beforeLines="50" w:after="156" w:afterLines="50"/>
              <w:jc w:val="center"/>
              <w:rPr>
                <w:rFonts w:ascii="宋体"/>
                <w:kern w:val="0"/>
                <w:sz w:val="18"/>
                <w:szCs w:val="18"/>
              </w:rPr>
            </w:pPr>
            <w:r>
              <w:rPr>
                <w:rFonts w:hint="eastAsia" w:ascii="宋体"/>
                <w:kern w:val="0"/>
                <w:sz w:val="18"/>
                <w:szCs w:val="18"/>
              </w:rPr>
              <w:t>情节</w:t>
            </w:r>
          </w:p>
          <w:p w14:paraId="69BEF86C">
            <w:pPr>
              <w:spacing w:before="156" w:beforeLines="50" w:after="156" w:afterLines="50"/>
              <w:jc w:val="center"/>
              <w:rPr>
                <w:rFonts w:ascii="宋体"/>
                <w:kern w:val="0"/>
                <w:sz w:val="18"/>
                <w:szCs w:val="18"/>
              </w:rPr>
            </w:pPr>
            <w:r>
              <w:rPr>
                <w:rFonts w:hint="eastAsia" w:ascii="宋体"/>
                <w:kern w:val="0"/>
                <w:sz w:val="18"/>
                <w:szCs w:val="18"/>
              </w:rPr>
              <w:t>严重</w:t>
            </w:r>
          </w:p>
        </w:tc>
        <w:tc>
          <w:tcPr>
            <w:tcW w:w="2126" w:type="dxa"/>
            <w:tcBorders>
              <w:top w:val="single" w:color="auto" w:sz="4" w:space="0"/>
              <w:left w:val="single" w:color="auto" w:sz="4" w:space="0"/>
              <w:bottom w:val="single" w:color="000000" w:sz="4" w:space="0"/>
            </w:tcBorders>
            <w:vAlign w:val="center"/>
          </w:tcPr>
          <w:p w14:paraId="568F084C">
            <w:pPr>
              <w:spacing w:before="156" w:beforeLines="50" w:after="156" w:afterLines="50"/>
              <w:jc w:val="left"/>
              <w:rPr>
                <w:rFonts w:ascii="宋体"/>
                <w:sz w:val="18"/>
                <w:szCs w:val="18"/>
              </w:rPr>
            </w:pPr>
            <w:r>
              <w:rPr>
                <w:rFonts w:hint="eastAsia" w:ascii="宋体"/>
                <w:kern w:val="0"/>
                <w:sz w:val="18"/>
                <w:szCs w:val="18"/>
              </w:rPr>
              <w:t>1</w:t>
            </w:r>
            <w:r>
              <w:rPr>
                <w:rFonts w:hint="eastAsia" w:ascii="宋体"/>
                <w:sz w:val="18"/>
                <w:szCs w:val="18"/>
              </w:rPr>
              <w:t>.</w:t>
            </w:r>
            <w:r>
              <w:rPr>
                <w:rFonts w:hint="eastAsia"/>
                <w:sz w:val="18"/>
                <w:szCs w:val="18"/>
              </w:rPr>
              <w:t>标识假</w:t>
            </w:r>
            <w:r>
              <w:rPr>
                <w:rFonts w:hint="eastAsia" w:ascii="宋体"/>
                <w:sz w:val="18"/>
                <w:szCs w:val="18"/>
              </w:rPr>
              <w:t>船名、船籍港或载重线的；</w:t>
            </w:r>
          </w:p>
          <w:p w14:paraId="68A3D56B">
            <w:pPr>
              <w:spacing w:before="156" w:beforeLines="50" w:after="156" w:afterLines="50"/>
              <w:jc w:val="left"/>
              <w:rPr>
                <w:rFonts w:ascii="宋体"/>
                <w:kern w:val="0"/>
                <w:sz w:val="18"/>
                <w:szCs w:val="18"/>
              </w:rPr>
            </w:pPr>
            <w:r>
              <w:rPr>
                <w:rFonts w:hint="eastAsia" w:ascii="宋体"/>
                <w:sz w:val="18"/>
                <w:szCs w:val="18"/>
              </w:rPr>
              <w:t>2.</w:t>
            </w:r>
            <w:r>
              <w:rPr>
                <w:rFonts w:hint="eastAsia" w:ascii="宋体"/>
                <w:kern w:val="0"/>
                <w:sz w:val="18"/>
                <w:szCs w:val="18"/>
              </w:rPr>
              <w:t>具有其他严重情节的。</w:t>
            </w:r>
          </w:p>
        </w:tc>
        <w:tc>
          <w:tcPr>
            <w:tcW w:w="2436" w:type="dxa"/>
            <w:tcBorders>
              <w:top w:val="single" w:color="auto" w:sz="4" w:space="0"/>
              <w:bottom w:val="single" w:color="000000" w:sz="4" w:space="0"/>
              <w:right w:val="single" w:color="auto" w:sz="4" w:space="0"/>
            </w:tcBorders>
            <w:vAlign w:val="center"/>
          </w:tcPr>
          <w:p w14:paraId="38A1FDE6">
            <w:pPr>
              <w:spacing w:before="156" w:beforeLines="50" w:after="156" w:afterLines="50"/>
              <w:jc w:val="left"/>
              <w:rPr>
                <w:rFonts w:ascii="宋体"/>
                <w:sz w:val="18"/>
                <w:szCs w:val="18"/>
              </w:rPr>
            </w:pPr>
            <w:r>
              <w:rPr>
                <w:rFonts w:hint="eastAsia" w:ascii="宋体"/>
                <w:sz w:val="18"/>
                <w:szCs w:val="18"/>
              </w:rPr>
              <w:t>2万元及以上5万元及以下</w:t>
            </w:r>
          </w:p>
        </w:tc>
        <w:tc>
          <w:tcPr>
            <w:tcW w:w="2552" w:type="dxa"/>
            <w:tcBorders>
              <w:top w:val="single" w:color="auto" w:sz="4" w:space="0"/>
              <w:bottom w:val="single" w:color="000000" w:sz="4" w:space="0"/>
              <w:right w:val="single" w:color="auto" w:sz="4" w:space="0"/>
            </w:tcBorders>
            <w:vAlign w:val="center"/>
          </w:tcPr>
          <w:p w14:paraId="5A204685">
            <w:pPr>
              <w:spacing w:before="156" w:beforeLines="50" w:after="156" w:afterLines="50"/>
              <w:rPr>
                <w:sz w:val="18"/>
                <w:szCs w:val="18"/>
              </w:rPr>
            </w:pPr>
            <w:r>
              <w:rPr>
                <w:rFonts w:hint="eastAsia" w:ascii="宋体"/>
                <w:sz w:val="18"/>
                <w:szCs w:val="18"/>
              </w:rPr>
              <w:t>2.5万元及以上5万元及以下</w:t>
            </w:r>
          </w:p>
        </w:tc>
        <w:tc>
          <w:tcPr>
            <w:tcW w:w="2268" w:type="dxa"/>
            <w:tcBorders>
              <w:top w:val="single" w:color="auto" w:sz="4" w:space="0"/>
              <w:bottom w:val="single" w:color="000000" w:sz="4" w:space="0"/>
              <w:right w:val="single" w:color="auto" w:sz="4" w:space="0"/>
            </w:tcBorders>
            <w:vAlign w:val="center"/>
          </w:tcPr>
          <w:p w14:paraId="3ACE7467">
            <w:pPr>
              <w:spacing w:before="156" w:beforeLines="50" w:after="156" w:afterLines="50"/>
              <w:rPr>
                <w:sz w:val="18"/>
                <w:szCs w:val="18"/>
              </w:rPr>
            </w:pPr>
            <w:r>
              <w:rPr>
                <w:rFonts w:hint="eastAsia" w:ascii="宋体"/>
                <w:sz w:val="18"/>
                <w:szCs w:val="18"/>
              </w:rPr>
              <w:t>3万元及以上5万元及以下</w:t>
            </w:r>
          </w:p>
        </w:tc>
        <w:tc>
          <w:tcPr>
            <w:tcW w:w="1701" w:type="dxa"/>
            <w:tcBorders>
              <w:bottom w:val="single" w:color="000000" w:sz="4" w:space="0"/>
              <w:right w:val="single" w:color="auto" w:sz="4" w:space="0"/>
            </w:tcBorders>
            <w:vAlign w:val="center"/>
          </w:tcPr>
          <w:p w14:paraId="136C7D06">
            <w:pPr>
              <w:spacing w:before="156" w:beforeLines="50" w:after="156" w:afterLines="50"/>
              <w:jc w:val="left"/>
              <w:rPr>
                <w:rFonts w:ascii="宋体"/>
                <w:kern w:val="0"/>
                <w:sz w:val="18"/>
                <w:szCs w:val="18"/>
              </w:rPr>
            </w:pPr>
            <w:r>
              <w:rPr>
                <w:rFonts w:hint="eastAsia"/>
                <w:sz w:val="18"/>
                <w:szCs w:val="18"/>
              </w:rPr>
              <w:t>情节严重的，并可以对责任船员给予暂扣适任证书或者其他适任证件3个月至6个月的处罚。</w:t>
            </w:r>
          </w:p>
        </w:tc>
        <w:tc>
          <w:tcPr>
            <w:tcW w:w="1701" w:type="dxa"/>
            <w:vMerge w:val="continue"/>
            <w:tcBorders>
              <w:left w:val="single" w:color="auto" w:sz="4" w:space="0"/>
              <w:bottom w:val="single" w:color="000000" w:sz="4" w:space="0"/>
              <w:right w:val="single" w:color="auto" w:sz="4" w:space="0"/>
            </w:tcBorders>
            <w:vAlign w:val="center"/>
          </w:tcPr>
          <w:p w14:paraId="3B792747">
            <w:pPr>
              <w:spacing w:before="156" w:beforeLines="50" w:after="156" w:afterLines="50"/>
              <w:jc w:val="left"/>
              <w:rPr>
                <w:rFonts w:ascii="宋体"/>
                <w:kern w:val="0"/>
                <w:sz w:val="18"/>
                <w:szCs w:val="18"/>
              </w:rPr>
            </w:pPr>
          </w:p>
        </w:tc>
        <w:tc>
          <w:tcPr>
            <w:tcW w:w="1853" w:type="dxa"/>
            <w:vMerge w:val="continue"/>
            <w:tcBorders>
              <w:left w:val="single" w:color="auto" w:sz="4" w:space="0"/>
              <w:bottom w:val="single" w:color="000000" w:sz="4" w:space="0"/>
              <w:right w:val="single" w:color="auto" w:sz="4" w:space="0"/>
            </w:tcBorders>
            <w:vAlign w:val="center"/>
          </w:tcPr>
          <w:p w14:paraId="695C3E50">
            <w:pPr>
              <w:spacing w:before="156" w:beforeLines="50" w:after="156" w:afterLines="50"/>
              <w:jc w:val="left"/>
              <w:rPr>
                <w:rFonts w:ascii="宋体"/>
                <w:kern w:val="0"/>
                <w:sz w:val="18"/>
                <w:szCs w:val="18"/>
              </w:rPr>
            </w:pPr>
          </w:p>
        </w:tc>
      </w:tr>
    </w:tbl>
    <w:p w14:paraId="5DE024C3">
      <w:pPr>
        <w:spacing w:before="156" w:beforeLines="50" w:after="156" w:afterLines="50"/>
        <w:jc w:val="left"/>
        <w:rPr>
          <w:rFonts w:ascii="宋体"/>
          <w:sz w:val="18"/>
          <w:szCs w:val="1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574"/>
        <w:gridCol w:w="2494"/>
        <w:gridCol w:w="2410"/>
        <w:gridCol w:w="1617"/>
        <w:gridCol w:w="2068"/>
        <w:gridCol w:w="2034"/>
      </w:tblGrid>
      <w:tr w14:paraId="22E2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111BCFF7">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14:paraId="524904C4">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14:paraId="458B8005">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14:paraId="26A96B5F">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14:paraId="2182FC4B">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197" w:type="dxa"/>
            <w:gridSpan w:val="6"/>
            <w:vAlign w:val="center"/>
          </w:tcPr>
          <w:p w14:paraId="015D47E3">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2956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4257608C">
            <w:pPr>
              <w:spacing w:before="156" w:beforeLines="50" w:after="156" w:afterLines="50"/>
              <w:jc w:val="left"/>
              <w:rPr>
                <w:b/>
                <w:sz w:val="18"/>
                <w:szCs w:val="18"/>
              </w:rPr>
            </w:pPr>
          </w:p>
        </w:tc>
        <w:tc>
          <w:tcPr>
            <w:tcW w:w="871" w:type="dxa"/>
            <w:vMerge w:val="continue"/>
            <w:vAlign w:val="center"/>
          </w:tcPr>
          <w:p w14:paraId="1343AE43">
            <w:pPr>
              <w:spacing w:before="156" w:beforeLines="50" w:after="156" w:afterLines="50"/>
              <w:jc w:val="left"/>
              <w:rPr>
                <w:b/>
                <w:sz w:val="18"/>
                <w:szCs w:val="18"/>
              </w:rPr>
            </w:pPr>
          </w:p>
        </w:tc>
        <w:tc>
          <w:tcPr>
            <w:tcW w:w="2400" w:type="dxa"/>
            <w:gridSpan w:val="2"/>
            <w:vMerge w:val="continue"/>
            <w:vAlign w:val="center"/>
          </w:tcPr>
          <w:p w14:paraId="73469924">
            <w:pPr>
              <w:spacing w:before="156" w:beforeLines="50" w:after="156" w:afterLines="50"/>
              <w:jc w:val="left"/>
              <w:rPr>
                <w:b/>
                <w:sz w:val="18"/>
                <w:szCs w:val="18"/>
              </w:rPr>
            </w:pPr>
          </w:p>
        </w:tc>
        <w:tc>
          <w:tcPr>
            <w:tcW w:w="991" w:type="dxa"/>
            <w:vMerge w:val="continue"/>
            <w:vAlign w:val="center"/>
          </w:tcPr>
          <w:p w14:paraId="17778C32">
            <w:pPr>
              <w:spacing w:before="156" w:beforeLines="50" w:after="156" w:afterLines="50"/>
              <w:jc w:val="left"/>
              <w:rPr>
                <w:b/>
                <w:sz w:val="18"/>
                <w:szCs w:val="18"/>
              </w:rPr>
            </w:pPr>
          </w:p>
        </w:tc>
        <w:tc>
          <w:tcPr>
            <w:tcW w:w="2739" w:type="dxa"/>
            <w:vMerge w:val="continue"/>
            <w:vAlign w:val="center"/>
          </w:tcPr>
          <w:p w14:paraId="136ED3C8">
            <w:pPr>
              <w:spacing w:before="156" w:beforeLines="50" w:after="156" w:afterLines="50"/>
              <w:jc w:val="left"/>
              <w:rPr>
                <w:rFonts w:ascii="宋体"/>
                <w:b/>
                <w:sz w:val="18"/>
                <w:szCs w:val="18"/>
              </w:rPr>
            </w:pPr>
          </w:p>
        </w:tc>
        <w:tc>
          <w:tcPr>
            <w:tcW w:w="9095" w:type="dxa"/>
            <w:gridSpan w:val="4"/>
            <w:vAlign w:val="center"/>
          </w:tcPr>
          <w:p w14:paraId="68734D5A">
            <w:pPr>
              <w:spacing w:before="156" w:beforeLines="50" w:after="156" w:afterLines="50"/>
              <w:jc w:val="center"/>
              <w:rPr>
                <w:b/>
                <w:sz w:val="18"/>
                <w:szCs w:val="18"/>
              </w:rPr>
            </w:pPr>
            <w:r>
              <w:rPr>
                <w:rFonts w:hint="eastAsia"/>
                <w:b/>
                <w:sz w:val="18"/>
                <w:szCs w:val="18"/>
              </w:rPr>
              <w:t>处罚基准</w:t>
            </w:r>
          </w:p>
        </w:tc>
        <w:tc>
          <w:tcPr>
            <w:tcW w:w="4102" w:type="dxa"/>
            <w:gridSpan w:val="2"/>
          </w:tcPr>
          <w:p w14:paraId="75C7986C">
            <w:pPr>
              <w:spacing w:before="156" w:beforeLines="50" w:after="156" w:afterLines="50"/>
              <w:jc w:val="center"/>
              <w:rPr>
                <w:b/>
                <w:sz w:val="18"/>
                <w:szCs w:val="18"/>
              </w:rPr>
            </w:pPr>
            <w:r>
              <w:rPr>
                <w:rFonts w:hint="eastAsia"/>
                <w:b/>
                <w:sz w:val="18"/>
                <w:szCs w:val="18"/>
              </w:rPr>
              <w:t>减轻处罚基准</w:t>
            </w:r>
          </w:p>
        </w:tc>
      </w:tr>
      <w:tr w14:paraId="5F85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492A3F47">
            <w:pPr>
              <w:spacing w:before="156" w:beforeLines="50" w:after="156" w:afterLines="50"/>
              <w:jc w:val="left"/>
              <w:rPr>
                <w:b/>
                <w:sz w:val="18"/>
                <w:szCs w:val="18"/>
              </w:rPr>
            </w:pPr>
          </w:p>
        </w:tc>
        <w:tc>
          <w:tcPr>
            <w:tcW w:w="871" w:type="dxa"/>
            <w:vMerge w:val="continue"/>
            <w:vAlign w:val="center"/>
          </w:tcPr>
          <w:p w14:paraId="790B23DA">
            <w:pPr>
              <w:spacing w:before="156" w:beforeLines="50" w:after="156" w:afterLines="50"/>
              <w:jc w:val="left"/>
              <w:rPr>
                <w:b/>
                <w:sz w:val="18"/>
                <w:szCs w:val="18"/>
              </w:rPr>
            </w:pPr>
          </w:p>
        </w:tc>
        <w:tc>
          <w:tcPr>
            <w:tcW w:w="2400" w:type="dxa"/>
            <w:gridSpan w:val="2"/>
            <w:vMerge w:val="continue"/>
            <w:vAlign w:val="center"/>
          </w:tcPr>
          <w:p w14:paraId="4571218D">
            <w:pPr>
              <w:spacing w:before="156" w:beforeLines="50" w:after="156" w:afterLines="50"/>
              <w:jc w:val="left"/>
              <w:rPr>
                <w:b/>
                <w:sz w:val="18"/>
                <w:szCs w:val="18"/>
              </w:rPr>
            </w:pPr>
          </w:p>
        </w:tc>
        <w:tc>
          <w:tcPr>
            <w:tcW w:w="991" w:type="dxa"/>
            <w:vMerge w:val="continue"/>
            <w:vAlign w:val="center"/>
          </w:tcPr>
          <w:p w14:paraId="55B0545A">
            <w:pPr>
              <w:spacing w:before="156" w:beforeLines="50" w:after="156" w:afterLines="50"/>
              <w:jc w:val="left"/>
              <w:rPr>
                <w:b/>
                <w:sz w:val="18"/>
                <w:szCs w:val="18"/>
              </w:rPr>
            </w:pPr>
          </w:p>
        </w:tc>
        <w:tc>
          <w:tcPr>
            <w:tcW w:w="2739" w:type="dxa"/>
            <w:vMerge w:val="continue"/>
            <w:vAlign w:val="center"/>
          </w:tcPr>
          <w:p w14:paraId="4851087D">
            <w:pPr>
              <w:spacing w:before="156" w:beforeLines="50" w:after="156" w:afterLines="50"/>
              <w:jc w:val="left"/>
              <w:rPr>
                <w:rFonts w:ascii="宋体"/>
                <w:b/>
                <w:sz w:val="18"/>
                <w:szCs w:val="18"/>
              </w:rPr>
            </w:pPr>
          </w:p>
        </w:tc>
        <w:tc>
          <w:tcPr>
            <w:tcW w:w="9095" w:type="dxa"/>
            <w:gridSpan w:val="4"/>
            <w:vAlign w:val="center"/>
          </w:tcPr>
          <w:p w14:paraId="422AA5A9">
            <w:pPr>
              <w:spacing w:before="156" w:beforeLines="50" w:after="156" w:afterLines="50"/>
              <w:jc w:val="center"/>
              <w:rPr>
                <w:b/>
                <w:sz w:val="18"/>
                <w:szCs w:val="18"/>
              </w:rPr>
            </w:pPr>
            <w:r>
              <w:rPr>
                <w:rFonts w:hint="eastAsia"/>
                <w:b/>
                <w:sz w:val="18"/>
                <w:szCs w:val="18"/>
              </w:rPr>
              <w:t>【对象】船舶经营人或所有人</w:t>
            </w:r>
          </w:p>
        </w:tc>
        <w:tc>
          <w:tcPr>
            <w:tcW w:w="4102" w:type="dxa"/>
            <w:gridSpan w:val="2"/>
          </w:tcPr>
          <w:p w14:paraId="64B983F5">
            <w:pPr>
              <w:spacing w:before="156" w:beforeLines="50" w:after="156" w:afterLines="50"/>
              <w:jc w:val="center"/>
              <w:rPr>
                <w:b/>
                <w:sz w:val="18"/>
                <w:szCs w:val="18"/>
              </w:rPr>
            </w:pPr>
            <w:r>
              <w:rPr>
                <w:rFonts w:hint="eastAsia"/>
                <w:b/>
                <w:sz w:val="18"/>
                <w:szCs w:val="18"/>
              </w:rPr>
              <w:t>【对象】船舶经营人或所有人</w:t>
            </w:r>
          </w:p>
        </w:tc>
      </w:tr>
      <w:tr w14:paraId="73A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4E5A26F3">
            <w:pPr>
              <w:spacing w:before="156" w:beforeLines="50" w:after="156" w:afterLines="50"/>
              <w:jc w:val="left"/>
              <w:rPr>
                <w:b/>
                <w:sz w:val="18"/>
                <w:szCs w:val="18"/>
              </w:rPr>
            </w:pPr>
          </w:p>
        </w:tc>
        <w:tc>
          <w:tcPr>
            <w:tcW w:w="871" w:type="dxa"/>
            <w:vMerge w:val="continue"/>
            <w:vAlign w:val="center"/>
          </w:tcPr>
          <w:p w14:paraId="45CE7931">
            <w:pPr>
              <w:spacing w:before="156" w:beforeLines="50" w:after="156" w:afterLines="50"/>
              <w:jc w:val="left"/>
              <w:rPr>
                <w:b/>
                <w:sz w:val="18"/>
                <w:szCs w:val="18"/>
              </w:rPr>
            </w:pPr>
          </w:p>
        </w:tc>
        <w:tc>
          <w:tcPr>
            <w:tcW w:w="1117" w:type="dxa"/>
            <w:vAlign w:val="center"/>
          </w:tcPr>
          <w:p w14:paraId="1201B994">
            <w:pPr>
              <w:spacing w:before="156" w:beforeLines="50" w:after="156" w:afterLines="50"/>
              <w:jc w:val="center"/>
              <w:rPr>
                <w:b/>
                <w:sz w:val="18"/>
                <w:szCs w:val="18"/>
              </w:rPr>
            </w:pPr>
            <w:r>
              <w:rPr>
                <w:rFonts w:hint="eastAsia"/>
                <w:b/>
                <w:sz w:val="18"/>
                <w:szCs w:val="18"/>
              </w:rPr>
              <w:t>违反条款</w:t>
            </w:r>
          </w:p>
        </w:tc>
        <w:tc>
          <w:tcPr>
            <w:tcW w:w="1283" w:type="dxa"/>
            <w:vAlign w:val="center"/>
          </w:tcPr>
          <w:p w14:paraId="148B7FCC">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14:paraId="1B880113">
            <w:pPr>
              <w:spacing w:before="156" w:beforeLines="50" w:after="156" w:afterLines="50"/>
              <w:jc w:val="left"/>
              <w:rPr>
                <w:b/>
                <w:sz w:val="18"/>
                <w:szCs w:val="18"/>
              </w:rPr>
            </w:pPr>
          </w:p>
        </w:tc>
        <w:tc>
          <w:tcPr>
            <w:tcW w:w="2739" w:type="dxa"/>
            <w:vMerge w:val="continue"/>
            <w:vAlign w:val="center"/>
          </w:tcPr>
          <w:p w14:paraId="64306971">
            <w:pPr>
              <w:spacing w:before="156" w:beforeLines="50" w:after="156" w:afterLines="50"/>
              <w:jc w:val="left"/>
              <w:rPr>
                <w:b/>
                <w:sz w:val="18"/>
                <w:szCs w:val="18"/>
              </w:rPr>
            </w:pPr>
          </w:p>
        </w:tc>
        <w:tc>
          <w:tcPr>
            <w:tcW w:w="2574" w:type="dxa"/>
            <w:vAlign w:val="center"/>
          </w:tcPr>
          <w:p w14:paraId="629311E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94" w:type="dxa"/>
            <w:vAlign w:val="center"/>
          </w:tcPr>
          <w:p w14:paraId="4607CB02">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14:paraId="31D01AC2">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617" w:type="dxa"/>
            <w:vAlign w:val="center"/>
          </w:tcPr>
          <w:p w14:paraId="52E49F42">
            <w:pPr>
              <w:spacing w:before="156" w:beforeLines="50" w:after="156" w:afterLines="50"/>
              <w:rPr>
                <w:rFonts w:ascii="宋体"/>
                <w:b/>
                <w:sz w:val="18"/>
                <w:szCs w:val="18"/>
              </w:rPr>
            </w:pPr>
            <w:r>
              <w:rPr>
                <w:rFonts w:hint="eastAsia" w:ascii="宋体"/>
                <w:b/>
                <w:sz w:val="18"/>
                <w:szCs w:val="18"/>
              </w:rPr>
              <w:t>【对象】责任船员</w:t>
            </w:r>
          </w:p>
        </w:tc>
        <w:tc>
          <w:tcPr>
            <w:tcW w:w="2068" w:type="dxa"/>
            <w:vAlign w:val="center"/>
          </w:tcPr>
          <w:p w14:paraId="37EE3C11">
            <w:pPr>
              <w:spacing w:before="156" w:beforeLines="50" w:after="156" w:afterLines="50"/>
              <w:jc w:val="center"/>
              <w:rPr>
                <w:rFonts w:ascii="宋体"/>
                <w:b/>
                <w:kern w:val="0"/>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34" w:type="dxa"/>
            <w:vAlign w:val="center"/>
          </w:tcPr>
          <w:p w14:paraId="0DCF6EB9">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5F8D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68ECC0A2">
            <w:pPr>
              <w:spacing w:before="156" w:beforeLines="50" w:after="156" w:afterLines="50"/>
              <w:jc w:val="center"/>
              <w:rPr>
                <w:sz w:val="18"/>
                <w:szCs w:val="18"/>
              </w:rPr>
            </w:pPr>
            <w:r>
              <w:rPr>
                <w:rFonts w:hint="eastAsia"/>
                <w:sz w:val="18"/>
                <w:szCs w:val="18"/>
              </w:rPr>
              <w:t>63</w:t>
            </w:r>
          </w:p>
        </w:tc>
        <w:tc>
          <w:tcPr>
            <w:tcW w:w="871" w:type="dxa"/>
            <w:vMerge w:val="restart"/>
            <w:vAlign w:val="center"/>
          </w:tcPr>
          <w:p w14:paraId="62020C35">
            <w:pPr>
              <w:spacing w:before="156" w:beforeLines="50" w:after="156" w:afterLines="50"/>
              <w:rPr>
                <w:sz w:val="18"/>
                <w:szCs w:val="18"/>
              </w:rPr>
            </w:pPr>
            <w:r>
              <w:rPr>
                <w:rFonts w:hint="eastAsia"/>
                <w:sz w:val="18"/>
                <w:szCs w:val="18"/>
              </w:rPr>
              <w:t>不遵守船舶、设施的配载和系固安全技术规范</w:t>
            </w:r>
          </w:p>
          <w:p w14:paraId="472EEE7D">
            <w:pPr>
              <w:spacing w:before="156" w:beforeLines="50" w:after="156" w:afterLines="50"/>
              <w:rPr>
                <w:rFonts w:ascii="宋体"/>
                <w:sz w:val="18"/>
                <w:szCs w:val="18"/>
              </w:rPr>
            </w:pPr>
          </w:p>
        </w:tc>
        <w:tc>
          <w:tcPr>
            <w:tcW w:w="1117" w:type="dxa"/>
            <w:vMerge w:val="restart"/>
            <w:vAlign w:val="center"/>
          </w:tcPr>
          <w:p w14:paraId="7C7D121E">
            <w:pPr>
              <w:spacing w:before="156" w:beforeLines="50" w:after="156" w:afterLines="50"/>
              <w:rPr>
                <w:sz w:val="18"/>
                <w:szCs w:val="18"/>
              </w:rPr>
            </w:pPr>
            <w:r>
              <w:rPr>
                <w:rFonts w:hint="eastAsia"/>
                <w:sz w:val="18"/>
                <w:szCs w:val="18"/>
              </w:rPr>
              <w:t>《中华人民共和国内河交通安全管理条例》第二十一条第一款和船舶、设施的配载和系固安全技术规范</w:t>
            </w:r>
          </w:p>
        </w:tc>
        <w:tc>
          <w:tcPr>
            <w:tcW w:w="1283" w:type="dxa"/>
            <w:vMerge w:val="restart"/>
            <w:vAlign w:val="center"/>
          </w:tcPr>
          <w:p w14:paraId="658FC0AD">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19BD060F">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内河海事行政处罚规定》第十八条第一款和第二款第（一）项；</w:t>
            </w:r>
          </w:p>
          <w:p w14:paraId="092C40BD">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33BC063B">
            <w:pPr>
              <w:spacing w:before="156" w:beforeLines="50" w:after="156" w:afterLines="50"/>
              <w:rPr>
                <w:sz w:val="18"/>
                <w:szCs w:val="18"/>
              </w:rPr>
            </w:pPr>
          </w:p>
        </w:tc>
        <w:tc>
          <w:tcPr>
            <w:tcW w:w="991" w:type="dxa"/>
            <w:vAlign w:val="center"/>
          </w:tcPr>
          <w:p w14:paraId="0765C5C1">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14:paraId="76303930">
            <w:pPr>
              <w:widowControl/>
              <w:spacing w:before="156" w:beforeLines="50" w:after="156" w:afterLines="50"/>
              <w:jc w:val="left"/>
              <w:rPr>
                <w:sz w:val="18"/>
                <w:szCs w:val="18"/>
              </w:rPr>
            </w:pPr>
            <w:r>
              <w:rPr>
                <w:rFonts w:hint="eastAsia"/>
                <w:sz w:val="18"/>
                <w:szCs w:val="18"/>
              </w:rPr>
              <w:t>具有法定从轻情节的。</w:t>
            </w:r>
          </w:p>
        </w:tc>
        <w:tc>
          <w:tcPr>
            <w:tcW w:w="2574" w:type="dxa"/>
            <w:vAlign w:val="center"/>
          </w:tcPr>
          <w:p w14:paraId="5204ABAA">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94" w:type="dxa"/>
            <w:vAlign w:val="center"/>
          </w:tcPr>
          <w:p w14:paraId="12729CD0">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vAlign w:val="center"/>
          </w:tcPr>
          <w:p w14:paraId="2CE6998D">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617" w:type="dxa"/>
            <w:vAlign w:val="center"/>
          </w:tcPr>
          <w:p w14:paraId="010BEFBE">
            <w:pPr>
              <w:widowControl/>
              <w:spacing w:before="156" w:beforeLines="50" w:after="156" w:afterLines="50"/>
              <w:jc w:val="center"/>
              <w:rPr>
                <w:rFonts w:ascii="宋体"/>
                <w:kern w:val="0"/>
                <w:sz w:val="18"/>
                <w:szCs w:val="18"/>
              </w:rPr>
            </w:pPr>
            <w:r>
              <w:rPr>
                <w:rFonts w:ascii="宋体"/>
                <w:kern w:val="0"/>
                <w:sz w:val="18"/>
                <w:szCs w:val="18"/>
              </w:rPr>
              <w:t>/</w:t>
            </w:r>
          </w:p>
        </w:tc>
        <w:tc>
          <w:tcPr>
            <w:tcW w:w="2068" w:type="dxa"/>
            <w:vMerge w:val="restart"/>
            <w:vAlign w:val="center"/>
          </w:tcPr>
          <w:p w14:paraId="293F2CCC">
            <w:pPr>
              <w:spacing w:before="156" w:beforeLines="50" w:after="156" w:afterLines="50"/>
              <w:jc w:val="left"/>
              <w:rPr>
                <w:rFonts w:ascii="宋体"/>
                <w:sz w:val="18"/>
                <w:szCs w:val="18"/>
              </w:rPr>
            </w:pPr>
            <w:r>
              <w:rPr>
                <w:rFonts w:hint="eastAsia"/>
                <w:sz w:val="18"/>
                <w:szCs w:val="18"/>
              </w:rPr>
              <w:t>未按照安全技术规范进行配载和系固，未造成事故及险情的：4</w:t>
            </w:r>
            <w:r>
              <w:rPr>
                <w:sz w:val="18"/>
                <w:szCs w:val="18"/>
              </w:rPr>
              <w:t>000</w:t>
            </w:r>
            <w:r>
              <w:rPr>
                <w:rFonts w:hint="eastAsia"/>
                <w:sz w:val="18"/>
                <w:szCs w:val="18"/>
              </w:rPr>
              <w:t>元及以上8000元以下</w:t>
            </w:r>
          </w:p>
        </w:tc>
        <w:tc>
          <w:tcPr>
            <w:tcW w:w="2034" w:type="dxa"/>
            <w:vMerge w:val="restart"/>
            <w:vAlign w:val="center"/>
          </w:tcPr>
          <w:p w14:paraId="0ED83F2F">
            <w:pPr>
              <w:pStyle w:val="2"/>
              <w:spacing w:before="156" w:beforeLines="50" w:after="156" w:afterLines="50"/>
            </w:pPr>
            <w:r>
              <w:rPr>
                <w:rFonts w:hint="eastAsia"/>
                <w:sz w:val="18"/>
                <w:szCs w:val="18"/>
              </w:rPr>
              <w:t>未按照安全技术规范进行配载和系固，未造成事故及险情的：6000元及以上2万元以下</w:t>
            </w:r>
          </w:p>
          <w:p w14:paraId="634C82C4">
            <w:pPr>
              <w:spacing w:before="156" w:beforeLines="50" w:after="156" w:afterLines="50"/>
              <w:jc w:val="left"/>
              <w:rPr>
                <w:sz w:val="18"/>
                <w:szCs w:val="18"/>
              </w:rPr>
            </w:pPr>
          </w:p>
        </w:tc>
      </w:tr>
      <w:tr w14:paraId="2C4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4D41415A">
            <w:pPr>
              <w:spacing w:before="156" w:beforeLines="50" w:after="156" w:afterLines="50"/>
              <w:jc w:val="left"/>
              <w:rPr>
                <w:sz w:val="18"/>
                <w:szCs w:val="18"/>
              </w:rPr>
            </w:pPr>
          </w:p>
        </w:tc>
        <w:tc>
          <w:tcPr>
            <w:tcW w:w="871" w:type="dxa"/>
            <w:vMerge w:val="continue"/>
            <w:vAlign w:val="center"/>
          </w:tcPr>
          <w:p w14:paraId="79C67323">
            <w:pPr>
              <w:spacing w:before="156" w:beforeLines="50" w:after="156" w:afterLines="50"/>
              <w:jc w:val="left"/>
              <w:rPr>
                <w:sz w:val="18"/>
                <w:szCs w:val="18"/>
              </w:rPr>
            </w:pPr>
          </w:p>
        </w:tc>
        <w:tc>
          <w:tcPr>
            <w:tcW w:w="1117" w:type="dxa"/>
            <w:vMerge w:val="continue"/>
            <w:vAlign w:val="center"/>
          </w:tcPr>
          <w:p w14:paraId="2EB1D30C">
            <w:pPr>
              <w:spacing w:before="156" w:beforeLines="50" w:after="156" w:afterLines="50"/>
              <w:jc w:val="left"/>
              <w:rPr>
                <w:sz w:val="18"/>
                <w:szCs w:val="18"/>
              </w:rPr>
            </w:pPr>
          </w:p>
        </w:tc>
        <w:tc>
          <w:tcPr>
            <w:tcW w:w="1283" w:type="dxa"/>
            <w:vMerge w:val="continue"/>
            <w:vAlign w:val="center"/>
          </w:tcPr>
          <w:p w14:paraId="469E6D06">
            <w:pPr>
              <w:spacing w:before="156" w:beforeLines="50" w:after="156" w:afterLines="50"/>
              <w:jc w:val="left"/>
              <w:rPr>
                <w:sz w:val="18"/>
                <w:szCs w:val="18"/>
              </w:rPr>
            </w:pPr>
          </w:p>
        </w:tc>
        <w:tc>
          <w:tcPr>
            <w:tcW w:w="991" w:type="dxa"/>
            <w:vMerge w:val="restart"/>
            <w:vAlign w:val="center"/>
          </w:tcPr>
          <w:p w14:paraId="238893B8">
            <w:pPr>
              <w:spacing w:before="156" w:beforeLines="50" w:after="156" w:afterLines="50"/>
              <w:jc w:val="center"/>
              <w:rPr>
                <w:sz w:val="18"/>
                <w:szCs w:val="18"/>
              </w:rPr>
            </w:pPr>
            <w:r>
              <w:rPr>
                <w:rFonts w:hint="eastAsia"/>
                <w:sz w:val="18"/>
                <w:szCs w:val="18"/>
              </w:rPr>
              <w:t>一般</w:t>
            </w:r>
          </w:p>
          <w:p w14:paraId="51CF713B">
            <w:pPr>
              <w:spacing w:before="156" w:beforeLines="50" w:after="156" w:afterLines="50"/>
              <w:jc w:val="center"/>
              <w:rPr>
                <w:sz w:val="18"/>
                <w:szCs w:val="18"/>
              </w:rPr>
            </w:pPr>
          </w:p>
        </w:tc>
        <w:tc>
          <w:tcPr>
            <w:tcW w:w="2739" w:type="dxa"/>
            <w:vAlign w:val="center"/>
          </w:tcPr>
          <w:p w14:paraId="04BF36A1">
            <w:pPr>
              <w:widowControl/>
              <w:spacing w:before="156" w:beforeLines="50" w:after="156" w:afterLines="50"/>
              <w:jc w:val="left"/>
              <w:rPr>
                <w:sz w:val="18"/>
                <w:szCs w:val="18"/>
              </w:rPr>
            </w:pPr>
            <w:r>
              <w:rPr>
                <w:rFonts w:hint="eastAsia"/>
                <w:sz w:val="18"/>
                <w:szCs w:val="18"/>
              </w:rPr>
              <w:t>未按照安全技术规范进行配载和系固，未造成事故的。</w:t>
            </w:r>
          </w:p>
        </w:tc>
        <w:tc>
          <w:tcPr>
            <w:tcW w:w="2574" w:type="dxa"/>
            <w:vAlign w:val="center"/>
          </w:tcPr>
          <w:p w14:paraId="15CE0156">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94" w:type="dxa"/>
            <w:vAlign w:val="center"/>
          </w:tcPr>
          <w:p w14:paraId="64F996E7">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vAlign w:val="center"/>
          </w:tcPr>
          <w:p w14:paraId="546C689D">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617" w:type="dxa"/>
            <w:vAlign w:val="center"/>
          </w:tcPr>
          <w:p w14:paraId="08CA835F">
            <w:pPr>
              <w:widowControl/>
              <w:spacing w:before="156" w:beforeLines="50" w:after="156" w:afterLines="50"/>
              <w:jc w:val="center"/>
              <w:rPr>
                <w:sz w:val="18"/>
                <w:szCs w:val="18"/>
              </w:rPr>
            </w:pPr>
            <w:r>
              <w:rPr>
                <w:rFonts w:ascii="宋体"/>
                <w:kern w:val="0"/>
                <w:sz w:val="18"/>
                <w:szCs w:val="18"/>
              </w:rPr>
              <w:t>/</w:t>
            </w:r>
          </w:p>
        </w:tc>
        <w:tc>
          <w:tcPr>
            <w:tcW w:w="2068" w:type="dxa"/>
            <w:vMerge w:val="continue"/>
            <w:vAlign w:val="center"/>
          </w:tcPr>
          <w:p w14:paraId="79BE7B38">
            <w:pPr>
              <w:widowControl/>
              <w:spacing w:before="156" w:beforeLines="50" w:after="156" w:afterLines="50"/>
              <w:jc w:val="left"/>
              <w:rPr>
                <w:sz w:val="18"/>
                <w:szCs w:val="18"/>
              </w:rPr>
            </w:pPr>
          </w:p>
        </w:tc>
        <w:tc>
          <w:tcPr>
            <w:tcW w:w="2034" w:type="dxa"/>
            <w:vMerge w:val="continue"/>
            <w:vAlign w:val="center"/>
          </w:tcPr>
          <w:p w14:paraId="4F5ACAFA">
            <w:pPr>
              <w:widowControl/>
              <w:spacing w:before="156" w:beforeLines="50" w:after="156" w:afterLines="50"/>
              <w:jc w:val="left"/>
              <w:rPr>
                <w:sz w:val="18"/>
                <w:szCs w:val="18"/>
              </w:rPr>
            </w:pPr>
          </w:p>
        </w:tc>
      </w:tr>
      <w:tr w14:paraId="75A4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14:paraId="7BB1088F">
            <w:pPr>
              <w:spacing w:before="156" w:beforeLines="50" w:after="156" w:afterLines="50"/>
              <w:jc w:val="left"/>
              <w:rPr>
                <w:sz w:val="18"/>
                <w:szCs w:val="18"/>
              </w:rPr>
            </w:pPr>
          </w:p>
        </w:tc>
        <w:tc>
          <w:tcPr>
            <w:tcW w:w="871" w:type="dxa"/>
            <w:vMerge w:val="continue"/>
            <w:vAlign w:val="center"/>
          </w:tcPr>
          <w:p w14:paraId="17C5186E">
            <w:pPr>
              <w:spacing w:before="156" w:beforeLines="50" w:after="156" w:afterLines="50"/>
              <w:jc w:val="left"/>
              <w:rPr>
                <w:sz w:val="18"/>
                <w:szCs w:val="18"/>
              </w:rPr>
            </w:pPr>
          </w:p>
        </w:tc>
        <w:tc>
          <w:tcPr>
            <w:tcW w:w="1117" w:type="dxa"/>
            <w:vMerge w:val="continue"/>
            <w:vAlign w:val="center"/>
          </w:tcPr>
          <w:p w14:paraId="47E65421">
            <w:pPr>
              <w:spacing w:before="156" w:beforeLines="50" w:after="156" w:afterLines="50"/>
              <w:jc w:val="left"/>
              <w:rPr>
                <w:sz w:val="18"/>
                <w:szCs w:val="18"/>
              </w:rPr>
            </w:pPr>
          </w:p>
        </w:tc>
        <w:tc>
          <w:tcPr>
            <w:tcW w:w="1283" w:type="dxa"/>
            <w:vMerge w:val="continue"/>
            <w:vAlign w:val="center"/>
          </w:tcPr>
          <w:p w14:paraId="50493DD4">
            <w:pPr>
              <w:spacing w:before="156" w:beforeLines="50" w:after="156" w:afterLines="50"/>
              <w:jc w:val="left"/>
              <w:rPr>
                <w:sz w:val="18"/>
                <w:szCs w:val="18"/>
              </w:rPr>
            </w:pPr>
          </w:p>
        </w:tc>
        <w:tc>
          <w:tcPr>
            <w:tcW w:w="991" w:type="dxa"/>
            <w:vMerge w:val="continue"/>
            <w:vAlign w:val="center"/>
          </w:tcPr>
          <w:p w14:paraId="37925707">
            <w:pPr>
              <w:spacing w:before="156" w:beforeLines="50" w:after="156" w:afterLines="50"/>
              <w:jc w:val="center"/>
              <w:rPr>
                <w:sz w:val="18"/>
                <w:szCs w:val="18"/>
              </w:rPr>
            </w:pPr>
          </w:p>
        </w:tc>
        <w:tc>
          <w:tcPr>
            <w:tcW w:w="2739" w:type="dxa"/>
            <w:vAlign w:val="center"/>
          </w:tcPr>
          <w:p w14:paraId="69D20329">
            <w:pPr>
              <w:widowControl/>
              <w:spacing w:before="156" w:beforeLines="50" w:after="156" w:afterLines="50"/>
              <w:jc w:val="left"/>
              <w:rPr>
                <w:sz w:val="18"/>
                <w:szCs w:val="18"/>
              </w:rPr>
            </w:pPr>
            <w:r>
              <w:rPr>
                <w:rFonts w:hint="eastAsia"/>
                <w:sz w:val="18"/>
                <w:szCs w:val="18"/>
              </w:rPr>
              <w:t>不遵守船舶、设施的配载和系固安全技术规范，导致发生一般以下水上交通事故的。</w:t>
            </w:r>
          </w:p>
        </w:tc>
        <w:tc>
          <w:tcPr>
            <w:tcW w:w="2574" w:type="dxa"/>
            <w:vAlign w:val="center"/>
          </w:tcPr>
          <w:p w14:paraId="6AF51DF7">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494" w:type="dxa"/>
            <w:vAlign w:val="center"/>
          </w:tcPr>
          <w:p w14:paraId="52799909">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410" w:type="dxa"/>
            <w:vAlign w:val="center"/>
          </w:tcPr>
          <w:p w14:paraId="647CDC6F">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617" w:type="dxa"/>
            <w:vAlign w:val="center"/>
          </w:tcPr>
          <w:p w14:paraId="58AEEEB0">
            <w:pPr>
              <w:widowControl/>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068" w:type="dxa"/>
            <w:vMerge w:val="continue"/>
            <w:vAlign w:val="center"/>
          </w:tcPr>
          <w:p w14:paraId="49951D94">
            <w:pPr>
              <w:widowControl/>
              <w:spacing w:before="156" w:beforeLines="50" w:after="156" w:afterLines="50"/>
              <w:jc w:val="left"/>
              <w:rPr>
                <w:sz w:val="18"/>
                <w:szCs w:val="18"/>
              </w:rPr>
            </w:pPr>
          </w:p>
        </w:tc>
        <w:tc>
          <w:tcPr>
            <w:tcW w:w="2034" w:type="dxa"/>
            <w:vMerge w:val="continue"/>
            <w:vAlign w:val="center"/>
          </w:tcPr>
          <w:p w14:paraId="73E0982B">
            <w:pPr>
              <w:widowControl/>
              <w:spacing w:before="156" w:beforeLines="50" w:after="156" w:afterLines="50"/>
              <w:jc w:val="left"/>
              <w:rPr>
                <w:sz w:val="18"/>
                <w:szCs w:val="18"/>
              </w:rPr>
            </w:pPr>
          </w:p>
        </w:tc>
      </w:tr>
      <w:tr w14:paraId="4866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55" w:type="dxa"/>
            <w:vMerge w:val="continue"/>
          </w:tcPr>
          <w:p w14:paraId="36B526EB">
            <w:pPr>
              <w:spacing w:before="156" w:beforeLines="50" w:after="156" w:afterLines="50"/>
              <w:jc w:val="left"/>
              <w:rPr>
                <w:sz w:val="18"/>
                <w:szCs w:val="18"/>
              </w:rPr>
            </w:pPr>
          </w:p>
        </w:tc>
        <w:tc>
          <w:tcPr>
            <w:tcW w:w="871" w:type="dxa"/>
            <w:vMerge w:val="continue"/>
            <w:vAlign w:val="center"/>
          </w:tcPr>
          <w:p w14:paraId="29507905">
            <w:pPr>
              <w:spacing w:before="156" w:beforeLines="50" w:after="156" w:afterLines="50"/>
              <w:jc w:val="left"/>
              <w:rPr>
                <w:sz w:val="18"/>
                <w:szCs w:val="18"/>
              </w:rPr>
            </w:pPr>
          </w:p>
        </w:tc>
        <w:tc>
          <w:tcPr>
            <w:tcW w:w="1117" w:type="dxa"/>
            <w:vMerge w:val="continue"/>
            <w:vAlign w:val="center"/>
          </w:tcPr>
          <w:p w14:paraId="2E8F5B61">
            <w:pPr>
              <w:spacing w:before="156" w:beforeLines="50" w:after="156" w:afterLines="50"/>
              <w:jc w:val="left"/>
              <w:rPr>
                <w:sz w:val="18"/>
                <w:szCs w:val="18"/>
              </w:rPr>
            </w:pPr>
          </w:p>
        </w:tc>
        <w:tc>
          <w:tcPr>
            <w:tcW w:w="1283" w:type="dxa"/>
            <w:vMerge w:val="continue"/>
            <w:vAlign w:val="center"/>
          </w:tcPr>
          <w:p w14:paraId="50B24558">
            <w:pPr>
              <w:spacing w:before="156" w:beforeLines="50" w:after="156" w:afterLines="50"/>
              <w:jc w:val="left"/>
              <w:rPr>
                <w:sz w:val="18"/>
                <w:szCs w:val="18"/>
              </w:rPr>
            </w:pPr>
          </w:p>
        </w:tc>
        <w:tc>
          <w:tcPr>
            <w:tcW w:w="991" w:type="dxa"/>
            <w:vMerge w:val="continue"/>
            <w:vAlign w:val="center"/>
          </w:tcPr>
          <w:p w14:paraId="3A87DD55">
            <w:pPr>
              <w:spacing w:before="156" w:beforeLines="50" w:after="156" w:afterLines="50"/>
              <w:jc w:val="center"/>
              <w:rPr>
                <w:sz w:val="18"/>
                <w:szCs w:val="18"/>
              </w:rPr>
            </w:pPr>
          </w:p>
        </w:tc>
        <w:tc>
          <w:tcPr>
            <w:tcW w:w="2739" w:type="dxa"/>
            <w:tcBorders>
              <w:bottom w:val="single" w:color="auto" w:sz="4" w:space="0"/>
            </w:tcBorders>
            <w:vAlign w:val="center"/>
          </w:tcPr>
          <w:p w14:paraId="3F93F971">
            <w:pPr>
              <w:widowControl/>
              <w:spacing w:before="156" w:beforeLines="50" w:after="156" w:afterLines="50"/>
              <w:jc w:val="left"/>
              <w:rPr>
                <w:sz w:val="18"/>
                <w:szCs w:val="18"/>
              </w:rPr>
            </w:pPr>
            <w:r>
              <w:rPr>
                <w:rFonts w:hint="eastAsia"/>
                <w:sz w:val="18"/>
                <w:szCs w:val="18"/>
              </w:rPr>
              <w:t>不遵守船舶、设施的配载和系固安全技术规范，导致发生一般及以上水上交通事故的。</w:t>
            </w:r>
          </w:p>
        </w:tc>
        <w:tc>
          <w:tcPr>
            <w:tcW w:w="2574" w:type="dxa"/>
            <w:tcBorders>
              <w:bottom w:val="single" w:color="auto" w:sz="4" w:space="0"/>
            </w:tcBorders>
            <w:vAlign w:val="center"/>
          </w:tcPr>
          <w:p w14:paraId="15FD64CE">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494" w:type="dxa"/>
            <w:tcBorders>
              <w:bottom w:val="single" w:color="auto" w:sz="4" w:space="0"/>
            </w:tcBorders>
            <w:vAlign w:val="center"/>
          </w:tcPr>
          <w:p w14:paraId="3A199725">
            <w:pPr>
              <w:widowControl/>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410" w:type="dxa"/>
            <w:tcBorders>
              <w:bottom w:val="single" w:color="auto" w:sz="4" w:space="0"/>
            </w:tcBorders>
            <w:vAlign w:val="center"/>
          </w:tcPr>
          <w:p w14:paraId="2FD91BDA">
            <w:pPr>
              <w:widowControl/>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1617" w:type="dxa"/>
            <w:vAlign w:val="center"/>
          </w:tcPr>
          <w:p w14:paraId="4BDC4E4B">
            <w:pPr>
              <w:widowControl/>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068" w:type="dxa"/>
            <w:vMerge w:val="continue"/>
            <w:vAlign w:val="center"/>
          </w:tcPr>
          <w:p w14:paraId="40DCF5D4">
            <w:pPr>
              <w:widowControl/>
              <w:spacing w:before="156" w:beforeLines="50" w:after="156" w:afterLines="50"/>
              <w:jc w:val="left"/>
              <w:rPr>
                <w:sz w:val="18"/>
                <w:szCs w:val="18"/>
              </w:rPr>
            </w:pPr>
          </w:p>
        </w:tc>
        <w:tc>
          <w:tcPr>
            <w:tcW w:w="2034" w:type="dxa"/>
            <w:vMerge w:val="continue"/>
          </w:tcPr>
          <w:p w14:paraId="61A2ADCB">
            <w:pPr>
              <w:widowControl/>
              <w:spacing w:before="156" w:beforeLines="50" w:after="156" w:afterLines="50"/>
              <w:jc w:val="left"/>
              <w:rPr>
                <w:sz w:val="18"/>
                <w:szCs w:val="18"/>
              </w:rPr>
            </w:pPr>
          </w:p>
        </w:tc>
      </w:tr>
    </w:tbl>
    <w:p w14:paraId="5B3413D7">
      <w:pPr>
        <w:widowControl/>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2739"/>
        <w:gridCol w:w="2449"/>
        <w:gridCol w:w="2285"/>
        <w:gridCol w:w="2319"/>
        <w:gridCol w:w="1842"/>
        <w:gridCol w:w="2268"/>
        <w:gridCol w:w="2034"/>
      </w:tblGrid>
      <w:tr w14:paraId="3960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3A00E79A">
            <w:pPr>
              <w:spacing w:before="156" w:beforeLines="50" w:after="156" w:afterLines="50"/>
              <w:jc w:val="left"/>
              <w:rPr>
                <w:b/>
                <w:sz w:val="18"/>
                <w:szCs w:val="18"/>
              </w:rPr>
            </w:pPr>
            <w:r>
              <w:rPr>
                <w:rFonts w:hint="eastAsia"/>
                <w:b/>
                <w:sz w:val="18"/>
                <w:szCs w:val="18"/>
              </w:rPr>
              <w:t>序号</w:t>
            </w:r>
          </w:p>
        </w:tc>
        <w:tc>
          <w:tcPr>
            <w:tcW w:w="871" w:type="dxa"/>
            <w:vMerge w:val="restart"/>
            <w:vAlign w:val="center"/>
          </w:tcPr>
          <w:p w14:paraId="438EF147">
            <w:pPr>
              <w:spacing w:before="156" w:beforeLines="50" w:after="156" w:afterLines="50"/>
              <w:jc w:val="left"/>
              <w:rPr>
                <w:b/>
                <w:sz w:val="18"/>
                <w:szCs w:val="18"/>
              </w:rPr>
            </w:pPr>
            <w:r>
              <w:rPr>
                <w:rFonts w:hint="eastAsia"/>
                <w:b/>
                <w:sz w:val="18"/>
                <w:szCs w:val="18"/>
              </w:rPr>
              <w:t>案由</w:t>
            </w:r>
          </w:p>
        </w:tc>
        <w:tc>
          <w:tcPr>
            <w:tcW w:w="2400" w:type="dxa"/>
            <w:gridSpan w:val="2"/>
            <w:vMerge w:val="restart"/>
            <w:vAlign w:val="center"/>
          </w:tcPr>
          <w:p w14:paraId="6C5B0B23">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14:paraId="42AF172B">
            <w:pPr>
              <w:spacing w:before="156" w:beforeLines="50" w:after="156" w:afterLines="50"/>
              <w:jc w:val="left"/>
              <w:rPr>
                <w:b/>
                <w:sz w:val="18"/>
                <w:szCs w:val="18"/>
              </w:rPr>
            </w:pPr>
            <w:r>
              <w:rPr>
                <w:rFonts w:hint="eastAsia"/>
                <w:b/>
                <w:sz w:val="18"/>
                <w:szCs w:val="18"/>
              </w:rPr>
              <w:t>违法行为情节</w:t>
            </w:r>
          </w:p>
        </w:tc>
        <w:tc>
          <w:tcPr>
            <w:tcW w:w="2739" w:type="dxa"/>
            <w:vMerge w:val="restart"/>
            <w:vAlign w:val="center"/>
          </w:tcPr>
          <w:p w14:paraId="1831E55A">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197" w:type="dxa"/>
            <w:gridSpan w:val="6"/>
            <w:vAlign w:val="center"/>
          </w:tcPr>
          <w:p w14:paraId="37B85541">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2AAF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vMerge w:val="continue"/>
            <w:vAlign w:val="center"/>
          </w:tcPr>
          <w:p w14:paraId="0CDAB335">
            <w:pPr>
              <w:spacing w:before="156" w:beforeLines="50" w:after="156" w:afterLines="50"/>
              <w:jc w:val="left"/>
              <w:rPr>
                <w:b/>
                <w:sz w:val="18"/>
                <w:szCs w:val="18"/>
              </w:rPr>
            </w:pPr>
          </w:p>
        </w:tc>
        <w:tc>
          <w:tcPr>
            <w:tcW w:w="871" w:type="dxa"/>
            <w:vMerge w:val="continue"/>
            <w:vAlign w:val="center"/>
          </w:tcPr>
          <w:p w14:paraId="49BDAE93">
            <w:pPr>
              <w:spacing w:before="156" w:beforeLines="50" w:after="156" w:afterLines="50"/>
              <w:jc w:val="left"/>
              <w:rPr>
                <w:b/>
                <w:sz w:val="18"/>
                <w:szCs w:val="18"/>
              </w:rPr>
            </w:pPr>
          </w:p>
        </w:tc>
        <w:tc>
          <w:tcPr>
            <w:tcW w:w="2400" w:type="dxa"/>
            <w:gridSpan w:val="2"/>
            <w:vMerge w:val="continue"/>
            <w:vAlign w:val="center"/>
          </w:tcPr>
          <w:p w14:paraId="0A29B7BE">
            <w:pPr>
              <w:spacing w:before="156" w:beforeLines="50" w:after="156" w:afterLines="50"/>
              <w:jc w:val="left"/>
              <w:rPr>
                <w:b/>
                <w:sz w:val="18"/>
                <w:szCs w:val="18"/>
              </w:rPr>
            </w:pPr>
          </w:p>
        </w:tc>
        <w:tc>
          <w:tcPr>
            <w:tcW w:w="991" w:type="dxa"/>
            <w:vMerge w:val="continue"/>
            <w:vAlign w:val="center"/>
          </w:tcPr>
          <w:p w14:paraId="3EAC8276">
            <w:pPr>
              <w:spacing w:before="156" w:beforeLines="50" w:after="156" w:afterLines="50"/>
              <w:jc w:val="left"/>
              <w:rPr>
                <w:b/>
                <w:sz w:val="18"/>
                <w:szCs w:val="18"/>
              </w:rPr>
            </w:pPr>
          </w:p>
        </w:tc>
        <w:tc>
          <w:tcPr>
            <w:tcW w:w="2739" w:type="dxa"/>
            <w:vMerge w:val="continue"/>
            <w:vAlign w:val="center"/>
          </w:tcPr>
          <w:p w14:paraId="08D974F7">
            <w:pPr>
              <w:spacing w:before="156" w:beforeLines="50" w:after="156" w:afterLines="50"/>
              <w:jc w:val="left"/>
              <w:rPr>
                <w:rFonts w:ascii="宋体"/>
                <w:b/>
                <w:sz w:val="18"/>
                <w:szCs w:val="18"/>
              </w:rPr>
            </w:pPr>
          </w:p>
        </w:tc>
        <w:tc>
          <w:tcPr>
            <w:tcW w:w="8895" w:type="dxa"/>
            <w:gridSpan w:val="4"/>
            <w:vAlign w:val="center"/>
          </w:tcPr>
          <w:p w14:paraId="658E26A0">
            <w:pPr>
              <w:spacing w:before="156" w:beforeLines="50" w:after="156" w:afterLines="50"/>
              <w:jc w:val="center"/>
              <w:rPr>
                <w:b/>
                <w:sz w:val="18"/>
                <w:szCs w:val="18"/>
              </w:rPr>
            </w:pPr>
            <w:r>
              <w:rPr>
                <w:rFonts w:hint="eastAsia"/>
                <w:b/>
                <w:sz w:val="18"/>
                <w:szCs w:val="18"/>
              </w:rPr>
              <w:t>处罚基准</w:t>
            </w:r>
          </w:p>
        </w:tc>
        <w:tc>
          <w:tcPr>
            <w:tcW w:w="4302" w:type="dxa"/>
            <w:gridSpan w:val="2"/>
            <w:vAlign w:val="center"/>
          </w:tcPr>
          <w:p w14:paraId="17243C8C">
            <w:pPr>
              <w:spacing w:before="156" w:beforeLines="50" w:after="156" w:afterLines="50"/>
              <w:jc w:val="center"/>
              <w:rPr>
                <w:b/>
                <w:sz w:val="18"/>
                <w:szCs w:val="18"/>
              </w:rPr>
            </w:pPr>
            <w:r>
              <w:rPr>
                <w:rFonts w:hint="eastAsia"/>
                <w:b/>
                <w:sz w:val="18"/>
                <w:szCs w:val="18"/>
              </w:rPr>
              <w:t>减轻处罚基准</w:t>
            </w:r>
          </w:p>
        </w:tc>
      </w:tr>
      <w:tr w14:paraId="3BD9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5" w:type="dxa"/>
            <w:vMerge w:val="continue"/>
            <w:vAlign w:val="center"/>
          </w:tcPr>
          <w:p w14:paraId="6A810338">
            <w:pPr>
              <w:spacing w:before="156" w:beforeLines="50" w:after="156" w:afterLines="50"/>
              <w:jc w:val="left"/>
              <w:rPr>
                <w:b/>
                <w:sz w:val="18"/>
                <w:szCs w:val="18"/>
              </w:rPr>
            </w:pPr>
          </w:p>
        </w:tc>
        <w:tc>
          <w:tcPr>
            <w:tcW w:w="871" w:type="dxa"/>
            <w:vMerge w:val="continue"/>
            <w:vAlign w:val="center"/>
          </w:tcPr>
          <w:p w14:paraId="64ACE318">
            <w:pPr>
              <w:spacing w:before="156" w:beforeLines="50" w:after="156" w:afterLines="50"/>
              <w:jc w:val="left"/>
              <w:rPr>
                <w:b/>
                <w:sz w:val="18"/>
                <w:szCs w:val="18"/>
              </w:rPr>
            </w:pPr>
          </w:p>
        </w:tc>
        <w:tc>
          <w:tcPr>
            <w:tcW w:w="2400" w:type="dxa"/>
            <w:gridSpan w:val="2"/>
            <w:vMerge w:val="continue"/>
            <w:vAlign w:val="center"/>
          </w:tcPr>
          <w:p w14:paraId="6A405E15">
            <w:pPr>
              <w:spacing w:before="156" w:beforeLines="50" w:after="156" w:afterLines="50"/>
              <w:jc w:val="left"/>
              <w:rPr>
                <w:b/>
                <w:sz w:val="18"/>
                <w:szCs w:val="18"/>
              </w:rPr>
            </w:pPr>
          </w:p>
        </w:tc>
        <w:tc>
          <w:tcPr>
            <w:tcW w:w="991" w:type="dxa"/>
            <w:vMerge w:val="continue"/>
            <w:vAlign w:val="center"/>
          </w:tcPr>
          <w:p w14:paraId="4CAD3198">
            <w:pPr>
              <w:spacing w:before="156" w:beforeLines="50" w:after="156" w:afterLines="50"/>
              <w:jc w:val="left"/>
              <w:rPr>
                <w:b/>
                <w:sz w:val="18"/>
                <w:szCs w:val="18"/>
              </w:rPr>
            </w:pPr>
          </w:p>
        </w:tc>
        <w:tc>
          <w:tcPr>
            <w:tcW w:w="2739" w:type="dxa"/>
            <w:vMerge w:val="continue"/>
            <w:vAlign w:val="center"/>
          </w:tcPr>
          <w:p w14:paraId="4859B615">
            <w:pPr>
              <w:spacing w:before="156" w:beforeLines="50" w:after="156" w:afterLines="50"/>
              <w:jc w:val="left"/>
              <w:rPr>
                <w:rFonts w:ascii="宋体"/>
                <w:b/>
                <w:sz w:val="18"/>
                <w:szCs w:val="18"/>
              </w:rPr>
            </w:pPr>
          </w:p>
        </w:tc>
        <w:tc>
          <w:tcPr>
            <w:tcW w:w="8895" w:type="dxa"/>
            <w:gridSpan w:val="4"/>
            <w:vAlign w:val="center"/>
          </w:tcPr>
          <w:p w14:paraId="67AA793D">
            <w:pPr>
              <w:spacing w:before="156" w:beforeLines="50" w:after="156" w:afterLines="50"/>
              <w:jc w:val="center"/>
              <w:rPr>
                <w:b/>
                <w:sz w:val="18"/>
                <w:szCs w:val="18"/>
              </w:rPr>
            </w:pPr>
            <w:r>
              <w:rPr>
                <w:rFonts w:hint="eastAsia"/>
                <w:b/>
                <w:sz w:val="18"/>
                <w:szCs w:val="18"/>
              </w:rPr>
              <w:t>【对象】船舶经营人或所有人</w:t>
            </w:r>
          </w:p>
        </w:tc>
        <w:tc>
          <w:tcPr>
            <w:tcW w:w="4302" w:type="dxa"/>
            <w:gridSpan w:val="2"/>
            <w:vAlign w:val="center"/>
          </w:tcPr>
          <w:p w14:paraId="180E652D">
            <w:pPr>
              <w:spacing w:before="156" w:beforeLines="50" w:after="156" w:afterLines="50"/>
              <w:jc w:val="center"/>
              <w:rPr>
                <w:b/>
                <w:sz w:val="18"/>
                <w:szCs w:val="18"/>
              </w:rPr>
            </w:pPr>
            <w:r>
              <w:rPr>
                <w:rFonts w:hint="eastAsia"/>
                <w:b/>
                <w:sz w:val="18"/>
                <w:szCs w:val="18"/>
              </w:rPr>
              <w:t>【对象】船舶经营人或所有人</w:t>
            </w:r>
          </w:p>
        </w:tc>
      </w:tr>
      <w:tr w14:paraId="1629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010DBBE0">
            <w:pPr>
              <w:spacing w:before="156" w:beforeLines="50" w:after="156" w:afterLines="50"/>
              <w:jc w:val="left"/>
              <w:rPr>
                <w:b/>
                <w:sz w:val="18"/>
                <w:szCs w:val="18"/>
              </w:rPr>
            </w:pPr>
          </w:p>
        </w:tc>
        <w:tc>
          <w:tcPr>
            <w:tcW w:w="871" w:type="dxa"/>
            <w:vMerge w:val="continue"/>
            <w:vAlign w:val="center"/>
          </w:tcPr>
          <w:p w14:paraId="406DFC17">
            <w:pPr>
              <w:spacing w:before="156" w:beforeLines="50" w:after="156" w:afterLines="50"/>
              <w:jc w:val="left"/>
              <w:rPr>
                <w:b/>
                <w:sz w:val="18"/>
                <w:szCs w:val="18"/>
              </w:rPr>
            </w:pPr>
          </w:p>
        </w:tc>
        <w:tc>
          <w:tcPr>
            <w:tcW w:w="1117" w:type="dxa"/>
            <w:vAlign w:val="center"/>
          </w:tcPr>
          <w:p w14:paraId="45D8168F">
            <w:pPr>
              <w:spacing w:before="156" w:beforeLines="50" w:after="156" w:afterLines="50"/>
              <w:jc w:val="left"/>
              <w:rPr>
                <w:b/>
                <w:sz w:val="18"/>
                <w:szCs w:val="18"/>
              </w:rPr>
            </w:pPr>
            <w:r>
              <w:rPr>
                <w:rFonts w:hint="eastAsia"/>
                <w:b/>
                <w:sz w:val="18"/>
                <w:szCs w:val="18"/>
              </w:rPr>
              <w:t>违反条款</w:t>
            </w:r>
          </w:p>
        </w:tc>
        <w:tc>
          <w:tcPr>
            <w:tcW w:w="1283" w:type="dxa"/>
            <w:vAlign w:val="center"/>
          </w:tcPr>
          <w:p w14:paraId="37A732D8">
            <w:pPr>
              <w:spacing w:before="156" w:beforeLines="50" w:after="156" w:afterLines="50"/>
              <w:jc w:val="left"/>
              <w:rPr>
                <w:b/>
                <w:sz w:val="18"/>
                <w:szCs w:val="18"/>
              </w:rPr>
            </w:pPr>
            <w:r>
              <w:rPr>
                <w:rFonts w:hint="eastAsia"/>
                <w:b/>
                <w:sz w:val="18"/>
                <w:szCs w:val="18"/>
              </w:rPr>
              <w:t>处罚依据</w:t>
            </w:r>
          </w:p>
        </w:tc>
        <w:tc>
          <w:tcPr>
            <w:tcW w:w="991" w:type="dxa"/>
            <w:vMerge w:val="continue"/>
            <w:vAlign w:val="center"/>
          </w:tcPr>
          <w:p w14:paraId="3C49AE42">
            <w:pPr>
              <w:spacing w:before="156" w:beforeLines="50" w:after="156" w:afterLines="50"/>
              <w:jc w:val="left"/>
              <w:rPr>
                <w:b/>
                <w:sz w:val="18"/>
                <w:szCs w:val="18"/>
              </w:rPr>
            </w:pPr>
          </w:p>
        </w:tc>
        <w:tc>
          <w:tcPr>
            <w:tcW w:w="2739" w:type="dxa"/>
            <w:vMerge w:val="continue"/>
            <w:vAlign w:val="center"/>
          </w:tcPr>
          <w:p w14:paraId="511C30F2">
            <w:pPr>
              <w:spacing w:before="156" w:beforeLines="50" w:after="156" w:afterLines="50"/>
              <w:jc w:val="left"/>
              <w:rPr>
                <w:b/>
                <w:sz w:val="18"/>
                <w:szCs w:val="18"/>
              </w:rPr>
            </w:pPr>
          </w:p>
        </w:tc>
        <w:tc>
          <w:tcPr>
            <w:tcW w:w="2449" w:type="dxa"/>
            <w:vAlign w:val="center"/>
          </w:tcPr>
          <w:p w14:paraId="1D7F01D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85" w:type="dxa"/>
            <w:vAlign w:val="center"/>
          </w:tcPr>
          <w:p w14:paraId="62EFF8A8">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319" w:type="dxa"/>
            <w:vAlign w:val="center"/>
          </w:tcPr>
          <w:p w14:paraId="129AB8F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842" w:type="dxa"/>
            <w:vAlign w:val="center"/>
          </w:tcPr>
          <w:p w14:paraId="382E8805">
            <w:pPr>
              <w:spacing w:before="156" w:beforeLines="50" w:after="156" w:afterLines="50"/>
              <w:rPr>
                <w:rFonts w:ascii="宋体"/>
                <w:b/>
                <w:sz w:val="18"/>
                <w:szCs w:val="18"/>
              </w:rPr>
            </w:pPr>
            <w:r>
              <w:rPr>
                <w:rFonts w:hint="eastAsia" w:ascii="宋体"/>
                <w:b/>
                <w:sz w:val="18"/>
                <w:szCs w:val="18"/>
              </w:rPr>
              <w:t>【对象】责任船员</w:t>
            </w:r>
          </w:p>
        </w:tc>
        <w:tc>
          <w:tcPr>
            <w:tcW w:w="2268" w:type="dxa"/>
            <w:vAlign w:val="center"/>
          </w:tcPr>
          <w:p w14:paraId="410423D0">
            <w:pPr>
              <w:pStyle w:val="2"/>
              <w:spacing w:before="156" w:beforeLines="50" w:after="156" w:afterLines="50"/>
            </w:pPr>
            <w:r>
              <w:rPr>
                <w:rFonts w:hint="eastAsia" w:ascii="宋体" w:hAnsi="宋体"/>
                <w:b/>
                <w:sz w:val="18"/>
                <w:szCs w:val="18"/>
              </w:rPr>
              <w:t>内河船舶</w:t>
            </w:r>
            <w:r>
              <w:rPr>
                <w:rFonts w:ascii="宋体" w:hAnsi="宋体"/>
                <w:b/>
                <w:sz w:val="18"/>
                <w:szCs w:val="18"/>
              </w:rPr>
              <w:t>1000GT</w:t>
            </w:r>
            <w:r>
              <w:rPr>
                <w:rFonts w:hint="eastAsia" w:ascii="宋体" w:hAnsi="宋体"/>
                <w:b/>
                <w:sz w:val="18"/>
                <w:szCs w:val="18"/>
              </w:rPr>
              <w:t>∕</w:t>
            </w:r>
            <w:r>
              <w:rPr>
                <w:rFonts w:ascii="宋体" w:hAnsi="宋体"/>
                <w:b/>
                <w:sz w:val="18"/>
                <w:szCs w:val="18"/>
              </w:rPr>
              <w:t>500KW</w:t>
            </w:r>
            <w:r>
              <w:rPr>
                <w:rFonts w:hint="eastAsia" w:ascii="宋体" w:hAnsi="宋体"/>
                <w:b/>
                <w:sz w:val="18"/>
                <w:szCs w:val="18"/>
              </w:rPr>
              <w:t>以下；沿海船舶500</w:t>
            </w:r>
            <w:r>
              <w:rPr>
                <w:rFonts w:ascii="宋体" w:hAnsi="宋体"/>
                <w:b/>
                <w:sz w:val="18"/>
                <w:szCs w:val="18"/>
              </w:rPr>
              <w:t>GT</w:t>
            </w:r>
            <w:r>
              <w:rPr>
                <w:rFonts w:hint="eastAsia" w:ascii="宋体" w:hAnsi="宋体"/>
                <w:b/>
                <w:sz w:val="18"/>
                <w:szCs w:val="18"/>
              </w:rPr>
              <w:t>∕750</w:t>
            </w:r>
            <w:r>
              <w:rPr>
                <w:rFonts w:ascii="宋体" w:hAnsi="宋体"/>
                <w:b/>
                <w:sz w:val="18"/>
                <w:szCs w:val="18"/>
              </w:rPr>
              <w:t>KW</w:t>
            </w:r>
            <w:r>
              <w:rPr>
                <w:rFonts w:hint="eastAsia" w:ascii="宋体" w:hAnsi="宋体"/>
                <w:b/>
                <w:sz w:val="18"/>
                <w:szCs w:val="18"/>
              </w:rPr>
              <w:t>以下</w:t>
            </w:r>
          </w:p>
          <w:p w14:paraId="592A4CD8">
            <w:pPr>
              <w:spacing w:before="156" w:beforeLines="50" w:after="156" w:afterLines="50"/>
              <w:jc w:val="center"/>
              <w:rPr>
                <w:rFonts w:ascii="宋体"/>
                <w:b/>
                <w:kern w:val="0"/>
                <w:sz w:val="18"/>
                <w:szCs w:val="18"/>
              </w:rPr>
            </w:pPr>
          </w:p>
        </w:tc>
        <w:tc>
          <w:tcPr>
            <w:tcW w:w="2034" w:type="dxa"/>
            <w:vAlign w:val="center"/>
          </w:tcPr>
          <w:p w14:paraId="62CB7D5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1181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25BB1303">
            <w:pPr>
              <w:spacing w:before="156" w:beforeLines="50" w:after="156" w:afterLines="50"/>
              <w:jc w:val="center"/>
              <w:rPr>
                <w:sz w:val="18"/>
                <w:szCs w:val="18"/>
              </w:rPr>
            </w:pPr>
            <w:r>
              <w:rPr>
                <w:rFonts w:hint="eastAsia"/>
                <w:sz w:val="18"/>
                <w:szCs w:val="18"/>
              </w:rPr>
              <w:t>64</w:t>
            </w:r>
          </w:p>
        </w:tc>
        <w:tc>
          <w:tcPr>
            <w:tcW w:w="871" w:type="dxa"/>
            <w:vMerge w:val="restart"/>
            <w:vAlign w:val="center"/>
          </w:tcPr>
          <w:p w14:paraId="183C50D6">
            <w:pPr>
              <w:spacing w:before="156" w:beforeLines="50" w:after="156" w:afterLines="50"/>
              <w:rPr>
                <w:sz w:val="18"/>
                <w:szCs w:val="18"/>
              </w:rPr>
            </w:pPr>
            <w:r>
              <w:rPr>
                <w:rFonts w:hint="eastAsia"/>
                <w:sz w:val="18"/>
                <w:szCs w:val="18"/>
              </w:rPr>
              <w:t>遇有不符合安全开航条件的情况而冒险开航</w:t>
            </w:r>
          </w:p>
          <w:p w14:paraId="4F5BB297">
            <w:pPr>
              <w:spacing w:before="156" w:beforeLines="50" w:after="156" w:afterLines="50"/>
              <w:rPr>
                <w:rFonts w:ascii="宋体"/>
                <w:sz w:val="18"/>
                <w:szCs w:val="18"/>
              </w:rPr>
            </w:pPr>
          </w:p>
        </w:tc>
        <w:tc>
          <w:tcPr>
            <w:tcW w:w="1117" w:type="dxa"/>
            <w:vMerge w:val="restart"/>
            <w:vAlign w:val="center"/>
          </w:tcPr>
          <w:p w14:paraId="2B6024BF">
            <w:pPr>
              <w:spacing w:before="156" w:beforeLines="50" w:after="156" w:afterLines="50"/>
              <w:rPr>
                <w:sz w:val="18"/>
                <w:szCs w:val="18"/>
              </w:rPr>
            </w:pPr>
            <w:r>
              <w:rPr>
                <w:rFonts w:hint="eastAsia"/>
                <w:sz w:val="18"/>
                <w:szCs w:val="18"/>
              </w:rPr>
              <w:t>《中华人民共和国内河交通安全管理条例》第二十一条第一款</w:t>
            </w:r>
          </w:p>
        </w:tc>
        <w:tc>
          <w:tcPr>
            <w:tcW w:w="1283" w:type="dxa"/>
            <w:vMerge w:val="restart"/>
            <w:vAlign w:val="center"/>
          </w:tcPr>
          <w:p w14:paraId="4A791ED5">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74126652">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内河海事行政处罚规定》第十八条第一款和第二款第（三）项；</w:t>
            </w:r>
          </w:p>
          <w:p w14:paraId="4A040F05">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122A32DD">
            <w:pPr>
              <w:spacing w:before="156" w:beforeLines="50" w:after="156" w:afterLines="50"/>
              <w:rPr>
                <w:sz w:val="18"/>
                <w:szCs w:val="18"/>
              </w:rPr>
            </w:pPr>
          </w:p>
        </w:tc>
        <w:tc>
          <w:tcPr>
            <w:tcW w:w="991" w:type="dxa"/>
            <w:vAlign w:val="center"/>
          </w:tcPr>
          <w:p w14:paraId="3B4629C1">
            <w:pPr>
              <w:spacing w:before="156" w:beforeLines="50" w:after="156" w:afterLines="50"/>
              <w:jc w:val="center"/>
              <w:rPr>
                <w:rFonts w:ascii="宋体"/>
                <w:sz w:val="18"/>
                <w:szCs w:val="18"/>
              </w:rPr>
            </w:pPr>
            <w:r>
              <w:rPr>
                <w:rFonts w:hint="eastAsia"/>
                <w:sz w:val="18"/>
                <w:szCs w:val="18"/>
              </w:rPr>
              <w:t>从轻</w:t>
            </w:r>
          </w:p>
        </w:tc>
        <w:tc>
          <w:tcPr>
            <w:tcW w:w="2739" w:type="dxa"/>
            <w:vAlign w:val="center"/>
          </w:tcPr>
          <w:p w14:paraId="579F38AD">
            <w:pPr>
              <w:widowControl/>
              <w:spacing w:before="156" w:beforeLines="50" w:after="156" w:afterLines="50"/>
              <w:jc w:val="left"/>
              <w:rPr>
                <w:sz w:val="18"/>
                <w:szCs w:val="18"/>
              </w:rPr>
            </w:pPr>
            <w:r>
              <w:rPr>
                <w:rFonts w:hint="eastAsia"/>
                <w:sz w:val="18"/>
                <w:szCs w:val="18"/>
              </w:rPr>
              <w:t>具有法定从轻情节的。</w:t>
            </w:r>
          </w:p>
        </w:tc>
        <w:tc>
          <w:tcPr>
            <w:tcW w:w="2449" w:type="dxa"/>
            <w:vAlign w:val="center"/>
          </w:tcPr>
          <w:p w14:paraId="29C0BC6C">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85" w:type="dxa"/>
            <w:vAlign w:val="center"/>
          </w:tcPr>
          <w:p w14:paraId="3EF0F66F">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319" w:type="dxa"/>
            <w:vAlign w:val="center"/>
          </w:tcPr>
          <w:p w14:paraId="5174D704">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842" w:type="dxa"/>
            <w:vAlign w:val="center"/>
          </w:tcPr>
          <w:p w14:paraId="61F732CD">
            <w:pPr>
              <w:widowControl/>
              <w:spacing w:before="156" w:beforeLines="50" w:after="156" w:afterLines="50"/>
              <w:jc w:val="center"/>
              <w:rPr>
                <w:rFonts w:ascii="宋体"/>
                <w:kern w:val="0"/>
                <w:sz w:val="18"/>
                <w:szCs w:val="18"/>
              </w:rPr>
            </w:pPr>
            <w:r>
              <w:rPr>
                <w:rFonts w:ascii="宋体"/>
                <w:kern w:val="0"/>
                <w:sz w:val="18"/>
                <w:szCs w:val="18"/>
              </w:rPr>
              <w:t>/</w:t>
            </w:r>
          </w:p>
        </w:tc>
        <w:tc>
          <w:tcPr>
            <w:tcW w:w="2268" w:type="dxa"/>
            <w:vMerge w:val="restart"/>
            <w:vAlign w:val="center"/>
          </w:tcPr>
          <w:p w14:paraId="7F1D21C9">
            <w:pPr>
              <w:spacing w:before="156" w:beforeLines="50" w:after="156" w:afterLines="50"/>
              <w:jc w:val="left"/>
              <w:rPr>
                <w:sz w:val="18"/>
                <w:szCs w:val="18"/>
              </w:rPr>
            </w:pPr>
            <w:r>
              <w:rPr>
                <w:rFonts w:hint="eastAsia"/>
                <w:sz w:val="18"/>
                <w:szCs w:val="18"/>
              </w:rPr>
              <w:t>有不符合安全开航条件的情况而冒险开航，未造成事故及险情的，4000元及以上8000元以下</w:t>
            </w:r>
          </w:p>
          <w:p w14:paraId="3025F09C">
            <w:pPr>
              <w:spacing w:before="156" w:beforeLines="50" w:after="156" w:afterLines="50"/>
              <w:jc w:val="left"/>
              <w:rPr>
                <w:rFonts w:ascii="宋体"/>
                <w:sz w:val="18"/>
                <w:szCs w:val="18"/>
              </w:rPr>
            </w:pPr>
          </w:p>
        </w:tc>
        <w:tc>
          <w:tcPr>
            <w:tcW w:w="2034" w:type="dxa"/>
            <w:vMerge w:val="restart"/>
            <w:vAlign w:val="center"/>
          </w:tcPr>
          <w:p w14:paraId="3CC4379F">
            <w:pPr>
              <w:pStyle w:val="2"/>
              <w:spacing w:before="156" w:beforeLines="50" w:after="156" w:afterLines="50"/>
              <w:rPr>
                <w:sz w:val="18"/>
                <w:szCs w:val="18"/>
              </w:rPr>
            </w:pPr>
            <w:r>
              <w:rPr>
                <w:rFonts w:hint="eastAsia"/>
                <w:sz w:val="18"/>
                <w:szCs w:val="18"/>
              </w:rPr>
              <w:t>遇有不符合安全开航条件的情况而冒险开航，未造成事故及险情的，6000元及以上2万元以下</w:t>
            </w:r>
          </w:p>
          <w:p w14:paraId="2FC1266B">
            <w:pPr>
              <w:spacing w:before="156" w:beforeLines="50" w:after="156" w:afterLines="50"/>
              <w:jc w:val="left"/>
              <w:rPr>
                <w:sz w:val="18"/>
                <w:szCs w:val="18"/>
              </w:rPr>
            </w:pPr>
          </w:p>
        </w:tc>
      </w:tr>
      <w:tr w14:paraId="07A7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17A1D3C0">
            <w:pPr>
              <w:spacing w:before="156" w:beforeLines="50" w:after="156" w:afterLines="50"/>
              <w:jc w:val="left"/>
              <w:rPr>
                <w:sz w:val="18"/>
                <w:szCs w:val="18"/>
              </w:rPr>
            </w:pPr>
          </w:p>
        </w:tc>
        <w:tc>
          <w:tcPr>
            <w:tcW w:w="871" w:type="dxa"/>
            <w:vMerge w:val="continue"/>
            <w:vAlign w:val="center"/>
          </w:tcPr>
          <w:p w14:paraId="5B39EBEC">
            <w:pPr>
              <w:spacing w:before="156" w:beforeLines="50" w:after="156" w:afterLines="50"/>
              <w:jc w:val="left"/>
              <w:rPr>
                <w:sz w:val="18"/>
                <w:szCs w:val="18"/>
              </w:rPr>
            </w:pPr>
          </w:p>
        </w:tc>
        <w:tc>
          <w:tcPr>
            <w:tcW w:w="1117" w:type="dxa"/>
            <w:vMerge w:val="continue"/>
            <w:vAlign w:val="center"/>
          </w:tcPr>
          <w:p w14:paraId="40525B63">
            <w:pPr>
              <w:spacing w:before="156" w:beforeLines="50" w:after="156" w:afterLines="50"/>
              <w:jc w:val="left"/>
              <w:rPr>
                <w:sz w:val="18"/>
                <w:szCs w:val="18"/>
              </w:rPr>
            </w:pPr>
          </w:p>
        </w:tc>
        <w:tc>
          <w:tcPr>
            <w:tcW w:w="1283" w:type="dxa"/>
            <w:vMerge w:val="continue"/>
            <w:vAlign w:val="center"/>
          </w:tcPr>
          <w:p w14:paraId="25F2585F">
            <w:pPr>
              <w:spacing w:before="156" w:beforeLines="50" w:after="156" w:afterLines="50"/>
              <w:jc w:val="left"/>
              <w:rPr>
                <w:sz w:val="18"/>
                <w:szCs w:val="18"/>
              </w:rPr>
            </w:pPr>
          </w:p>
        </w:tc>
        <w:tc>
          <w:tcPr>
            <w:tcW w:w="991" w:type="dxa"/>
            <w:vMerge w:val="restart"/>
            <w:vAlign w:val="center"/>
          </w:tcPr>
          <w:p w14:paraId="3EE04F58">
            <w:pPr>
              <w:spacing w:before="156" w:beforeLines="50" w:after="156" w:afterLines="50"/>
              <w:jc w:val="center"/>
              <w:rPr>
                <w:sz w:val="18"/>
                <w:szCs w:val="18"/>
              </w:rPr>
            </w:pPr>
            <w:r>
              <w:rPr>
                <w:rFonts w:hint="eastAsia"/>
                <w:sz w:val="18"/>
                <w:szCs w:val="18"/>
              </w:rPr>
              <w:t>一般</w:t>
            </w:r>
          </w:p>
          <w:p w14:paraId="485C01BB">
            <w:pPr>
              <w:spacing w:before="156" w:beforeLines="50" w:after="156" w:afterLines="50"/>
              <w:jc w:val="center"/>
              <w:rPr>
                <w:sz w:val="18"/>
                <w:szCs w:val="18"/>
              </w:rPr>
            </w:pPr>
          </w:p>
        </w:tc>
        <w:tc>
          <w:tcPr>
            <w:tcW w:w="2739" w:type="dxa"/>
            <w:vAlign w:val="center"/>
          </w:tcPr>
          <w:p w14:paraId="1B94D070">
            <w:pPr>
              <w:widowControl/>
              <w:spacing w:before="156" w:beforeLines="50" w:after="156" w:afterLines="50"/>
              <w:jc w:val="left"/>
              <w:rPr>
                <w:sz w:val="18"/>
                <w:szCs w:val="18"/>
              </w:rPr>
            </w:pPr>
            <w:r>
              <w:rPr>
                <w:rFonts w:hint="eastAsia"/>
                <w:sz w:val="18"/>
                <w:szCs w:val="18"/>
              </w:rPr>
              <w:t>遇有不符合安全开航条件的情况而冒险开航的。</w:t>
            </w:r>
          </w:p>
        </w:tc>
        <w:tc>
          <w:tcPr>
            <w:tcW w:w="2449" w:type="dxa"/>
            <w:vAlign w:val="center"/>
          </w:tcPr>
          <w:p w14:paraId="32808B6C">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85" w:type="dxa"/>
            <w:vAlign w:val="center"/>
          </w:tcPr>
          <w:p w14:paraId="4CF02447">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319" w:type="dxa"/>
            <w:vAlign w:val="center"/>
          </w:tcPr>
          <w:p w14:paraId="46FC0269">
            <w:pPr>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842" w:type="dxa"/>
            <w:vAlign w:val="center"/>
          </w:tcPr>
          <w:p w14:paraId="33D91459">
            <w:pPr>
              <w:spacing w:before="156" w:beforeLines="50" w:after="156" w:afterLines="50"/>
              <w:jc w:val="center"/>
              <w:rPr>
                <w:sz w:val="18"/>
                <w:szCs w:val="18"/>
              </w:rPr>
            </w:pPr>
            <w:r>
              <w:rPr>
                <w:rFonts w:ascii="宋体"/>
                <w:kern w:val="0"/>
                <w:sz w:val="18"/>
                <w:szCs w:val="18"/>
              </w:rPr>
              <w:t>/</w:t>
            </w:r>
          </w:p>
        </w:tc>
        <w:tc>
          <w:tcPr>
            <w:tcW w:w="2268" w:type="dxa"/>
            <w:vMerge w:val="continue"/>
            <w:vAlign w:val="center"/>
          </w:tcPr>
          <w:p w14:paraId="1A772048">
            <w:pPr>
              <w:spacing w:before="156" w:beforeLines="50" w:after="156" w:afterLines="50"/>
              <w:jc w:val="left"/>
              <w:rPr>
                <w:sz w:val="18"/>
                <w:szCs w:val="18"/>
              </w:rPr>
            </w:pPr>
          </w:p>
        </w:tc>
        <w:tc>
          <w:tcPr>
            <w:tcW w:w="2034" w:type="dxa"/>
            <w:vMerge w:val="continue"/>
            <w:vAlign w:val="center"/>
          </w:tcPr>
          <w:p w14:paraId="02CF3E13">
            <w:pPr>
              <w:spacing w:before="156" w:beforeLines="50" w:after="156" w:afterLines="50"/>
              <w:jc w:val="left"/>
              <w:rPr>
                <w:sz w:val="18"/>
                <w:szCs w:val="18"/>
              </w:rPr>
            </w:pPr>
          </w:p>
        </w:tc>
      </w:tr>
      <w:tr w14:paraId="7CB2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14:paraId="5A9C5E33">
            <w:pPr>
              <w:spacing w:before="156" w:beforeLines="50" w:after="156" w:afterLines="50"/>
              <w:jc w:val="left"/>
              <w:rPr>
                <w:sz w:val="18"/>
                <w:szCs w:val="18"/>
              </w:rPr>
            </w:pPr>
          </w:p>
        </w:tc>
        <w:tc>
          <w:tcPr>
            <w:tcW w:w="871" w:type="dxa"/>
            <w:vMerge w:val="continue"/>
            <w:vAlign w:val="center"/>
          </w:tcPr>
          <w:p w14:paraId="233D1091">
            <w:pPr>
              <w:spacing w:before="156" w:beforeLines="50" w:after="156" w:afterLines="50"/>
              <w:jc w:val="left"/>
              <w:rPr>
                <w:sz w:val="18"/>
                <w:szCs w:val="18"/>
              </w:rPr>
            </w:pPr>
          </w:p>
        </w:tc>
        <w:tc>
          <w:tcPr>
            <w:tcW w:w="1117" w:type="dxa"/>
            <w:vMerge w:val="continue"/>
            <w:vAlign w:val="center"/>
          </w:tcPr>
          <w:p w14:paraId="0C0B3938">
            <w:pPr>
              <w:spacing w:before="156" w:beforeLines="50" w:after="156" w:afterLines="50"/>
              <w:jc w:val="left"/>
              <w:rPr>
                <w:sz w:val="18"/>
                <w:szCs w:val="18"/>
              </w:rPr>
            </w:pPr>
          </w:p>
        </w:tc>
        <w:tc>
          <w:tcPr>
            <w:tcW w:w="1283" w:type="dxa"/>
            <w:vMerge w:val="continue"/>
            <w:vAlign w:val="center"/>
          </w:tcPr>
          <w:p w14:paraId="428393D4">
            <w:pPr>
              <w:spacing w:before="156" w:beforeLines="50" w:after="156" w:afterLines="50"/>
              <w:jc w:val="left"/>
              <w:rPr>
                <w:sz w:val="18"/>
                <w:szCs w:val="18"/>
              </w:rPr>
            </w:pPr>
          </w:p>
        </w:tc>
        <w:tc>
          <w:tcPr>
            <w:tcW w:w="991" w:type="dxa"/>
            <w:vMerge w:val="continue"/>
            <w:vAlign w:val="center"/>
          </w:tcPr>
          <w:p w14:paraId="58328107">
            <w:pPr>
              <w:spacing w:before="156" w:beforeLines="50" w:after="156" w:afterLines="50"/>
              <w:jc w:val="center"/>
              <w:rPr>
                <w:sz w:val="18"/>
                <w:szCs w:val="18"/>
              </w:rPr>
            </w:pPr>
          </w:p>
        </w:tc>
        <w:tc>
          <w:tcPr>
            <w:tcW w:w="2739" w:type="dxa"/>
            <w:vAlign w:val="center"/>
          </w:tcPr>
          <w:p w14:paraId="143940FE">
            <w:pPr>
              <w:widowControl/>
              <w:spacing w:before="156" w:beforeLines="50" w:after="156" w:afterLines="50"/>
              <w:jc w:val="left"/>
              <w:rPr>
                <w:sz w:val="18"/>
                <w:szCs w:val="18"/>
              </w:rPr>
            </w:pPr>
            <w:r>
              <w:rPr>
                <w:rFonts w:hint="eastAsia"/>
                <w:sz w:val="18"/>
                <w:szCs w:val="18"/>
              </w:rPr>
              <w:t>遇有不符合安全开航条件的情况而冒险开航，导致发生一般以下水上交通事故。</w:t>
            </w:r>
          </w:p>
        </w:tc>
        <w:tc>
          <w:tcPr>
            <w:tcW w:w="2449" w:type="dxa"/>
            <w:vAlign w:val="center"/>
          </w:tcPr>
          <w:p w14:paraId="3287D343">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85" w:type="dxa"/>
            <w:vAlign w:val="center"/>
          </w:tcPr>
          <w:p w14:paraId="62D16F06">
            <w:pPr>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319" w:type="dxa"/>
            <w:vAlign w:val="center"/>
          </w:tcPr>
          <w:p w14:paraId="18986535">
            <w:pPr>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842" w:type="dxa"/>
            <w:vAlign w:val="center"/>
          </w:tcPr>
          <w:p w14:paraId="773866BB">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268" w:type="dxa"/>
            <w:vMerge w:val="continue"/>
            <w:vAlign w:val="center"/>
          </w:tcPr>
          <w:p w14:paraId="4A37CD4C">
            <w:pPr>
              <w:spacing w:before="156" w:beforeLines="50" w:after="156" w:afterLines="50"/>
              <w:jc w:val="left"/>
              <w:rPr>
                <w:sz w:val="18"/>
                <w:szCs w:val="18"/>
              </w:rPr>
            </w:pPr>
          </w:p>
        </w:tc>
        <w:tc>
          <w:tcPr>
            <w:tcW w:w="2034" w:type="dxa"/>
            <w:vMerge w:val="continue"/>
            <w:vAlign w:val="center"/>
          </w:tcPr>
          <w:p w14:paraId="496B8E42">
            <w:pPr>
              <w:spacing w:before="156" w:beforeLines="50" w:after="156" w:afterLines="50"/>
              <w:jc w:val="left"/>
              <w:rPr>
                <w:sz w:val="18"/>
                <w:szCs w:val="18"/>
              </w:rPr>
            </w:pPr>
          </w:p>
        </w:tc>
      </w:tr>
      <w:tr w14:paraId="4F91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55" w:type="dxa"/>
            <w:vMerge w:val="continue"/>
          </w:tcPr>
          <w:p w14:paraId="2179D24E">
            <w:pPr>
              <w:spacing w:before="156" w:beforeLines="50" w:after="156" w:afterLines="50"/>
              <w:jc w:val="left"/>
              <w:rPr>
                <w:sz w:val="18"/>
                <w:szCs w:val="18"/>
              </w:rPr>
            </w:pPr>
          </w:p>
        </w:tc>
        <w:tc>
          <w:tcPr>
            <w:tcW w:w="871" w:type="dxa"/>
            <w:vMerge w:val="continue"/>
            <w:vAlign w:val="center"/>
          </w:tcPr>
          <w:p w14:paraId="7A1C07BB">
            <w:pPr>
              <w:spacing w:before="156" w:beforeLines="50" w:after="156" w:afterLines="50"/>
              <w:jc w:val="left"/>
              <w:rPr>
                <w:sz w:val="18"/>
                <w:szCs w:val="18"/>
              </w:rPr>
            </w:pPr>
          </w:p>
        </w:tc>
        <w:tc>
          <w:tcPr>
            <w:tcW w:w="1117" w:type="dxa"/>
            <w:vMerge w:val="continue"/>
            <w:vAlign w:val="center"/>
          </w:tcPr>
          <w:p w14:paraId="074FE00C">
            <w:pPr>
              <w:spacing w:before="156" w:beforeLines="50" w:after="156" w:afterLines="50"/>
              <w:jc w:val="left"/>
              <w:rPr>
                <w:sz w:val="18"/>
                <w:szCs w:val="18"/>
              </w:rPr>
            </w:pPr>
          </w:p>
        </w:tc>
        <w:tc>
          <w:tcPr>
            <w:tcW w:w="1283" w:type="dxa"/>
            <w:vMerge w:val="continue"/>
            <w:vAlign w:val="center"/>
          </w:tcPr>
          <w:p w14:paraId="40B076AF">
            <w:pPr>
              <w:spacing w:before="156" w:beforeLines="50" w:after="156" w:afterLines="50"/>
              <w:jc w:val="left"/>
              <w:rPr>
                <w:sz w:val="18"/>
                <w:szCs w:val="18"/>
              </w:rPr>
            </w:pPr>
          </w:p>
        </w:tc>
        <w:tc>
          <w:tcPr>
            <w:tcW w:w="991" w:type="dxa"/>
            <w:vMerge w:val="continue"/>
            <w:vAlign w:val="center"/>
          </w:tcPr>
          <w:p w14:paraId="36F56F45">
            <w:pPr>
              <w:spacing w:before="156" w:beforeLines="50" w:after="156" w:afterLines="50"/>
              <w:jc w:val="center"/>
              <w:rPr>
                <w:sz w:val="18"/>
                <w:szCs w:val="18"/>
              </w:rPr>
            </w:pPr>
          </w:p>
        </w:tc>
        <w:tc>
          <w:tcPr>
            <w:tcW w:w="2739" w:type="dxa"/>
            <w:vAlign w:val="center"/>
          </w:tcPr>
          <w:p w14:paraId="5BBFDA60">
            <w:pPr>
              <w:widowControl/>
              <w:spacing w:before="156" w:beforeLines="50" w:after="156" w:afterLines="50"/>
              <w:jc w:val="left"/>
              <w:rPr>
                <w:sz w:val="18"/>
                <w:szCs w:val="18"/>
              </w:rPr>
            </w:pPr>
            <w:r>
              <w:rPr>
                <w:rFonts w:hint="eastAsia"/>
                <w:sz w:val="18"/>
                <w:szCs w:val="18"/>
              </w:rPr>
              <w:t>遇有不符合安全开航条件的情况而冒险开航，导致发生一般及以上水上交通事故。</w:t>
            </w:r>
          </w:p>
        </w:tc>
        <w:tc>
          <w:tcPr>
            <w:tcW w:w="2449" w:type="dxa"/>
            <w:vAlign w:val="center"/>
          </w:tcPr>
          <w:p w14:paraId="76682865">
            <w:pPr>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85" w:type="dxa"/>
            <w:vAlign w:val="center"/>
          </w:tcPr>
          <w:p w14:paraId="14BEF11D">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319" w:type="dxa"/>
            <w:vAlign w:val="center"/>
          </w:tcPr>
          <w:p w14:paraId="17CA5DE2">
            <w:pPr>
              <w:spacing w:before="156" w:beforeLines="50" w:after="156" w:afterLines="50"/>
              <w:jc w:val="left"/>
              <w:rPr>
                <w:sz w:val="18"/>
                <w:szCs w:val="18"/>
              </w:rPr>
            </w:pPr>
            <w:r>
              <w:rPr>
                <w:rFonts w:hint="eastAsia"/>
                <w:sz w:val="18"/>
                <w:szCs w:val="18"/>
              </w:rPr>
              <w:t>5万元及以上</w:t>
            </w:r>
            <w:r>
              <w:rPr>
                <w:sz w:val="18"/>
                <w:szCs w:val="18"/>
              </w:rPr>
              <w:t>10</w:t>
            </w:r>
            <w:r>
              <w:rPr>
                <w:rFonts w:hint="eastAsia"/>
                <w:sz w:val="18"/>
                <w:szCs w:val="18"/>
              </w:rPr>
              <w:t>万元及以下</w:t>
            </w:r>
          </w:p>
        </w:tc>
        <w:tc>
          <w:tcPr>
            <w:tcW w:w="1842" w:type="dxa"/>
            <w:vAlign w:val="center"/>
          </w:tcPr>
          <w:p w14:paraId="4C279273">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268" w:type="dxa"/>
            <w:vMerge w:val="continue"/>
            <w:vAlign w:val="center"/>
          </w:tcPr>
          <w:p w14:paraId="4A677876">
            <w:pPr>
              <w:spacing w:before="156" w:beforeLines="50" w:after="156" w:afterLines="50"/>
              <w:jc w:val="left"/>
              <w:rPr>
                <w:sz w:val="18"/>
                <w:szCs w:val="18"/>
              </w:rPr>
            </w:pPr>
          </w:p>
        </w:tc>
        <w:tc>
          <w:tcPr>
            <w:tcW w:w="2034" w:type="dxa"/>
            <w:vMerge w:val="continue"/>
          </w:tcPr>
          <w:p w14:paraId="593D2B02">
            <w:pPr>
              <w:spacing w:before="156" w:beforeLines="50" w:after="156" w:afterLines="50"/>
              <w:jc w:val="left"/>
              <w:rPr>
                <w:sz w:val="18"/>
                <w:szCs w:val="18"/>
              </w:rPr>
            </w:pPr>
          </w:p>
        </w:tc>
      </w:tr>
    </w:tbl>
    <w:p w14:paraId="4415B4F6">
      <w:pPr>
        <w:widowControl/>
        <w:jc w:val="left"/>
        <w:rPr>
          <w:sz w:val="18"/>
          <w:szCs w:val="18"/>
        </w:rPr>
      </w:pPr>
      <w:r>
        <w:rPr>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1"/>
        <w:gridCol w:w="1117"/>
        <w:gridCol w:w="1283"/>
        <w:gridCol w:w="991"/>
        <w:gridCol w:w="1995"/>
        <w:gridCol w:w="2267"/>
        <w:gridCol w:w="2269"/>
        <w:gridCol w:w="2410"/>
        <w:gridCol w:w="1966"/>
        <w:gridCol w:w="2428"/>
        <w:gridCol w:w="2618"/>
      </w:tblGrid>
      <w:tr w14:paraId="291A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655" w:type="dxa"/>
            <w:vMerge w:val="restart"/>
            <w:vAlign w:val="center"/>
          </w:tcPr>
          <w:p w14:paraId="6E68BCC1">
            <w:pPr>
              <w:spacing w:before="156" w:beforeLines="50" w:after="156" w:afterLines="50"/>
              <w:jc w:val="center"/>
              <w:rPr>
                <w:b/>
                <w:sz w:val="18"/>
                <w:szCs w:val="18"/>
              </w:rPr>
            </w:pPr>
            <w:r>
              <w:rPr>
                <w:rFonts w:hint="eastAsia"/>
                <w:b/>
                <w:sz w:val="18"/>
                <w:szCs w:val="18"/>
              </w:rPr>
              <w:t>序号</w:t>
            </w:r>
          </w:p>
        </w:tc>
        <w:tc>
          <w:tcPr>
            <w:tcW w:w="871" w:type="dxa"/>
            <w:vMerge w:val="restart"/>
            <w:vAlign w:val="center"/>
          </w:tcPr>
          <w:p w14:paraId="70AC35C3">
            <w:pPr>
              <w:spacing w:before="156" w:beforeLines="50" w:after="156" w:afterLines="50"/>
              <w:jc w:val="center"/>
              <w:rPr>
                <w:b/>
                <w:sz w:val="18"/>
                <w:szCs w:val="18"/>
              </w:rPr>
            </w:pPr>
            <w:r>
              <w:rPr>
                <w:rFonts w:hint="eastAsia"/>
                <w:b/>
                <w:sz w:val="18"/>
                <w:szCs w:val="18"/>
              </w:rPr>
              <w:t>案由</w:t>
            </w:r>
          </w:p>
        </w:tc>
        <w:tc>
          <w:tcPr>
            <w:tcW w:w="2400" w:type="dxa"/>
            <w:gridSpan w:val="2"/>
            <w:vMerge w:val="restart"/>
            <w:vAlign w:val="center"/>
          </w:tcPr>
          <w:p w14:paraId="7663EFB4">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14:paraId="6C9DB40E">
            <w:pPr>
              <w:spacing w:before="156" w:beforeLines="50" w:after="156" w:afterLines="50"/>
              <w:jc w:val="left"/>
              <w:rPr>
                <w:b/>
                <w:sz w:val="18"/>
                <w:szCs w:val="18"/>
              </w:rPr>
            </w:pPr>
            <w:r>
              <w:rPr>
                <w:rFonts w:hint="eastAsia"/>
                <w:b/>
                <w:sz w:val="18"/>
                <w:szCs w:val="18"/>
              </w:rPr>
              <w:t>违法行为情节</w:t>
            </w:r>
          </w:p>
        </w:tc>
        <w:tc>
          <w:tcPr>
            <w:tcW w:w="1995" w:type="dxa"/>
            <w:vMerge w:val="restart"/>
            <w:vAlign w:val="center"/>
          </w:tcPr>
          <w:p w14:paraId="3C99C51E">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958" w:type="dxa"/>
            <w:gridSpan w:val="6"/>
            <w:vAlign w:val="center"/>
          </w:tcPr>
          <w:p w14:paraId="652A9DA8">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责令改正，处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万元以下罚款，并可以对责任船员给予暂扣适任证书或者其他适任证件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275C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vAlign w:val="center"/>
          </w:tcPr>
          <w:p w14:paraId="44460299">
            <w:pPr>
              <w:spacing w:before="156" w:beforeLines="50" w:after="156" w:afterLines="50"/>
              <w:jc w:val="left"/>
              <w:rPr>
                <w:b/>
                <w:sz w:val="18"/>
                <w:szCs w:val="18"/>
              </w:rPr>
            </w:pPr>
          </w:p>
        </w:tc>
        <w:tc>
          <w:tcPr>
            <w:tcW w:w="871" w:type="dxa"/>
            <w:vMerge w:val="continue"/>
            <w:vAlign w:val="center"/>
          </w:tcPr>
          <w:p w14:paraId="59340C4B">
            <w:pPr>
              <w:spacing w:before="156" w:beforeLines="50" w:after="156" w:afterLines="50"/>
              <w:jc w:val="left"/>
              <w:rPr>
                <w:b/>
                <w:sz w:val="18"/>
                <w:szCs w:val="18"/>
              </w:rPr>
            </w:pPr>
          </w:p>
        </w:tc>
        <w:tc>
          <w:tcPr>
            <w:tcW w:w="2400" w:type="dxa"/>
            <w:gridSpan w:val="2"/>
            <w:vMerge w:val="continue"/>
            <w:vAlign w:val="center"/>
          </w:tcPr>
          <w:p w14:paraId="080B9DA2">
            <w:pPr>
              <w:spacing w:before="156" w:beforeLines="50" w:after="156" w:afterLines="50"/>
              <w:jc w:val="left"/>
              <w:rPr>
                <w:b/>
                <w:sz w:val="18"/>
                <w:szCs w:val="18"/>
              </w:rPr>
            </w:pPr>
          </w:p>
        </w:tc>
        <w:tc>
          <w:tcPr>
            <w:tcW w:w="991" w:type="dxa"/>
            <w:vMerge w:val="continue"/>
            <w:vAlign w:val="center"/>
          </w:tcPr>
          <w:p w14:paraId="3771FA78">
            <w:pPr>
              <w:spacing w:before="156" w:beforeLines="50" w:after="156" w:afterLines="50"/>
              <w:jc w:val="left"/>
              <w:rPr>
                <w:b/>
                <w:sz w:val="18"/>
                <w:szCs w:val="18"/>
              </w:rPr>
            </w:pPr>
          </w:p>
        </w:tc>
        <w:tc>
          <w:tcPr>
            <w:tcW w:w="1995" w:type="dxa"/>
            <w:vMerge w:val="continue"/>
            <w:vAlign w:val="center"/>
          </w:tcPr>
          <w:p w14:paraId="4C0E3676">
            <w:pPr>
              <w:spacing w:before="156" w:beforeLines="50" w:after="156" w:afterLines="50"/>
              <w:jc w:val="left"/>
              <w:rPr>
                <w:rFonts w:ascii="宋体"/>
                <w:b/>
                <w:sz w:val="18"/>
                <w:szCs w:val="18"/>
              </w:rPr>
            </w:pPr>
          </w:p>
        </w:tc>
        <w:tc>
          <w:tcPr>
            <w:tcW w:w="8912" w:type="dxa"/>
            <w:gridSpan w:val="4"/>
            <w:vAlign w:val="center"/>
          </w:tcPr>
          <w:p w14:paraId="1776ED5A">
            <w:pPr>
              <w:spacing w:before="156" w:beforeLines="50" w:after="156" w:afterLines="50"/>
              <w:jc w:val="center"/>
              <w:rPr>
                <w:b/>
                <w:sz w:val="18"/>
                <w:szCs w:val="18"/>
              </w:rPr>
            </w:pPr>
            <w:r>
              <w:rPr>
                <w:rFonts w:hint="eastAsia"/>
                <w:b/>
                <w:sz w:val="18"/>
                <w:szCs w:val="18"/>
              </w:rPr>
              <w:t>处罚基准</w:t>
            </w:r>
          </w:p>
        </w:tc>
        <w:tc>
          <w:tcPr>
            <w:tcW w:w="5046" w:type="dxa"/>
            <w:gridSpan w:val="2"/>
            <w:vAlign w:val="center"/>
          </w:tcPr>
          <w:p w14:paraId="02FBC2A3">
            <w:pPr>
              <w:spacing w:before="156" w:beforeLines="50" w:after="156" w:afterLines="50"/>
              <w:jc w:val="center"/>
              <w:rPr>
                <w:b/>
                <w:sz w:val="18"/>
                <w:szCs w:val="18"/>
              </w:rPr>
            </w:pPr>
            <w:r>
              <w:rPr>
                <w:rFonts w:hint="eastAsia"/>
                <w:b/>
                <w:sz w:val="18"/>
                <w:szCs w:val="18"/>
              </w:rPr>
              <w:t>减轻处罚基准</w:t>
            </w:r>
          </w:p>
        </w:tc>
      </w:tr>
      <w:tr w14:paraId="4A8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vAlign w:val="center"/>
          </w:tcPr>
          <w:p w14:paraId="5604B14C">
            <w:pPr>
              <w:spacing w:before="156" w:beforeLines="50" w:after="156" w:afterLines="50"/>
              <w:jc w:val="left"/>
              <w:rPr>
                <w:b/>
                <w:sz w:val="18"/>
                <w:szCs w:val="18"/>
              </w:rPr>
            </w:pPr>
          </w:p>
        </w:tc>
        <w:tc>
          <w:tcPr>
            <w:tcW w:w="871" w:type="dxa"/>
            <w:vMerge w:val="continue"/>
            <w:vAlign w:val="center"/>
          </w:tcPr>
          <w:p w14:paraId="6DAAEFF6">
            <w:pPr>
              <w:spacing w:before="156" w:beforeLines="50" w:after="156" w:afterLines="50"/>
              <w:jc w:val="left"/>
              <w:rPr>
                <w:b/>
                <w:sz w:val="18"/>
                <w:szCs w:val="18"/>
              </w:rPr>
            </w:pPr>
          </w:p>
        </w:tc>
        <w:tc>
          <w:tcPr>
            <w:tcW w:w="2400" w:type="dxa"/>
            <w:gridSpan w:val="2"/>
            <w:vMerge w:val="continue"/>
            <w:vAlign w:val="center"/>
          </w:tcPr>
          <w:p w14:paraId="5BA485D0">
            <w:pPr>
              <w:spacing w:before="156" w:beforeLines="50" w:after="156" w:afterLines="50"/>
              <w:jc w:val="left"/>
              <w:rPr>
                <w:b/>
                <w:sz w:val="18"/>
                <w:szCs w:val="18"/>
              </w:rPr>
            </w:pPr>
          </w:p>
        </w:tc>
        <w:tc>
          <w:tcPr>
            <w:tcW w:w="991" w:type="dxa"/>
            <w:vMerge w:val="continue"/>
            <w:vAlign w:val="center"/>
          </w:tcPr>
          <w:p w14:paraId="696F428E">
            <w:pPr>
              <w:spacing w:before="156" w:beforeLines="50" w:after="156" w:afterLines="50"/>
              <w:jc w:val="left"/>
              <w:rPr>
                <w:b/>
                <w:sz w:val="18"/>
                <w:szCs w:val="18"/>
              </w:rPr>
            </w:pPr>
          </w:p>
        </w:tc>
        <w:tc>
          <w:tcPr>
            <w:tcW w:w="1995" w:type="dxa"/>
            <w:vMerge w:val="continue"/>
            <w:vAlign w:val="center"/>
          </w:tcPr>
          <w:p w14:paraId="2A3F0AA6">
            <w:pPr>
              <w:spacing w:before="156" w:beforeLines="50" w:after="156" w:afterLines="50"/>
              <w:jc w:val="left"/>
              <w:rPr>
                <w:rFonts w:ascii="宋体"/>
                <w:b/>
                <w:sz w:val="18"/>
                <w:szCs w:val="18"/>
              </w:rPr>
            </w:pPr>
          </w:p>
        </w:tc>
        <w:tc>
          <w:tcPr>
            <w:tcW w:w="8912" w:type="dxa"/>
            <w:gridSpan w:val="4"/>
            <w:vAlign w:val="center"/>
          </w:tcPr>
          <w:p w14:paraId="12FA2295">
            <w:pPr>
              <w:spacing w:before="156" w:beforeLines="50" w:after="156" w:afterLines="50"/>
              <w:jc w:val="center"/>
              <w:rPr>
                <w:b/>
                <w:sz w:val="18"/>
                <w:szCs w:val="18"/>
              </w:rPr>
            </w:pPr>
            <w:r>
              <w:rPr>
                <w:rFonts w:hint="eastAsia"/>
                <w:b/>
                <w:sz w:val="18"/>
                <w:szCs w:val="18"/>
              </w:rPr>
              <w:t>【对象】船舶经营人或所有人</w:t>
            </w:r>
          </w:p>
        </w:tc>
        <w:tc>
          <w:tcPr>
            <w:tcW w:w="5046" w:type="dxa"/>
            <w:gridSpan w:val="2"/>
            <w:vAlign w:val="center"/>
          </w:tcPr>
          <w:p w14:paraId="793D059C">
            <w:pPr>
              <w:spacing w:before="156" w:beforeLines="50" w:after="156" w:afterLines="50"/>
              <w:jc w:val="center"/>
              <w:rPr>
                <w:b/>
                <w:sz w:val="18"/>
                <w:szCs w:val="18"/>
              </w:rPr>
            </w:pPr>
            <w:r>
              <w:rPr>
                <w:rFonts w:hint="eastAsia"/>
                <w:b/>
                <w:sz w:val="18"/>
                <w:szCs w:val="18"/>
              </w:rPr>
              <w:t>【对象】船舶经营人或所有人</w:t>
            </w:r>
          </w:p>
        </w:tc>
      </w:tr>
      <w:tr w14:paraId="2CEC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655" w:type="dxa"/>
            <w:vMerge w:val="continue"/>
            <w:vAlign w:val="center"/>
          </w:tcPr>
          <w:p w14:paraId="1D05AB32">
            <w:pPr>
              <w:spacing w:before="156" w:beforeLines="50" w:after="156" w:afterLines="50"/>
              <w:jc w:val="left"/>
              <w:rPr>
                <w:b/>
                <w:sz w:val="18"/>
                <w:szCs w:val="18"/>
              </w:rPr>
            </w:pPr>
          </w:p>
        </w:tc>
        <w:tc>
          <w:tcPr>
            <w:tcW w:w="871" w:type="dxa"/>
            <w:vMerge w:val="continue"/>
            <w:vAlign w:val="center"/>
          </w:tcPr>
          <w:p w14:paraId="1600312B">
            <w:pPr>
              <w:spacing w:before="156" w:beforeLines="50" w:after="156" w:afterLines="50"/>
              <w:jc w:val="left"/>
              <w:rPr>
                <w:b/>
                <w:sz w:val="18"/>
                <w:szCs w:val="18"/>
              </w:rPr>
            </w:pPr>
          </w:p>
        </w:tc>
        <w:tc>
          <w:tcPr>
            <w:tcW w:w="1117" w:type="dxa"/>
            <w:vAlign w:val="center"/>
          </w:tcPr>
          <w:p w14:paraId="7DE9C143">
            <w:pPr>
              <w:spacing w:before="156" w:beforeLines="50" w:after="156" w:afterLines="50"/>
              <w:jc w:val="center"/>
              <w:rPr>
                <w:b/>
                <w:sz w:val="18"/>
                <w:szCs w:val="18"/>
              </w:rPr>
            </w:pPr>
            <w:r>
              <w:rPr>
                <w:rFonts w:hint="eastAsia"/>
                <w:b/>
                <w:sz w:val="18"/>
                <w:szCs w:val="18"/>
              </w:rPr>
              <w:t>违反条款</w:t>
            </w:r>
          </w:p>
        </w:tc>
        <w:tc>
          <w:tcPr>
            <w:tcW w:w="1283" w:type="dxa"/>
            <w:vAlign w:val="center"/>
          </w:tcPr>
          <w:p w14:paraId="1EFC787B">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14:paraId="02AA2C8A">
            <w:pPr>
              <w:spacing w:before="156" w:beforeLines="50" w:after="156" w:afterLines="50"/>
              <w:jc w:val="left"/>
              <w:rPr>
                <w:b/>
                <w:sz w:val="18"/>
                <w:szCs w:val="18"/>
              </w:rPr>
            </w:pPr>
          </w:p>
        </w:tc>
        <w:tc>
          <w:tcPr>
            <w:tcW w:w="1995" w:type="dxa"/>
            <w:vMerge w:val="continue"/>
            <w:vAlign w:val="center"/>
          </w:tcPr>
          <w:p w14:paraId="1CDB0668">
            <w:pPr>
              <w:spacing w:before="156" w:beforeLines="50" w:after="156" w:afterLines="50"/>
              <w:jc w:val="left"/>
              <w:rPr>
                <w:b/>
                <w:sz w:val="18"/>
                <w:szCs w:val="18"/>
              </w:rPr>
            </w:pPr>
          </w:p>
        </w:tc>
        <w:tc>
          <w:tcPr>
            <w:tcW w:w="2267" w:type="dxa"/>
            <w:vAlign w:val="center"/>
          </w:tcPr>
          <w:p w14:paraId="45CFC55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269" w:type="dxa"/>
            <w:vAlign w:val="center"/>
          </w:tcPr>
          <w:p w14:paraId="30D6BDF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vAlign w:val="center"/>
          </w:tcPr>
          <w:p w14:paraId="7B4F458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66" w:type="dxa"/>
            <w:vAlign w:val="center"/>
          </w:tcPr>
          <w:p w14:paraId="647088B4">
            <w:pPr>
              <w:spacing w:before="156" w:beforeLines="50" w:after="156" w:afterLines="50"/>
              <w:rPr>
                <w:rFonts w:ascii="宋体"/>
                <w:b/>
                <w:sz w:val="18"/>
                <w:szCs w:val="18"/>
              </w:rPr>
            </w:pPr>
            <w:r>
              <w:rPr>
                <w:rFonts w:hint="eastAsia" w:ascii="宋体"/>
                <w:b/>
                <w:sz w:val="18"/>
                <w:szCs w:val="18"/>
              </w:rPr>
              <w:t>【对象】责任船员</w:t>
            </w:r>
          </w:p>
        </w:tc>
        <w:tc>
          <w:tcPr>
            <w:tcW w:w="2428" w:type="dxa"/>
            <w:vAlign w:val="center"/>
          </w:tcPr>
          <w:p w14:paraId="6347EBA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618" w:type="dxa"/>
            <w:vAlign w:val="center"/>
          </w:tcPr>
          <w:p w14:paraId="09C23AE2">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79B2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5787FE30">
            <w:pPr>
              <w:spacing w:before="156" w:beforeLines="50" w:after="156" w:afterLines="50"/>
              <w:jc w:val="center"/>
              <w:rPr>
                <w:sz w:val="18"/>
                <w:szCs w:val="18"/>
              </w:rPr>
            </w:pPr>
            <w:r>
              <w:rPr>
                <w:rFonts w:hint="eastAsia"/>
                <w:sz w:val="18"/>
                <w:szCs w:val="18"/>
              </w:rPr>
              <w:t>65</w:t>
            </w:r>
          </w:p>
        </w:tc>
        <w:tc>
          <w:tcPr>
            <w:tcW w:w="871" w:type="dxa"/>
            <w:vMerge w:val="restart"/>
            <w:vAlign w:val="center"/>
          </w:tcPr>
          <w:p w14:paraId="4F45E3BC">
            <w:pPr>
              <w:spacing w:before="156" w:beforeLines="50" w:after="156" w:afterLines="50"/>
              <w:rPr>
                <w:rFonts w:ascii="宋体"/>
                <w:kern w:val="0"/>
                <w:sz w:val="18"/>
                <w:szCs w:val="18"/>
              </w:rPr>
            </w:pPr>
            <w:r>
              <w:rPr>
                <w:rFonts w:hint="eastAsia" w:ascii="宋体"/>
                <w:kern w:val="0"/>
                <w:sz w:val="18"/>
                <w:szCs w:val="18"/>
              </w:rPr>
              <w:t>未按照规定配备救生设施</w:t>
            </w:r>
          </w:p>
          <w:p w14:paraId="74BB74F9">
            <w:pPr>
              <w:spacing w:before="156" w:beforeLines="50" w:after="156" w:afterLines="50"/>
              <w:rPr>
                <w:rFonts w:ascii="宋体"/>
                <w:sz w:val="18"/>
                <w:szCs w:val="18"/>
              </w:rPr>
            </w:pPr>
          </w:p>
        </w:tc>
        <w:tc>
          <w:tcPr>
            <w:tcW w:w="1117" w:type="dxa"/>
            <w:vMerge w:val="restart"/>
            <w:vAlign w:val="center"/>
          </w:tcPr>
          <w:p w14:paraId="620ED1A3">
            <w:pPr>
              <w:spacing w:before="156" w:beforeLines="50" w:after="156" w:afterLines="50"/>
              <w:rPr>
                <w:sz w:val="18"/>
                <w:szCs w:val="18"/>
              </w:rPr>
            </w:pPr>
            <w:r>
              <w:rPr>
                <w:rFonts w:hint="eastAsia"/>
                <w:sz w:val="18"/>
                <w:szCs w:val="18"/>
              </w:rPr>
              <w:t>《中华人民共和国内河交通安全管理条例》第二十一条第一款</w:t>
            </w:r>
          </w:p>
        </w:tc>
        <w:tc>
          <w:tcPr>
            <w:tcW w:w="1283" w:type="dxa"/>
            <w:vMerge w:val="restart"/>
            <w:vAlign w:val="center"/>
          </w:tcPr>
          <w:p w14:paraId="4A4746E1">
            <w:pPr>
              <w:spacing w:before="156" w:beforeLines="50" w:after="156" w:afterLines="50"/>
              <w:rPr>
                <w:rFonts w:ascii="宋体"/>
                <w:sz w:val="18"/>
                <w:szCs w:val="18"/>
              </w:rPr>
            </w:pPr>
            <w:r>
              <w:rPr>
                <w:rFonts w:hint="eastAsia" w:ascii="宋体"/>
                <w:sz w:val="18"/>
                <w:szCs w:val="18"/>
              </w:rPr>
              <w:t>1.《</w:t>
            </w:r>
            <w:r>
              <w:rPr>
                <w:rFonts w:hint="eastAsia"/>
                <w:sz w:val="18"/>
                <w:szCs w:val="18"/>
              </w:rPr>
              <w:t>中华人民共和国</w:t>
            </w:r>
            <w:r>
              <w:rPr>
                <w:rFonts w:hint="eastAsia" w:ascii="宋体"/>
                <w:sz w:val="18"/>
                <w:szCs w:val="18"/>
              </w:rPr>
              <w:t>内河交通安全管理条例》第八十二条；</w:t>
            </w:r>
          </w:p>
          <w:p w14:paraId="6984E05A">
            <w:pPr>
              <w:spacing w:before="156" w:beforeLines="50" w:after="156" w:afterLines="50"/>
              <w:rPr>
                <w:rFonts w:ascii="宋体"/>
                <w:sz w:val="18"/>
                <w:szCs w:val="18"/>
              </w:rPr>
            </w:pPr>
            <w:r>
              <w:rPr>
                <w:rFonts w:hint="eastAsia" w:ascii="宋体"/>
                <w:sz w:val="18"/>
                <w:szCs w:val="18"/>
              </w:rPr>
              <w:t>2.《</w:t>
            </w:r>
            <w:r>
              <w:rPr>
                <w:rFonts w:hint="eastAsia"/>
                <w:sz w:val="18"/>
                <w:szCs w:val="18"/>
              </w:rPr>
              <w:t>中华人民共和国</w:t>
            </w:r>
            <w:r>
              <w:rPr>
                <w:rFonts w:hint="eastAsia" w:ascii="宋体"/>
                <w:sz w:val="18"/>
                <w:szCs w:val="18"/>
              </w:rPr>
              <w:t>内河海事行政处罚规定》第十八条第一款和第二款第（九）项；</w:t>
            </w:r>
          </w:p>
          <w:p w14:paraId="2ACEDA38">
            <w:pPr>
              <w:pStyle w:val="13"/>
              <w:spacing w:before="156" w:beforeLines="50" w:after="156" w:afterLines="50"/>
              <w:rPr>
                <w:rFonts w:ascii="宋体"/>
                <w:sz w:val="18"/>
                <w:szCs w:val="18"/>
              </w:rPr>
            </w:pPr>
            <w:r>
              <w:rPr>
                <w:rFonts w:hint="eastAsia"/>
                <w:sz w:val="18"/>
                <w:szCs w:val="18"/>
              </w:rPr>
              <w:t>3.《中华人民共和国行政处罚法》第三十二条（从轻）。</w:t>
            </w:r>
          </w:p>
          <w:p w14:paraId="1B3B4700">
            <w:pPr>
              <w:spacing w:before="156" w:beforeLines="50" w:after="156" w:afterLines="50"/>
              <w:rPr>
                <w:sz w:val="18"/>
                <w:szCs w:val="18"/>
              </w:rPr>
            </w:pPr>
          </w:p>
        </w:tc>
        <w:tc>
          <w:tcPr>
            <w:tcW w:w="991" w:type="dxa"/>
            <w:vAlign w:val="center"/>
          </w:tcPr>
          <w:p w14:paraId="07845526">
            <w:pPr>
              <w:spacing w:before="156" w:beforeLines="50" w:after="156" w:afterLines="50"/>
              <w:jc w:val="center"/>
              <w:rPr>
                <w:rFonts w:ascii="宋体"/>
                <w:sz w:val="18"/>
                <w:szCs w:val="18"/>
              </w:rPr>
            </w:pPr>
            <w:r>
              <w:rPr>
                <w:rFonts w:hint="eastAsia"/>
                <w:sz w:val="18"/>
                <w:szCs w:val="18"/>
              </w:rPr>
              <w:t>从轻</w:t>
            </w:r>
          </w:p>
        </w:tc>
        <w:tc>
          <w:tcPr>
            <w:tcW w:w="1995" w:type="dxa"/>
            <w:vAlign w:val="center"/>
          </w:tcPr>
          <w:p w14:paraId="11A73065">
            <w:pPr>
              <w:widowControl/>
              <w:spacing w:before="156" w:beforeLines="50" w:after="156" w:afterLines="50"/>
              <w:jc w:val="left"/>
              <w:rPr>
                <w:sz w:val="18"/>
                <w:szCs w:val="18"/>
              </w:rPr>
            </w:pPr>
            <w:r>
              <w:rPr>
                <w:rFonts w:hint="eastAsia"/>
                <w:sz w:val="18"/>
                <w:szCs w:val="18"/>
              </w:rPr>
              <w:t>具有法定从轻情节的。</w:t>
            </w:r>
          </w:p>
        </w:tc>
        <w:tc>
          <w:tcPr>
            <w:tcW w:w="2267" w:type="dxa"/>
            <w:vAlign w:val="center"/>
          </w:tcPr>
          <w:p w14:paraId="5B4FF274">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269" w:type="dxa"/>
            <w:vAlign w:val="center"/>
          </w:tcPr>
          <w:p w14:paraId="07C526DC">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2410" w:type="dxa"/>
            <w:vAlign w:val="center"/>
          </w:tcPr>
          <w:p w14:paraId="4275BD4F">
            <w:pPr>
              <w:spacing w:before="156" w:beforeLines="50" w:after="156" w:afterLines="50"/>
              <w:jc w:val="left"/>
              <w:rPr>
                <w:sz w:val="18"/>
                <w:szCs w:val="18"/>
              </w:rPr>
            </w:pPr>
            <w:r>
              <w:rPr>
                <w:sz w:val="18"/>
                <w:szCs w:val="18"/>
              </w:rPr>
              <w:t>2</w:t>
            </w:r>
            <w:r>
              <w:rPr>
                <w:rFonts w:hint="eastAsia"/>
                <w:sz w:val="18"/>
                <w:szCs w:val="18"/>
              </w:rPr>
              <w:t>万元及以上</w:t>
            </w:r>
            <w:r>
              <w:rPr>
                <w:sz w:val="18"/>
                <w:szCs w:val="18"/>
              </w:rPr>
              <w:t>2.5</w:t>
            </w:r>
            <w:r>
              <w:rPr>
                <w:rFonts w:hint="eastAsia"/>
                <w:sz w:val="18"/>
                <w:szCs w:val="18"/>
              </w:rPr>
              <w:t>万元以下</w:t>
            </w:r>
          </w:p>
        </w:tc>
        <w:tc>
          <w:tcPr>
            <w:tcW w:w="1966" w:type="dxa"/>
            <w:vAlign w:val="center"/>
          </w:tcPr>
          <w:p w14:paraId="041E5B26">
            <w:pPr>
              <w:widowControl/>
              <w:spacing w:before="156" w:beforeLines="50" w:after="156" w:afterLines="50"/>
              <w:jc w:val="center"/>
              <w:rPr>
                <w:rFonts w:ascii="宋体"/>
                <w:kern w:val="0"/>
                <w:sz w:val="18"/>
                <w:szCs w:val="18"/>
              </w:rPr>
            </w:pPr>
            <w:r>
              <w:rPr>
                <w:rFonts w:ascii="宋体"/>
                <w:kern w:val="0"/>
                <w:sz w:val="18"/>
                <w:szCs w:val="18"/>
              </w:rPr>
              <w:t>/</w:t>
            </w:r>
          </w:p>
        </w:tc>
        <w:tc>
          <w:tcPr>
            <w:tcW w:w="2428" w:type="dxa"/>
            <w:vMerge w:val="restart"/>
            <w:vAlign w:val="center"/>
          </w:tcPr>
          <w:p w14:paraId="606AF4B4">
            <w:pPr>
              <w:spacing w:before="156" w:beforeLines="50" w:after="156" w:afterLines="50"/>
              <w:rPr>
                <w:sz w:val="18"/>
                <w:szCs w:val="18"/>
              </w:rPr>
            </w:pPr>
            <w:r>
              <w:rPr>
                <w:rFonts w:hint="eastAsia"/>
                <w:sz w:val="18"/>
                <w:szCs w:val="18"/>
              </w:rPr>
              <w:t>未按照规定的数量、规格等配备救生设施的：2</w:t>
            </w:r>
            <w:r>
              <w:rPr>
                <w:sz w:val="18"/>
                <w:szCs w:val="18"/>
              </w:rPr>
              <w:t>000</w:t>
            </w:r>
            <w:r>
              <w:rPr>
                <w:rFonts w:hint="eastAsia"/>
                <w:sz w:val="18"/>
                <w:szCs w:val="18"/>
              </w:rPr>
              <w:t>元及以上</w:t>
            </w:r>
            <w:r>
              <w:rPr>
                <w:sz w:val="18"/>
                <w:szCs w:val="18"/>
              </w:rPr>
              <w:t>8000</w:t>
            </w:r>
            <w:r>
              <w:rPr>
                <w:rFonts w:hint="eastAsia"/>
                <w:sz w:val="18"/>
                <w:szCs w:val="18"/>
              </w:rPr>
              <w:t>元以下。</w:t>
            </w:r>
          </w:p>
        </w:tc>
        <w:tc>
          <w:tcPr>
            <w:tcW w:w="2618" w:type="dxa"/>
            <w:vMerge w:val="restart"/>
            <w:vAlign w:val="center"/>
          </w:tcPr>
          <w:p w14:paraId="2223C2FF">
            <w:pPr>
              <w:spacing w:before="156" w:beforeLines="50" w:after="156" w:afterLines="50"/>
              <w:rPr>
                <w:sz w:val="18"/>
                <w:szCs w:val="18"/>
              </w:rPr>
            </w:pPr>
            <w:r>
              <w:rPr>
                <w:rFonts w:hint="eastAsia"/>
                <w:sz w:val="18"/>
                <w:szCs w:val="18"/>
              </w:rPr>
              <w:t>未按照规定的数量、规格等配备救生设施的：4</w:t>
            </w:r>
            <w:r>
              <w:rPr>
                <w:sz w:val="18"/>
                <w:szCs w:val="18"/>
              </w:rPr>
              <w:t>000</w:t>
            </w:r>
            <w:r>
              <w:rPr>
                <w:rFonts w:hint="eastAsia"/>
                <w:sz w:val="18"/>
                <w:szCs w:val="18"/>
              </w:rPr>
              <w:t>元及以上2万元以下。</w:t>
            </w:r>
          </w:p>
        </w:tc>
      </w:tr>
      <w:tr w14:paraId="6B6F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5" w:type="dxa"/>
            <w:vMerge w:val="continue"/>
          </w:tcPr>
          <w:p w14:paraId="6F135652">
            <w:pPr>
              <w:spacing w:before="156" w:beforeLines="50" w:after="156" w:afterLines="50"/>
              <w:jc w:val="left"/>
              <w:rPr>
                <w:sz w:val="18"/>
                <w:szCs w:val="18"/>
              </w:rPr>
            </w:pPr>
          </w:p>
        </w:tc>
        <w:tc>
          <w:tcPr>
            <w:tcW w:w="871" w:type="dxa"/>
            <w:vMerge w:val="continue"/>
            <w:vAlign w:val="center"/>
          </w:tcPr>
          <w:p w14:paraId="2D64A327">
            <w:pPr>
              <w:spacing w:before="156" w:beforeLines="50" w:after="156" w:afterLines="50"/>
              <w:jc w:val="left"/>
              <w:rPr>
                <w:sz w:val="18"/>
                <w:szCs w:val="18"/>
              </w:rPr>
            </w:pPr>
          </w:p>
        </w:tc>
        <w:tc>
          <w:tcPr>
            <w:tcW w:w="1117" w:type="dxa"/>
            <w:vMerge w:val="continue"/>
            <w:vAlign w:val="center"/>
          </w:tcPr>
          <w:p w14:paraId="65BCC1D4">
            <w:pPr>
              <w:spacing w:before="156" w:beforeLines="50" w:after="156" w:afterLines="50"/>
              <w:jc w:val="left"/>
              <w:rPr>
                <w:sz w:val="18"/>
                <w:szCs w:val="18"/>
              </w:rPr>
            </w:pPr>
          </w:p>
        </w:tc>
        <w:tc>
          <w:tcPr>
            <w:tcW w:w="1283" w:type="dxa"/>
            <w:vMerge w:val="continue"/>
            <w:vAlign w:val="center"/>
          </w:tcPr>
          <w:p w14:paraId="68C46A83">
            <w:pPr>
              <w:spacing w:before="156" w:beforeLines="50" w:after="156" w:afterLines="50"/>
              <w:jc w:val="left"/>
              <w:rPr>
                <w:sz w:val="18"/>
                <w:szCs w:val="18"/>
              </w:rPr>
            </w:pPr>
          </w:p>
        </w:tc>
        <w:tc>
          <w:tcPr>
            <w:tcW w:w="991" w:type="dxa"/>
            <w:vMerge w:val="restart"/>
            <w:vAlign w:val="center"/>
          </w:tcPr>
          <w:p w14:paraId="0D5AA7A3">
            <w:pPr>
              <w:spacing w:before="156" w:beforeLines="50" w:after="156" w:afterLines="50"/>
              <w:jc w:val="center"/>
              <w:rPr>
                <w:sz w:val="18"/>
                <w:szCs w:val="18"/>
              </w:rPr>
            </w:pPr>
            <w:r>
              <w:rPr>
                <w:rFonts w:hint="eastAsia"/>
                <w:sz w:val="18"/>
                <w:szCs w:val="18"/>
              </w:rPr>
              <w:t>一般</w:t>
            </w:r>
          </w:p>
          <w:p w14:paraId="58E60CDB">
            <w:pPr>
              <w:spacing w:before="156" w:beforeLines="50" w:after="156" w:afterLines="50"/>
              <w:jc w:val="center"/>
              <w:rPr>
                <w:sz w:val="18"/>
                <w:szCs w:val="18"/>
              </w:rPr>
            </w:pPr>
          </w:p>
        </w:tc>
        <w:tc>
          <w:tcPr>
            <w:tcW w:w="1995" w:type="dxa"/>
            <w:vAlign w:val="center"/>
          </w:tcPr>
          <w:p w14:paraId="2C36F04F">
            <w:pPr>
              <w:widowControl/>
              <w:spacing w:before="156" w:beforeLines="50" w:after="156" w:afterLines="50"/>
              <w:jc w:val="left"/>
              <w:rPr>
                <w:sz w:val="18"/>
                <w:szCs w:val="18"/>
              </w:rPr>
            </w:pPr>
            <w:r>
              <w:rPr>
                <w:rFonts w:hint="eastAsia"/>
                <w:sz w:val="18"/>
                <w:szCs w:val="18"/>
              </w:rPr>
              <w:t>未按照规定的数量、规格等配备救生设施的。</w:t>
            </w:r>
          </w:p>
        </w:tc>
        <w:tc>
          <w:tcPr>
            <w:tcW w:w="2267" w:type="dxa"/>
            <w:vAlign w:val="center"/>
          </w:tcPr>
          <w:p w14:paraId="73B3E69B">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269" w:type="dxa"/>
            <w:vAlign w:val="center"/>
          </w:tcPr>
          <w:p w14:paraId="0B35A380">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w:t>
            </w:r>
            <w:r>
              <w:rPr>
                <w:rFonts w:hint="eastAsia"/>
                <w:sz w:val="18"/>
                <w:szCs w:val="18"/>
              </w:rPr>
              <w:t>万元以下</w:t>
            </w:r>
          </w:p>
        </w:tc>
        <w:tc>
          <w:tcPr>
            <w:tcW w:w="2410" w:type="dxa"/>
            <w:vAlign w:val="center"/>
          </w:tcPr>
          <w:p w14:paraId="6DF9FC9A">
            <w:pPr>
              <w:widowControl/>
              <w:spacing w:before="156" w:beforeLines="50" w:after="156" w:afterLines="50"/>
              <w:jc w:val="left"/>
              <w:rPr>
                <w:sz w:val="18"/>
                <w:szCs w:val="18"/>
              </w:rPr>
            </w:pPr>
            <w:r>
              <w:rPr>
                <w:sz w:val="18"/>
                <w:szCs w:val="18"/>
              </w:rPr>
              <w:t>2.5</w:t>
            </w:r>
            <w:r>
              <w:rPr>
                <w:rFonts w:hint="eastAsia"/>
                <w:sz w:val="18"/>
                <w:szCs w:val="18"/>
              </w:rPr>
              <w:t>万元及以上</w:t>
            </w:r>
            <w:r>
              <w:rPr>
                <w:sz w:val="18"/>
                <w:szCs w:val="18"/>
              </w:rPr>
              <w:t>3.5</w:t>
            </w:r>
            <w:r>
              <w:rPr>
                <w:rFonts w:hint="eastAsia"/>
                <w:sz w:val="18"/>
                <w:szCs w:val="18"/>
              </w:rPr>
              <w:t>万元以下</w:t>
            </w:r>
          </w:p>
        </w:tc>
        <w:tc>
          <w:tcPr>
            <w:tcW w:w="1966" w:type="dxa"/>
            <w:vAlign w:val="center"/>
          </w:tcPr>
          <w:p w14:paraId="2FC48751">
            <w:pPr>
              <w:spacing w:before="156" w:beforeLines="50" w:after="156" w:afterLines="50"/>
              <w:jc w:val="center"/>
              <w:rPr>
                <w:sz w:val="18"/>
                <w:szCs w:val="18"/>
              </w:rPr>
            </w:pPr>
            <w:r>
              <w:rPr>
                <w:rFonts w:ascii="宋体"/>
                <w:kern w:val="0"/>
                <w:sz w:val="18"/>
                <w:szCs w:val="18"/>
              </w:rPr>
              <w:t>/</w:t>
            </w:r>
          </w:p>
        </w:tc>
        <w:tc>
          <w:tcPr>
            <w:tcW w:w="2428" w:type="dxa"/>
            <w:vMerge w:val="continue"/>
            <w:vAlign w:val="center"/>
          </w:tcPr>
          <w:p w14:paraId="287DCB9C">
            <w:pPr>
              <w:widowControl/>
              <w:spacing w:before="156" w:beforeLines="50" w:after="156" w:afterLines="50"/>
              <w:jc w:val="left"/>
              <w:rPr>
                <w:sz w:val="18"/>
                <w:szCs w:val="18"/>
              </w:rPr>
            </w:pPr>
          </w:p>
        </w:tc>
        <w:tc>
          <w:tcPr>
            <w:tcW w:w="2618" w:type="dxa"/>
            <w:vMerge w:val="continue"/>
            <w:vAlign w:val="center"/>
          </w:tcPr>
          <w:p w14:paraId="7897B5A6">
            <w:pPr>
              <w:widowControl/>
              <w:spacing w:before="156" w:beforeLines="50" w:after="156" w:afterLines="50"/>
              <w:jc w:val="left"/>
              <w:rPr>
                <w:sz w:val="18"/>
                <w:szCs w:val="18"/>
              </w:rPr>
            </w:pPr>
          </w:p>
        </w:tc>
      </w:tr>
      <w:tr w14:paraId="4695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5" w:type="dxa"/>
            <w:vMerge w:val="continue"/>
          </w:tcPr>
          <w:p w14:paraId="429842C5">
            <w:pPr>
              <w:spacing w:before="156" w:beforeLines="50" w:after="156" w:afterLines="50"/>
              <w:jc w:val="left"/>
              <w:rPr>
                <w:sz w:val="18"/>
                <w:szCs w:val="18"/>
              </w:rPr>
            </w:pPr>
          </w:p>
        </w:tc>
        <w:tc>
          <w:tcPr>
            <w:tcW w:w="871" w:type="dxa"/>
            <w:vMerge w:val="continue"/>
            <w:vAlign w:val="center"/>
          </w:tcPr>
          <w:p w14:paraId="7F2D9C0D">
            <w:pPr>
              <w:spacing w:before="156" w:beforeLines="50" w:after="156" w:afterLines="50"/>
              <w:jc w:val="left"/>
              <w:rPr>
                <w:sz w:val="18"/>
                <w:szCs w:val="18"/>
              </w:rPr>
            </w:pPr>
          </w:p>
        </w:tc>
        <w:tc>
          <w:tcPr>
            <w:tcW w:w="1117" w:type="dxa"/>
            <w:vMerge w:val="continue"/>
            <w:vAlign w:val="center"/>
          </w:tcPr>
          <w:p w14:paraId="4978190B">
            <w:pPr>
              <w:spacing w:before="156" w:beforeLines="50" w:after="156" w:afterLines="50"/>
              <w:jc w:val="left"/>
              <w:rPr>
                <w:sz w:val="18"/>
                <w:szCs w:val="18"/>
              </w:rPr>
            </w:pPr>
          </w:p>
        </w:tc>
        <w:tc>
          <w:tcPr>
            <w:tcW w:w="1283" w:type="dxa"/>
            <w:vMerge w:val="continue"/>
            <w:vAlign w:val="center"/>
          </w:tcPr>
          <w:p w14:paraId="33358A38">
            <w:pPr>
              <w:spacing w:before="156" w:beforeLines="50" w:after="156" w:afterLines="50"/>
              <w:jc w:val="left"/>
              <w:rPr>
                <w:sz w:val="18"/>
                <w:szCs w:val="18"/>
              </w:rPr>
            </w:pPr>
          </w:p>
        </w:tc>
        <w:tc>
          <w:tcPr>
            <w:tcW w:w="991" w:type="dxa"/>
            <w:vMerge w:val="continue"/>
            <w:vAlign w:val="center"/>
          </w:tcPr>
          <w:p w14:paraId="1832F568">
            <w:pPr>
              <w:spacing w:before="156" w:beforeLines="50" w:after="156" w:afterLines="50"/>
              <w:jc w:val="center"/>
              <w:rPr>
                <w:sz w:val="18"/>
                <w:szCs w:val="18"/>
              </w:rPr>
            </w:pPr>
          </w:p>
        </w:tc>
        <w:tc>
          <w:tcPr>
            <w:tcW w:w="1995" w:type="dxa"/>
            <w:vAlign w:val="center"/>
          </w:tcPr>
          <w:p w14:paraId="10527668">
            <w:pPr>
              <w:widowControl/>
              <w:spacing w:before="156" w:beforeLines="50" w:after="156" w:afterLines="50"/>
              <w:jc w:val="left"/>
              <w:rPr>
                <w:sz w:val="18"/>
                <w:szCs w:val="18"/>
              </w:rPr>
            </w:pPr>
            <w:r>
              <w:rPr>
                <w:rFonts w:hint="eastAsia" w:ascii="宋体"/>
                <w:kern w:val="0"/>
                <w:sz w:val="18"/>
                <w:szCs w:val="18"/>
              </w:rPr>
              <w:t>1.未按照规定配备救生设施,且未按规定及时纠正的；</w:t>
            </w:r>
          </w:p>
          <w:p w14:paraId="5721C9F9">
            <w:pPr>
              <w:widowControl/>
              <w:spacing w:before="156" w:beforeLines="50" w:after="156" w:afterLines="50"/>
              <w:jc w:val="left"/>
              <w:rPr>
                <w:sz w:val="18"/>
                <w:szCs w:val="18"/>
              </w:rPr>
            </w:pPr>
            <w:r>
              <w:rPr>
                <w:rFonts w:hint="eastAsia"/>
                <w:sz w:val="18"/>
                <w:szCs w:val="18"/>
              </w:rPr>
              <w:t>2.客船</w:t>
            </w:r>
            <w:r>
              <w:rPr>
                <w:rFonts w:hint="eastAsia" w:ascii="宋体"/>
                <w:kern w:val="0"/>
                <w:sz w:val="18"/>
                <w:szCs w:val="18"/>
              </w:rPr>
              <w:t>未按照规定配备救生设施的。</w:t>
            </w:r>
          </w:p>
        </w:tc>
        <w:tc>
          <w:tcPr>
            <w:tcW w:w="2267" w:type="dxa"/>
            <w:vAlign w:val="center"/>
          </w:tcPr>
          <w:p w14:paraId="55C07D5B">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w:t>
            </w:r>
            <w:r>
              <w:rPr>
                <w:rFonts w:hint="eastAsia"/>
                <w:sz w:val="18"/>
                <w:szCs w:val="18"/>
              </w:rPr>
              <w:t>万元以下</w:t>
            </w:r>
          </w:p>
        </w:tc>
        <w:tc>
          <w:tcPr>
            <w:tcW w:w="2269" w:type="dxa"/>
            <w:vAlign w:val="center"/>
          </w:tcPr>
          <w:p w14:paraId="02AFB172">
            <w:pPr>
              <w:widowControl/>
              <w:spacing w:before="156" w:beforeLines="50" w:after="156" w:afterLines="50"/>
              <w:jc w:val="left"/>
              <w:rPr>
                <w:sz w:val="18"/>
                <w:szCs w:val="18"/>
              </w:rPr>
            </w:pPr>
            <w:r>
              <w:rPr>
                <w:sz w:val="18"/>
                <w:szCs w:val="18"/>
              </w:rPr>
              <w:t>3</w:t>
            </w:r>
            <w:r>
              <w:rPr>
                <w:rFonts w:hint="eastAsia"/>
                <w:sz w:val="18"/>
                <w:szCs w:val="18"/>
              </w:rPr>
              <w:t>万元及以上</w:t>
            </w:r>
            <w:r>
              <w:rPr>
                <w:sz w:val="18"/>
                <w:szCs w:val="18"/>
              </w:rPr>
              <w:t>4.5</w:t>
            </w:r>
            <w:r>
              <w:rPr>
                <w:rFonts w:hint="eastAsia"/>
                <w:sz w:val="18"/>
                <w:szCs w:val="18"/>
              </w:rPr>
              <w:t>万元以下</w:t>
            </w:r>
          </w:p>
        </w:tc>
        <w:tc>
          <w:tcPr>
            <w:tcW w:w="2410" w:type="dxa"/>
            <w:vAlign w:val="center"/>
          </w:tcPr>
          <w:p w14:paraId="79ECA75D">
            <w:pPr>
              <w:widowControl/>
              <w:spacing w:before="156" w:beforeLines="50" w:after="156" w:afterLines="50"/>
              <w:jc w:val="left"/>
              <w:rPr>
                <w:sz w:val="18"/>
                <w:szCs w:val="18"/>
              </w:rPr>
            </w:pPr>
            <w:r>
              <w:rPr>
                <w:sz w:val="18"/>
                <w:szCs w:val="18"/>
              </w:rPr>
              <w:t>3</w:t>
            </w:r>
            <w:r>
              <w:rPr>
                <w:rFonts w:hint="eastAsia"/>
                <w:sz w:val="18"/>
                <w:szCs w:val="18"/>
              </w:rPr>
              <w:t>.5万元及以上</w:t>
            </w:r>
            <w:r>
              <w:rPr>
                <w:sz w:val="18"/>
                <w:szCs w:val="18"/>
              </w:rPr>
              <w:t>5</w:t>
            </w:r>
            <w:r>
              <w:rPr>
                <w:rFonts w:hint="eastAsia"/>
                <w:sz w:val="18"/>
                <w:szCs w:val="18"/>
              </w:rPr>
              <w:t>万元以下</w:t>
            </w:r>
          </w:p>
        </w:tc>
        <w:tc>
          <w:tcPr>
            <w:tcW w:w="1966" w:type="dxa"/>
            <w:vAlign w:val="center"/>
          </w:tcPr>
          <w:p w14:paraId="434FD6C4">
            <w:pPr>
              <w:spacing w:before="156" w:beforeLines="50" w:after="156" w:afterLines="50"/>
              <w:jc w:val="left"/>
              <w:rPr>
                <w:sz w:val="18"/>
                <w:szCs w:val="18"/>
              </w:rPr>
            </w:pPr>
            <w:r>
              <w:rPr>
                <w:rFonts w:hint="eastAsia" w:ascii="宋体"/>
                <w:sz w:val="18"/>
                <w:szCs w:val="18"/>
              </w:rPr>
              <w:t>并可以对责任船员给予暂扣适任证书或者其他适任证件</w:t>
            </w:r>
            <w:r>
              <w:rPr>
                <w:rFonts w:ascii="宋体"/>
                <w:sz w:val="18"/>
                <w:szCs w:val="18"/>
              </w:rPr>
              <w:t>6</w:t>
            </w:r>
            <w:r>
              <w:rPr>
                <w:rFonts w:hint="eastAsia" w:ascii="宋体"/>
                <w:sz w:val="18"/>
                <w:szCs w:val="18"/>
              </w:rPr>
              <w:t>个月以上直至吊销适任证书或者其他适任证件的处罚。</w:t>
            </w:r>
          </w:p>
        </w:tc>
        <w:tc>
          <w:tcPr>
            <w:tcW w:w="2428" w:type="dxa"/>
            <w:vMerge w:val="continue"/>
            <w:vAlign w:val="center"/>
          </w:tcPr>
          <w:p w14:paraId="2329F9DA">
            <w:pPr>
              <w:widowControl/>
              <w:spacing w:before="156" w:beforeLines="50" w:after="156" w:afterLines="50"/>
              <w:jc w:val="left"/>
              <w:rPr>
                <w:sz w:val="18"/>
                <w:szCs w:val="18"/>
              </w:rPr>
            </w:pPr>
          </w:p>
        </w:tc>
        <w:tc>
          <w:tcPr>
            <w:tcW w:w="2618" w:type="dxa"/>
            <w:vMerge w:val="continue"/>
            <w:vAlign w:val="center"/>
          </w:tcPr>
          <w:p w14:paraId="7A097164">
            <w:pPr>
              <w:widowControl/>
              <w:spacing w:before="156" w:beforeLines="50" w:after="156" w:afterLines="50"/>
              <w:jc w:val="left"/>
              <w:rPr>
                <w:sz w:val="18"/>
                <w:szCs w:val="18"/>
              </w:rPr>
            </w:pPr>
          </w:p>
        </w:tc>
      </w:tr>
      <w:tr w14:paraId="47A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655" w:type="dxa"/>
            <w:vMerge w:val="continue"/>
          </w:tcPr>
          <w:p w14:paraId="6493852A">
            <w:pPr>
              <w:spacing w:before="156" w:beforeLines="50" w:after="156" w:afterLines="50"/>
              <w:jc w:val="left"/>
              <w:rPr>
                <w:sz w:val="18"/>
                <w:szCs w:val="18"/>
              </w:rPr>
            </w:pPr>
          </w:p>
        </w:tc>
        <w:tc>
          <w:tcPr>
            <w:tcW w:w="871" w:type="dxa"/>
            <w:vMerge w:val="continue"/>
            <w:vAlign w:val="center"/>
          </w:tcPr>
          <w:p w14:paraId="44DE4798">
            <w:pPr>
              <w:spacing w:before="156" w:beforeLines="50" w:after="156" w:afterLines="50"/>
              <w:jc w:val="left"/>
              <w:rPr>
                <w:sz w:val="18"/>
                <w:szCs w:val="18"/>
              </w:rPr>
            </w:pPr>
          </w:p>
        </w:tc>
        <w:tc>
          <w:tcPr>
            <w:tcW w:w="1117" w:type="dxa"/>
            <w:vMerge w:val="continue"/>
            <w:vAlign w:val="center"/>
          </w:tcPr>
          <w:p w14:paraId="06E5A9C4">
            <w:pPr>
              <w:spacing w:before="156" w:beforeLines="50" w:after="156" w:afterLines="50"/>
              <w:jc w:val="left"/>
              <w:rPr>
                <w:sz w:val="18"/>
                <w:szCs w:val="18"/>
              </w:rPr>
            </w:pPr>
          </w:p>
        </w:tc>
        <w:tc>
          <w:tcPr>
            <w:tcW w:w="1283" w:type="dxa"/>
            <w:vMerge w:val="continue"/>
            <w:vAlign w:val="center"/>
          </w:tcPr>
          <w:p w14:paraId="4F8131B6">
            <w:pPr>
              <w:spacing w:before="156" w:beforeLines="50" w:after="156" w:afterLines="50"/>
              <w:jc w:val="left"/>
              <w:rPr>
                <w:sz w:val="18"/>
                <w:szCs w:val="18"/>
              </w:rPr>
            </w:pPr>
          </w:p>
        </w:tc>
        <w:tc>
          <w:tcPr>
            <w:tcW w:w="991" w:type="dxa"/>
            <w:vMerge w:val="continue"/>
            <w:vAlign w:val="center"/>
          </w:tcPr>
          <w:p w14:paraId="7DB22473">
            <w:pPr>
              <w:spacing w:before="156" w:beforeLines="50" w:after="156" w:afterLines="50"/>
              <w:jc w:val="center"/>
              <w:rPr>
                <w:sz w:val="18"/>
                <w:szCs w:val="18"/>
              </w:rPr>
            </w:pPr>
          </w:p>
        </w:tc>
        <w:tc>
          <w:tcPr>
            <w:tcW w:w="1995" w:type="dxa"/>
            <w:vAlign w:val="center"/>
          </w:tcPr>
          <w:p w14:paraId="6C6EAB77">
            <w:pPr>
              <w:widowControl/>
              <w:spacing w:before="156" w:beforeLines="50" w:after="156" w:afterLines="50"/>
              <w:jc w:val="left"/>
              <w:rPr>
                <w:sz w:val="18"/>
                <w:szCs w:val="18"/>
              </w:rPr>
            </w:pPr>
            <w:r>
              <w:rPr>
                <w:rFonts w:hint="eastAsia" w:ascii="宋体"/>
                <w:kern w:val="0"/>
                <w:sz w:val="18"/>
                <w:szCs w:val="18"/>
              </w:rPr>
              <w:t>未按照规定配备救生设施</w:t>
            </w:r>
            <w:r>
              <w:rPr>
                <w:rFonts w:hint="eastAsia"/>
                <w:sz w:val="18"/>
                <w:szCs w:val="18"/>
              </w:rPr>
              <w:t>，导致发生水上交通事故后伤亡人数扩大的。</w:t>
            </w:r>
          </w:p>
        </w:tc>
        <w:tc>
          <w:tcPr>
            <w:tcW w:w="2267" w:type="dxa"/>
            <w:vAlign w:val="center"/>
          </w:tcPr>
          <w:p w14:paraId="7AFD72CD">
            <w:pPr>
              <w:widowControl/>
              <w:spacing w:before="156" w:beforeLines="50" w:after="156" w:afterLines="50"/>
              <w:jc w:val="left"/>
              <w:rPr>
                <w:sz w:val="18"/>
                <w:szCs w:val="18"/>
              </w:rPr>
            </w:pPr>
            <w:r>
              <w:rPr>
                <w:sz w:val="18"/>
                <w:szCs w:val="18"/>
              </w:rPr>
              <w:t>4</w:t>
            </w:r>
            <w:r>
              <w:rPr>
                <w:rFonts w:hint="eastAsia"/>
                <w:sz w:val="18"/>
                <w:szCs w:val="18"/>
              </w:rPr>
              <w:t>万元及以上</w:t>
            </w:r>
            <w:r>
              <w:rPr>
                <w:sz w:val="18"/>
                <w:szCs w:val="18"/>
              </w:rPr>
              <w:t>10</w:t>
            </w:r>
            <w:r>
              <w:rPr>
                <w:rFonts w:hint="eastAsia"/>
                <w:sz w:val="18"/>
                <w:szCs w:val="18"/>
              </w:rPr>
              <w:t>万元及以下</w:t>
            </w:r>
          </w:p>
        </w:tc>
        <w:tc>
          <w:tcPr>
            <w:tcW w:w="2269" w:type="dxa"/>
            <w:vAlign w:val="center"/>
          </w:tcPr>
          <w:p w14:paraId="0C887DB6">
            <w:pPr>
              <w:spacing w:before="156" w:beforeLines="50" w:after="156" w:afterLines="50"/>
              <w:jc w:val="left"/>
              <w:rPr>
                <w:sz w:val="18"/>
                <w:szCs w:val="18"/>
              </w:rPr>
            </w:pPr>
            <w:r>
              <w:rPr>
                <w:rFonts w:hint="eastAsia"/>
                <w:sz w:val="18"/>
                <w:szCs w:val="18"/>
              </w:rPr>
              <w:t>4.</w:t>
            </w:r>
            <w:r>
              <w:rPr>
                <w:sz w:val="18"/>
                <w:szCs w:val="18"/>
              </w:rPr>
              <w:t>5</w:t>
            </w:r>
            <w:r>
              <w:rPr>
                <w:rFonts w:hint="eastAsia"/>
                <w:sz w:val="18"/>
                <w:szCs w:val="18"/>
              </w:rPr>
              <w:t>万元及以上</w:t>
            </w:r>
            <w:r>
              <w:rPr>
                <w:sz w:val="18"/>
                <w:szCs w:val="18"/>
              </w:rPr>
              <w:t>10</w:t>
            </w:r>
            <w:r>
              <w:rPr>
                <w:rFonts w:hint="eastAsia"/>
                <w:sz w:val="18"/>
                <w:szCs w:val="18"/>
              </w:rPr>
              <w:t>万元及以下</w:t>
            </w:r>
          </w:p>
        </w:tc>
        <w:tc>
          <w:tcPr>
            <w:tcW w:w="2410" w:type="dxa"/>
            <w:vAlign w:val="center"/>
          </w:tcPr>
          <w:p w14:paraId="4D4A0413">
            <w:pPr>
              <w:spacing w:before="156" w:beforeLines="50" w:after="156" w:afterLines="50"/>
              <w:jc w:val="left"/>
              <w:rPr>
                <w:sz w:val="18"/>
                <w:szCs w:val="18"/>
              </w:rPr>
            </w:pPr>
            <w:r>
              <w:rPr>
                <w:sz w:val="18"/>
                <w:szCs w:val="18"/>
              </w:rPr>
              <w:t>5</w:t>
            </w:r>
            <w:r>
              <w:rPr>
                <w:rFonts w:hint="eastAsia"/>
                <w:sz w:val="18"/>
                <w:szCs w:val="18"/>
              </w:rPr>
              <w:t>万元及以上</w:t>
            </w:r>
            <w:r>
              <w:rPr>
                <w:sz w:val="18"/>
                <w:szCs w:val="18"/>
              </w:rPr>
              <w:t>10</w:t>
            </w:r>
            <w:r>
              <w:rPr>
                <w:rFonts w:hint="eastAsia"/>
                <w:sz w:val="18"/>
                <w:szCs w:val="18"/>
              </w:rPr>
              <w:t>万及以下</w:t>
            </w:r>
          </w:p>
        </w:tc>
        <w:tc>
          <w:tcPr>
            <w:tcW w:w="1966" w:type="dxa"/>
            <w:vAlign w:val="center"/>
          </w:tcPr>
          <w:p w14:paraId="09FB3578">
            <w:pPr>
              <w:spacing w:before="156" w:beforeLines="50" w:after="156" w:afterLines="50"/>
              <w:jc w:val="left"/>
              <w:rPr>
                <w:sz w:val="18"/>
                <w:szCs w:val="18"/>
              </w:rPr>
            </w:pP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c>
          <w:tcPr>
            <w:tcW w:w="2428" w:type="dxa"/>
            <w:vMerge w:val="continue"/>
          </w:tcPr>
          <w:p w14:paraId="0A28F9E5">
            <w:pPr>
              <w:widowControl/>
              <w:spacing w:before="156" w:beforeLines="50" w:after="156" w:afterLines="50"/>
              <w:jc w:val="left"/>
              <w:rPr>
                <w:sz w:val="18"/>
                <w:szCs w:val="18"/>
              </w:rPr>
            </w:pPr>
          </w:p>
        </w:tc>
        <w:tc>
          <w:tcPr>
            <w:tcW w:w="2618" w:type="dxa"/>
            <w:vMerge w:val="continue"/>
          </w:tcPr>
          <w:p w14:paraId="1EA63BCC">
            <w:pPr>
              <w:widowControl/>
              <w:spacing w:before="156" w:beforeLines="50" w:after="156" w:afterLines="50"/>
              <w:jc w:val="left"/>
              <w:rPr>
                <w:sz w:val="18"/>
                <w:szCs w:val="18"/>
              </w:rPr>
            </w:pPr>
          </w:p>
        </w:tc>
      </w:tr>
    </w:tbl>
    <w:p w14:paraId="6309C000">
      <w:pPr>
        <w:widowControl/>
        <w:jc w:val="left"/>
        <w:rPr>
          <w:rFonts w:ascii="宋体"/>
          <w:sz w:val="18"/>
          <w:szCs w:val="18"/>
        </w:rPr>
      </w:pPr>
      <w:r>
        <w:rPr>
          <w:rFonts w:ascii="宋体"/>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3816"/>
        <w:gridCol w:w="2218"/>
        <w:gridCol w:w="656"/>
        <w:gridCol w:w="3321"/>
        <w:gridCol w:w="1937"/>
        <w:gridCol w:w="1937"/>
        <w:gridCol w:w="4943"/>
      </w:tblGrid>
      <w:tr w14:paraId="4F10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055C927">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62AD1D11">
            <w:pPr>
              <w:spacing w:before="156" w:beforeLines="50" w:after="156" w:afterLines="50"/>
              <w:jc w:val="center"/>
              <w:rPr>
                <w:b/>
                <w:sz w:val="18"/>
                <w:szCs w:val="18"/>
              </w:rPr>
            </w:pPr>
            <w:r>
              <w:rPr>
                <w:rFonts w:hint="eastAsia"/>
                <w:b/>
                <w:sz w:val="18"/>
                <w:szCs w:val="18"/>
              </w:rPr>
              <w:t>案由</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5A4300D">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2D9F6B47">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14:paraId="6EDC6B79">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8817" w:type="dxa"/>
            <w:gridSpan w:val="3"/>
            <w:tcBorders>
              <w:top w:val="single" w:color="000000" w:sz="4" w:space="0"/>
              <w:left w:val="single" w:color="000000" w:sz="4" w:space="0"/>
              <w:bottom w:val="single" w:color="auto" w:sz="4" w:space="0"/>
              <w:right w:val="single" w:color="auto" w:sz="4" w:space="0"/>
            </w:tcBorders>
            <w:vAlign w:val="center"/>
          </w:tcPr>
          <w:p w14:paraId="2C53C287">
            <w:pPr>
              <w:spacing w:before="156" w:beforeLines="50" w:after="156" w:afterLines="50"/>
              <w:jc w:val="center"/>
              <w:rPr>
                <w:b/>
                <w:sz w:val="18"/>
                <w:szCs w:val="18"/>
              </w:rPr>
            </w:pPr>
            <w:r>
              <w:rPr>
                <w:rFonts w:hint="eastAsia"/>
                <w:b/>
                <w:sz w:val="18"/>
                <w:szCs w:val="18"/>
              </w:rPr>
              <w:t>【法定幅度和种类】对船舶所有人或者船舶经营人处1000元以上1万元以下罚款</w:t>
            </w:r>
          </w:p>
        </w:tc>
      </w:tr>
      <w:tr w14:paraId="4755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FA80124">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3D15C25D">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B2C793">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5DA4FBF">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66F4EA5D">
            <w:pPr>
              <w:spacing w:before="156" w:beforeLines="50" w:after="156" w:afterLines="50"/>
              <w:jc w:val="center"/>
              <w:rPr>
                <w:b/>
                <w:sz w:val="18"/>
                <w:szCs w:val="18"/>
              </w:rPr>
            </w:pPr>
          </w:p>
        </w:tc>
        <w:tc>
          <w:tcPr>
            <w:tcW w:w="8817" w:type="dxa"/>
            <w:gridSpan w:val="3"/>
            <w:tcBorders>
              <w:top w:val="single" w:color="auto" w:sz="4" w:space="0"/>
              <w:left w:val="single" w:color="000000" w:sz="4" w:space="0"/>
              <w:bottom w:val="single" w:color="auto" w:sz="4" w:space="0"/>
              <w:right w:val="single" w:color="auto" w:sz="4" w:space="0"/>
            </w:tcBorders>
            <w:vAlign w:val="center"/>
          </w:tcPr>
          <w:p w14:paraId="6FD788E1">
            <w:pPr>
              <w:spacing w:before="156" w:beforeLines="50" w:after="156" w:afterLines="50"/>
              <w:jc w:val="center"/>
              <w:rPr>
                <w:b/>
                <w:sz w:val="18"/>
                <w:szCs w:val="18"/>
              </w:rPr>
            </w:pPr>
            <w:r>
              <w:rPr>
                <w:rFonts w:hint="eastAsia"/>
                <w:b/>
                <w:sz w:val="18"/>
                <w:szCs w:val="18"/>
              </w:rPr>
              <w:t>处罚基准</w:t>
            </w:r>
          </w:p>
        </w:tc>
      </w:tr>
      <w:tr w14:paraId="573E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31D2556">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15D639B3">
            <w:pPr>
              <w:spacing w:before="156" w:beforeLines="50" w:after="156" w:afterLines="50"/>
              <w:jc w:val="center"/>
              <w:rPr>
                <w:b/>
                <w:sz w:val="18"/>
                <w:szCs w:val="18"/>
              </w:rPr>
            </w:pPr>
          </w:p>
        </w:tc>
        <w:tc>
          <w:tcPr>
            <w:tcW w:w="3816" w:type="dxa"/>
            <w:vMerge w:val="restart"/>
            <w:tcBorders>
              <w:top w:val="single" w:color="000000" w:sz="4" w:space="0"/>
              <w:left w:val="single" w:color="000000" w:sz="4" w:space="0"/>
              <w:right w:val="single" w:color="000000" w:sz="4" w:space="0"/>
            </w:tcBorders>
            <w:vAlign w:val="center"/>
          </w:tcPr>
          <w:p w14:paraId="7DC5D41E">
            <w:pPr>
              <w:spacing w:before="156" w:beforeLines="50" w:after="156" w:afterLines="50"/>
              <w:jc w:val="center"/>
              <w:rPr>
                <w:b/>
                <w:sz w:val="18"/>
                <w:szCs w:val="18"/>
              </w:rPr>
            </w:pPr>
            <w:r>
              <w:rPr>
                <w:rFonts w:hint="eastAsia"/>
                <w:b/>
                <w:sz w:val="18"/>
                <w:szCs w:val="18"/>
              </w:rPr>
              <w:t>违反条款</w:t>
            </w:r>
          </w:p>
        </w:tc>
        <w:tc>
          <w:tcPr>
            <w:tcW w:w="2218" w:type="dxa"/>
            <w:vMerge w:val="restart"/>
            <w:tcBorders>
              <w:top w:val="single" w:color="000000" w:sz="4" w:space="0"/>
              <w:left w:val="single" w:color="000000" w:sz="4" w:space="0"/>
              <w:right w:val="single" w:color="000000" w:sz="4" w:space="0"/>
            </w:tcBorders>
            <w:vAlign w:val="center"/>
          </w:tcPr>
          <w:p w14:paraId="5576E7C2">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51794C5F">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29E896E7">
            <w:pPr>
              <w:spacing w:before="156" w:beforeLines="50" w:after="156" w:afterLines="50"/>
              <w:jc w:val="center"/>
              <w:rPr>
                <w:b/>
                <w:sz w:val="18"/>
                <w:szCs w:val="18"/>
              </w:rPr>
            </w:pPr>
          </w:p>
        </w:tc>
        <w:tc>
          <w:tcPr>
            <w:tcW w:w="8817" w:type="dxa"/>
            <w:gridSpan w:val="3"/>
            <w:tcBorders>
              <w:top w:val="single" w:color="auto" w:sz="4" w:space="0"/>
              <w:left w:val="single" w:color="000000" w:sz="4" w:space="0"/>
              <w:bottom w:val="single" w:color="000000" w:sz="4" w:space="0"/>
              <w:right w:val="single" w:color="auto" w:sz="4" w:space="0"/>
            </w:tcBorders>
            <w:vAlign w:val="center"/>
          </w:tcPr>
          <w:p w14:paraId="6F6AD53A">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船舶所有人或者船舶经营人</w:t>
            </w:r>
          </w:p>
        </w:tc>
      </w:tr>
      <w:tr w14:paraId="2C7D3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84" w:type="dxa"/>
            <w:vMerge w:val="continue"/>
            <w:tcBorders>
              <w:left w:val="single" w:color="000000" w:sz="4" w:space="0"/>
              <w:bottom w:val="single" w:color="000000" w:sz="4" w:space="0"/>
              <w:right w:val="single" w:color="000000" w:sz="4" w:space="0"/>
            </w:tcBorders>
            <w:vAlign w:val="center"/>
          </w:tcPr>
          <w:p w14:paraId="469184A9">
            <w:pPr>
              <w:spacing w:before="156" w:beforeLines="50" w:after="156" w:afterLines="50"/>
              <w:jc w:val="center"/>
            </w:pPr>
          </w:p>
        </w:tc>
        <w:tc>
          <w:tcPr>
            <w:tcW w:w="1267" w:type="dxa"/>
            <w:vMerge w:val="continue"/>
            <w:tcBorders>
              <w:left w:val="single" w:color="000000" w:sz="4" w:space="0"/>
              <w:bottom w:val="single" w:color="000000" w:sz="4" w:space="0"/>
              <w:right w:val="single" w:color="000000" w:sz="4" w:space="0"/>
            </w:tcBorders>
            <w:vAlign w:val="center"/>
          </w:tcPr>
          <w:p w14:paraId="26BEC279">
            <w:pPr>
              <w:spacing w:before="156" w:beforeLines="50" w:after="156" w:afterLines="50"/>
              <w:jc w:val="center"/>
            </w:pPr>
          </w:p>
        </w:tc>
        <w:tc>
          <w:tcPr>
            <w:tcW w:w="3816" w:type="dxa"/>
            <w:vMerge w:val="continue"/>
            <w:tcBorders>
              <w:left w:val="single" w:color="000000" w:sz="4" w:space="0"/>
              <w:bottom w:val="single" w:color="000000" w:sz="4" w:space="0"/>
              <w:right w:val="single" w:color="000000" w:sz="4" w:space="0"/>
            </w:tcBorders>
            <w:vAlign w:val="center"/>
          </w:tcPr>
          <w:p w14:paraId="48D23E7A">
            <w:pPr>
              <w:spacing w:before="156" w:beforeLines="50" w:after="156" w:afterLines="50"/>
              <w:jc w:val="center"/>
            </w:pPr>
          </w:p>
        </w:tc>
        <w:tc>
          <w:tcPr>
            <w:tcW w:w="2218" w:type="dxa"/>
            <w:vMerge w:val="continue"/>
            <w:tcBorders>
              <w:left w:val="single" w:color="000000" w:sz="4" w:space="0"/>
              <w:bottom w:val="single" w:color="000000" w:sz="4" w:space="0"/>
              <w:right w:val="single" w:color="000000" w:sz="4" w:space="0"/>
            </w:tcBorders>
            <w:vAlign w:val="center"/>
          </w:tcPr>
          <w:p w14:paraId="0031DBBD">
            <w:pPr>
              <w:spacing w:before="156" w:beforeLines="50" w:after="156" w:afterLines="50"/>
              <w:jc w:val="center"/>
            </w:pPr>
          </w:p>
        </w:tc>
        <w:tc>
          <w:tcPr>
            <w:tcW w:w="656" w:type="dxa"/>
            <w:vMerge w:val="continue"/>
            <w:tcBorders>
              <w:left w:val="single" w:color="000000" w:sz="4" w:space="0"/>
              <w:bottom w:val="single" w:color="000000" w:sz="4" w:space="0"/>
              <w:right w:val="single" w:color="000000" w:sz="4" w:space="0"/>
            </w:tcBorders>
            <w:vAlign w:val="center"/>
          </w:tcPr>
          <w:p w14:paraId="16576CC8">
            <w:pPr>
              <w:spacing w:before="156" w:beforeLines="50" w:after="156" w:afterLines="50"/>
              <w:jc w:val="center"/>
            </w:pPr>
          </w:p>
        </w:tc>
        <w:tc>
          <w:tcPr>
            <w:tcW w:w="3321" w:type="dxa"/>
            <w:vMerge w:val="continue"/>
            <w:tcBorders>
              <w:left w:val="single" w:color="000000" w:sz="4" w:space="0"/>
              <w:bottom w:val="single" w:color="000000" w:sz="4" w:space="0"/>
              <w:right w:val="single" w:color="000000" w:sz="4" w:space="0"/>
            </w:tcBorders>
            <w:vAlign w:val="center"/>
          </w:tcPr>
          <w:p w14:paraId="56BCC866">
            <w:pPr>
              <w:spacing w:before="156" w:beforeLines="50" w:after="156" w:afterLines="50"/>
              <w:jc w:val="center"/>
            </w:pPr>
          </w:p>
        </w:tc>
        <w:tc>
          <w:tcPr>
            <w:tcW w:w="1937" w:type="dxa"/>
            <w:tcBorders>
              <w:top w:val="single" w:color="auto" w:sz="4" w:space="0"/>
              <w:left w:val="single" w:color="000000" w:sz="4" w:space="0"/>
              <w:bottom w:val="single" w:color="000000" w:sz="4" w:space="0"/>
              <w:right w:val="single" w:color="auto" w:sz="4" w:space="0"/>
            </w:tcBorders>
            <w:vAlign w:val="center"/>
          </w:tcPr>
          <w:p w14:paraId="385C59EF">
            <w:pPr>
              <w:spacing w:before="156" w:beforeLines="50" w:after="156" w:afterLines="50"/>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1937" w:type="dxa"/>
            <w:tcBorders>
              <w:top w:val="single" w:color="auto" w:sz="4" w:space="0"/>
              <w:left w:val="single" w:color="000000" w:sz="4" w:space="0"/>
              <w:bottom w:val="single" w:color="000000" w:sz="4" w:space="0"/>
              <w:right w:val="single" w:color="auto" w:sz="4" w:space="0"/>
            </w:tcBorders>
            <w:vAlign w:val="center"/>
          </w:tcPr>
          <w:p w14:paraId="386763CE">
            <w:pPr>
              <w:spacing w:before="156" w:beforeLines="50" w:after="156" w:afterLines="50"/>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4943" w:type="dxa"/>
            <w:tcBorders>
              <w:top w:val="single" w:color="auto" w:sz="4" w:space="0"/>
              <w:left w:val="single" w:color="000000" w:sz="4" w:space="0"/>
              <w:bottom w:val="single" w:color="000000" w:sz="4" w:space="0"/>
              <w:right w:val="single" w:color="auto" w:sz="4" w:space="0"/>
            </w:tcBorders>
            <w:vAlign w:val="center"/>
          </w:tcPr>
          <w:p w14:paraId="3135F455">
            <w:pPr>
              <w:spacing w:before="156" w:beforeLines="50" w:after="156" w:afterLines="50"/>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20CA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3E0318C1">
            <w:pPr>
              <w:spacing w:before="156" w:beforeLines="50" w:after="156" w:afterLines="50"/>
              <w:jc w:val="center"/>
              <w:rPr>
                <w:sz w:val="18"/>
                <w:szCs w:val="18"/>
              </w:rPr>
            </w:pPr>
            <w:r>
              <w:rPr>
                <w:rFonts w:hint="eastAsia"/>
                <w:sz w:val="18"/>
                <w:szCs w:val="18"/>
              </w:rPr>
              <w:t>66</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4EA7F70B">
            <w:pPr>
              <w:spacing w:before="156" w:beforeLines="50" w:after="156" w:afterLines="50"/>
              <w:rPr>
                <w:sz w:val="18"/>
                <w:szCs w:val="18"/>
              </w:rPr>
            </w:pPr>
            <w:r>
              <w:rPr>
                <w:rFonts w:hint="eastAsia"/>
                <w:sz w:val="18"/>
                <w:szCs w:val="18"/>
              </w:rPr>
              <w:t>船舶未按照规定开展自查或未随船保存船舶自查记录</w:t>
            </w: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14:paraId="2F7F1539">
            <w:pPr>
              <w:spacing w:before="156" w:beforeLines="50" w:after="156" w:afterLines="50"/>
              <w:rPr>
                <w:rFonts w:ascii="宋体"/>
                <w:sz w:val="18"/>
                <w:szCs w:val="18"/>
              </w:rPr>
            </w:pPr>
            <w:r>
              <w:rPr>
                <w:rFonts w:hint="eastAsia" w:ascii="宋体"/>
                <w:sz w:val="18"/>
                <w:szCs w:val="18"/>
              </w:rPr>
              <w:t>《中华人民共和国船舶安全监督规则》第四十二条</w:t>
            </w:r>
          </w:p>
          <w:p w14:paraId="513153EE">
            <w:pPr>
              <w:spacing w:before="156" w:beforeLines="50" w:after="156" w:afterLines="50"/>
              <w:rPr>
                <w:rFonts w:ascii="宋体"/>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14:paraId="7EBB11B0">
            <w:pPr>
              <w:pStyle w:val="13"/>
              <w:spacing w:before="156" w:beforeLines="50" w:after="156" w:afterLines="50"/>
              <w:rPr>
                <w:rFonts w:ascii="宋体"/>
                <w:kern w:val="2"/>
                <w:sz w:val="18"/>
                <w:szCs w:val="18"/>
              </w:rPr>
            </w:pPr>
            <w:r>
              <w:rPr>
                <w:rFonts w:hint="eastAsia" w:ascii="宋体"/>
                <w:kern w:val="2"/>
                <w:sz w:val="18"/>
                <w:szCs w:val="18"/>
              </w:rPr>
              <w:t>1.《中华人民共和国船舶安全监督规则》第五十三条；</w:t>
            </w:r>
          </w:p>
          <w:p w14:paraId="2C2959FA">
            <w:pPr>
              <w:pStyle w:val="13"/>
              <w:spacing w:before="156" w:beforeLines="50" w:after="156" w:afterLines="50"/>
              <w:rPr>
                <w:rFonts w:ascii="宋体"/>
                <w:kern w:val="2"/>
                <w:sz w:val="18"/>
                <w:szCs w:val="18"/>
              </w:rPr>
            </w:pPr>
            <w:r>
              <w:rPr>
                <w:rFonts w:hint="eastAsia" w:ascii="宋体"/>
                <w:kern w:val="2"/>
                <w:sz w:val="18"/>
                <w:szCs w:val="18"/>
              </w:rPr>
              <w:t>2.《中华人民共和国行政处罚法》第三十二条（从轻）。</w:t>
            </w:r>
          </w:p>
          <w:p w14:paraId="3AC25890">
            <w:pPr>
              <w:spacing w:before="156" w:beforeLines="50" w:after="156" w:afterLines="50"/>
              <w:rPr>
                <w:rFonts w:ascii="宋体"/>
                <w:sz w:val="18"/>
                <w:szCs w:val="18"/>
              </w:rPr>
            </w:pPr>
          </w:p>
          <w:p w14:paraId="3C8B39B2">
            <w:pPr>
              <w:spacing w:before="156" w:beforeLines="50" w:after="156" w:afterLines="50"/>
              <w:rPr>
                <w:rFonts w:ascii="宋体"/>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14:paraId="3BCA50D9">
            <w:pPr>
              <w:spacing w:before="156" w:beforeLines="50" w:after="156" w:afterLines="50"/>
              <w:jc w:val="left"/>
              <w:rPr>
                <w:sz w:val="18"/>
                <w:szCs w:val="18"/>
              </w:rPr>
            </w:pPr>
          </w:p>
          <w:p w14:paraId="3827747A">
            <w:pPr>
              <w:spacing w:before="156" w:beforeLines="50" w:after="156" w:afterLines="50"/>
              <w:jc w:val="left"/>
              <w:rPr>
                <w:sz w:val="18"/>
                <w:szCs w:val="18"/>
              </w:rPr>
            </w:pPr>
            <w:r>
              <w:rPr>
                <w:rFonts w:hint="eastAsia"/>
                <w:sz w:val="18"/>
                <w:szCs w:val="18"/>
              </w:rPr>
              <w:t>从轻</w:t>
            </w:r>
          </w:p>
          <w:p w14:paraId="541D6BA4">
            <w:pPr>
              <w:spacing w:before="156" w:beforeLines="50" w:after="156" w:afterLines="50"/>
              <w:jc w:val="center"/>
              <w:rPr>
                <w:sz w:val="18"/>
                <w:szCs w:val="18"/>
              </w:rPr>
            </w:pPr>
          </w:p>
        </w:tc>
        <w:tc>
          <w:tcPr>
            <w:tcW w:w="3321" w:type="dxa"/>
            <w:tcBorders>
              <w:top w:val="single" w:color="000000" w:sz="4" w:space="0"/>
              <w:left w:val="single" w:color="000000" w:sz="4" w:space="0"/>
              <w:bottom w:val="single" w:color="000000" w:sz="4" w:space="0"/>
              <w:right w:val="single" w:color="000000" w:sz="4" w:space="0"/>
            </w:tcBorders>
            <w:vAlign w:val="center"/>
          </w:tcPr>
          <w:p w14:paraId="2C792646">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1937" w:type="dxa"/>
            <w:tcBorders>
              <w:top w:val="single" w:color="000000" w:sz="4" w:space="0"/>
              <w:left w:val="single" w:color="000000" w:sz="4" w:space="0"/>
              <w:bottom w:val="single" w:color="auto" w:sz="4" w:space="0"/>
              <w:right w:val="single" w:color="auto" w:sz="4" w:space="0"/>
            </w:tcBorders>
            <w:vAlign w:val="center"/>
          </w:tcPr>
          <w:p w14:paraId="2F52CD58">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1937" w:type="dxa"/>
            <w:tcBorders>
              <w:top w:val="single" w:color="000000" w:sz="4" w:space="0"/>
              <w:left w:val="single" w:color="000000" w:sz="4" w:space="0"/>
              <w:bottom w:val="single" w:color="auto" w:sz="4" w:space="0"/>
              <w:right w:val="single" w:color="auto" w:sz="4" w:space="0"/>
            </w:tcBorders>
            <w:vAlign w:val="center"/>
          </w:tcPr>
          <w:p w14:paraId="66F9AE91">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4943" w:type="dxa"/>
            <w:tcBorders>
              <w:top w:val="single" w:color="000000" w:sz="4" w:space="0"/>
              <w:left w:val="single" w:color="000000" w:sz="4" w:space="0"/>
              <w:bottom w:val="single" w:color="auto" w:sz="4" w:space="0"/>
              <w:right w:val="single" w:color="auto" w:sz="4" w:space="0"/>
            </w:tcBorders>
            <w:vAlign w:val="center"/>
          </w:tcPr>
          <w:p w14:paraId="4A98C2C0">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14:paraId="2554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0F17CE0">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186F50E3">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7CD79BE0">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2C3C799D">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14:paraId="4EF2C4C4">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14:paraId="430F480D">
            <w:pPr>
              <w:pStyle w:val="13"/>
              <w:spacing w:before="156" w:beforeLines="50" w:after="156" w:afterLines="50"/>
              <w:rPr>
                <w:rFonts w:ascii="宋体"/>
                <w:kern w:val="2"/>
                <w:sz w:val="18"/>
                <w:szCs w:val="18"/>
              </w:rPr>
            </w:pPr>
            <w:r>
              <w:rPr>
                <w:rFonts w:hint="eastAsia" w:ascii="宋体"/>
                <w:kern w:val="2"/>
                <w:sz w:val="18"/>
                <w:szCs w:val="18"/>
              </w:rPr>
              <w:t>单航次未按照规定开展自查或者未随船保存船舶自查记录的。</w:t>
            </w:r>
          </w:p>
        </w:tc>
        <w:tc>
          <w:tcPr>
            <w:tcW w:w="1937" w:type="dxa"/>
            <w:tcBorders>
              <w:top w:val="single" w:color="000000" w:sz="4" w:space="0"/>
              <w:left w:val="single" w:color="000000" w:sz="4" w:space="0"/>
              <w:bottom w:val="single" w:color="000000" w:sz="4" w:space="0"/>
              <w:right w:val="single" w:color="auto" w:sz="4" w:space="0"/>
            </w:tcBorders>
            <w:vAlign w:val="center"/>
          </w:tcPr>
          <w:p w14:paraId="24983B61">
            <w:pPr>
              <w:spacing w:before="156" w:beforeLines="50" w:after="156" w:afterLines="50"/>
              <w:jc w:val="left"/>
              <w:rPr>
                <w:sz w:val="18"/>
                <w:szCs w:val="18"/>
              </w:rPr>
            </w:pPr>
            <w:r>
              <w:rPr>
                <w:kern w:val="0"/>
                <w:sz w:val="18"/>
                <w:szCs w:val="18"/>
              </w:rPr>
              <w:t>2000</w:t>
            </w:r>
            <w:r>
              <w:rPr>
                <w:rFonts w:hint="eastAsia"/>
                <w:kern w:val="0"/>
                <w:sz w:val="18"/>
                <w:szCs w:val="18"/>
              </w:rPr>
              <w:t>元及以上</w:t>
            </w:r>
            <w:r>
              <w:rPr>
                <w:kern w:val="0"/>
                <w:sz w:val="18"/>
                <w:szCs w:val="18"/>
              </w:rPr>
              <w:t>3000</w:t>
            </w:r>
            <w:r>
              <w:rPr>
                <w:rFonts w:hint="eastAsia"/>
                <w:kern w:val="0"/>
                <w:sz w:val="18"/>
                <w:szCs w:val="18"/>
              </w:rPr>
              <w:t>元以下</w:t>
            </w:r>
          </w:p>
        </w:tc>
        <w:tc>
          <w:tcPr>
            <w:tcW w:w="1937" w:type="dxa"/>
            <w:tcBorders>
              <w:top w:val="single" w:color="000000" w:sz="4" w:space="0"/>
              <w:left w:val="single" w:color="000000" w:sz="4" w:space="0"/>
              <w:bottom w:val="single" w:color="000000" w:sz="4" w:space="0"/>
              <w:right w:val="single" w:color="auto" w:sz="4" w:space="0"/>
            </w:tcBorders>
            <w:vAlign w:val="center"/>
          </w:tcPr>
          <w:p w14:paraId="38C996F1">
            <w:pPr>
              <w:spacing w:before="156" w:beforeLines="50" w:after="156" w:afterLines="50"/>
              <w:jc w:val="left"/>
              <w:rPr>
                <w:sz w:val="18"/>
                <w:szCs w:val="18"/>
              </w:rPr>
            </w:pPr>
            <w:r>
              <w:rPr>
                <w:kern w:val="0"/>
                <w:sz w:val="18"/>
                <w:szCs w:val="18"/>
              </w:rPr>
              <w:t>2000</w:t>
            </w:r>
            <w:r>
              <w:rPr>
                <w:rFonts w:hint="eastAsia"/>
                <w:kern w:val="0"/>
                <w:sz w:val="18"/>
                <w:szCs w:val="18"/>
              </w:rPr>
              <w:t>元以上</w:t>
            </w:r>
            <w:r>
              <w:rPr>
                <w:kern w:val="0"/>
                <w:sz w:val="18"/>
                <w:szCs w:val="18"/>
              </w:rPr>
              <w:t>4000</w:t>
            </w:r>
            <w:r>
              <w:rPr>
                <w:rFonts w:hint="eastAsia"/>
                <w:kern w:val="0"/>
                <w:sz w:val="18"/>
                <w:szCs w:val="18"/>
              </w:rPr>
              <w:t>元以下</w:t>
            </w:r>
          </w:p>
        </w:tc>
        <w:tc>
          <w:tcPr>
            <w:tcW w:w="4943" w:type="dxa"/>
            <w:tcBorders>
              <w:top w:val="single" w:color="000000" w:sz="4" w:space="0"/>
              <w:left w:val="single" w:color="000000" w:sz="4" w:space="0"/>
              <w:bottom w:val="single" w:color="000000" w:sz="4" w:space="0"/>
              <w:right w:val="single" w:color="auto" w:sz="4" w:space="0"/>
            </w:tcBorders>
            <w:vAlign w:val="center"/>
          </w:tcPr>
          <w:p w14:paraId="75755582">
            <w:pPr>
              <w:spacing w:before="156" w:beforeLines="50" w:after="156" w:afterLines="50"/>
              <w:jc w:val="left"/>
              <w:rPr>
                <w:sz w:val="18"/>
                <w:szCs w:val="18"/>
              </w:rPr>
            </w:pPr>
            <w:r>
              <w:rPr>
                <w:kern w:val="0"/>
                <w:sz w:val="18"/>
                <w:szCs w:val="18"/>
              </w:rPr>
              <w:t>2000</w:t>
            </w:r>
            <w:r>
              <w:rPr>
                <w:rFonts w:hint="eastAsia"/>
                <w:kern w:val="0"/>
                <w:sz w:val="18"/>
                <w:szCs w:val="18"/>
              </w:rPr>
              <w:t>元以上</w:t>
            </w:r>
            <w:r>
              <w:rPr>
                <w:kern w:val="0"/>
                <w:sz w:val="18"/>
                <w:szCs w:val="18"/>
              </w:rPr>
              <w:t>5000</w:t>
            </w:r>
            <w:r>
              <w:rPr>
                <w:rFonts w:hint="eastAsia"/>
                <w:kern w:val="0"/>
                <w:sz w:val="18"/>
                <w:szCs w:val="18"/>
              </w:rPr>
              <w:t>元以下</w:t>
            </w:r>
          </w:p>
        </w:tc>
      </w:tr>
      <w:tr w14:paraId="0605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CF70A08">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F03FD91">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2ECE294E">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4A828BF5">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14:paraId="0E0674DF">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14:paraId="1D802C25">
            <w:pPr>
              <w:pStyle w:val="13"/>
              <w:spacing w:before="156" w:beforeLines="50" w:after="156" w:afterLines="50"/>
              <w:rPr>
                <w:rFonts w:ascii="宋体"/>
                <w:kern w:val="2"/>
                <w:sz w:val="18"/>
                <w:szCs w:val="18"/>
              </w:rPr>
            </w:pPr>
            <w:r>
              <w:rPr>
                <w:rFonts w:hint="eastAsia" w:ascii="宋体"/>
                <w:kern w:val="2"/>
                <w:sz w:val="18"/>
                <w:szCs w:val="18"/>
              </w:rPr>
              <w:t>2航次及以上。</w:t>
            </w:r>
          </w:p>
        </w:tc>
        <w:tc>
          <w:tcPr>
            <w:tcW w:w="1937" w:type="dxa"/>
            <w:tcBorders>
              <w:top w:val="single" w:color="auto" w:sz="4" w:space="0"/>
              <w:left w:val="single" w:color="000000" w:sz="4" w:space="0"/>
              <w:bottom w:val="single" w:color="000000" w:sz="4" w:space="0"/>
              <w:right w:val="single" w:color="auto" w:sz="4" w:space="0"/>
            </w:tcBorders>
            <w:vAlign w:val="center"/>
          </w:tcPr>
          <w:p w14:paraId="0E7ADD36">
            <w:pPr>
              <w:spacing w:before="156" w:beforeLines="50" w:after="156" w:afterLines="50"/>
              <w:jc w:val="left"/>
              <w:rPr>
                <w:sz w:val="18"/>
                <w:szCs w:val="18"/>
              </w:rPr>
            </w:pPr>
            <w:r>
              <w:rPr>
                <w:kern w:val="0"/>
                <w:sz w:val="18"/>
                <w:szCs w:val="18"/>
              </w:rPr>
              <w:t>3000</w:t>
            </w:r>
            <w:r>
              <w:rPr>
                <w:rFonts w:hint="eastAsia"/>
                <w:kern w:val="0"/>
                <w:sz w:val="18"/>
                <w:szCs w:val="18"/>
              </w:rPr>
              <w:t>元及以上1万元以下</w:t>
            </w:r>
          </w:p>
        </w:tc>
        <w:tc>
          <w:tcPr>
            <w:tcW w:w="1937" w:type="dxa"/>
            <w:tcBorders>
              <w:top w:val="single" w:color="auto" w:sz="4" w:space="0"/>
              <w:left w:val="single" w:color="000000" w:sz="4" w:space="0"/>
              <w:bottom w:val="single" w:color="000000" w:sz="4" w:space="0"/>
              <w:right w:val="single" w:color="auto" w:sz="4" w:space="0"/>
            </w:tcBorders>
            <w:vAlign w:val="center"/>
          </w:tcPr>
          <w:p w14:paraId="693B1612">
            <w:pPr>
              <w:spacing w:before="156" w:beforeLines="50" w:after="156" w:afterLines="50"/>
              <w:jc w:val="left"/>
              <w:rPr>
                <w:sz w:val="18"/>
                <w:szCs w:val="18"/>
              </w:rPr>
            </w:pPr>
            <w:r>
              <w:rPr>
                <w:kern w:val="0"/>
                <w:sz w:val="18"/>
                <w:szCs w:val="18"/>
              </w:rPr>
              <w:t>4000</w:t>
            </w:r>
            <w:r>
              <w:rPr>
                <w:rFonts w:hint="eastAsia"/>
                <w:kern w:val="0"/>
                <w:sz w:val="18"/>
                <w:szCs w:val="18"/>
              </w:rPr>
              <w:t>元及以上1万元元以下</w:t>
            </w:r>
          </w:p>
        </w:tc>
        <w:tc>
          <w:tcPr>
            <w:tcW w:w="4943" w:type="dxa"/>
            <w:tcBorders>
              <w:top w:val="single" w:color="auto" w:sz="4" w:space="0"/>
              <w:left w:val="single" w:color="000000" w:sz="4" w:space="0"/>
              <w:bottom w:val="single" w:color="000000" w:sz="4" w:space="0"/>
              <w:right w:val="single" w:color="auto" w:sz="4" w:space="0"/>
            </w:tcBorders>
            <w:vAlign w:val="center"/>
          </w:tcPr>
          <w:p w14:paraId="0587C796">
            <w:pPr>
              <w:spacing w:before="156" w:beforeLines="50" w:after="156" w:afterLines="50"/>
              <w:jc w:val="left"/>
              <w:rPr>
                <w:sz w:val="18"/>
                <w:szCs w:val="18"/>
              </w:rPr>
            </w:pPr>
            <w:r>
              <w:rPr>
                <w:kern w:val="0"/>
                <w:sz w:val="18"/>
                <w:szCs w:val="18"/>
              </w:rPr>
              <w:t>5000</w:t>
            </w:r>
            <w:r>
              <w:rPr>
                <w:rFonts w:hint="eastAsia"/>
                <w:kern w:val="0"/>
                <w:sz w:val="18"/>
                <w:szCs w:val="18"/>
              </w:rPr>
              <w:t>元及以上1万元元以下</w:t>
            </w:r>
          </w:p>
        </w:tc>
      </w:tr>
    </w:tbl>
    <w:p w14:paraId="4B3CF1DB">
      <w:pPr>
        <w:spacing w:before="156" w:beforeLines="50" w:after="156" w:afterLines="50" w:line="580" w:lineRule="exact"/>
        <w:rPr>
          <w:rFonts w:hAnsi="仿宋_GB2312" w:eastAsia="仿宋_GB2312"/>
          <w:spacing w:val="-6"/>
          <w:sz w:val="32"/>
          <w:szCs w:val="30"/>
        </w:rPr>
      </w:pPr>
      <w:r>
        <w:rPr>
          <w:rFonts w:hint="eastAsia" w:hAnsi="仿宋_GB2312" w:eastAsia="仿宋_GB2312"/>
          <w:spacing w:val="-6"/>
          <w:sz w:val="32"/>
          <w:szCs w:val="30"/>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1551"/>
        <w:gridCol w:w="3816"/>
        <w:gridCol w:w="2218"/>
        <w:gridCol w:w="656"/>
        <w:gridCol w:w="3321"/>
        <w:gridCol w:w="7284"/>
      </w:tblGrid>
      <w:tr w14:paraId="19D6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7F8D9F86">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37029181">
            <w:pPr>
              <w:spacing w:before="156" w:beforeLines="50" w:after="156" w:afterLines="50"/>
              <w:jc w:val="center"/>
              <w:rPr>
                <w:b/>
                <w:sz w:val="18"/>
                <w:szCs w:val="18"/>
              </w:rPr>
            </w:pPr>
            <w:r>
              <w:rPr>
                <w:rFonts w:hint="eastAsia"/>
                <w:b/>
                <w:sz w:val="18"/>
                <w:szCs w:val="18"/>
              </w:rPr>
              <w:t>案由</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14:paraId="631E46E7">
            <w:pPr>
              <w:spacing w:before="156" w:beforeLines="50" w:after="156" w:afterLines="50"/>
              <w:jc w:val="center"/>
              <w:rPr>
                <w:b/>
                <w:sz w:val="18"/>
                <w:szCs w:val="18"/>
              </w:rPr>
            </w:pPr>
            <w:r>
              <w:rPr>
                <w:rFonts w:hint="eastAsia"/>
                <w:b/>
                <w:sz w:val="18"/>
                <w:szCs w:val="18"/>
              </w:rPr>
              <w:t>具体违法行为</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150855F">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7C9C8BC6">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14:paraId="55E8F56F">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7284" w:type="dxa"/>
            <w:tcBorders>
              <w:top w:val="single" w:color="000000" w:sz="4" w:space="0"/>
              <w:left w:val="single" w:color="000000" w:sz="4" w:space="0"/>
              <w:bottom w:val="single" w:color="auto" w:sz="4" w:space="0"/>
              <w:right w:val="single" w:color="auto" w:sz="4" w:space="0"/>
            </w:tcBorders>
            <w:vAlign w:val="center"/>
          </w:tcPr>
          <w:p w14:paraId="40DC0E35">
            <w:pPr>
              <w:spacing w:before="156" w:beforeLines="50" w:after="156" w:afterLines="50"/>
              <w:jc w:val="center"/>
              <w:rPr>
                <w:b/>
                <w:sz w:val="18"/>
                <w:szCs w:val="18"/>
              </w:rPr>
            </w:pPr>
            <w:r>
              <w:rPr>
                <w:rFonts w:hint="eastAsia"/>
                <w:b/>
                <w:sz w:val="18"/>
                <w:szCs w:val="18"/>
              </w:rPr>
              <w:t>【法定幅度和种类】处1000元以上3万元以下罚款</w:t>
            </w:r>
          </w:p>
        </w:tc>
      </w:tr>
      <w:tr w14:paraId="114DD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258ED11A">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2DBDF42D">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3685BC91">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88D9E6">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CBB9003">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42FF5D60">
            <w:pPr>
              <w:spacing w:before="156" w:beforeLines="50" w:after="156" w:afterLines="50"/>
              <w:jc w:val="center"/>
              <w:rPr>
                <w:b/>
                <w:sz w:val="18"/>
                <w:szCs w:val="18"/>
              </w:rPr>
            </w:pPr>
          </w:p>
        </w:tc>
        <w:tc>
          <w:tcPr>
            <w:tcW w:w="7284" w:type="dxa"/>
            <w:tcBorders>
              <w:top w:val="single" w:color="auto" w:sz="4" w:space="0"/>
              <w:left w:val="single" w:color="000000" w:sz="4" w:space="0"/>
              <w:bottom w:val="single" w:color="auto" w:sz="4" w:space="0"/>
              <w:right w:val="single" w:color="auto" w:sz="4" w:space="0"/>
            </w:tcBorders>
            <w:vAlign w:val="center"/>
          </w:tcPr>
          <w:p w14:paraId="3C38F2AB">
            <w:pPr>
              <w:spacing w:before="156" w:beforeLines="50" w:after="156" w:afterLines="50"/>
              <w:jc w:val="center"/>
              <w:rPr>
                <w:b/>
                <w:sz w:val="18"/>
                <w:szCs w:val="18"/>
              </w:rPr>
            </w:pPr>
            <w:r>
              <w:rPr>
                <w:rFonts w:hint="eastAsia"/>
                <w:b/>
                <w:sz w:val="18"/>
                <w:szCs w:val="18"/>
              </w:rPr>
              <w:t>处罚基准</w:t>
            </w:r>
          </w:p>
        </w:tc>
      </w:tr>
      <w:tr w14:paraId="4148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DDE77E7">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7285CC20">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61F6B9B6">
            <w:pPr>
              <w:spacing w:before="156" w:beforeLines="50" w:after="156" w:afterLines="50"/>
              <w:jc w:val="center"/>
              <w:rPr>
                <w:b/>
                <w:sz w:val="18"/>
                <w:szCs w:val="18"/>
              </w:rPr>
            </w:pPr>
          </w:p>
        </w:tc>
        <w:tc>
          <w:tcPr>
            <w:tcW w:w="3816" w:type="dxa"/>
            <w:tcBorders>
              <w:top w:val="single" w:color="000000" w:sz="4" w:space="0"/>
              <w:left w:val="single" w:color="000000" w:sz="4" w:space="0"/>
              <w:bottom w:val="single" w:color="000000" w:sz="4" w:space="0"/>
              <w:right w:val="single" w:color="000000" w:sz="4" w:space="0"/>
            </w:tcBorders>
            <w:vAlign w:val="center"/>
          </w:tcPr>
          <w:p w14:paraId="73F54750">
            <w:pPr>
              <w:spacing w:before="156" w:beforeLines="50" w:after="156" w:afterLines="50"/>
              <w:jc w:val="center"/>
              <w:rPr>
                <w:b/>
                <w:sz w:val="18"/>
                <w:szCs w:val="18"/>
              </w:rPr>
            </w:pPr>
            <w:r>
              <w:rPr>
                <w:rFonts w:hint="eastAsia"/>
                <w:b/>
                <w:sz w:val="18"/>
                <w:szCs w:val="18"/>
              </w:rPr>
              <w:t>违反条款</w:t>
            </w:r>
          </w:p>
        </w:tc>
        <w:tc>
          <w:tcPr>
            <w:tcW w:w="2218" w:type="dxa"/>
            <w:tcBorders>
              <w:top w:val="single" w:color="000000" w:sz="4" w:space="0"/>
              <w:left w:val="single" w:color="000000" w:sz="4" w:space="0"/>
              <w:bottom w:val="single" w:color="000000" w:sz="4" w:space="0"/>
              <w:right w:val="single" w:color="000000" w:sz="4" w:space="0"/>
            </w:tcBorders>
            <w:vAlign w:val="center"/>
          </w:tcPr>
          <w:p w14:paraId="690C9C5B">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A7A3850">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44588FE3">
            <w:pPr>
              <w:spacing w:before="156" w:beforeLines="50" w:after="156" w:afterLines="50"/>
              <w:jc w:val="center"/>
              <w:rPr>
                <w:b/>
                <w:sz w:val="18"/>
                <w:szCs w:val="18"/>
              </w:rPr>
            </w:pPr>
          </w:p>
        </w:tc>
        <w:tc>
          <w:tcPr>
            <w:tcW w:w="7284" w:type="dxa"/>
            <w:tcBorders>
              <w:top w:val="single" w:color="auto" w:sz="4" w:space="0"/>
              <w:left w:val="single" w:color="000000" w:sz="4" w:space="0"/>
              <w:bottom w:val="single" w:color="000000" w:sz="4" w:space="0"/>
              <w:right w:val="single" w:color="auto" w:sz="4" w:space="0"/>
            </w:tcBorders>
            <w:vAlign w:val="center"/>
          </w:tcPr>
          <w:p w14:paraId="418AE900">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托运人</w:t>
            </w:r>
          </w:p>
        </w:tc>
      </w:tr>
      <w:tr w14:paraId="6C0C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73E76769">
            <w:pPr>
              <w:spacing w:before="156" w:beforeLines="50" w:after="156" w:afterLines="50"/>
              <w:jc w:val="center"/>
              <w:rPr>
                <w:sz w:val="18"/>
                <w:szCs w:val="18"/>
              </w:rPr>
            </w:pPr>
            <w:r>
              <w:rPr>
                <w:rFonts w:hint="eastAsia"/>
                <w:sz w:val="18"/>
                <w:szCs w:val="18"/>
              </w:rPr>
              <w:t>67</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0CD820C4">
            <w:pPr>
              <w:spacing w:before="156" w:beforeLines="50" w:after="156" w:afterLines="50"/>
              <w:rPr>
                <w:sz w:val="18"/>
                <w:szCs w:val="18"/>
              </w:rPr>
            </w:pPr>
            <w:r>
              <w:rPr>
                <w:rFonts w:hint="eastAsia"/>
                <w:sz w:val="18"/>
                <w:szCs w:val="18"/>
              </w:rPr>
              <w:t>未按要求对</w:t>
            </w:r>
            <w:r>
              <w:rPr>
                <w:sz w:val="18"/>
                <w:szCs w:val="18"/>
              </w:rPr>
              <w:t>拟交付船舶国际运输的载货集装箱</w:t>
            </w:r>
            <w:r>
              <w:rPr>
                <w:rFonts w:hint="eastAsia"/>
                <w:sz w:val="18"/>
                <w:szCs w:val="18"/>
              </w:rPr>
              <w:t>进行重量验证</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14:paraId="140B5A24">
            <w:pPr>
              <w:spacing w:before="156" w:beforeLines="50" w:after="156" w:afterLines="50"/>
              <w:rPr>
                <w:sz w:val="18"/>
                <w:szCs w:val="18"/>
              </w:rPr>
            </w:pPr>
            <w:r>
              <w:rPr>
                <w:rFonts w:hint="eastAsia"/>
                <w:sz w:val="18"/>
                <w:szCs w:val="18"/>
              </w:rPr>
              <w:t>未按要求对</w:t>
            </w:r>
            <w:r>
              <w:rPr>
                <w:sz w:val="18"/>
                <w:szCs w:val="18"/>
              </w:rPr>
              <w:t>拟交付船舶国际运输的载货集装箱</w:t>
            </w:r>
            <w:r>
              <w:rPr>
                <w:rFonts w:hint="eastAsia"/>
                <w:sz w:val="18"/>
                <w:szCs w:val="18"/>
              </w:rPr>
              <w:t>进行重量验证</w:t>
            </w: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14:paraId="304BD45D">
            <w:pPr>
              <w:spacing w:before="156" w:beforeLines="50" w:after="156" w:afterLines="50"/>
              <w:rPr>
                <w:sz w:val="18"/>
                <w:szCs w:val="18"/>
              </w:rPr>
            </w:pPr>
            <w:r>
              <w:rPr>
                <w:rFonts w:hint="eastAsia"/>
                <w:sz w:val="18"/>
                <w:szCs w:val="18"/>
              </w:rPr>
              <w:t>《中华人民共和国船舶安全监督规则》第四十七条第一款</w:t>
            </w:r>
          </w:p>
          <w:p w14:paraId="33E7D940">
            <w:pPr>
              <w:spacing w:before="156" w:beforeLines="50" w:after="156" w:afterLines="50"/>
              <w:rPr>
                <w:b/>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14:paraId="412F341C">
            <w:pPr>
              <w:pStyle w:val="13"/>
              <w:spacing w:before="156" w:beforeLines="50" w:after="156" w:afterLines="50"/>
              <w:rPr>
                <w:sz w:val="18"/>
                <w:szCs w:val="18"/>
              </w:rPr>
            </w:pPr>
            <w:r>
              <w:rPr>
                <w:rFonts w:hint="eastAsia"/>
                <w:sz w:val="18"/>
                <w:szCs w:val="18"/>
              </w:rPr>
              <w:t>1.《中华人民共和国船舶安全监督规则》第五十六条第（一）项；</w:t>
            </w:r>
          </w:p>
          <w:p w14:paraId="3B72FE6E">
            <w:pPr>
              <w:pStyle w:val="13"/>
              <w:spacing w:before="156" w:beforeLines="50" w:after="156" w:afterLines="50"/>
              <w:rPr>
                <w:sz w:val="18"/>
                <w:szCs w:val="18"/>
              </w:rPr>
            </w:pPr>
            <w:r>
              <w:rPr>
                <w:rFonts w:hint="eastAsia"/>
                <w:sz w:val="18"/>
                <w:szCs w:val="18"/>
              </w:rPr>
              <w:t>2.《中华人民共和国行政处罚法》第三十二条（从轻）。</w:t>
            </w:r>
          </w:p>
          <w:p w14:paraId="12B8DDC6">
            <w:pPr>
              <w:spacing w:before="156" w:beforeLines="50" w:after="156" w:afterLines="50"/>
              <w:rPr>
                <w:sz w:val="18"/>
                <w:szCs w:val="18"/>
              </w:rPr>
            </w:pPr>
          </w:p>
          <w:p w14:paraId="0255832A">
            <w:pPr>
              <w:spacing w:before="156" w:beforeLines="50" w:after="156" w:afterLines="50"/>
              <w:rPr>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14:paraId="127F8F29">
            <w:pPr>
              <w:spacing w:before="156" w:beforeLines="50" w:after="156" w:afterLines="50"/>
              <w:jc w:val="left"/>
              <w:rPr>
                <w:sz w:val="18"/>
                <w:szCs w:val="18"/>
              </w:rPr>
            </w:pPr>
            <w:r>
              <w:rPr>
                <w:rFonts w:hint="eastAsia"/>
                <w:sz w:val="18"/>
                <w:szCs w:val="18"/>
              </w:rPr>
              <w:t>从轻</w:t>
            </w:r>
          </w:p>
        </w:tc>
        <w:tc>
          <w:tcPr>
            <w:tcW w:w="3321" w:type="dxa"/>
            <w:tcBorders>
              <w:top w:val="single" w:color="000000" w:sz="4" w:space="0"/>
              <w:left w:val="single" w:color="000000" w:sz="4" w:space="0"/>
              <w:bottom w:val="single" w:color="000000" w:sz="4" w:space="0"/>
              <w:right w:val="single" w:color="000000" w:sz="4" w:space="0"/>
            </w:tcBorders>
            <w:vAlign w:val="center"/>
          </w:tcPr>
          <w:p w14:paraId="670DF6A7">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7284" w:type="dxa"/>
            <w:tcBorders>
              <w:top w:val="single" w:color="000000" w:sz="4" w:space="0"/>
              <w:left w:val="single" w:color="000000" w:sz="4" w:space="0"/>
              <w:bottom w:val="single" w:color="auto" w:sz="4" w:space="0"/>
              <w:right w:val="single" w:color="auto" w:sz="4" w:space="0"/>
            </w:tcBorders>
            <w:vAlign w:val="center"/>
          </w:tcPr>
          <w:p w14:paraId="758CB608">
            <w:pPr>
              <w:spacing w:before="156" w:beforeLines="50" w:after="156" w:afterLines="50"/>
              <w:jc w:val="left"/>
              <w:rPr>
                <w:sz w:val="18"/>
                <w:szCs w:val="18"/>
              </w:rPr>
            </w:pPr>
            <w:r>
              <w:rPr>
                <w:sz w:val="18"/>
                <w:szCs w:val="18"/>
              </w:rPr>
              <w:t>1000</w:t>
            </w:r>
            <w:r>
              <w:rPr>
                <w:rFonts w:hint="eastAsia"/>
                <w:sz w:val="18"/>
                <w:szCs w:val="18"/>
              </w:rPr>
              <w:t>元及以上50</w:t>
            </w:r>
            <w:r>
              <w:rPr>
                <w:sz w:val="18"/>
                <w:szCs w:val="18"/>
              </w:rPr>
              <w:t>00</w:t>
            </w:r>
            <w:r>
              <w:rPr>
                <w:rFonts w:hint="eastAsia"/>
                <w:sz w:val="18"/>
                <w:szCs w:val="18"/>
              </w:rPr>
              <w:t>元以下</w:t>
            </w:r>
          </w:p>
        </w:tc>
      </w:tr>
      <w:tr w14:paraId="51A7A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B6AF760">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564A8CD8">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3C59520F">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1EFED229">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528CA055">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14:paraId="4ACCC4CF">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14:paraId="5C66619E">
            <w:pPr>
              <w:pStyle w:val="13"/>
              <w:spacing w:before="156" w:beforeLines="50" w:after="156" w:afterLines="50"/>
              <w:rPr>
                <w:rFonts w:ascii="宋体"/>
                <w:kern w:val="2"/>
                <w:sz w:val="18"/>
                <w:szCs w:val="18"/>
              </w:rPr>
            </w:pPr>
            <w:r>
              <w:rPr>
                <w:rFonts w:hint="eastAsia"/>
                <w:sz w:val="18"/>
                <w:szCs w:val="18"/>
              </w:rPr>
              <w:t>托运人提供的</w:t>
            </w:r>
            <w:r>
              <w:rPr>
                <w:sz w:val="18"/>
                <w:szCs w:val="18"/>
              </w:rPr>
              <w:t>验证重量与实际重量的误差超过5%或者1吨</w:t>
            </w:r>
            <w:r>
              <w:rPr>
                <w:rFonts w:hint="eastAsia"/>
                <w:sz w:val="18"/>
                <w:szCs w:val="18"/>
              </w:rPr>
              <w:t>。</w:t>
            </w:r>
          </w:p>
        </w:tc>
        <w:tc>
          <w:tcPr>
            <w:tcW w:w="7284" w:type="dxa"/>
            <w:tcBorders>
              <w:top w:val="single" w:color="000000" w:sz="4" w:space="0"/>
              <w:left w:val="single" w:color="000000" w:sz="4" w:space="0"/>
              <w:bottom w:val="single" w:color="000000" w:sz="4" w:space="0"/>
              <w:right w:val="single" w:color="auto" w:sz="4" w:space="0"/>
            </w:tcBorders>
            <w:vAlign w:val="center"/>
          </w:tcPr>
          <w:p w14:paraId="78B20D5C">
            <w:pPr>
              <w:spacing w:before="156" w:beforeLines="50" w:after="156" w:afterLines="50"/>
              <w:jc w:val="left"/>
              <w:rPr>
                <w:sz w:val="18"/>
                <w:szCs w:val="18"/>
              </w:rPr>
            </w:pPr>
            <w:r>
              <w:rPr>
                <w:rFonts w:hint="eastAsia"/>
                <w:sz w:val="18"/>
                <w:szCs w:val="18"/>
              </w:rPr>
              <w:t>5000元及以上10000元以下</w:t>
            </w:r>
          </w:p>
        </w:tc>
      </w:tr>
      <w:tr w14:paraId="1327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8DB93A4">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47D36186">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0C1260AA">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37A7920B">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6AADBCE2">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14:paraId="428FAD9A">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14:paraId="13EE64A4">
            <w:pPr>
              <w:pStyle w:val="13"/>
              <w:spacing w:before="156" w:beforeLines="50" w:after="156" w:afterLines="50"/>
              <w:rPr>
                <w:rFonts w:ascii="宋体"/>
                <w:kern w:val="2"/>
                <w:sz w:val="18"/>
                <w:szCs w:val="18"/>
              </w:rPr>
            </w:pPr>
            <w:r>
              <w:rPr>
                <w:rFonts w:hint="eastAsia"/>
                <w:sz w:val="18"/>
                <w:szCs w:val="18"/>
              </w:rPr>
              <w:t>因托运人提供的</w:t>
            </w:r>
            <w:r>
              <w:rPr>
                <w:sz w:val="18"/>
                <w:szCs w:val="18"/>
              </w:rPr>
              <w:t>验证重量与实际重量的误差超过5%或者1吨</w:t>
            </w:r>
            <w:r>
              <w:rPr>
                <w:rFonts w:hint="eastAsia"/>
                <w:sz w:val="18"/>
                <w:szCs w:val="18"/>
              </w:rPr>
              <w:t>，</w:t>
            </w:r>
            <w:r>
              <w:rPr>
                <w:rFonts w:hint="eastAsia" w:ascii="宋体"/>
                <w:sz w:val="18"/>
                <w:szCs w:val="18"/>
              </w:rPr>
              <w:t>导致发生一般以下等级水上交通事故的。</w:t>
            </w:r>
          </w:p>
        </w:tc>
        <w:tc>
          <w:tcPr>
            <w:tcW w:w="7284" w:type="dxa"/>
            <w:tcBorders>
              <w:top w:val="single" w:color="auto" w:sz="4" w:space="0"/>
              <w:left w:val="single" w:color="000000" w:sz="4" w:space="0"/>
              <w:bottom w:val="single" w:color="000000" w:sz="4" w:space="0"/>
              <w:right w:val="single" w:color="auto" w:sz="4" w:space="0"/>
            </w:tcBorders>
            <w:vAlign w:val="center"/>
          </w:tcPr>
          <w:p w14:paraId="7A8D889A">
            <w:pPr>
              <w:spacing w:before="156" w:beforeLines="50" w:after="156" w:afterLines="50"/>
              <w:jc w:val="left"/>
              <w:rPr>
                <w:sz w:val="18"/>
                <w:szCs w:val="18"/>
              </w:rPr>
            </w:pPr>
            <w:r>
              <w:rPr>
                <w:rFonts w:hint="eastAsia"/>
                <w:sz w:val="18"/>
                <w:szCs w:val="18"/>
              </w:rPr>
              <w:t>10000元及以上1.5万元以下</w:t>
            </w:r>
          </w:p>
        </w:tc>
      </w:tr>
      <w:tr w14:paraId="07822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478439FF">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75F32E6D">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1E355ADA">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45CBE64F">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219ED3EC">
            <w:pPr>
              <w:spacing w:before="156" w:beforeLines="50" w:after="156" w:afterLines="50"/>
              <w:jc w:val="center"/>
              <w:rPr>
                <w:sz w:val="18"/>
                <w:szCs w:val="18"/>
              </w:rPr>
            </w:pPr>
          </w:p>
        </w:tc>
        <w:tc>
          <w:tcPr>
            <w:tcW w:w="656" w:type="dxa"/>
            <w:vMerge w:val="continue"/>
            <w:tcBorders>
              <w:left w:val="single" w:color="000000" w:sz="4" w:space="0"/>
              <w:bottom w:val="single" w:color="000000" w:sz="4" w:space="0"/>
              <w:right w:val="single" w:color="000000" w:sz="4" w:space="0"/>
            </w:tcBorders>
            <w:vAlign w:val="center"/>
          </w:tcPr>
          <w:p w14:paraId="28C96106">
            <w:pPr>
              <w:spacing w:before="156" w:beforeLines="50" w:after="156" w:afterLines="50"/>
              <w:jc w:val="center"/>
              <w:rPr>
                <w:sz w:val="18"/>
                <w:szCs w:val="18"/>
              </w:rPr>
            </w:pPr>
          </w:p>
        </w:tc>
        <w:tc>
          <w:tcPr>
            <w:tcW w:w="3321" w:type="dxa"/>
            <w:tcBorders>
              <w:top w:val="single" w:color="auto" w:sz="4" w:space="0"/>
              <w:left w:val="single" w:color="auto" w:sz="4" w:space="0"/>
              <w:bottom w:val="single" w:color="auto" w:sz="4" w:space="0"/>
              <w:right w:val="single" w:color="auto" w:sz="4" w:space="0"/>
            </w:tcBorders>
            <w:vAlign w:val="center"/>
          </w:tcPr>
          <w:p w14:paraId="18ABC540">
            <w:pPr>
              <w:pStyle w:val="13"/>
              <w:spacing w:before="156" w:beforeLines="50" w:after="156" w:afterLines="50"/>
              <w:rPr>
                <w:rFonts w:ascii="宋体"/>
                <w:kern w:val="2"/>
                <w:sz w:val="18"/>
                <w:szCs w:val="18"/>
              </w:rPr>
            </w:pPr>
            <w:r>
              <w:rPr>
                <w:rFonts w:hint="eastAsia"/>
                <w:sz w:val="18"/>
                <w:szCs w:val="18"/>
              </w:rPr>
              <w:t>因托运人提供的</w:t>
            </w:r>
            <w:r>
              <w:rPr>
                <w:sz w:val="18"/>
                <w:szCs w:val="18"/>
              </w:rPr>
              <w:t>验证重量与实际重量的误差超过5%或者1吨</w:t>
            </w:r>
            <w:r>
              <w:rPr>
                <w:rFonts w:hint="eastAsia"/>
                <w:sz w:val="18"/>
                <w:szCs w:val="18"/>
              </w:rPr>
              <w:t>，</w:t>
            </w:r>
            <w:r>
              <w:rPr>
                <w:rFonts w:hint="eastAsia" w:ascii="宋体"/>
                <w:sz w:val="18"/>
                <w:szCs w:val="18"/>
              </w:rPr>
              <w:t>导致发生一般以上等级水上交通事故的。</w:t>
            </w:r>
          </w:p>
        </w:tc>
        <w:tc>
          <w:tcPr>
            <w:tcW w:w="7284" w:type="dxa"/>
            <w:tcBorders>
              <w:top w:val="single" w:color="auto" w:sz="4" w:space="0"/>
              <w:left w:val="single" w:color="auto" w:sz="4" w:space="0"/>
              <w:bottom w:val="single" w:color="auto" w:sz="4" w:space="0"/>
              <w:right w:val="single" w:color="auto" w:sz="4" w:space="0"/>
            </w:tcBorders>
            <w:vAlign w:val="center"/>
          </w:tcPr>
          <w:p w14:paraId="64C35DB0">
            <w:pPr>
              <w:spacing w:before="156" w:beforeLines="50" w:after="156" w:afterLines="50"/>
              <w:jc w:val="left"/>
              <w:rPr>
                <w:sz w:val="18"/>
                <w:szCs w:val="18"/>
              </w:rPr>
            </w:pPr>
            <w:r>
              <w:rPr>
                <w:rFonts w:hint="eastAsia"/>
                <w:sz w:val="18"/>
                <w:szCs w:val="18"/>
              </w:rPr>
              <w:t>1.5万元及以上3万元以下</w:t>
            </w:r>
          </w:p>
        </w:tc>
      </w:tr>
    </w:tbl>
    <w:p w14:paraId="5EC03CDB">
      <w:pPr>
        <w:spacing w:before="156" w:beforeLines="50" w:after="156" w:afterLines="50"/>
        <w:jc w:val="left"/>
        <w:rPr>
          <w:sz w:val="18"/>
          <w:szCs w:val="18"/>
        </w:rPr>
      </w:pPr>
      <w:r>
        <w:rPr>
          <w:rFonts w:hint="eastAsia"/>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67"/>
        <w:gridCol w:w="1551"/>
        <w:gridCol w:w="3816"/>
        <w:gridCol w:w="2218"/>
        <w:gridCol w:w="656"/>
        <w:gridCol w:w="3321"/>
        <w:gridCol w:w="7164"/>
      </w:tblGrid>
      <w:tr w14:paraId="274D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3B0592F9">
            <w:pPr>
              <w:spacing w:before="156" w:beforeLines="50" w:after="156" w:afterLines="50"/>
              <w:jc w:val="center"/>
              <w:rPr>
                <w:b/>
                <w:sz w:val="18"/>
                <w:szCs w:val="18"/>
              </w:rPr>
            </w:pPr>
            <w:r>
              <w:rPr>
                <w:rFonts w:hint="eastAsia"/>
                <w:b/>
                <w:sz w:val="18"/>
                <w:szCs w:val="18"/>
              </w:rPr>
              <w:t>序号</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26A0C134">
            <w:pPr>
              <w:spacing w:before="156" w:beforeLines="50" w:after="156" w:afterLines="50"/>
              <w:jc w:val="center"/>
              <w:rPr>
                <w:b/>
                <w:sz w:val="18"/>
                <w:szCs w:val="18"/>
              </w:rPr>
            </w:pPr>
            <w:r>
              <w:rPr>
                <w:rFonts w:hint="eastAsia"/>
                <w:b/>
                <w:sz w:val="18"/>
                <w:szCs w:val="18"/>
              </w:rPr>
              <w:t>案由</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14:paraId="7C57B9C0">
            <w:pPr>
              <w:spacing w:before="156" w:beforeLines="50" w:after="156" w:afterLines="50"/>
              <w:jc w:val="center"/>
              <w:rPr>
                <w:b/>
                <w:sz w:val="18"/>
                <w:szCs w:val="18"/>
              </w:rPr>
            </w:pPr>
            <w:r>
              <w:rPr>
                <w:rFonts w:hint="eastAsia"/>
                <w:b/>
                <w:sz w:val="18"/>
                <w:szCs w:val="18"/>
              </w:rPr>
              <w:t>具体违法行为</w:t>
            </w:r>
          </w:p>
        </w:tc>
        <w:tc>
          <w:tcPr>
            <w:tcW w:w="603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E67E6CA">
            <w:pPr>
              <w:spacing w:before="156" w:beforeLines="50" w:after="156" w:afterLines="50"/>
              <w:jc w:val="center"/>
              <w:rPr>
                <w:b/>
                <w:sz w:val="18"/>
                <w:szCs w:val="18"/>
              </w:rPr>
            </w:pPr>
            <w:r>
              <w:rPr>
                <w:rFonts w:hint="eastAsia"/>
                <w:b/>
                <w:sz w:val="18"/>
                <w:szCs w:val="18"/>
              </w:rPr>
              <w:t>法律依据</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091B3322">
            <w:pPr>
              <w:spacing w:before="156" w:beforeLines="50" w:after="156" w:afterLines="50"/>
              <w:jc w:val="center"/>
              <w:rPr>
                <w:b/>
                <w:sz w:val="18"/>
                <w:szCs w:val="18"/>
              </w:rPr>
            </w:pPr>
            <w:r>
              <w:rPr>
                <w:rFonts w:hint="eastAsia"/>
                <w:b/>
                <w:sz w:val="18"/>
                <w:szCs w:val="18"/>
              </w:rPr>
              <w:t>违法情节</w:t>
            </w:r>
          </w:p>
        </w:tc>
        <w:tc>
          <w:tcPr>
            <w:tcW w:w="3321" w:type="dxa"/>
            <w:vMerge w:val="restart"/>
            <w:tcBorders>
              <w:top w:val="single" w:color="000000" w:sz="4" w:space="0"/>
              <w:left w:val="single" w:color="000000" w:sz="4" w:space="0"/>
              <w:bottom w:val="single" w:color="000000" w:sz="4" w:space="0"/>
              <w:right w:val="single" w:color="000000" w:sz="4" w:space="0"/>
            </w:tcBorders>
            <w:vAlign w:val="center"/>
          </w:tcPr>
          <w:p w14:paraId="085E9284">
            <w:pPr>
              <w:spacing w:before="156" w:beforeLines="50" w:after="156" w:afterLines="50"/>
              <w:jc w:val="center"/>
              <w:rPr>
                <w:b/>
                <w:sz w:val="18"/>
                <w:szCs w:val="18"/>
              </w:rPr>
            </w:pPr>
            <w:r>
              <w:rPr>
                <w:rFonts w:hint="eastAsia"/>
                <w:b/>
                <w:sz w:val="18"/>
                <w:szCs w:val="18"/>
              </w:rPr>
              <w:t>主要考虑因素（事实、性质、情节、危害程度和实际后果等）</w:t>
            </w:r>
          </w:p>
        </w:tc>
        <w:tc>
          <w:tcPr>
            <w:tcW w:w="7164" w:type="dxa"/>
            <w:tcBorders>
              <w:top w:val="single" w:color="000000" w:sz="4" w:space="0"/>
              <w:left w:val="single" w:color="000000" w:sz="4" w:space="0"/>
              <w:bottom w:val="single" w:color="auto" w:sz="4" w:space="0"/>
              <w:right w:val="single" w:color="auto" w:sz="4" w:space="0"/>
            </w:tcBorders>
            <w:vAlign w:val="center"/>
          </w:tcPr>
          <w:p w14:paraId="4325B888">
            <w:pPr>
              <w:spacing w:before="156" w:beforeLines="50" w:after="156" w:afterLines="50"/>
              <w:jc w:val="center"/>
              <w:rPr>
                <w:b/>
                <w:sz w:val="18"/>
                <w:szCs w:val="18"/>
              </w:rPr>
            </w:pPr>
            <w:r>
              <w:rPr>
                <w:rFonts w:hint="eastAsia"/>
                <w:b/>
                <w:sz w:val="18"/>
                <w:szCs w:val="18"/>
              </w:rPr>
              <w:t>【法定幅度和种类】处1000元以上3万元以下罚款</w:t>
            </w:r>
          </w:p>
        </w:tc>
      </w:tr>
      <w:tr w14:paraId="025C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7F7BBB2">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1BAAA1FB">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647B92C1">
            <w:pPr>
              <w:spacing w:before="156" w:beforeLines="50" w:after="156" w:afterLines="50"/>
              <w:jc w:val="center"/>
              <w:rPr>
                <w:b/>
                <w:sz w:val="18"/>
                <w:szCs w:val="18"/>
              </w:rPr>
            </w:pPr>
          </w:p>
        </w:tc>
        <w:tc>
          <w:tcPr>
            <w:tcW w:w="603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BED509B">
            <w:pPr>
              <w:spacing w:before="156" w:beforeLines="50" w:after="156" w:afterLines="50"/>
              <w:jc w:val="center"/>
              <w:rPr>
                <w:b/>
                <w:sz w:val="18"/>
                <w:szCs w:val="18"/>
              </w:rPr>
            </w:pP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398674F6">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2C1856D0">
            <w:pPr>
              <w:spacing w:before="156" w:beforeLines="50" w:after="156" w:afterLines="50"/>
              <w:jc w:val="center"/>
              <w:rPr>
                <w:b/>
                <w:sz w:val="18"/>
                <w:szCs w:val="18"/>
              </w:rPr>
            </w:pPr>
          </w:p>
        </w:tc>
        <w:tc>
          <w:tcPr>
            <w:tcW w:w="7164" w:type="dxa"/>
            <w:tcBorders>
              <w:top w:val="single" w:color="auto" w:sz="4" w:space="0"/>
              <w:left w:val="single" w:color="000000" w:sz="4" w:space="0"/>
              <w:bottom w:val="single" w:color="auto" w:sz="4" w:space="0"/>
              <w:right w:val="single" w:color="auto" w:sz="4" w:space="0"/>
            </w:tcBorders>
            <w:vAlign w:val="center"/>
          </w:tcPr>
          <w:p w14:paraId="06BD5CCE">
            <w:pPr>
              <w:spacing w:before="156" w:beforeLines="50" w:after="156" w:afterLines="50"/>
              <w:jc w:val="center"/>
              <w:rPr>
                <w:b/>
                <w:sz w:val="18"/>
                <w:szCs w:val="18"/>
              </w:rPr>
            </w:pPr>
            <w:r>
              <w:rPr>
                <w:rFonts w:hint="eastAsia"/>
                <w:b/>
                <w:sz w:val="18"/>
                <w:szCs w:val="18"/>
              </w:rPr>
              <w:t>处罚基准</w:t>
            </w:r>
          </w:p>
        </w:tc>
      </w:tr>
      <w:tr w14:paraId="138D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0C79F92">
            <w:pPr>
              <w:spacing w:before="156" w:beforeLines="50" w:after="156" w:afterLines="50"/>
              <w:jc w:val="center"/>
              <w:rPr>
                <w:b/>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37E99730">
            <w:pPr>
              <w:spacing w:before="156" w:beforeLines="50" w:after="156" w:afterLines="50"/>
              <w:jc w:val="center"/>
              <w:rPr>
                <w:b/>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38D5FFD8">
            <w:pPr>
              <w:spacing w:before="156" w:beforeLines="50" w:after="156" w:afterLines="50"/>
              <w:jc w:val="center"/>
              <w:rPr>
                <w:b/>
                <w:sz w:val="18"/>
                <w:szCs w:val="18"/>
              </w:rPr>
            </w:pPr>
          </w:p>
        </w:tc>
        <w:tc>
          <w:tcPr>
            <w:tcW w:w="3816" w:type="dxa"/>
            <w:tcBorders>
              <w:top w:val="single" w:color="000000" w:sz="4" w:space="0"/>
              <w:left w:val="single" w:color="000000" w:sz="4" w:space="0"/>
              <w:bottom w:val="single" w:color="000000" w:sz="4" w:space="0"/>
              <w:right w:val="single" w:color="000000" w:sz="4" w:space="0"/>
            </w:tcBorders>
            <w:vAlign w:val="center"/>
          </w:tcPr>
          <w:p w14:paraId="033777AE">
            <w:pPr>
              <w:spacing w:before="156" w:beforeLines="50" w:after="156" w:afterLines="50"/>
              <w:jc w:val="center"/>
              <w:rPr>
                <w:b/>
                <w:sz w:val="18"/>
                <w:szCs w:val="18"/>
              </w:rPr>
            </w:pPr>
            <w:r>
              <w:rPr>
                <w:rFonts w:hint="eastAsia"/>
                <w:b/>
                <w:sz w:val="18"/>
                <w:szCs w:val="18"/>
              </w:rPr>
              <w:t>违反条款</w:t>
            </w:r>
          </w:p>
        </w:tc>
        <w:tc>
          <w:tcPr>
            <w:tcW w:w="2218" w:type="dxa"/>
            <w:tcBorders>
              <w:top w:val="single" w:color="000000" w:sz="4" w:space="0"/>
              <w:left w:val="single" w:color="000000" w:sz="4" w:space="0"/>
              <w:bottom w:val="single" w:color="000000" w:sz="4" w:space="0"/>
              <w:right w:val="single" w:color="000000" w:sz="4" w:space="0"/>
            </w:tcBorders>
            <w:vAlign w:val="center"/>
          </w:tcPr>
          <w:p w14:paraId="2B65FDB6">
            <w:pPr>
              <w:spacing w:before="156" w:beforeLines="50" w:after="156" w:afterLines="50"/>
              <w:jc w:val="center"/>
              <w:rPr>
                <w:b/>
                <w:sz w:val="18"/>
                <w:szCs w:val="18"/>
              </w:rPr>
            </w:pPr>
            <w:r>
              <w:rPr>
                <w:rFonts w:hint="eastAsia"/>
                <w:b/>
                <w:sz w:val="18"/>
                <w:szCs w:val="18"/>
              </w:rPr>
              <w:t>处罚依据</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89C2302">
            <w:pPr>
              <w:spacing w:before="156" w:beforeLines="50" w:after="156" w:afterLines="50"/>
              <w:jc w:val="center"/>
              <w:rPr>
                <w:b/>
                <w:sz w:val="18"/>
                <w:szCs w:val="18"/>
              </w:rPr>
            </w:pPr>
          </w:p>
        </w:tc>
        <w:tc>
          <w:tcPr>
            <w:tcW w:w="3321" w:type="dxa"/>
            <w:vMerge w:val="continue"/>
            <w:tcBorders>
              <w:top w:val="single" w:color="000000" w:sz="4" w:space="0"/>
              <w:left w:val="single" w:color="000000" w:sz="4" w:space="0"/>
              <w:bottom w:val="single" w:color="000000" w:sz="4" w:space="0"/>
              <w:right w:val="single" w:color="000000" w:sz="4" w:space="0"/>
            </w:tcBorders>
            <w:vAlign w:val="center"/>
          </w:tcPr>
          <w:p w14:paraId="0A7CA3F7">
            <w:pPr>
              <w:spacing w:before="156" w:beforeLines="50" w:after="156" w:afterLines="50"/>
              <w:jc w:val="center"/>
              <w:rPr>
                <w:b/>
                <w:sz w:val="18"/>
                <w:szCs w:val="18"/>
              </w:rPr>
            </w:pPr>
          </w:p>
        </w:tc>
        <w:tc>
          <w:tcPr>
            <w:tcW w:w="7164" w:type="dxa"/>
            <w:tcBorders>
              <w:top w:val="single" w:color="auto" w:sz="4" w:space="0"/>
              <w:left w:val="single" w:color="000000" w:sz="4" w:space="0"/>
              <w:bottom w:val="single" w:color="000000" w:sz="4" w:space="0"/>
              <w:right w:val="single" w:color="auto" w:sz="4" w:space="0"/>
            </w:tcBorders>
            <w:vAlign w:val="center"/>
          </w:tcPr>
          <w:p w14:paraId="6BD74354">
            <w:pPr>
              <w:spacing w:before="156" w:beforeLines="50" w:after="156" w:afterLines="50"/>
              <w:jc w:val="center"/>
              <w:rPr>
                <w:b/>
                <w:sz w:val="18"/>
                <w:szCs w:val="18"/>
              </w:rPr>
            </w:pPr>
            <w:r>
              <w:rPr>
                <w:rFonts w:hint="eastAsia"/>
                <w:b/>
                <w:sz w:val="18"/>
                <w:szCs w:val="18"/>
              </w:rPr>
              <w:t>【对象】</w:t>
            </w:r>
            <w:r>
              <w:rPr>
                <w:b/>
                <w:sz w:val="18"/>
                <w:szCs w:val="18"/>
              </w:rPr>
              <w:t xml:space="preserve"> </w:t>
            </w:r>
            <w:r>
              <w:rPr>
                <w:rFonts w:hint="eastAsia"/>
                <w:b/>
                <w:sz w:val="18"/>
                <w:szCs w:val="18"/>
              </w:rPr>
              <w:t>承运人</w:t>
            </w:r>
          </w:p>
        </w:tc>
      </w:tr>
      <w:tr w14:paraId="1A1F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3F6BFCCA">
            <w:pPr>
              <w:spacing w:before="156" w:beforeLines="50" w:after="156" w:afterLines="50"/>
              <w:jc w:val="center"/>
              <w:rPr>
                <w:sz w:val="18"/>
                <w:szCs w:val="18"/>
              </w:rPr>
            </w:pPr>
            <w:r>
              <w:rPr>
                <w:rFonts w:hint="eastAsia"/>
                <w:sz w:val="18"/>
                <w:szCs w:val="18"/>
              </w:rPr>
              <w:t>68</w:t>
            </w:r>
          </w:p>
        </w:tc>
        <w:tc>
          <w:tcPr>
            <w:tcW w:w="1267" w:type="dxa"/>
            <w:vMerge w:val="restart"/>
            <w:tcBorders>
              <w:top w:val="single" w:color="000000" w:sz="4" w:space="0"/>
              <w:left w:val="single" w:color="000000" w:sz="4" w:space="0"/>
              <w:bottom w:val="single" w:color="000000" w:sz="4" w:space="0"/>
              <w:right w:val="single" w:color="000000" w:sz="4" w:space="0"/>
            </w:tcBorders>
            <w:vAlign w:val="center"/>
          </w:tcPr>
          <w:p w14:paraId="551DE579">
            <w:pPr>
              <w:pStyle w:val="14"/>
              <w:spacing w:before="156" w:beforeLines="50" w:after="156" w:afterLines="50"/>
              <w:rPr>
                <w:sz w:val="18"/>
                <w:szCs w:val="18"/>
              </w:rPr>
            </w:pPr>
            <w:r>
              <w:rPr>
                <w:sz w:val="18"/>
                <w:szCs w:val="18"/>
              </w:rPr>
              <w:t>载运未取得验证信息或者验证重量超过最大营运总质量的集装箱</w:t>
            </w:r>
          </w:p>
          <w:p w14:paraId="18BEB180">
            <w:pPr>
              <w:spacing w:before="156" w:beforeLines="50" w:after="156" w:afterLines="50"/>
              <w:rPr>
                <w:sz w:val="18"/>
                <w:szCs w:val="18"/>
              </w:rPr>
            </w:pP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14:paraId="440CF858">
            <w:pPr>
              <w:pStyle w:val="14"/>
              <w:spacing w:before="156" w:beforeLines="50" w:after="156" w:afterLines="50"/>
              <w:rPr>
                <w:sz w:val="18"/>
                <w:szCs w:val="18"/>
              </w:rPr>
            </w:pPr>
            <w:r>
              <w:rPr>
                <w:sz w:val="18"/>
                <w:szCs w:val="18"/>
              </w:rPr>
              <w:t>载运未取得验证信息或者验证重量超过最大营运总质量的集装箱</w:t>
            </w:r>
          </w:p>
          <w:p w14:paraId="29EEFAA3">
            <w:pPr>
              <w:spacing w:before="156" w:beforeLines="50" w:after="156" w:afterLines="50"/>
              <w:rPr>
                <w:sz w:val="18"/>
                <w:szCs w:val="18"/>
              </w:rPr>
            </w:pPr>
          </w:p>
        </w:tc>
        <w:tc>
          <w:tcPr>
            <w:tcW w:w="3816" w:type="dxa"/>
            <w:vMerge w:val="restart"/>
            <w:tcBorders>
              <w:top w:val="single" w:color="000000" w:sz="4" w:space="0"/>
              <w:left w:val="single" w:color="000000" w:sz="4" w:space="0"/>
              <w:bottom w:val="single" w:color="000000" w:sz="4" w:space="0"/>
              <w:right w:val="single" w:color="000000" w:sz="4" w:space="0"/>
            </w:tcBorders>
            <w:vAlign w:val="center"/>
          </w:tcPr>
          <w:p w14:paraId="36634274">
            <w:pPr>
              <w:spacing w:before="156" w:beforeLines="50" w:after="156" w:afterLines="50"/>
              <w:rPr>
                <w:sz w:val="18"/>
                <w:szCs w:val="18"/>
              </w:rPr>
            </w:pPr>
            <w:r>
              <w:rPr>
                <w:rFonts w:hint="eastAsia"/>
                <w:sz w:val="18"/>
                <w:szCs w:val="18"/>
              </w:rPr>
              <w:t>《中华人民共和国船舶安全监督规则》第四十七条第三款</w:t>
            </w:r>
          </w:p>
          <w:p w14:paraId="1D28A372">
            <w:pPr>
              <w:spacing w:before="156" w:beforeLines="50" w:after="156" w:afterLines="50"/>
              <w:rPr>
                <w:b/>
                <w:sz w:val="18"/>
                <w:szCs w:val="18"/>
              </w:rPr>
            </w:pPr>
          </w:p>
        </w:tc>
        <w:tc>
          <w:tcPr>
            <w:tcW w:w="2218" w:type="dxa"/>
            <w:vMerge w:val="restart"/>
            <w:tcBorders>
              <w:top w:val="single" w:color="000000" w:sz="4" w:space="0"/>
              <w:left w:val="single" w:color="000000" w:sz="4" w:space="0"/>
              <w:bottom w:val="single" w:color="000000" w:sz="4" w:space="0"/>
              <w:right w:val="single" w:color="000000" w:sz="4" w:space="0"/>
            </w:tcBorders>
            <w:vAlign w:val="center"/>
          </w:tcPr>
          <w:p w14:paraId="1E0366F0">
            <w:pPr>
              <w:pStyle w:val="13"/>
              <w:spacing w:before="156" w:beforeLines="50" w:after="156" w:afterLines="50"/>
              <w:rPr>
                <w:sz w:val="18"/>
                <w:szCs w:val="18"/>
              </w:rPr>
            </w:pPr>
            <w:r>
              <w:rPr>
                <w:rFonts w:hint="eastAsia"/>
                <w:sz w:val="18"/>
                <w:szCs w:val="18"/>
              </w:rPr>
              <w:t>1.《中华人民共和国船舶安全监督规则》第五十六条第（二）项；</w:t>
            </w:r>
          </w:p>
          <w:p w14:paraId="7D53794A">
            <w:pPr>
              <w:pStyle w:val="13"/>
              <w:spacing w:before="156" w:beforeLines="50" w:after="156" w:afterLines="50"/>
              <w:rPr>
                <w:sz w:val="18"/>
                <w:szCs w:val="18"/>
              </w:rPr>
            </w:pPr>
            <w:r>
              <w:rPr>
                <w:rFonts w:hint="eastAsia"/>
                <w:sz w:val="18"/>
                <w:szCs w:val="18"/>
              </w:rPr>
              <w:t>2.《中华人民共和国行政处罚法》第三十二条（从轻。</w:t>
            </w:r>
          </w:p>
          <w:p w14:paraId="12D7438F">
            <w:pPr>
              <w:spacing w:before="156" w:beforeLines="50" w:after="156" w:afterLines="50"/>
              <w:rPr>
                <w:sz w:val="18"/>
                <w:szCs w:val="18"/>
              </w:rPr>
            </w:pPr>
          </w:p>
          <w:p w14:paraId="405ADD5D">
            <w:pPr>
              <w:spacing w:before="156" w:beforeLines="50" w:after="156" w:afterLines="50"/>
              <w:rPr>
                <w:sz w:val="18"/>
                <w:szCs w:val="18"/>
              </w:rPr>
            </w:pPr>
          </w:p>
        </w:tc>
        <w:tc>
          <w:tcPr>
            <w:tcW w:w="656" w:type="dxa"/>
            <w:tcBorders>
              <w:top w:val="single" w:color="000000" w:sz="4" w:space="0"/>
              <w:left w:val="single" w:color="000000" w:sz="4" w:space="0"/>
              <w:bottom w:val="single" w:color="000000" w:sz="4" w:space="0"/>
              <w:right w:val="single" w:color="000000" w:sz="4" w:space="0"/>
            </w:tcBorders>
            <w:vAlign w:val="center"/>
          </w:tcPr>
          <w:p w14:paraId="139F7794">
            <w:pPr>
              <w:spacing w:before="156" w:beforeLines="50" w:after="156" w:afterLines="50"/>
              <w:jc w:val="left"/>
              <w:rPr>
                <w:sz w:val="18"/>
                <w:szCs w:val="18"/>
              </w:rPr>
            </w:pPr>
            <w:r>
              <w:rPr>
                <w:rFonts w:hint="eastAsia"/>
                <w:sz w:val="18"/>
                <w:szCs w:val="18"/>
              </w:rPr>
              <w:t>从轻</w:t>
            </w:r>
          </w:p>
        </w:tc>
        <w:tc>
          <w:tcPr>
            <w:tcW w:w="3321" w:type="dxa"/>
            <w:tcBorders>
              <w:top w:val="single" w:color="000000" w:sz="4" w:space="0"/>
              <w:left w:val="single" w:color="000000" w:sz="4" w:space="0"/>
              <w:bottom w:val="single" w:color="000000" w:sz="4" w:space="0"/>
              <w:right w:val="single" w:color="000000" w:sz="4" w:space="0"/>
            </w:tcBorders>
            <w:vAlign w:val="center"/>
          </w:tcPr>
          <w:p w14:paraId="5F7377C0">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7164" w:type="dxa"/>
            <w:tcBorders>
              <w:top w:val="single" w:color="000000" w:sz="4" w:space="0"/>
              <w:left w:val="single" w:color="000000" w:sz="4" w:space="0"/>
              <w:bottom w:val="single" w:color="auto" w:sz="4" w:space="0"/>
              <w:right w:val="single" w:color="auto" w:sz="4" w:space="0"/>
            </w:tcBorders>
            <w:vAlign w:val="center"/>
          </w:tcPr>
          <w:p w14:paraId="1E3CB36E">
            <w:pPr>
              <w:spacing w:before="156" w:beforeLines="50" w:after="156" w:afterLines="50"/>
              <w:jc w:val="left"/>
              <w:rPr>
                <w:sz w:val="18"/>
                <w:szCs w:val="18"/>
              </w:rPr>
            </w:pPr>
            <w:r>
              <w:rPr>
                <w:sz w:val="18"/>
                <w:szCs w:val="18"/>
              </w:rPr>
              <w:t>1000</w:t>
            </w:r>
            <w:r>
              <w:rPr>
                <w:rFonts w:hint="eastAsia"/>
                <w:sz w:val="18"/>
                <w:szCs w:val="18"/>
              </w:rPr>
              <w:t>元及以上50</w:t>
            </w:r>
            <w:r>
              <w:rPr>
                <w:sz w:val="18"/>
                <w:szCs w:val="18"/>
              </w:rPr>
              <w:t>00</w:t>
            </w:r>
            <w:r>
              <w:rPr>
                <w:rFonts w:hint="eastAsia"/>
                <w:sz w:val="18"/>
                <w:szCs w:val="18"/>
              </w:rPr>
              <w:t>元以下</w:t>
            </w:r>
          </w:p>
        </w:tc>
      </w:tr>
      <w:tr w14:paraId="5FFD1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ABCC5D3">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0AC88CA">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630C2B74">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2C807B08">
            <w:pPr>
              <w:widowControl/>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4A1CCC79">
            <w:pPr>
              <w:spacing w:before="156" w:beforeLines="50" w:after="156" w:afterLines="50"/>
              <w:jc w:val="center"/>
              <w:rPr>
                <w:sz w:val="18"/>
                <w:szCs w:val="18"/>
              </w:rPr>
            </w:pPr>
          </w:p>
        </w:tc>
        <w:tc>
          <w:tcPr>
            <w:tcW w:w="656" w:type="dxa"/>
            <w:vMerge w:val="restart"/>
            <w:tcBorders>
              <w:top w:val="single" w:color="000000" w:sz="4" w:space="0"/>
              <w:left w:val="single" w:color="000000" w:sz="4" w:space="0"/>
              <w:right w:val="single" w:color="000000" w:sz="4" w:space="0"/>
            </w:tcBorders>
            <w:vAlign w:val="center"/>
          </w:tcPr>
          <w:p w14:paraId="42910D2B">
            <w:pPr>
              <w:spacing w:before="156" w:beforeLines="50" w:after="156" w:afterLines="50"/>
              <w:jc w:val="center"/>
              <w:rPr>
                <w:sz w:val="18"/>
                <w:szCs w:val="18"/>
              </w:rPr>
            </w:pPr>
            <w:r>
              <w:rPr>
                <w:rFonts w:hint="eastAsia"/>
                <w:sz w:val="18"/>
                <w:szCs w:val="18"/>
              </w:rPr>
              <w:t>一般</w:t>
            </w:r>
          </w:p>
        </w:tc>
        <w:tc>
          <w:tcPr>
            <w:tcW w:w="3321" w:type="dxa"/>
            <w:tcBorders>
              <w:top w:val="single" w:color="auto" w:sz="4" w:space="0"/>
              <w:left w:val="single" w:color="000000" w:sz="4" w:space="0"/>
              <w:bottom w:val="single" w:color="auto" w:sz="4" w:space="0"/>
              <w:right w:val="single" w:color="000000" w:sz="4" w:space="0"/>
            </w:tcBorders>
            <w:vAlign w:val="center"/>
          </w:tcPr>
          <w:p w14:paraId="72D6B321">
            <w:pPr>
              <w:pStyle w:val="14"/>
              <w:spacing w:before="156" w:beforeLines="50" w:after="156" w:afterLines="50"/>
              <w:rPr>
                <w:sz w:val="18"/>
                <w:szCs w:val="18"/>
              </w:rPr>
            </w:pPr>
            <w:r>
              <w:rPr>
                <w:sz w:val="18"/>
                <w:szCs w:val="18"/>
              </w:rPr>
              <w:t>载运未取得验证信息或者验证重量超过最大营运总质量的集装箱</w:t>
            </w:r>
            <w:r>
              <w:rPr>
                <w:rFonts w:hint="eastAsia"/>
                <w:sz w:val="18"/>
                <w:szCs w:val="18"/>
              </w:rPr>
              <w:t>的。</w:t>
            </w:r>
          </w:p>
        </w:tc>
        <w:tc>
          <w:tcPr>
            <w:tcW w:w="7164" w:type="dxa"/>
            <w:tcBorders>
              <w:top w:val="single" w:color="000000" w:sz="4" w:space="0"/>
              <w:left w:val="single" w:color="000000" w:sz="4" w:space="0"/>
              <w:bottom w:val="single" w:color="000000" w:sz="4" w:space="0"/>
              <w:right w:val="single" w:color="auto" w:sz="4" w:space="0"/>
            </w:tcBorders>
            <w:vAlign w:val="center"/>
          </w:tcPr>
          <w:p w14:paraId="12D6A434">
            <w:pPr>
              <w:spacing w:before="156" w:beforeLines="50" w:after="156" w:afterLines="50"/>
              <w:jc w:val="left"/>
              <w:rPr>
                <w:sz w:val="18"/>
                <w:szCs w:val="18"/>
              </w:rPr>
            </w:pPr>
            <w:r>
              <w:rPr>
                <w:rFonts w:hint="eastAsia"/>
                <w:sz w:val="18"/>
                <w:szCs w:val="18"/>
              </w:rPr>
              <w:t>5000元及以上10000元以下</w:t>
            </w:r>
          </w:p>
        </w:tc>
      </w:tr>
      <w:tr w14:paraId="4065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54D5EF8">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7F11570F">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52C2B549">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5837FF36">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0F421006">
            <w:pPr>
              <w:spacing w:before="156" w:beforeLines="50" w:after="156" w:afterLines="50"/>
              <w:jc w:val="center"/>
              <w:rPr>
                <w:sz w:val="18"/>
                <w:szCs w:val="18"/>
              </w:rPr>
            </w:pPr>
          </w:p>
        </w:tc>
        <w:tc>
          <w:tcPr>
            <w:tcW w:w="656" w:type="dxa"/>
            <w:vMerge w:val="continue"/>
            <w:tcBorders>
              <w:left w:val="single" w:color="000000" w:sz="4" w:space="0"/>
              <w:right w:val="single" w:color="000000" w:sz="4" w:space="0"/>
            </w:tcBorders>
            <w:vAlign w:val="center"/>
          </w:tcPr>
          <w:p w14:paraId="62D9CAE9">
            <w:pPr>
              <w:spacing w:before="156" w:beforeLines="50" w:after="156" w:afterLines="50"/>
              <w:jc w:val="center"/>
              <w:rPr>
                <w:sz w:val="18"/>
                <w:szCs w:val="18"/>
              </w:rPr>
            </w:pPr>
          </w:p>
        </w:tc>
        <w:tc>
          <w:tcPr>
            <w:tcW w:w="3321" w:type="dxa"/>
            <w:tcBorders>
              <w:top w:val="single" w:color="auto" w:sz="4" w:space="0"/>
              <w:left w:val="single" w:color="000000" w:sz="4" w:space="0"/>
              <w:bottom w:val="single" w:color="000000" w:sz="4" w:space="0"/>
              <w:right w:val="single" w:color="000000" w:sz="4" w:space="0"/>
            </w:tcBorders>
            <w:vAlign w:val="center"/>
          </w:tcPr>
          <w:p w14:paraId="1AFBC64C">
            <w:pPr>
              <w:pStyle w:val="14"/>
              <w:spacing w:before="156" w:beforeLines="50" w:after="156" w:afterLines="50"/>
              <w:rPr>
                <w:kern w:val="2"/>
                <w:sz w:val="18"/>
                <w:szCs w:val="18"/>
              </w:rPr>
            </w:pPr>
            <w:r>
              <w:rPr>
                <w:rFonts w:hint="eastAsia"/>
                <w:sz w:val="18"/>
                <w:szCs w:val="18"/>
              </w:rPr>
              <w:t>因</w:t>
            </w:r>
            <w:r>
              <w:rPr>
                <w:sz w:val="18"/>
                <w:szCs w:val="18"/>
              </w:rPr>
              <w:t>载运验证重量超过最大营运总质量的集装箱</w:t>
            </w:r>
            <w:r>
              <w:rPr>
                <w:rFonts w:hint="eastAsia"/>
                <w:sz w:val="18"/>
                <w:szCs w:val="18"/>
              </w:rPr>
              <w:t>，导致发生一般以下等级水上交通事故的。</w:t>
            </w:r>
          </w:p>
        </w:tc>
        <w:tc>
          <w:tcPr>
            <w:tcW w:w="7164" w:type="dxa"/>
            <w:tcBorders>
              <w:top w:val="single" w:color="auto" w:sz="4" w:space="0"/>
              <w:left w:val="single" w:color="000000" w:sz="4" w:space="0"/>
              <w:bottom w:val="single" w:color="000000" w:sz="4" w:space="0"/>
              <w:right w:val="single" w:color="auto" w:sz="4" w:space="0"/>
            </w:tcBorders>
            <w:vAlign w:val="center"/>
          </w:tcPr>
          <w:p w14:paraId="40361BD7">
            <w:pPr>
              <w:spacing w:before="156" w:beforeLines="50" w:after="156" w:afterLines="50"/>
              <w:jc w:val="left"/>
              <w:rPr>
                <w:sz w:val="18"/>
                <w:szCs w:val="18"/>
              </w:rPr>
            </w:pPr>
            <w:r>
              <w:rPr>
                <w:rFonts w:hint="eastAsia"/>
                <w:sz w:val="18"/>
                <w:szCs w:val="18"/>
              </w:rPr>
              <w:t>10000元及以上1.5万元以下</w:t>
            </w:r>
          </w:p>
        </w:tc>
      </w:tr>
      <w:tr w14:paraId="38A5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475ECA6D">
            <w:pPr>
              <w:spacing w:before="156" w:beforeLines="50" w:after="156" w:afterLines="50"/>
              <w:jc w:val="center"/>
              <w:rPr>
                <w:sz w:val="18"/>
                <w:szCs w:val="18"/>
              </w:rPr>
            </w:pPr>
          </w:p>
        </w:tc>
        <w:tc>
          <w:tcPr>
            <w:tcW w:w="1267" w:type="dxa"/>
            <w:vMerge w:val="continue"/>
            <w:tcBorders>
              <w:top w:val="single" w:color="000000" w:sz="4" w:space="0"/>
              <w:left w:val="single" w:color="000000" w:sz="4" w:space="0"/>
              <w:bottom w:val="single" w:color="000000" w:sz="4" w:space="0"/>
              <w:right w:val="single" w:color="000000" w:sz="4" w:space="0"/>
            </w:tcBorders>
            <w:vAlign w:val="center"/>
          </w:tcPr>
          <w:p w14:paraId="02BF6B20">
            <w:pPr>
              <w:spacing w:before="156" w:beforeLines="50" w:after="156" w:afterLines="50"/>
              <w:jc w:val="center"/>
              <w:rPr>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3C43B9DF">
            <w:pPr>
              <w:spacing w:before="156" w:beforeLines="50" w:after="156" w:afterLines="50"/>
              <w:jc w:val="center"/>
              <w:rPr>
                <w:sz w:val="18"/>
                <w:szCs w:val="18"/>
              </w:rPr>
            </w:pPr>
          </w:p>
        </w:tc>
        <w:tc>
          <w:tcPr>
            <w:tcW w:w="3816" w:type="dxa"/>
            <w:vMerge w:val="continue"/>
            <w:tcBorders>
              <w:top w:val="single" w:color="000000" w:sz="4" w:space="0"/>
              <w:left w:val="single" w:color="000000" w:sz="4" w:space="0"/>
              <w:bottom w:val="single" w:color="000000" w:sz="4" w:space="0"/>
              <w:right w:val="single" w:color="000000" w:sz="4" w:space="0"/>
            </w:tcBorders>
            <w:vAlign w:val="center"/>
          </w:tcPr>
          <w:p w14:paraId="286E032A">
            <w:pPr>
              <w:spacing w:before="156" w:beforeLines="50" w:after="156" w:afterLines="50"/>
              <w:jc w:val="center"/>
              <w:rPr>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vAlign w:val="center"/>
          </w:tcPr>
          <w:p w14:paraId="3CE5ED8A">
            <w:pPr>
              <w:spacing w:before="156" w:beforeLines="50" w:after="156" w:afterLines="50"/>
              <w:jc w:val="center"/>
              <w:rPr>
                <w:sz w:val="18"/>
                <w:szCs w:val="18"/>
              </w:rPr>
            </w:pPr>
          </w:p>
        </w:tc>
        <w:tc>
          <w:tcPr>
            <w:tcW w:w="656" w:type="dxa"/>
            <w:vMerge w:val="continue"/>
            <w:tcBorders>
              <w:left w:val="single" w:color="000000" w:sz="4" w:space="0"/>
              <w:bottom w:val="single" w:color="000000" w:sz="4" w:space="0"/>
              <w:right w:val="single" w:color="000000" w:sz="4" w:space="0"/>
            </w:tcBorders>
            <w:vAlign w:val="center"/>
          </w:tcPr>
          <w:p w14:paraId="778515C2">
            <w:pPr>
              <w:spacing w:before="156" w:beforeLines="50" w:after="156" w:afterLines="50"/>
              <w:jc w:val="center"/>
              <w:rPr>
                <w:sz w:val="18"/>
                <w:szCs w:val="18"/>
              </w:rPr>
            </w:pPr>
          </w:p>
        </w:tc>
        <w:tc>
          <w:tcPr>
            <w:tcW w:w="3321" w:type="dxa"/>
            <w:tcBorders>
              <w:top w:val="single" w:color="auto" w:sz="4" w:space="0"/>
              <w:left w:val="single" w:color="auto" w:sz="4" w:space="0"/>
              <w:bottom w:val="single" w:color="auto" w:sz="4" w:space="0"/>
              <w:right w:val="single" w:color="auto" w:sz="4" w:space="0"/>
            </w:tcBorders>
            <w:vAlign w:val="center"/>
          </w:tcPr>
          <w:p w14:paraId="459E8DBA">
            <w:pPr>
              <w:pStyle w:val="14"/>
              <w:spacing w:before="156" w:beforeLines="50" w:after="156" w:afterLines="50"/>
              <w:rPr>
                <w:kern w:val="2"/>
                <w:sz w:val="18"/>
                <w:szCs w:val="18"/>
              </w:rPr>
            </w:pPr>
            <w:r>
              <w:rPr>
                <w:rFonts w:hint="eastAsia"/>
                <w:sz w:val="18"/>
                <w:szCs w:val="18"/>
              </w:rPr>
              <w:t>因</w:t>
            </w:r>
            <w:r>
              <w:rPr>
                <w:sz w:val="18"/>
                <w:szCs w:val="18"/>
              </w:rPr>
              <w:t>载运验证重量超过最大营运总质量的集装箱</w:t>
            </w:r>
            <w:r>
              <w:rPr>
                <w:rFonts w:hint="eastAsia"/>
                <w:sz w:val="18"/>
                <w:szCs w:val="18"/>
              </w:rPr>
              <w:t>，导致发生一般以上等级水上交通事故的。</w:t>
            </w:r>
          </w:p>
        </w:tc>
        <w:tc>
          <w:tcPr>
            <w:tcW w:w="7164" w:type="dxa"/>
            <w:tcBorders>
              <w:top w:val="single" w:color="auto" w:sz="4" w:space="0"/>
              <w:left w:val="single" w:color="auto" w:sz="4" w:space="0"/>
              <w:bottom w:val="single" w:color="auto" w:sz="4" w:space="0"/>
              <w:right w:val="single" w:color="auto" w:sz="4" w:space="0"/>
            </w:tcBorders>
            <w:vAlign w:val="center"/>
          </w:tcPr>
          <w:p w14:paraId="07655DC6">
            <w:pPr>
              <w:spacing w:before="156" w:beforeLines="50" w:after="156" w:afterLines="50"/>
              <w:jc w:val="left"/>
              <w:rPr>
                <w:sz w:val="18"/>
                <w:szCs w:val="18"/>
              </w:rPr>
            </w:pPr>
            <w:r>
              <w:rPr>
                <w:rFonts w:hint="eastAsia"/>
                <w:sz w:val="18"/>
                <w:szCs w:val="18"/>
              </w:rPr>
              <w:t>1.5万元及以上3万元以下</w:t>
            </w:r>
          </w:p>
        </w:tc>
      </w:tr>
    </w:tbl>
    <w:p w14:paraId="70879EE6">
      <w:pPr>
        <w:spacing w:before="156" w:beforeLines="50" w:after="156" w:afterLines="50" w:line="580" w:lineRule="exact"/>
        <w:rPr>
          <w:rFonts w:hAnsi="仿宋_GB2312" w:eastAsia="仿宋_GB2312"/>
          <w:spacing w:val="-6"/>
          <w:sz w:val="32"/>
          <w:szCs w:val="30"/>
        </w:rPr>
      </w:pPr>
      <w:r>
        <w:rPr>
          <w:rFonts w:hint="eastAsia" w:hAnsi="仿宋_GB2312" w:eastAsia="仿宋_GB2312"/>
          <w:spacing w:val="-6"/>
          <w:sz w:val="32"/>
          <w:szCs w:val="30"/>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811"/>
        <w:gridCol w:w="1028"/>
        <w:gridCol w:w="1243"/>
        <w:gridCol w:w="705"/>
        <w:gridCol w:w="1848"/>
        <w:gridCol w:w="2157"/>
        <w:gridCol w:w="2410"/>
        <w:gridCol w:w="1839"/>
        <w:gridCol w:w="2272"/>
        <w:gridCol w:w="1982"/>
        <w:gridCol w:w="2270"/>
        <w:gridCol w:w="1362"/>
      </w:tblGrid>
      <w:tr w14:paraId="2E7A7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704" w:type="dxa"/>
            <w:vMerge w:val="restart"/>
            <w:vAlign w:val="center"/>
          </w:tcPr>
          <w:p w14:paraId="4A9EC379">
            <w:pPr>
              <w:spacing w:before="156" w:beforeLines="50" w:after="156" w:afterLines="50"/>
              <w:jc w:val="center"/>
              <w:rPr>
                <w:rFonts w:ascii="宋体"/>
                <w:b/>
                <w:sz w:val="18"/>
                <w:szCs w:val="18"/>
              </w:rPr>
            </w:pPr>
            <w:r>
              <w:rPr>
                <w:rFonts w:hint="eastAsia" w:ascii="宋体"/>
                <w:b/>
                <w:sz w:val="18"/>
                <w:szCs w:val="18"/>
              </w:rPr>
              <w:t>序号</w:t>
            </w:r>
          </w:p>
        </w:tc>
        <w:tc>
          <w:tcPr>
            <w:tcW w:w="811" w:type="dxa"/>
            <w:vMerge w:val="restart"/>
            <w:vAlign w:val="center"/>
          </w:tcPr>
          <w:p w14:paraId="75A5AB48">
            <w:pPr>
              <w:spacing w:before="156" w:beforeLines="50" w:after="156" w:afterLines="50"/>
              <w:jc w:val="center"/>
              <w:rPr>
                <w:rFonts w:ascii="宋体"/>
                <w:b/>
                <w:sz w:val="18"/>
                <w:szCs w:val="18"/>
              </w:rPr>
            </w:pPr>
            <w:r>
              <w:rPr>
                <w:rFonts w:hint="eastAsia" w:ascii="宋体"/>
                <w:b/>
                <w:sz w:val="18"/>
                <w:szCs w:val="18"/>
              </w:rPr>
              <w:t>案由</w:t>
            </w:r>
          </w:p>
        </w:tc>
        <w:tc>
          <w:tcPr>
            <w:tcW w:w="2271" w:type="dxa"/>
            <w:gridSpan w:val="2"/>
            <w:vMerge w:val="restart"/>
            <w:vAlign w:val="center"/>
          </w:tcPr>
          <w:p w14:paraId="46ECD5CD">
            <w:pPr>
              <w:spacing w:before="156" w:beforeLines="50" w:after="156" w:afterLines="50"/>
              <w:jc w:val="center"/>
              <w:rPr>
                <w:rFonts w:ascii="宋体"/>
                <w:b/>
                <w:sz w:val="18"/>
                <w:szCs w:val="18"/>
              </w:rPr>
            </w:pPr>
            <w:r>
              <w:rPr>
                <w:rFonts w:hint="eastAsia" w:ascii="宋体"/>
                <w:b/>
                <w:sz w:val="18"/>
                <w:szCs w:val="18"/>
              </w:rPr>
              <w:t>法律依据</w:t>
            </w:r>
          </w:p>
        </w:tc>
        <w:tc>
          <w:tcPr>
            <w:tcW w:w="705" w:type="dxa"/>
            <w:vMerge w:val="restart"/>
            <w:vAlign w:val="center"/>
          </w:tcPr>
          <w:p w14:paraId="4ACCA4E9">
            <w:pPr>
              <w:spacing w:before="156" w:beforeLines="50" w:after="156" w:afterLines="50"/>
              <w:jc w:val="center"/>
              <w:rPr>
                <w:rFonts w:ascii="宋体"/>
                <w:b/>
                <w:sz w:val="18"/>
                <w:szCs w:val="18"/>
              </w:rPr>
            </w:pPr>
            <w:r>
              <w:rPr>
                <w:rFonts w:hint="eastAsia" w:ascii="宋体"/>
                <w:b/>
                <w:sz w:val="18"/>
                <w:szCs w:val="18"/>
              </w:rPr>
              <w:t>违法行为情节</w:t>
            </w:r>
          </w:p>
        </w:tc>
        <w:tc>
          <w:tcPr>
            <w:tcW w:w="1848" w:type="dxa"/>
            <w:vMerge w:val="restart"/>
            <w:vAlign w:val="center"/>
          </w:tcPr>
          <w:p w14:paraId="489AB446">
            <w:pPr>
              <w:spacing w:before="156" w:beforeLines="50" w:after="156" w:afterLines="50"/>
              <w:jc w:val="center"/>
              <w:rPr>
                <w:rFonts w:ascii="宋体"/>
                <w:b/>
                <w:sz w:val="18"/>
                <w:szCs w:val="18"/>
              </w:rPr>
            </w:pPr>
            <w:r>
              <w:rPr>
                <w:rFonts w:hint="eastAsia" w:ascii="宋体"/>
                <w:b/>
                <w:sz w:val="18"/>
                <w:szCs w:val="18"/>
              </w:rPr>
              <w:t>主要考虑因素</w:t>
            </w:r>
          </w:p>
          <w:p w14:paraId="7C60BD28">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292" w:type="dxa"/>
            <w:gridSpan w:val="7"/>
            <w:vAlign w:val="center"/>
          </w:tcPr>
          <w:p w14:paraId="1EC33860">
            <w:pPr>
              <w:spacing w:before="156" w:beforeLines="50" w:after="156" w:afterLines="50"/>
              <w:rPr>
                <w:rFonts w:ascii="宋体"/>
                <w:b/>
                <w:sz w:val="18"/>
                <w:szCs w:val="18"/>
              </w:rPr>
            </w:pPr>
            <w:r>
              <w:rPr>
                <w:rFonts w:hint="eastAsia" w:ascii="宋体"/>
                <w:b/>
                <w:sz w:val="18"/>
                <w:szCs w:val="18"/>
              </w:rPr>
              <w:t>【法定幅度和种类】责令其立即离岗，对直接责任人员处以</w:t>
            </w:r>
            <w:r>
              <w:rPr>
                <w:rFonts w:ascii="宋体"/>
                <w:b/>
                <w:sz w:val="18"/>
                <w:szCs w:val="18"/>
              </w:rPr>
              <w:t>2000</w:t>
            </w:r>
            <w:r>
              <w:rPr>
                <w:rFonts w:hint="eastAsia" w:ascii="宋体"/>
                <w:b/>
                <w:sz w:val="18"/>
                <w:szCs w:val="18"/>
              </w:rPr>
              <w:t>元以上</w:t>
            </w:r>
            <w:r>
              <w:rPr>
                <w:rFonts w:ascii="宋体"/>
                <w:b/>
                <w:sz w:val="18"/>
                <w:szCs w:val="18"/>
              </w:rPr>
              <w:t>2</w:t>
            </w:r>
            <w:r>
              <w:rPr>
                <w:rFonts w:hint="eastAsia" w:ascii="宋体"/>
                <w:b/>
                <w:sz w:val="18"/>
                <w:szCs w:val="18"/>
              </w:rPr>
              <w:t>万元以下罚款，并对聘用单位处3万元以上15万元以下罚款。</w:t>
            </w:r>
          </w:p>
        </w:tc>
      </w:tr>
      <w:tr w14:paraId="21DB3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704" w:type="dxa"/>
            <w:vMerge w:val="continue"/>
            <w:vAlign w:val="center"/>
          </w:tcPr>
          <w:p w14:paraId="2A2BF796">
            <w:pPr>
              <w:spacing w:before="156" w:beforeLines="50" w:after="156" w:afterLines="50"/>
              <w:jc w:val="center"/>
              <w:rPr>
                <w:rFonts w:ascii="宋体"/>
                <w:b/>
                <w:sz w:val="18"/>
                <w:szCs w:val="18"/>
              </w:rPr>
            </w:pPr>
          </w:p>
        </w:tc>
        <w:tc>
          <w:tcPr>
            <w:tcW w:w="811" w:type="dxa"/>
            <w:vMerge w:val="continue"/>
            <w:vAlign w:val="center"/>
          </w:tcPr>
          <w:p w14:paraId="53FD10D1">
            <w:pPr>
              <w:spacing w:before="156" w:beforeLines="50" w:after="156" w:afterLines="50"/>
              <w:jc w:val="center"/>
              <w:rPr>
                <w:rFonts w:ascii="宋体"/>
                <w:b/>
                <w:sz w:val="18"/>
                <w:szCs w:val="18"/>
              </w:rPr>
            </w:pPr>
          </w:p>
        </w:tc>
        <w:tc>
          <w:tcPr>
            <w:tcW w:w="2271" w:type="dxa"/>
            <w:gridSpan w:val="2"/>
            <w:vMerge w:val="continue"/>
            <w:vAlign w:val="center"/>
          </w:tcPr>
          <w:p w14:paraId="06EF6B99">
            <w:pPr>
              <w:spacing w:before="156" w:beforeLines="50" w:after="156" w:afterLines="50"/>
              <w:jc w:val="center"/>
              <w:rPr>
                <w:rFonts w:ascii="宋体"/>
                <w:b/>
                <w:sz w:val="18"/>
                <w:szCs w:val="18"/>
              </w:rPr>
            </w:pPr>
          </w:p>
        </w:tc>
        <w:tc>
          <w:tcPr>
            <w:tcW w:w="705" w:type="dxa"/>
            <w:vMerge w:val="continue"/>
            <w:vAlign w:val="center"/>
          </w:tcPr>
          <w:p w14:paraId="1A6FC784">
            <w:pPr>
              <w:spacing w:before="156" w:beforeLines="50" w:after="156" w:afterLines="50"/>
              <w:jc w:val="center"/>
              <w:rPr>
                <w:rFonts w:ascii="宋体"/>
                <w:b/>
                <w:sz w:val="18"/>
                <w:szCs w:val="18"/>
              </w:rPr>
            </w:pPr>
          </w:p>
        </w:tc>
        <w:tc>
          <w:tcPr>
            <w:tcW w:w="1848" w:type="dxa"/>
            <w:vMerge w:val="continue"/>
            <w:vAlign w:val="center"/>
          </w:tcPr>
          <w:p w14:paraId="6B2D9C63">
            <w:pPr>
              <w:spacing w:before="156" w:beforeLines="50" w:after="156" w:afterLines="50"/>
              <w:jc w:val="center"/>
              <w:rPr>
                <w:rFonts w:ascii="宋体"/>
                <w:b/>
                <w:sz w:val="18"/>
                <w:szCs w:val="18"/>
              </w:rPr>
            </w:pPr>
          </w:p>
        </w:tc>
        <w:tc>
          <w:tcPr>
            <w:tcW w:w="8678" w:type="dxa"/>
            <w:gridSpan w:val="4"/>
            <w:vAlign w:val="center"/>
          </w:tcPr>
          <w:p w14:paraId="36DE06A7">
            <w:pPr>
              <w:spacing w:before="156" w:beforeLines="50" w:after="156" w:afterLines="50"/>
              <w:jc w:val="center"/>
              <w:rPr>
                <w:rFonts w:ascii="宋体"/>
                <w:b/>
                <w:sz w:val="18"/>
                <w:szCs w:val="18"/>
              </w:rPr>
            </w:pPr>
            <w:r>
              <w:rPr>
                <w:rFonts w:hint="eastAsia" w:ascii="宋体"/>
                <w:b/>
                <w:sz w:val="18"/>
                <w:szCs w:val="18"/>
              </w:rPr>
              <w:t>处罚基准</w:t>
            </w:r>
          </w:p>
        </w:tc>
        <w:tc>
          <w:tcPr>
            <w:tcW w:w="5614" w:type="dxa"/>
            <w:gridSpan w:val="3"/>
            <w:vAlign w:val="center"/>
          </w:tcPr>
          <w:p w14:paraId="307A4FB7">
            <w:pPr>
              <w:spacing w:before="156" w:beforeLines="50" w:after="156" w:afterLines="50"/>
              <w:jc w:val="center"/>
              <w:rPr>
                <w:rFonts w:ascii="宋体"/>
                <w:b/>
                <w:sz w:val="18"/>
                <w:szCs w:val="18"/>
              </w:rPr>
            </w:pPr>
            <w:r>
              <w:rPr>
                <w:rFonts w:hint="eastAsia" w:ascii="宋体"/>
                <w:b/>
                <w:sz w:val="18"/>
                <w:szCs w:val="18"/>
              </w:rPr>
              <w:t>减轻处罚基准</w:t>
            </w:r>
          </w:p>
        </w:tc>
      </w:tr>
      <w:tr w14:paraId="27280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704" w:type="dxa"/>
            <w:vMerge w:val="continue"/>
            <w:vAlign w:val="center"/>
          </w:tcPr>
          <w:p w14:paraId="248C4640">
            <w:pPr>
              <w:spacing w:before="156" w:beforeLines="50" w:after="156" w:afterLines="50"/>
              <w:jc w:val="left"/>
              <w:rPr>
                <w:rFonts w:ascii="宋体"/>
                <w:b/>
                <w:sz w:val="18"/>
                <w:szCs w:val="18"/>
              </w:rPr>
            </w:pPr>
          </w:p>
        </w:tc>
        <w:tc>
          <w:tcPr>
            <w:tcW w:w="811" w:type="dxa"/>
            <w:vMerge w:val="continue"/>
            <w:vAlign w:val="center"/>
          </w:tcPr>
          <w:p w14:paraId="6A8AE3BD">
            <w:pPr>
              <w:spacing w:before="156" w:beforeLines="50" w:after="156" w:afterLines="50"/>
              <w:jc w:val="left"/>
              <w:rPr>
                <w:rFonts w:ascii="宋体"/>
                <w:b/>
                <w:sz w:val="18"/>
                <w:szCs w:val="18"/>
              </w:rPr>
            </w:pPr>
          </w:p>
        </w:tc>
        <w:tc>
          <w:tcPr>
            <w:tcW w:w="2271" w:type="dxa"/>
            <w:gridSpan w:val="2"/>
            <w:vMerge w:val="continue"/>
            <w:vAlign w:val="center"/>
          </w:tcPr>
          <w:p w14:paraId="6093BFD8">
            <w:pPr>
              <w:spacing w:before="156" w:beforeLines="50" w:after="156" w:afterLines="50"/>
              <w:jc w:val="left"/>
              <w:rPr>
                <w:rFonts w:ascii="宋体"/>
                <w:b/>
                <w:sz w:val="18"/>
                <w:szCs w:val="18"/>
              </w:rPr>
            </w:pPr>
          </w:p>
        </w:tc>
        <w:tc>
          <w:tcPr>
            <w:tcW w:w="705" w:type="dxa"/>
            <w:vMerge w:val="continue"/>
            <w:vAlign w:val="center"/>
          </w:tcPr>
          <w:p w14:paraId="2A6EADF8">
            <w:pPr>
              <w:spacing w:before="156" w:beforeLines="50" w:after="156" w:afterLines="50"/>
              <w:jc w:val="left"/>
              <w:rPr>
                <w:rFonts w:ascii="宋体"/>
                <w:b/>
                <w:sz w:val="18"/>
                <w:szCs w:val="18"/>
              </w:rPr>
            </w:pPr>
          </w:p>
        </w:tc>
        <w:tc>
          <w:tcPr>
            <w:tcW w:w="1848" w:type="dxa"/>
            <w:vMerge w:val="continue"/>
            <w:vAlign w:val="center"/>
          </w:tcPr>
          <w:p w14:paraId="01935BC2">
            <w:pPr>
              <w:spacing w:before="156" w:beforeLines="50" w:after="156" w:afterLines="50"/>
              <w:jc w:val="left"/>
              <w:rPr>
                <w:rFonts w:ascii="宋体"/>
                <w:b/>
                <w:sz w:val="18"/>
                <w:szCs w:val="18"/>
              </w:rPr>
            </w:pPr>
          </w:p>
        </w:tc>
        <w:tc>
          <w:tcPr>
            <w:tcW w:w="6406" w:type="dxa"/>
            <w:gridSpan w:val="3"/>
            <w:vAlign w:val="center"/>
          </w:tcPr>
          <w:p w14:paraId="48ADC081">
            <w:pPr>
              <w:spacing w:before="156" w:beforeLines="50" w:after="156" w:afterLines="50"/>
              <w:jc w:val="center"/>
              <w:rPr>
                <w:rFonts w:ascii="宋体"/>
                <w:b/>
                <w:sz w:val="18"/>
                <w:szCs w:val="18"/>
              </w:rPr>
            </w:pPr>
            <w:r>
              <w:rPr>
                <w:rFonts w:hint="eastAsia" w:ascii="宋体"/>
                <w:b/>
                <w:sz w:val="18"/>
                <w:szCs w:val="18"/>
              </w:rPr>
              <w:t>【对象】聘用单位</w:t>
            </w:r>
          </w:p>
        </w:tc>
        <w:tc>
          <w:tcPr>
            <w:tcW w:w="2272" w:type="dxa"/>
            <w:vMerge w:val="restart"/>
            <w:vAlign w:val="center"/>
          </w:tcPr>
          <w:p w14:paraId="7839C8D9">
            <w:pPr>
              <w:spacing w:before="156" w:beforeLines="50" w:after="156" w:afterLines="50"/>
              <w:jc w:val="center"/>
              <w:rPr>
                <w:rFonts w:ascii="宋体"/>
                <w:b/>
                <w:sz w:val="18"/>
                <w:szCs w:val="18"/>
              </w:rPr>
            </w:pPr>
            <w:r>
              <w:rPr>
                <w:rFonts w:hint="eastAsia" w:ascii="宋体"/>
                <w:b/>
                <w:sz w:val="18"/>
                <w:szCs w:val="18"/>
              </w:rPr>
              <w:t>【对象】</w:t>
            </w:r>
          </w:p>
          <w:p w14:paraId="3EE3A815">
            <w:pPr>
              <w:spacing w:before="156" w:beforeLines="50" w:after="156" w:afterLines="50"/>
              <w:jc w:val="center"/>
              <w:rPr>
                <w:rFonts w:ascii="宋体"/>
                <w:b/>
                <w:sz w:val="18"/>
                <w:szCs w:val="18"/>
              </w:rPr>
            </w:pPr>
            <w:r>
              <w:rPr>
                <w:rFonts w:hint="eastAsia" w:ascii="宋体"/>
                <w:b/>
                <w:sz w:val="18"/>
                <w:szCs w:val="18"/>
              </w:rPr>
              <w:t>直接责任人员</w:t>
            </w:r>
          </w:p>
        </w:tc>
        <w:tc>
          <w:tcPr>
            <w:tcW w:w="4252" w:type="dxa"/>
            <w:gridSpan w:val="2"/>
            <w:vAlign w:val="center"/>
          </w:tcPr>
          <w:p w14:paraId="3D30F813">
            <w:pPr>
              <w:spacing w:before="156" w:beforeLines="50" w:after="156" w:afterLines="50"/>
              <w:jc w:val="center"/>
              <w:rPr>
                <w:rFonts w:ascii="宋体"/>
                <w:b/>
                <w:sz w:val="18"/>
                <w:szCs w:val="18"/>
              </w:rPr>
            </w:pPr>
            <w:r>
              <w:rPr>
                <w:rFonts w:hint="eastAsia" w:ascii="宋体"/>
                <w:b/>
                <w:sz w:val="18"/>
                <w:szCs w:val="18"/>
              </w:rPr>
              <w:t>【对象】聘用单位</w:t>
            </w:r>
          </w:p>
        </w:tc>
        <w:tc>
          <w:tcPr>
            <w:tcW w:w="1362" w:type="dxa"/>
            <w:vMerge w:val="restart"/>
            <w:vAlign w:val="center"/>
          </w:tcPr>
          <w:p w14:paraId="249D6095">
            <w:pPr>
              <w:spacing w:before="156" w:beforeLines="50" w:after="156" w:afterLines="50"/>
              <w:jc w:val="center"/>
              <w:rPr>
                <w:rFonts w:ascii="宋体"/>
                <w:b/>
                <w:sz w:val="18"/>
                <w:szCs w:val="18"/>
              </w:rPr>
            </w:pPr>
            <w:r>
              <w:rPr>
                <w:rFonts w:hint="eastAsia" w:ascii="宋体"/>
                <w:b/>
                <w:sz w:val="18"/>
                <w:szCs w:val="18"/>
              </w:rPr>
              <w:t>【对象】直接责任人员</w:t>
            </w:r>
          </w:p>
        </w:tc>
      </w:tr>
      <w:tr w14:paraId="07A2E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04" w:type="dxa"/>
            <w:vMerge w:val="continue"/>
            <w:vAlign w:val="center"/>
          </w:tcPr>
          <w:p w14:paraId="120144E5">
            <w:pPr>
              <w:spacing w:before="156" w:beforeLines="50" w:after="156" w:afterLines="50"/>
              <w:jc w:val="left"/>
              <w:rPr>
                <w:rFonts w:ascii="宋体"/>
                <w:b/>
                <w:sz w:val="18"/>
                <w:szCs w:val="18"/>
              </w:rPr>
            </w:pPr>
          </w:p>
        </w:tc>
        <w:tc>
          <w:tcPr>
            <w:tcW w:w="811" w:type="dxa"/>
            <w:vMerge w:val="continue"/>
            <w:vAlign w:val="center"/>
          </w:tcPr>
          <w:p w14:paraId="0FC72AB9">
            <w:pPr>
              <w:spacing w:before="156" w:beforeLines="50" w:after="156" w:afterLines="50"/>
              <w:jc w:val="left"/>
              <w:rPr>
                <w:rFonts w:ascii="宋体"/>
                <w:b/>
                <w:sz w:val="18"/>
                <w:szCs w:val="18"/>
              </w:rPr>
            </w:pPr>
          </w:p>
        </w:tc>
        <w:tc>
          <w:tcPr>
            <w:tcW w:w="1028" w:type="dxa"/>
            <w:vAlign w:val="center"/>
          </w:tcPr>
          <w:p w14:paraId="54BBE9A0">
            <w:pPr>
              <w:spacing w:before="156" w:beforeLines="50" w:after="156" w:afterLines="50"/>
              <w:jc w:val="center"/>
              <w:rPr>
                <w:rFonts w:ascii="宋体"/>
                <w:b/>
                <w:sz w:val="18"/>
                <w:szCs w:val="18"/>
              </w:rPr>
            </w:pPr>
            <w:r>
              <w:rPr>
                <w:rFonts w:hint="eastAsia" w:ascii="宋体"/>
                <w:b/>
                <w:sz w:val="18"/>
                <w:szCs w:val="18"/>
              </w:rPr>
              <w:t>违反</w:t>
            </w:r>
          </w:p>
          <w:p w14:paraId="5B294B61">
            <w:pPr>
              <w:spacing w:before="156" w:beforeLines="50" w:after="156" w:afterLines="50"/>
              <w:jc w:val="center"/>
              <w:rPr>
                <w:rFonts w:ascii="宋体"/>
                <w:b/>
                <w:sz w:val="18"/>
                <w:szCs w:val="18"/>
              </w:rPr>
            </w:pPr>
            <w:r>
              <w:rPr>
                <w:rFonts w:hint="eastAsia" w:ascii="宋体"/>
                <w:b/>
                <w:sz w:val="18"/>
                <w:szCs w:val="18"/>
              </w:rPr>
              <w:t>条款</w:t>
            </w:r>
          </w:p>
        </w:tc>
        <w:tc>
          <w:tcPr>
            <w:tcW w:w="1243" w:type="dxa"/>
            <w:vAlign w:val="center"/>
          </w:tcPr>
          <w:p w14:paraId="4D5B5D01">
            <w:pPr>
              <w:spacing w:before="156" w:beforeLines="50" w:after="156" w:afterLines="50"/>
              <w:jc w:val="center"/>
              <w:rPr>
                <w:rFonts w:ascii="宋体"/>
                <w:b/>
                <w:sz w:val="18"/>
                <w:szCs w:val="18"/>
              </w:rPr>
            </w:pPr>
            <w:r>
              <w:rPr>
                <w:rFonts w:hint="eastAsia" w:ascii="宋体"/>
                <w:b/>
                <w:sz w:val="18"/>
                <w:szCs w:val="18"/>
              </w:rPr>
              <w:t>处罚</w:t>
            </w:r>
          </w:p>
          <w:p w14:paraId="5A6B1668">
            <w:pPr>
              <w:spacing w:before="156" w:beforeLines="50" w:after="156" w:afterLines="50"/>
              <w:jc w:val="center"/>
              <w:rPr>
                <w:rFonts w:ascii="宋体"/>
                <w:b/>
                <w:sz w:val="18"/>
                <w:szCs w:val="18"/>
              </w:rPr>
            </w:pPr>
            <w:r>
              <w:rPr>
                <w:rFonts w:hint="eastAsia" w:ascii="宋体"/>
                <w:b/>
                <w:sz w:val="18"/>
                <w:szCs w:val="18"/>
              </w:rPr>
              <w:t>依据</w:t>
            </w:r>
          </w:p>
        </w:tc>
        <w:tc>
          <w:tcPr>
            <w:tcW w:w="705" w:type="dxa"/>
            <w:vMerge w:val="continue"/>
            <w:vAlign w:val="center"/>
          </w:tcPr>
          <w:p w14:paraId="46A80E24">
            <w:pPr>
              <w:spacing w:before="156" w:beforeLines="50" w:after="156" w:afterLines="50"/>
              <w:jc w:val="left"/>
              <w:rPr>
                <w:rFonts w:ascii="宋体"/>
                <w:b/>
                <w:sz w:val="18"/>
                <w:szCs w:val="18"/>
              </w:rPr>
            </w:pPr>
          </w:p>
        </w:tc>
        <w:tc>
          <w:tcPr>
            <w:tcW w:w="1848" w:type="dxa"/>
            <w:vMerge w:val="continue"/>
            <w:vAlign w:val="center"/>
          </w:tcPr>
          <w:p w14:paraId="4A8DA317">
            <w:pPr>
              <w:spacing w:before="156" w:beforeLines="50" w:after="156" w:afterLines="50"/>
              <w:jc w:val="left"/>
              <w:rPr>
                <w:rFonts w:ascii="宋体"/>
                <w:b/>
                <w:sz w:val="18"/>
                <w:szCs w:val="18"/>
              </w:rPr>
            </w:pPr>
          </w:p>
        </w:tc>
        <w:tc>
          <w:tcPr>
            <w:tcW w:w="2157" w:type="dxa"/>
            <w:vAlign w:val="center"/>
          </w:tcPr>
          <w:p w14:paraId="066B5B13">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vAlign w:val="center"/>
          </w:tcPr>
          <w:p w14:paraId="40EEE76D">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1839" w:type="dxa"/>
            <w:vAlign w:val="center"/>
          </w:tcPr>
          <w:p w14:paraId="7581B53B">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272" w:type="dxa"/>
            <w:vMerge w:val="continue"/>
            <w:vAlign w:val="center"/>
          </w:tcPr>
          <w:p w14:paraId="68487863">
            <w:pPr>
              <w:spacing w:before="156" w:beforeLines="50" w:after="156" w:afterLines="50"/>
              <w:jc w:val="left"/>
              <w:rPr>
                <w:rFonts w:ascii="宋体"/>
                <w:b/>
                <w:sz w:val="18"/>
                <w:szCs w:val="18"/>
              </w:rPr>
            </w:pPr>
          </w:p>
        </w:tc>
        <w:tc>
          <w:tcPr>
            <w:tcW w:w="1982" w:type="dxa"/>
            <w:vAlign w:val="center"/>
          </w:tcPr>
          <w:p w14:paraId="6D4A1D89">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270" w:type="dxa"/>
            <w:vAlign w:val="center"/>
          </w:tcPr>
          <w:p w14:paraId="0AB4DA95">
            <w:pPr>
              <w:spacing w:before="156" w:beforeLines="50" w:after="156" w:afterLines="50"/>
              <w:jc w:val="left"/>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c>
          <w:tcPr>
            <w:tcW w:w="1362" w:type="dxa"/>
            <w:vMerge w:val="continue"/>
            <w:vAlign w:val="center"/>
          </w:tcPr>
          <w:p w14:paraId="7CEF5493">
            <w:pPr>
              <w:spacing w:before="156" w:beforeLines="50" w:after="156" w:afterLines="50"/>
              <w:jc w:val="left"/>
              <w:rPr>
                <w:rFonts w:ascii="宋体"/>
                <w:b/>
                <w:sz w:val="18"/>
                <w:szCs w:val="18"/>
              </w:rPr>
            </w:pPr>
          </w:p>
        </w:tc>
      </w:tr>
      <w:tr w14:paraId="1DA5D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704" w:type="dxa"/>
            <w:vMerge w:val="restart"/>
            <w:vAlign w:val="center"/>
          </w:tcPr>
          <w:p w14:paraId="452F39C7">
            <w:pPr>
              <w:spacing w:before="156" w:beforeLines="50" w:after="156" w:afterLines="50"/>
              <w:jc w:val="center"/>
              <w:rPr>
                <w:rFonts w:ascii="宋体"/>
                <w:sz w:val="18"/>
                <w:szCs w:val="18"/>
              </w:rPr>
            </w:pPr>
            <w:r>
              <w:rPr>
                <w:rFonts w:hint="eastAsia" w:ascii="宋体"/>
                <w:sz w:val="18"/>
                <w:szCs w:val="18"/>
              </w:rPr>
              <w:t>69</w:t>
            </w:r>
          </w:p>
        </w:tc>
        <w:tc>
          <w:tcPr>
            <w:tcW w:w="811" w:type="dxa"/>
            <w:vMerge w:val="restart"/>
            <w:vAlign w:val="center"/>
          </w:tcPr>
          <w:p w14:paraId="650AF50E">
            <w:pPr>
              <w:spacing w:before="156" w:beforeLines="50" w:after="156" w:afterLines="50"/>
              <w:jc w:val="center"/>
              <w:rPr>
                <w:rFonts w:ascii="宋体"/>
                <w:sz w:val="18"/>
                <w:szCs w:val="18"/>
              </w:rPr>
            </w:pPr>
            <w:r>
              <w:rPr>
                <w:rFonts w:hint="eastAsia" w:ascii="宋体"/>
                <w:sz w:val="18"/>
                <w:szCs w:val="18"/>
              </w:rPr>
              <w:t>未持有船员适任证书或者其他适任证件</w:t>
            </w:r>
          </w:p>
        </w:tc>
        <w:tc>
          <w:tcPr>
            <w:tcW w:w="1028" w:type="dxa"/>
            <w:vMerge w:val="restart"/>
            <w:vAlign w:val="center"/>
          </w:tcPr>
          <w:p w14:paraId="1017574F">
            <w:pPr>
              <w:spacing w:before="156" w:beforeLines="50" w:after="156" w:afterLines="50"/>
              <w:jc w:val="left"/>
              <w:rPr>
                <w:rFonts w:ascii="宋体"/>
                <w:sz w:val="18"/>
                <w:szCs w:val="18"/>
              </w:rPr>
            </w:pPr>
            <w:r>
              <w:rPr>
                <w:rFonts w:hint="eastAsia" w:ascii="宋体"/>
                <w:b/>
                <w:sz w:val="18"/>
                <w:szCs w:val="18"/>
              </w:rPr>
              <w:t>1.</w:t>
            </w:r>
            <w:r>
              <w:rPr>
                <w:rFonts w:hint="eastAsia" w:ascii="宋体"/>
                <w:sz w:val="18"/>
                <w:szCs w:val="18"/>
              </w:rPr>
              <w:t>《中华人民共和国内河交通安全管理条例》第九条</w:t>
            </w:r>
            <w:r>
              <w:rPr>
                <w:rFonts w:hint="eastAsia" w:ascii="宋体"/>
                <w:b/>
                <w:sz w:val="18"/>
                <w:szCs w:val="18"/>
              </w:rPr>
              <w:t>；</w:t>
            </w:r>
          </w:p>
          <w:p w14:paraId="395C1938">
            <w:pPr>
              <w:spacing w:before="156" w:beforeLines="50" w:after="156" w:afterLines="50"/>
              <w:jc w:val="left"/>
              <w:rPr>
                <w:rFonts w:ascii="宋体"/>
                <w:sz w:val="18"/>
                <w:szCs w:val="18"/>
              </w:rPr>
            </w:pPr>
            <w:r>
              <w:rPr>
                <w:rFonts w:hint="eastAsia" w:ascii="宋体"/>
                <w:b/>
                <w:sz w:val="18"/>
                <w:szCs w:val="18"/>
              </w:rPr>
              <w:t>2.</w:t>
            </w:r>
            <w:r>
              <w:rPr>
                <w:rFonts w:hint="eastAsia" w:ascii="宋体"/>
                <w:sz w:val="18"/>
                <w:szCs w:val="18"/>
              </w:rPr>
              <w:t>《中华人民共和国船员条例》第十六条第（一）项。</w:t>
            </w:r>
          </w:p>
        </w:tc>
        <w:tc>
          <w:tcPr>
            <w:tcW w:w="1243" w:type="dxa"/>
            <w:vMerge w:val="restart"/>
            <w:vAlign w:val="center"/>
          </w:tcPr>
          <w:p w14:paraId="4CA9EB29">
            <w:pPr>
              <w:spacing w:before="156" w:beforeLines="50" w:after="156" w:afterLines="50"/>
              <w:jc w:val="left"/>
              <w:rPr>
                <w:rFonts w:ascii="宋体"/>
                <w:sz w:val="18"/>
                <w:szCs w:val="18"/>
              </w:rPr>
            </w:pPr>
            <w:r>
              <w:rPr>
                <w:rFonts w:hint="eastAsia" w:ascii="宋体"/>
                <w:sz w:val="18"/>
                <w:szCs w:val="18"/>
              </w:rPr>
              <w:t>1.《中华人民共和国内河交通安全管理条例》第六十六条；</w:t>
            </w:r>
          </w:p>
          <w:p w14:paraId="66CF2940">
            <w:pPr>
              <w:spacing w:before="156" w:beforeLines="50" w:after="156" w:afterLines="50"/>
              <w:jc w:val="left"/>
              <w:rPr>
                <w:rFonts w:ascii="宋体"/>
                <w:kern w:val="0"/>
                <w:sz w:val="18"/>
                <w:szCs w:val="18"/>
              </w:rPr>
            </w:pPr>
            <w:r>
              <w:rPr>
                <w:rFonts w:hint="eastAsia" w:ascii="宋体"/>
                <w:sz w:val="18"/>
                <w:szCs w:val="18"/>
              </w:rPr>
              <w:t>2.《中华人民共和国内河海事行政处罚规定》第十条第一款和第二款第（二）项</w:t>
            </w:r>
            <w:r>
              <w:rPr>
                <w:rFonts w:hint="eastAsia" w:ascii="宋体"/>
                <w:kern w:val="0"/>
                <w:sz w:val="18"/>
                <w:szCs w:val="18"/>
              </w:rPr>
              <w:t>；</w:t>
            </w:r>
          </w:p>
          <w:p w14:paraId="6F19197C">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05" w:type="dxa"/>
            <w:vAlign w:val="center"/>
          </w:tcPr>
          <w:p w14:paraId="4C59C376">
            <w:pPr>
              <w:spacing w:before="156" w:beforeLines="50" w:after="156" w:afterLines="50"/>
              <w:jc w:val="left"/>
              <w:rPr>
                <w:rFonts w:ascii="宋体"/>
                <w:sz w:val="18"/>
                <w:szCs w:val="18"/>
              </w:rPr>
            </w:pPr>
            <w:r>
              <w:rPr>
                <w:rFonts w:hint="eastAsia" w:ascii="宋体"/>
                <w:sz w:val="18"/>
                <w:szCs w:val="18"/>
              </w:rPr>
              <w:t>从轻</w:t>
            </w:r>
          </w:p>
        </w:tc>
        <w:tc>
          <w:tcPr>
            <w:tcW w:w="1848" w:type="dxa"/>
            <w:vAlign w:val="center"/>
          </w:tcPr>
          <w:p w14:paraId="3077CB95">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157" w:type="dxa"/>
            <w:vAlign w:val="center"/>
          </w:tcPr>
          <w:p w14:paraId="544C388A">
            <w:pPr>
              <w:spacing w:before="156" w:beforeLines="50" w:after="156" w:afterLines="50"/>
              <w:jc w:val="left"/>
              <w:rPr>
                <w:rFonts w:ascii="宋体"/>
                <w:sz w:val="18"/>
                <w:szCs w:val="18"/>
              </w:rPr>
            </w:pPr>
            <w:r>
              <w:rPr>
                <w:rFonts w:hint="eastAsia" w:ascii="宋体"/>
                <w:sz w:val="18"/>
                <w:szCs w:val="18"/>
              </w:rPr>
              <w:t>3万元及以上4万元以下</w:t>
            </w:r>
          </w:p>
        </w:tc>
        <w:tc>
          <w:tcPr>
            <w:tcW w:w="2410" w:type="dxa"/>
            <w:vAlign w:val="center"/>
          </w:tcPr>
          <w:p w14:paraId="397F2BB0">
            <w:pPr>
              <w:spacing w:before="156" w:beforeLines="50" w:after="156" w:afterLines="50"/>
              <w:rPr>
                <w:rFonts w:ascii="宋体"/>
                <w:sz w:val="18"/>
                <w:szCs w:val="18"/>
              </w:rPr>
            </w:pPr>
            <w:r>
              <w:rPr>
                <w:rFonts w:hint="eastAsia" w:ascii="宋体"/>
                <w:sz w:val="18"/>
                <w:szCs w:val="18"/>
              </w:rPr>
              <w:t>3万元及以上4万元以下</w:t>
            </w:r>
          </w:p>
        </w:tc>
        <w:tc>
          <w:tcPr>
            <w:tcW w:w="1839" w:type="dxa"/>
            <w:vAlign w:val="center"/>
          </w:tcPr>
          <w:p w14:paraId="518BFCBC">
            <w:pPr>
              <w:spacing w:before="156" w:beforeLines="50" w:after="156" w:afterLines="50"/>
              <w:rPr>
                <w:rFonts w:ascii="宋体"/>
                <w:sz w:val="18"/>
                <w:szCs w:val="18"/>
              </w:rPr>
            </w:pPr>
            <w:r>
              <w:rPr>
                <w:rFonts w:hint="eastAsia" w:ascii="宋体"/>
                <w:sz w:val="18"/>
                <w:szCs w:val="18"/>
              </w:rPr>
              <w:t>3万元及以上4万元以下</w:t>
            </w:r>
          </w:p>
        </w:tc>
        <w:tc>
          <w:tcPr>
            <w:tcW w:w="2272" w:type="dxa"/>
            <w:vAlign w:val="center"/>
          </w:tcPr>
          <w:p w14:paraId="12DD9E14">
            <w:pPr>
              <w:spacing w:before="156" w:beforeLines="50" w:after="156" w:afterLines="50"/>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c>
          <w:tcPr>
            <w:tcW w:w="1982" w:type="dxa"/>
            <w:vMerge w:val="restart"/>
            <w:vAlign w:val="center"/>
          </w:tcPr>
          <w:p w14:paraId="18F8AF35">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未持有船员适任证书或者其他适任证件</w:t>
            </w:r>
            <w:r>
              <w:rPr>
                <w:rFonts w:hint="eastAsia" w:ascii="宋体"/>
                <w:kern w:val="0"/>
                <w:sz w:val="18"/>
                <w:szCs w:val="18"/>
              </w:rPr>
              <w:t>船员均为值班水手或者值班机工的</w:t>
            </w:r>
            <w:r>
              <w:rPr>
                <w:rFonts w:ascii="宋体"/>
                <w:kern w:val="0"/>
                <w:sz w:val="18"/>
                <w:szCs w:val="18"/>
              </w:rPr>
              <w:t>:</w:t>
            </w:r>
            <w:r>
              <w:rPr>
                <w:rFonts w:hint="eastAsia" w:ascii="宋体"/>
                <w:kern w:val="0"/>
                <w:sz w:val="18"/>
                <w:szCs w:val="18"/>
              </w:rPr>
              <w:t>6000元及以上1.3万元以下；</w:t>
            </w:r>
          </w:p>
          <w:p w14:paraId="7E4A05B8">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1</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：1.3万元及以上1.6万元以下；</w:t>
            </w:r>
          </w:p>
          <w:p w14:paraId="5BFF8B24">
            <w:pPr>
              <w:spacing w:before="156" w:beforeLines="50" w:after="156" w:afterLines="50"/>
              <w:rPr>
                <w:rFonts w:ascii="宋体"/>
                <w:kern w:val="0"/>
                <w:sz w:val="18"/>
                <w:szCs w:val="18"/>
              </w:rPr>
            </w:pPr>
            <w:r>
              <w:rPr>
                <w:rFonts w:hint="eastAsia" w:ascii="宋体"/>
                <w:kern w:val="0"/>
                <w:sz w:val="18"/>
                <w:szCs w:val="18"/>
              </w:rPr>
              <w:t>3.船长（驾驶员）或</w:t>
            </w:r>
            <w:r>
              <w:rPr>
                <w:rFonts w:ascii="宋体"/>
                <w:kern w:val="0"/>
                <w:sz w:val="18"/>
                <w:szCs w:val="18"/>
              </w:rPr>
              <w:t>2</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：1.6万元及以上2.2万元以下；</w:t>
            </w:r>
          </w:p>
          <w:p w14:paraId="2CCD17DB">
            <w:pPr>
              <w:spacing w:before="156" w:beforeLines="50" w:after="156" w:afterLines="50"/>
              <w:rPr>
                <w:rFonts w:ascii="宋体"/>
                <w:sz w:val="18"/>
                <w:szCs w:val="18"/>
              </w:rPr>
            </w:pPr>
            <w:r>
              <w:rPr>
                <w:rFonts w:hint="eastAsia" w:ascii="宋体"/>
                <w:kern w:val="0"/>
                <w:sz w:val="18"/>
                <w:szCs w:val="18"/>
              </w:rPr>
              <w:t>4.船长、高级船员等</w:t>
            </w:r>
            <w:r>
              <w:rPr>
                <w:rFonts w:ascii="宋体"/>
                <w:kern w:val="0"/>
                <w:sz w:val="18"/>
                <w:szCs w:val="18"/>
              </w:rPr>
              <w:t>2</w:t>
            </w:r>
            <w:r>
              <w:rPr>
                <w:rFonts w:hint="eastAsia" w:ascii="宋体"/>
                <w:kern w:val="0"/>
                <w:sz w:val="18"/>
                <w:szCs w:val="18"/>
              </w:rPr>
              <w:t>名以上</w:t>
            </w:r>
            <w:r>
              <w:rPr>
                <w:rFonts w:hint="eastAsia" w:ascii="宋体"/>
                <w:sz w:val="18"/>
                <w:szCs w:val="18"/>
              </w:rPr>
              <w:t>未持有船员适任证书或者其他适任证件</w:t>
            </w:r>
            <w:r>
              <w:rPr>
                <w:rFonts w:ascii="宋体"/>
                <w:kern w:val="0"/>
                <w:sz w:val="18"/>
                <w:szCs w:val="18"/>
              </w:rPr>
              <w:t>:</w:t>
            </w:r>
            <w:r>
              <w:rPr>
                <w:rFonts w:hint="eastAsia" w:ascii="宋体"/>
                <w:kern w:val="0"/>
                <w:sz w:val="18"/>
                <w:szCs w:val="18"/>
              </w:rPr>
              <w:t>2.2万元及以上3万元以下。</w:t>
            </w:r>
          </w:p>
        </w:tc>
        <w:tc>
          <w:tcPr>
            <w:tcW w:w="2270" w:type="dxa"/>
            <w:vMerge w:val="restart"/>
            <w:vAlign w:val="center"/>
          </w:tcPr>
          <w:p w14:paraId="5AFA06A8">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未持有船员适任证书或者其他适任证件</w:t>
            </w:r>
            <w:r>
              <w:rPr>
                <w:rFonts w:hint="eastAsia" w:ascii="宋体"/>
                <w:kern w:val="0"/>
                <w:sz w:val="18"/>
                <w:szCs w:val="18"/>
              </w:rPr>
              <w:t>船员均为值班水手或者值班机工的</w:t>
            </w:r>
            <w:r>
              <w:rPr>
                <w:rFonts w:ascii="宋体"/>
                <w:kern w:val="0"/>
                <w:sz w:val="18"/>
                <w:szCs w:val="18"/>
              </w:rPr>
              <w:t>:</w:t>
            </w:r>
            <w:r>
              <w:rPr>
                <w:rFonts w:hint="eastAsia" w:ascii="宋体"/>
                <w:kern w:val="0"/>
                <w:sz w:val="18"/>
                <w:szCs w:val="18"/>
              </w:rPr>
              <w:t>8000元及以上1.5万元以下；</w:t>
            </w:r>
          </w:p>
          <w:p w14:paraId="74A1D078">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1</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：1.5元及以上1.8万元以下；</w:t>
            </w:r>
          </w:p>
          <w:p w14:paraId="13E62A3A">
            <w:pPr>
              <w:spacing w:before="156" w:beforeLines="50" w:after="156" w:afterLines="50"/>
              <w:rPr>
                <w:rFonts w:ascii="宋体"/>
                <w:kern w:val="0"/>
                <w:sz w:val="18"/>
                <w:szCs w:val="18"/>
              </w:rPr>
            </w:pPr>
            <w:r>
              <w:rPr>
                <w:rFonts w:hint="eastAsia" w:ascii="宋体"/>
                <w:kern w:val="0"/>
                <w:sz w:val="18"/>
                <w:szCs w:val="18"/>
              </w:rPr>
              <w:t>3.船长（驾驶员）或</w:t>
            </w:r>
            <w:r>
              <w:rPr>
                <w:rFonts w:ascii="宋体"/>
                <w:kern w:val="0"/>
                <w:sz w:val="18"/>
                <w:szCs w:val="18"/>
              </w:rPr>
              <w:t>2</w:t>
            </w:r>
            <w:r>
              <w:rPr>
                <w:rFonts w:hint="eastAsia" w:ascii="宋体"/>
                <w:kern w:val="0"/>
                <w:sz w:val="18"/>
                <w:szCs w:val="18"/>
              </w:rPr>
              <w:t>名高级船员</w:t>
            </w:r>
            <w:r>
              <w:rPr>
                <w:rFonts w:hint="eastAsia" w:ascii="宋体"/>
                <w:sz w:val="18"/>
                <w:szCs w:val="18"/>
              </w:rPr>
              <w:t>未持有船员适任证书或者其他适任证件</w:t>
            </w:r>
            <w:r>
              <w:rPr>
                <w:rFonts w:hint="eastAsia" w:ascii="宋体"/>
                <w:kern w:val="0"/>
                <w:sz w:val="18"/>
                <w:szCs w:val="18"/>
              </w:rPr>
              <w:t>：1.8万元及以上2.5万元以下；</w:t>
            </w:r>
          </w:p>
          <w:p w14:paraId="4E7BC9B6">
            <w:pPr>
              <w:spacing w:before="156" w:beforeLines="50" w:after="156" w:afterLines="50"/>
              <w:rPr>
                <w:rFonts w:ascii="宋体"/>
                <w:sz w:val="18"/>
                <w:szCs w:val="18"/>
              </w:rPr>
            </w:pPr>
            <w:r>
              <w:rPr>
                <w:rFonts w:hint="eastAsia" w:ascii="宋体"/>
                <w:kern w:val="0"/>
                <w:sz w:val="18"/>
                <w:szCs w:val="18"/>
              </w:rPr>
              <w:t>4.船长、高级船员等</w:t>
            </w:r>
            <w:r>
              <w:rPr>
                <w:rFonts w:ascii="宋体"/>
                <w:kern w:val="0"/>
                <w:sz w:val="18"/>
                <w:szCs w:val="18"/>
              </w:rPr>
              <w:t>2</w:t>
            </w:r>
            <w:r>
              <w:rPr>
                <w:rFonts w:hint="eastAsia" w:ascii="宋体"/>
                <w:kern w:val="0"/>
                <w:sz w:val="18"/>
                <w:szCs w:val="18"/>
              </w:rPr>
              <w:t>名以上</w:t>
            </w:r>
            <w:r>
              <w:rPr>
                <w:rFonts w:hint="eastAsia" w:ascii="宋体"/>
                <w:sz w:val="18"/>
                <w:szCs w:val="18"/>
              </w:rPr>
              <w:t>未持有船员适任证书或者其他适任证件</w:t>
            </w:r>
            <w:r>
              <w:rPr>
                <w:rFonts w:ascii="宋体"/>
                <w:kern w:val="0"/>
                <w:sz w:val="18"/>
                <w:szCs w:val="18"/>
              </w:rPr>
              <w:t>:</w:t>
            </w:r>
            <w:r>
              <w:rPr>
                <w:rFonts w:hint="eastAsia" w:ascii="宋体"/>
                <w:kern w:val="0"/>
                <w:sz w:val="18"/>
                <w:szCs w:val="18"/>
              </w:rPr>
              <w:t>2.5万元及以上3万元以下。</w:t>
            </w:r>
          </w:p>
        </w:tc>
        <w:tc>
          <w:tcPr>
            <w:tcW w:w="1362" w:type="dxa"/>
            <w:vMerge w:val="restart"/>
            <w:vAlign w:val="center"/>
          </w:tcPr>
          <w:p w14:paraId="0819CC22">
            <w:pPr>
              <w:spacing w:before="156" w:beforeLines="50" w:after="156" w:afterLines="50"/>
              <w:rPr>
                <w:rFonts w:ascii="宋体"/>
                <w:sz w:val="18"/>
                <w:szCs w:val="18"/>
              </w:rPr>
            </w:pPr>
            <w:r>
              <w:rPr>
                <w:rFonts w:hint="eastAsia" w:ascii="宋体"/>
                <w:kern w:val="0"/>
                <w:sz w:val="18"/>
                <w:szCs w:val="18"/>
              </w:rPr>
              <w:t>1.值班水手或者值班机工</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500</w:t>
            </w:r>
            <w:r>
              <w:rPr>
                <w:rFonts w:hint="eastAsia" w:ascii="宋体"/>
                <w:sz w:val="18"/>
                <w:szCs w:val="18"/>
              </w:rPr>
              <w:t>元及以上</w:t>
            </w:r>
            <w:r>
              <w:rPr>
                <w:rFonts w:ascii="宋体"/>
                <w:sz w:val="18"/>
                <w:szCs w:val="18"/>
              </w:rPr>
              <w:t>800</w:t>
            </w:r>
            <w:r>
              <w:rPr>
                <w:rFonts w:hint="eastAsia" w:ascii="宋体"/>
                <w:sz w:val="18"/>
                <w:szCs w:val="18"/>
              </w:rPr>
              <w:t>元以下；</w:t>
            </w:r>
          </w:p>
          <w:p w14:paraId="210E3DC8">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船长（驾驶员）或高级船员</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800</w:t>
            </w:r>
            <w:r>
              <w:rPr>
                <w:rFonts w:hint="eastAsia" w:ascii="宋体"/>
                <w:sz w:val="18"/>
                <w:szCs w:val="18"/>
              </w:rPr>
              <w:t>元及以上</w:t>
            </w:r>
            <w:r>
              <w:rPr>
                <w:rFonts w:ascii="宋体"/>
                <w:sz w:val="18"/>
                <w:szCs w:val="18"/>
              </w:rPr>
              <w:t>2000</w:t>
            </w:r>
            <w:r>
              <w:rPr>
                <w:rFonts w:hint="eastAsia" w:ascii="宋体"/>
                <w:sz w:val="18"/>
                <w:szCs w:val="18"/>
              </w:rPr>
              <w:t>元以下。</w:t>
            </w:r>
          </w:p>
        </w:tc>
      </w:tr>
      <w:tr w14:paraId="41AE5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6" w:hRule="atLeast"/>
          <w:jc w:val="center"/>
        </w:trPr>
        <w:tc>
          <w:tcPr>
            <w:tcW w:w="704" w:type="dxa"/>
            <w:vMerge w:val="continue"/>
          </w:tcPr>
          <w:p w14:paraId="61C32A2B">
            <w:pPr>
              <w:spacing w:before="156" w:beforeLines="50" w:after="156" w:afterLines="50"/>
              <w:jc w:val="left"/>
              <w:rPr>
                <w:rFonts w:ascii="宋体"/>
                <w:sz w:val="18"/>
                <w:szCs w:val="18"/>
              </w:rPr>
            </w:pPr>
          </w:p>
        </w:tc>
        <w:tc>
          <w:tcPr>
            <w:tcW w:w="811" w:type="dxa"/>
            <w:vMerge w:val="continue"/>
            <w:vAlign w:val="center"/>
          </w:tcPr>
          <w:p w14:paraId="00CDB3FD">
            <w:pPr>
              <w:spacing w:before="156" w:beforeLines="50" w:after="156" w:afterLines="50"/>
              <w:jc w:val="left"/>
              <w:rPr>
                <w:rFonts w:ascii="宋体"/>
                <w:sz w:val="18"/>
                <w:szCs w:val="18"/>
              </w:rPr>
            </w:pPr>
          </w:p>
        </w:tc>
        <w:tc>
          <w:tcPr>
            <w:tcW w:w="1028" w:type="dxa"/>
            <w:vMerge w:val="continue"/>
            <w:vAlign w:val="center"/>
          </w:tcPr>
          <w:p w14:paraId="5D35ACC5">
            <w:pPr>
              <w:spacing w:before="156" w:beforeLines="50" w:after="156" w:afterLines="50"/>
              <w:jc w:val="left"/>
              <w:rPr>
                <w:rFonts w:ascii="宋体"/>
                <w:sz w:val="18"/>
                <w:szCs w:val="18"/>
              </w:rPr>
            </w:pPr>
          </w:p>
        </w:tc>
        <w:tc>
          <w:tcPr>
            <w:tcW w:w="1243" w:type="dxa"/>
            <w:vMerge w:val="continue"/>
            <w:vAlign w:val="center"/>
          </w:tcPr>
          <w:p w14:paraId="773A2690">
            <w:pPr>
              <w:spacing w:before="156" w:beforeLines="50" w:after="156" w:afterLines="50"/>
              <w:jc w:val="left"/>
              <w:rPr>
                <w:rFonts w:ascii="宋体"/>
                <w:sz w:val="18"/>
                <w:szCs w:val="18"/>
              </w:rPr>
            </w:pPr>
          </w:p>
        </w:tc>
        <w:tc>
          <w:tcPr>
            <w:tcW w:w="705" w:type="dxa"/>
            <w:vMerge w:val="restart"/>
            <w:vAlign w:val="center"/>
          </w:tcPr>
          <w:p w14:paraId="00D6205C">
            <w:pPr>
              <w:spacing w:before="156" w:beforeLines="50" w:after="156" w:afterLines="50"/>
              <w:jc w:val="left"/>
              <w:rPr>
                <w:rFonts w:ascii="宋体"/>
                <w:sz w:val="18"/>
                <w:szCs w:val="18"/>
              </w:rPr>
            </w:pPr>
            <w:r>
              <w:rPr>
                <w:rFonts w:hint="eastAsia" w:ascii="宋体"/>
                <w:sz w:val="18"/>
                <w:szCs w:val="18"/>
              </w:rPr>
              <w:t>一般</w:t>
            </w:r>
          </w:p>
        </w:tc>
        <w:tc>
          <w:tcPr>
            <w:tcW w:w="1848" w:type="dxa"/>
            <w:vAlign w:val="center"/>
          </w:tcPr>
          <w:p w14:paraId="3AE98251">
            <w:pPr>
              <w:spacing w:before="156" w:beforeLines="50" w:after="156" w:afterLines="50"/>
              <w:jc w:val="left"/>
              <w:rPr>
                <w:rFonts w:ascii="宋体"/>
                <w:kern w:val="0"/>
                <w:sz w:val="18"/>
                <w:szCs w:val="18"/>
              </w:rPr>
            </w:pPr>
            <w:r>
              <w:rPr>
                <w:rFonts w:hint="eastAsia" w:ascii="宋体"/>
                <w:sz w:val="18"/>
                <w:szCs w:val="18"/>
              </w:rPr>
              <w:t>未持有船员适任证书或者其他适任证件</w:t>
            </w:r>
            <w:r>
              <w:rPr>
                <w:rFonts w:hint="eastAsia" w:ascii="宋体"/>
                <w:kern w:val="0"/>
                <w:sz w:val="18"/>
                <w:szCs w:val="18"/>
              </w:rPr>
              <w:t>船员均为值班水手或者值班机工的。</w:t>
            </w:r>
          </w:p>
        </w:tc>
        <w:tc>
          <w:tcPr>
            <w:tcW w:w="2157" w:type="dxa"/>
            <w:vAlign w:val="center"/>
          </w:tcPr>
          <w:p w14:paraId="134EF273">
            <w:pPr>
              <w:spacing w:before="156" w:beforeLines="50" w:after="156" w:afterLines="50"/>
              <w:jc w:val="left"/>
              <w:rPr>
                <w:rFonts w:ascii="宋体"/>
                <w:sz w:val="18"/>
                <w:szCs w:val="18"/>
              </w:rPr>
            </w:pPr>
            <w:r>
              <w:rPr>
                <w:rFonts w:hint="eastAsia" w:ascii="宋体"/>
                <w:sz w:val="18"/>
                <w:szCs w:val="18"/>
              </w:rPr>
              <w:t>4万元及以上5万元以下</w:t>
            </w:r>
          </w:p>
        </w:tc>
        <w:tc>
          <w:tcPr>
            <w:tcW w:w="2410" w:type="dxa"/>
            <w:vAlign w:val="center"/>
          </w:tcPr>
          <w:p w14:paraId="00037B2B">
            <w:pPr>
              <w:spacing w:before="156" w:beforeLines="50" w:after="156" w:afterLines="50"/>
              <w:rPr>
                <w:rFonts w:ascii="宋体"/>
                <w:bCs/>
                <w:kern w:val="0"/>
                <w:sz w:val="18"/>
                <w:szCs w:val="18"/>
              </w:rPr>
            </w:pPr>
            <w:r>
              <w:rPr>
                <w:rFonts w:ascii="宋体"/>
                <w:bCs/>
                <w:kern w:val="0"/>
                <w:sz w:val="18"/>
                <w:szCs w:val="18"/>
              </w:rPr>
              <w:t>1</w:t>
            </w:r>
            <w:r>
              <w:rPr>
                <w:rFonts w:hint="eastAsia" w:ascii="宋体"/>
                <w:bCs/>
                <w:kern w:val="0"/>
                <w:sz w:val="18"/>
                <w:szCs w:val="18"/>
              </w:rPr>
              <w:t>.</w:t>
            </w:r>
            <w:r>
              <w:rPr>
                <w:rFonts w:ascii="宋体"/>
                <w:bCs/>
                <w:kern w:val="0"/>
                <w:sz w:val="18"/>
                <w:szCs w:val="18"/>
              </w:rPr>
              <w:t>1-</w:t>
            </w:r>
            <w:r>
              <w:rPr>
                <w:rFonts w:hint="eastAsia" w:ascii="宋体"/>
                <w:bCs/>
                <w:kern w:val="0"/>
                <w:sz w:val="18"/>
                <w:szCs w:val="18"/>
              </w:rPr>
              <w:t>2名</w:t>
            </w:r>
            <w:r>
              <w:rPr>
                <w:rFonts w:hint="eastAsia" w:ascii="宋体"/>
                <w:sz w:val="18"/>
                <w:szCs w:val="18"/>
              </w:rPr>
              <w:t>未持有船员适任证书或者其他适任证件</w:t>
            </w:r>
            <w:r>
              <w:rPr>
                <w:rFonts w:hint="eastAsia" w:ascii="宋体"/>
                <w:bCs/>
                <w:kern w:val="0"/>
                <w:sz w:val="18"/>
                <w:szCs w:val="18"/>
              </w:rPr>
              <w:t>，4万元及以上6万元以下；</w:t>
            </w:r>
          </w:p>
          <w:p w14:paraId="7912FA17">
            <w:pPr>
              <w:spacing w:before="156" w:beforeLines="50" w:after="156" w:afterLines="50"/>
              <w:rPr>
                <w:rFonts w:ascii="宋体"/>
                <w:sz w:val="18"/>
                <w:szCs w:val="18"/>
              </w:rPr>
            </w:pPr>
            <w:r>
              <w:rPr>
                <w:rFonts w:ascii="宋体"/>
                <w:bCs/>
                <w:kern w:val="0"/>
                <w:sz w:val="18"/>
                <w:szCs w:val="18"/>
              </w:rPr>
              <w:t>2</w:t>
            </w:r>
            <w:r>
              <w:rPr>
                <w:rFonts w:hint="eastAsia" w:ascii="宋体"/>
                <w:bCs/>
                <w:kern w:val="0"/>
                <w:sz w:val="18"/>
                <w:szCs w:val="18"/>
              </w:rPr>
              <w:t>.3名及以上</w:t>
            </w:r>
            <w:r>
              <w:rPr>
                <w:rFonts w:hint="eastAsia" w:ascii="宋体"/>
                <w:sz w:val="18"/>
                <w:szCs w:val="18"/>
              </w:rPr>
              <w:t>未持有船员适任证书或者其他适任证件</w:t>
            </w:r>
            <w:r>
              <w:rPr>
                <w:rFonts w:hint="eastAsia" w:ascii="宋体"/>
                <w:bCs/>
                <w:kern w:val="0"/>
                <w:sz w:val="18"/>
                <w:szCs w:val="18"/>
              </w:rPr>
              <w:t>，6万元及以上7万元以下。</w:t>
            </w:r>
          </w:p>
        </w:tc>
        <w:tc>
          <w:tcPr>
            <w:tcW w:w="1839" w:type="dxa"/>
            <w:vAlign w:val="center"/>
          </w:tcPr>
          <w:p w14:paraId="57F57EEE">
            <w:pPr>
              <w:spacing w:before="156" w:beforeLines="50" w:after="156" w:afterLines="50"/>
              <w:rPr>
                <w:rFonts w:ascii="宋体"/>
                <w:bCs/>
                <w:kern w:val="0"/>
                <w:sz w:val="18"/>
                <w:szCs w:val="18"/>
              </w:rPr>
            </w:pPr>
            <w:r>
              <w:rPr>
                <w:rFonts w:ascii="宋体"/>
                <w:bCs/>
                <w:kern w:val="0"/>
                <w:sz w:val="18"/>
                <w:szCs w:val="18"/>
              </w:rPr>
              <w:t>1</w:t>
            </w:r>
            <w:r>
              <w:rPr>
                <w:rFonts w:hint="eastAsia" w:ascii="宋体"/>
                <w:bCs/>
                <w:kern w:val="0"/>
                <w:sz w:val="18"/>
                <w:szCs w:val="18"/>
              </w:rPr>
              <w:t>.</w:t>
            </w:r>
            <w:r>
              <w:rPr>
                <w:rFonts w:ascii="宋体"/>
                <w:bCs/>
                <w:kern w:val="0"/>
                <w:sz w:val="18"/>
                <w:szCs w:val="18"/>
              </w:rPr>
              <w:t xml:space="preserve"> 1-</w:t>
            </w:r>
            <w:r>
              <w:rPr>
                <w:rFonts w:hint="eastAsia" w:ascii="宋体"/>
                <w:bCs/>
                <w:kern w:val="0"/>
                <w:sz w:val="18"/>
                <w:szCs w:val="18"/>
              </w:rPr>
              <w:t>2名</w:t>
            </w:r>
            <w:r>
              <w:rPr>
                <w:rFonts w:hint="eastAsia" w:ascii="宋体"/>
                <w:sz w:val="18"/>
                <w:szCs w:val="18"/>
              </w:rPr>
              <w:t>未持有船员适任证书或者其他适任证件</w:t>
            </w:r>
            <w:r>
              <w:rPr>
                <w:rFonts w:hint="eastAsia" w:ascii="宋体"/>
                <w:bCs/>
                <w:kern w:val="0"/>
                <w:sz w:val="18"/>
                <w:szCs w:val="18"/>
              </w:rPr>
              <w:t>，4万元及以上7万元以下；</w:t>
            </w:r>
          </w:p>
          <w:p w14:paraId="1C00FF32">
            <w:pPr>
              <w:spacing w:before="156" w:beforeLines="50" w:after="156" w:afterLines="50"/>
              <w:rPr>
                <w:rFonts w:ascii="宋体"/>
                <w:sz w:val="18"/>
                <w:szCs w:val="18"/>
              </w:rPr>
            </w:pPr>
            <w:r>
              <w:rPr>
                <w:rFonts w:ascii="宋体"/>
                <w:bCs/>
                <w:kern w:val="0"/>
                <w:sz w:val="18"/>
                <w:szCs w:val="18"/>
              </w:rPr>
              <w:t>2</w:t>
            </w:r>
            <w:r>
              <w:rPr>
                <w:rFonts w:hint="eastAsia" w:ascii="宋体"/>
                <w:bCs/>
                <w:kern w:val="0"/>
                <w:sz w:val="18"/>
                <w:szCs w:val="18"/>
              </w:rPr>
              <w:t>.3名及以上</w:t>
            </w:r>
            <w:r>
              <w:rPr>
                <w:rFonts w:hint="eastAsia" w:ascii="宋体"/>
                <w:sz w:val="18"/>
                <w:szCs w:val="18"/>
              </w:rPr>
              <w:t>未持有船员适任证书或者其他适任证件</w:t>
            </w:r>
            <w:r>
              <w:rPr>
                <w:rFonts w:hint="eastAsia" w:ascii="宋体"/>
                <w:bCs/>
                <w:kern w:val="0"/>
                <w:sz w:val="18"/>
                <w:szCs w:val="18"/>
              </w:rPr>
              <w:t>，7万元及以上8万元以下。</w:t>
            </w:r>
          </w:p>
        </w:tc>
        <w:tc>
          <w:tcPr>
            <w:tcW w:w="2272" w:type="dxa"/>
            <w:vAlign w:val="center"/>
          </w:tcPr>
          <w:p w14:paraId="38CEEA88">
            <w:pPr>
              <w:spacing w:before="156" w:beforeLines="50" w:after="156" w:afterLines="50"/>
              <w:rPr>
                <w:rFonts w:ascii="宋体"/>
                <w:sz w:val="18"/>
                <w:szCs w:val="18"/>
              </w:rPr>
            </w:pPr>
            <w:r>
              <w:rPr>
                <w:rFonts w:hint="eastAsia" w:ascii="宋体"/>
                <w:kern w:val="0"/>
                <w:sz w:val="18"/>
                <w:szCs w:val="18"/>
              </w:rPr>
              <w:t>值班水手或者值班机工</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5000</w:t>
            </w:r>
            <w:r>
              <w:rPr>
                <w:rFonts w:hint="eastAsia" w:ascii="宋体"/>
                <w:sz w:val="18"/>
                <w:szCs w:val="18"/>
              </w:rPr>
              <w:t>元及以下</w:t>
            </w:r>
            <w:r>
              <w:rPr>
                <w:rFonts w:ascii="宋体"/>
                <w:sz w:val="18"/>
                <w:szCs w:val="18"/>
              </w:rPr>
              <w:t>8000</w:t>
            </w:r>
            <w:r>
              <w:rPr>
                <w:rFonts w:hint="eastAsia" w:ascii="宋体"/>
                <w:sz w:val="18"/>
                <w:szCs w:val="18"/>
              </w:rPr>
              <w:t>元以下。</w:t>
            </w:r>
          </w:p>
        </w:tc>
        <w:tc>
          <w:tcPr>
            <w:tcW w:w="1982" w:type="dxa"/>
            <w:vMerge w:val="continue"/>
            <w:vAlign w:val="center"/>
          </w:tcPr>
          <w:p w14:paraId="03AC15D0">
            <w:pPr>
              <w:spacing w:before="156" w:beforeLines="50" w:after="156" w:afterLines="50"/>
              <w:jc w:val="left"/>
              <w:rPr>
                <w:rFonts w:ascii="宋体"/>
                <w:sz w:val="18"/>
                <w:szCs w:val="18"/>
              </w:rPr>
            </w:pPr>
          </w:p>
        </w:tc>
        <w:tc>
          <w:tcPr>
            <w:tcW w:w="2270" w:type="dxa"/>
            <w:vMerge w:val="continue"/>
            <w:vAlign w:val="center"/>
          </w:tcPr>
          <w:p w14:paraId="35B044E9">
            <w:pPr>
              <w:spacing w:before="156" w:beforeLines="50" w:after="156" w:afterLines="50"/>
              <w:jc w:val="left"/>
              <w:rPr>
                <w:rFonts w:ascii="宋体"/>
                <w:sz w:val="18"/>
                <w:szCs w:val="18"/>
              </w:rPr>
            </w:pPr>
          </w:p>
        </w:tc>
        <w:tc>
          <w:tcPr>
            <w:tcW w:w="1362" w:type="dxa"/>
            <w:vMerge w:val="continue"/>
            <w:vAlign w:val="center"/>
          </w:tcPr>
          <w:p w14:paraId="270845A2">
            <w:pPr>
              <w:spacing w:before="156" w:beforeLines="50" w:after="156" w:afterLines="50"/>
              <w:jc w:val="left"/>
              <w:rPr>
                <w:rFonts w:ascii="宋体"/>
                <w:sz w:val="18"/>
                <w:szCs w:val="18"/>
              </w:rPr>
            </w:pPr>
          </w:p>
        </w:tc>
      </w:tr>
      <w:tr w14:paraId="1E96D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2" w:hRule="atLeast"/>
          <w:jc w:val="center"/>
        </w:trPr>
        <w:tc>
          <w:tcPr>
            <w:tcW w:w="704" w:type="dxa"/>
            <w:vMerge w:val="continue"/>
          </w:tcPr>
          <w:p w14:paraId="72688144">
            <w:pPr>
              <w:spacing w:before="156" w:beforeLines="50" w:after="156" w:afterLines="50"/>
              <w:jc w:val="left"/>
              <w:rPr>
                <w:rFonts w:ascii="宋体"/>
                <w:sz w:val="18"/>
                <w:szCs w:val="18"/>
              </w:rPr>
            </w:pPr>
          </w:p>
        </w:tc>
        <w:tc>
          <w:tcPr>
            <w:tcW w:w="811" w:type="dxa"/>
            <w:vMerge w:val="continue"/>
            <w:vAlign w:val="center"/>
          </w:tcPr>
          <w:p w14:paraId="258CC676">
            <w:pPr>
              <w:spacing w:before="156" w:beforeLines="50" w:after="156" w:afterLines="50"/>
              <w:jc w:val="left"/>
              <w:rPr>
                <w:rFonts w:ascii="宋体"/>
                <w:sz w:val="18"/>
                <w:szCs w:val="18"/>
              </w:rPr>
            </w:pPr>
          </w:p>
        </w:tc>
        <w:tc>
          <w:tcPr>
            <w:tcW w:w="1028" w:type="dxa"/>
            <w:vMerge w:val="continue"/>
            <w:vAlign w:val="center"/>
          </w:tcPr>
          <w:p w14:paraId="66C0885E">
            <w:pPr>
              <w:spacing w:before="156" w:beforeLines="50" w:after="156" w:afterLines="50"/>
              <w:jc w:val="left"/>
              <w:rPr>
                <w:rFonts w:ascii="宋体"/>
                <w:sz w:val="18"/>
                <w:szCs w:val="18"/>
              </w:rPr>
            </w:pPr>
          </w:p>
        </w:tc>
        <w:tc>
          <w:tcPr>
            <w:tcW w:w="1243" w:type="dxa"/>
            <w:vMerge w:val="continue"/>
            <w:vAlign w:val="center"/>
          </w:tcPr>
          <w:p w14:paraId="1C8D55B0">
            <w:pPr>
              <w:spacing w:before="156" w:beforeLines="50" w:after="156" w:afterLines="50"/>
              <w:jc w:val="left"/>
              <w:rPr>
                <w:rFonts w:ascii="宋体"/>
                <w:sz w:val="18"/>
                <w:szCs w:val="18"/>
              </w:rPr>
            </w:pPr>
          </w:p>
        </w:tc>
        <w:tc>
          <w:tcPr>
            <w:tcW w:w="705" w:type="dxa"/>
            <w:vMerge w:val="continue"/>
            <w:vAlign w:val="center"/>
          </w:tcPr>
          <w:p w14:paraId="7E26E89B">
            <w:pPr>
              <w:spacing w:before="156" w:beforeLines="50" w:after="156" w:afterLines="50"/>
              <w:jc w:val="left"/>
              <w:rPr>
                <w:rFonts w:ascii="宋体"/>
                <w:sz w:val="18"/>
                <w:szCs w:val="18"/>
              </w:rPr>
            </w:pPr>
          </w:p>
        </w:tc>
        <w:tc>
          <w:tcPr>
            <w:tcW w:w="1848" w:type="dxa"/>
            <w:vAlign w:val="center"/>
          </w:tcPr>
          <w:p w14:paraId="36DC8851">
            <w:pPr>
              <w:widowControl/>
              <w:spacing w:before="156" w:beforeLines="50" w:after="156" w:afterLines="50"/>
              <w:jc w:val="left"/>
              <w:rPr>
                <w:rFonts w:ascii="宋体"/>
                <w:kern w:val="0"/>
                <w:sz w:val="18"/>
                <w:szCs w:val="18"/>
              </w:rPr>
            </w:pP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名及以下</w:t>
            </w:r>
            <w:r>
              <w:rPr>
                <w:rFonts w:hint="eastAsia" w:ascii="宋体"/>
                <w:sz w:val="18"/>
                <w:szCs w:val="18"/>
              </w:rPr>
              <w:t>未持有船员适任证书或者其他适任证件</w:t>
            </w:r>
            <w:r>
              <w:rPr>
                <w:rFonts w:hint="eastAsia" w:ascii="宋体"/>
                <w:kern w:val="0"/>
                <w:sz w:val="18"/>
                <w:szCs w:val="18"/>
              </w:rPr>
              <w:t>，且未发生事故的。</w:t>
            </w:r>
          </w:p>
        </w:tc>
        <w:tc>
          <w:tcPr>
            <w:tcW w:w="2157" w:type="dxa"/>
            <w:vAlign w:val="center"/>
          </w:tcPr>
          <w:p w14:paraId="5C31D98D">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：5万元及以上6万元以下；</w:t>
            </w:r>
          </w:p>
          <w:p w14:paraId="71C47EEB">
            <w:pPr>
              <w:spacing w:before="156" w:beforeLines="50" w:after="156" w:afterLines="50"/>
              <w:jc w:val="left"/>
              <w:rPr>
                <w:rFonts w:ascii="宋体"/>
                <w:bCs/>
                <w:kern w:val="0"/>
                <w:sz w:val="18"/>
                <w:szCs w:val="18"/>
              </w:rPr>
            </w:pPr>
            <w:r>
              <w:rPr>
                <w:rFonts w:hint="eastAsia" w:ascii="宋体"/>
                <w:bCs/>
                <w:kern w:val="0"/>
                <w:sz w:val="18"/>
                <w:szCs w:val="18"/>
              </w:rPr>
              <w:t>2.船长（驾驶员）或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：6万元及以上7万元以下。</w:t>
            </w:r>
          </w:p>
        </w:tc>
        <w:tc>
          <w:tcPr>
            <w:tcW w:w="2410" w:type="dxa"/>
            <w:vAlign w:val="center"/>
          </w:tcPr>
          <w:p w14:paraId="362A4304">
            <w:pPr>
              <w:spacing w:before="156" w:beforeLines="50" w:after="156" w:afterLines="50"/>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：7万元及以上8万元以下；</w:t>
            </w:r>
          </w:p>
          <w:p w14:paraId="6C67B626">
            <w:pPr>
              <w:spacing w:before="156" w:beforeLines="50" w:after="156" w:afterLines="50"/>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：8万元及以上9万元以下。</w:t>
            </w:r>
          </w:p>
        </w:tc>
        <w:tc>
          <w:tcPr>
            <w:tcW w:w="1839" w:type="dxa"/>
            <w:vAlign w:val="center"/>
          </w:tcPr>
          <w:p w14:paraId="6C8DFAE9">
            <w:pPr>
              <w:spacing w:before="156" w:beforeLines="50" w:after="156" w:afterLines="50"/>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未持有船员适任证书或者其他适任9</w:t>
            </w:r>
            <w:r>
              <w:rPr>
                <w:rFonts w:hint="eastAsia" w:ascii="宋体"/>
                <w:bCs/>
                <w:kern w:val="0"/>
                <w:sz w:val="18"/>
                <w:szCs w:val="18"/>
              </w:rPr>
              <w:t>万元以下；</w:t>
            </w:r>
          </w:p>
          <w:p w14:paraId="1162702E">
            <w:pPr>
              <w:spacing w:before="156" w:beforeLines="50" w:after="156" w:afterLines="50"/>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未持有船员适任证书或者其他适任证件</w:t>
            </w:r>
            <w:r>
              <w:rPr>
                <w:rFonts w:hint="eastAsia" w:ascii="宋体"/>
                <w:bCs/>
                <w:kern w:val="0"/>
                <w:sz w:val="18"/>
                <w:szCs w:val="18"/>
              </w:rPr>
              <w:t>：9万元及以上10万元以下。</w:t>
            </w:r>
          </w:p>
        </w:tc>
        <w:tc>
          <w:tcPr>
            <w:tcW w:w="2272" w:type="dxa"/>
            <w:vAlign w:val="center"/>
          </w:tcPr>
          <w:p w14:paraId="44BC0E77">
            <w:pPr>
              <w:spacing w:before="156" w:beforeLines="50" w:after="156" w:afterLines="50"/>
              <w:rPr>
                <w:rFonts w:ascii="宋体"/>
                <w:sz w:val="18"/>
                <w:szCs w:val="18"/>
              </w:rPr>
            </w:pPr>
            <w:r>
              <w:rPr>
                <w:rFonts w:hint="eastAsia" w:ascii="宋体"/>
                <w:kern w:val="0"/>
                <w:sz w:val="18"/>
                <w:szCs w:val="18"/>
              </w:rPr>
              <w:t>船长（驾驶员）或高级船员</w:t>
            </w:r>
            <w:r>
              <w:rPr>
                <w:rFonts w:hint="eastAsia" w:ascii="宋体"/>
                <w:sz w:val="18"/>
                <w:szCs w:val="18"/>
              </w:rPr>
              <w:t>未持有船员适任证书或者其他适任证件</w:t>
            </w:r>
            <w:r>
              <w:rPr>
                <w:rFonts w:hint="eastAsia" w:ascii="宋体"/>
                <w:kern w:val="0"/>
                <w:sz w:val="18"/>
                <w:szCs w:val="18"/>
              </w:rPr>
              <w:t>的</w:t>
            </w:r>
            <w:r>
              <w:rPr>
                <w:rFonts w:ascii="宋体"/>
                <w:sz w:val="18"/>
                <w:szCs w:val="18"/>
              </w:rPr>
              <w:t>8000</w:t>
            </w:r>
            <w:r>
              <w:rPr>
                <w:rFonts w:hint="eastAsia" w:ascii="宋体"/>
                <w:sz w:val="18"/>
                <w:szCs w:val="18"/>
              </w:rPr>
              <w:t>元及以上</w:t>
            </w:r>
            <w:r>
              <w:rPr>
                <w:rFonts w:ascii="宋体"/>
                <w:sz w:val="18"/>
                <w:szCs w:val="18"/>
              </w:rPr>
              <w:t>1.2</w:t>
            </w:r>
            <w:r>
              <w:rPr>
                <w:rFonts w:hint="eastAsia" w:ascii="宋体"/>
                <w:sz w:val="18"/>
                <w:szCs w:val="18"/>
              </w:rPr>
              <w:t>万元以下。</w:t>
            </w:r>
          </w:p>
        </w:tc>
        <w:tc>
          <w:tcPr>
            <w:tcW w:w="1982" w:type="dxa"/>
            <w:vMerge w:val="continue"/>
            <w:vAlign w:val="center"/>
          </w:tcPr>
          <w:p w14:paraId="58849B71">
            <w:pPr>
              <w:spacing w:before="156" w:beforeLines="50" w:after="156" w:afterLines="50"/>
              <w:jc w:val="left"/>
              <w:rPr>
                <w:rFonts w:ascii="宋体"/>
                <w:sz w:val="18"/>
                <w:szCs w:val="18"/>
              </w:rPr>
            </w:pPr>
          </w:p>
        </w:tc>
        <w:tc>
          <w:tcPr>
            <w:tcW w:w="2270" w:type="dxa"/>
            <w:vMerge w:val="continue"/>
            <w:vAlign w:val="center"/>
          </w:tcPr>
          <w:p w14:paraId="5AF20EF2">
            <w:pPr>
              <w:spacing w:before="156" w:beforeLines="50" w:after="156" w:afterLines="50"/>
              <w:jc w:val="left"/>
              <w:rPr>
                <w:rFonts w:ascii="宋体"/>
                <w:sz w:val="18"/>
                <w:szCs w:val="18"/>
              </w:rPr>
            </w:pPr>
          </w:p>
        </w:tc>
        <w:tc>
          <w:tcPr>
            <w:tcW w:w="1362" w:type="dxa"/>
            <w:vMerge w:val="continue"/>
          </w:tcPr>
          <w:p w14:paraId="0696FAD0">
            <w:pPr>
              <w:spacing w:before="156" w:beforeLines="50" w:after="156" w:afterLines="50"/>
              <w:jc w:val="left"/>
              <w:rPr>
                <w:rFonts w:ascii="宋体"/>
                <w:sz w:val="18"/>
                <w:szCs w:val="18"/>
              </w:rPr>
            </w:pPr>
          </w:p>
        </w:tc>
      </w:tr>
      <w:tr w14:paraId="663E3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04" w:type="dxa"/>
            <w:vMerge w:val="continue"/>
          </w:tcPr>
          <w:p w14:paraId="15C204F0">
            <w:pPr>
              <w:spacing w:before="156" w:beforeLines="50" w:after="156" w:afterLines="50"/>
              <w:jc w:val="left"/>
              <w:rPr>
                <w:rFonts w:ascii="宋体"/>
                <w:sz w:val="18"/>
                <w:szCs w:val="18"/>
              </w:rPr>
            </w:pPr>
          </w:p>
        </w:tc>
        <w:tc>
          <w:tcPr>
            <w:tcW w:w="811" w:type="dxa"/>
            <w:vMerge w:val="continue"/>
            <w:vAlign w:val="center"/>
          </w:tcPr>
          <w:p w14:paraId="09A86F0E">
            <w:pPr>
              <w:spacing w:before="156" w:beforeLines="50" w:after="156" w:afterLines="50"/>
              <w:jc w:val="left"/>
              <w:rPr>
                <w:rFonts w:ascii="宋体"/>
                <w:sz w:val="18"/>
                <w:szCs w:val="18"/>
              </w:rPr>
            </w:pPr>
          </w:p>
        </w:tc>
        <w:tc>
          <w:tcPr>
            <w:tcW w:w="1028" w:type="dxa"/>
            <w:vMerge w:val="continue"/>
            <w:vAlign w:val="center"/>
          </w:tcPr>
          <w:p w14:paraId="49E7C27E">
            <w:pPr>
              <w:spacing w:before="156" w:beforeLines="50" w:after="156" w:afterLines="50"/>
              <w:jc w:val="left"/>
              <w:rPr>
                <w:rFonts w:ascii="宋体"/>
                <w:sz w:val="18"/>
                <w:szCs w:val="18"/>
              </w:rPr>
            </w:pPr>
          </w:p>
        </w:tc>
        <w:tc>
          <w:tcPr>
            <w:tcW w:w="1243" w:type="dxa"/>
            <w:vMerge w:val="continue"/>
            <w:vAlign w:val="center"/>
          </w:tcPr>
          <w:p w14:paraId="6D286D80">
            <w:pPr>
              <w:spacing w:before="156" w:beforeLines="50" w:after="156" w:afterLines="50"/>
              <w:jc w:val="left"/>
              <w:rPr>
                <w:rFonts w:ascii="宋体"/>
                <w:sz w:val="18"/>
                <w:szCs w:val="18"/>
              </w:rPr>
            </w:pPr>
          </w:p>
        </w:tc>
        <w:tc>
          <w:tcPr>
            <w:tcW w:w="705" w:type="dxa"/>
            <w:vMerge w:val="continue"/>
            <w:vAlign w:val="center"/>
          </w:tcPr>
          <w:p w14:paraId="15B0426E">
            <w:pPr>
              <w:spacing w:before="156" w:beforeLines="50" w:after="156" w:afterLines="50"/>
              <w:jc w:val="left"/>
              <w:rPr>
                <w:rFonts w:ascii="宋体"/>
                <w:sz w:val="18"/>
                <w:szCs w:val="18"/>
              </w:rPr>
            </w:pPr>
          </w:p>
        </w:tc>
        <w:tc>
          <w:tcPr>
            <w:tcW w:w="1848" w:type="dxa"/>
            <w:vAlign w:val="center"/>
          </w:tcPr>
          <w:p w14:paraId="63CC206E">
            <w:pPr>
              <w:widowControl/>
              <w:spacing w:before="156" w:beforeLines="50" w:after="156" w:afterLines="50"/>
              <w:jc w:val="left"/>
              <w:rPr>
                <w:rFonts w:ascii="宋体"/>
                <w:kern w:val="0"/>
                <w:sz w:val="18"/>
                <w:szCs w:val="18"/>
              </w:rPr>
            </w:pPr>
            <w:r>
              <w:rPr>
                <w:rFonts w:hint="eastAsia" w:ascii="宋体"/>
                <w:kern w:val="0"/>
                <w:sz w:val="18"/>
                <w:szCs w:val="18"/>
              </w:rPr>
              <w:t>1发生事故的；</w:t>
            </w:r>
          </w:p>
          <w:p w14:paraId="26C946FF">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157" w:type="dxa"/>
            <w:vAlign w:val="center"/>
          </w:tcPr>
          <w:p w14:paraId="7B541328">
            <w:pPr>
              <w:spacing w:before="156" w:beforeLines="50" w:after="156" w:afterLines="50"/>
              <w:jc w:val="left"/>
              <w:rPr>
                <w:rFonts w:ascii="宋体"/>
                <w:sz w:val="18"/>
                <w:szCs w:val="18"/>
              </w:rPr>
            </w:pPr>
            <w:r>
              <w:rPr>
                <w:rFonts w:hint="eastAsia" w:ascii="宋体"/>
                <w:sz w:val="18"/>
                <w:szCs w:val="18"/>
              </w:rPr>
              <w:t>7万元及以上</w:t>
            </w:r>
            <w:r>
              <w:rPr>
                <w:rFonts w:ascii="宋体"/>
                <w:sz w:val="18"/>
                <w:szCs w:val="18"/>
              </w:rPr>
              <w:t>1</w:t>
            </w:r>
            <w:r>
              <w:rPr>
                <w:rFonts w:hint="eastAsia" w:ascii="宋体"/>
                <w:sz w:val="18"/>
                <w:szCs w:val="18"/>
              </w:rPr>
              <w:t>5万元及以下</w:t>
            </w:r>
          </w:p>
        </w:tc>
        <w:tc>
          <w:tcPr>
            <w:tcW w:w="2410" w:type="dxa"/>
            <w:vAlign w:val="center"/>
          </w:tcPr>
          <w:p w14:paraId="6F8333BE">
            <w:pPr>
              <w:spacing w:before="156" w:beforeLines="50" w:after="156" w:afterLines="50"/>
              <w:rPr>
                <w:rFonts w:ascii="宋体"/>
                <w:sz w:val="18"/>
                <w:szCs w:val="18"/>
              </w:rPr>
            </w:pPr>
            <w:r>
              <w:rPr>
                <w:rFonts w:hint="eastAsia" w:ascii="宋体"/>
                <w:sz w:val="18"/>
                <w:szCs w:val="18"/>
              </w:rPr>
              <w:t>9万元及以上</w:t>
            </w:r>
            <w:r>
              <w:rPr>
                <w:rFonts w:ascii="宋体"/>
                <w:sz w:val="18"/>
                <w:szCs w:val="18"/>
              </w:rPr>
              <w:t>1</w:t>
            </w:r>
            <w:r>
              <w:rPr>
                <w:rFonts w:hint="eastAsia" w:ascii="宋体"/>
                <w:sz w:val="18"/>
                <w:szCs w:val="18"/>
              </w:rPr>
              <w:t>5万元及以下</w:t>
            </w:r>
          </w:p>
        </w:tc>
        <w:tc>
          <w:tcPr>
            <w:tcW w:w="1839" w:type="dxa"/>
            <w:vAlign w:val="center"/>
          </w:tcPr>
          <w:p w14:paraId="035FCC03">
            <w:pPr>
              <w:spacing w:before="156" w:beforeLines="50" w:after="156" w:afterLines="50"/>
              <w:rPr>
                <w:rFonts w:ascii="宋体"/>
                <w:sz w:val="18"/>
                <w:szCs w:val="18"/>
              </w:rPr>
            </w:pPr>
            <w:r>
              <w:rPr>
                <w:rFonts w:hint="eastAsia" w:ascii="宋体"/>
                <w:sz w:val="18"/>
                <w:szCs w:val="18"/>
              </w:rPr>
              <w:t>10万元及以上15万元及以下</w:t>
            </w:r>
          </w:p>
        </w:tc>
        <w:tc>
          <w:tcPr>
            <w:tcW w:w="2272" w:type="dxa"/>
            <w:vAlign w:val="center"/>
          </w:tcPr>
          <w:p w14:paraId="2919D646">
            <w:pPr>
              <w:spacing w:before="156" w:beforeLines="50" w:after="156" w:afterLines="50"/>
              <w:rPr>
                <w:rFonts w:ascii="宋体"/>
                <w:sz w:val="18"/>
                <w:szCs w:val="18"/>
              </w:rPr>
            </w:pPr>
            <w:r>
              <w:rPr>
                <w:rFonts w:hint="eastAsia" w:ascii="宋体"/>
                <w:kern w:val="0"/>
                <w:sz w:val="18"/>
                <w:szCs w:val="18"/>
              </w:rPr>
              <w:t>发生事故的或具有其他从重情节的：</w:t>
            </w:r>
            <w:r>
              <w:rPr>
                <w:rFonts w:ascii="宋体"/>
                <w:kern w:val="0"/>
                <w:sz w:val="18"/>
                <w:szCs w:val="18"/>
              </w:rPr>
              <w:t>1.2</w:t>
            </w:r>
            <w:r>
              <w:rPr>
                <w:rFonts w:hint="eastAsia" w:ascii="宋体"/>
                <w:kern w:val="0"/>
                <w:sz w:val="18"/>
                <w:szCs w:val="18"/>
              </w:rPr>
              <w:t>万元及以上及以下</w:t>
            </w:r>
            <w:r>
              <w:rPr>
                <w:rFonts w:ascii="宋体"/>
                <w:kern w:val="0"/>
                <w:sz w:val="18"/>
                <w:szCs w:val="18"/>
              </w:rPr>
              <w:t>2</w:t>
            </w:r>
            <w:r>
              <w:rPr>
                <w:rFonts w:hint="eastAsia" w:ascii="宋体"/>
                <w:kern w:val="0"/>
                <w:sz w:val="18"/>
                <w:szCs w:val="18"/>
              </w:rPr>
              <w:t>万元</w:t>
            </w:r>
          </w:p>
        </w:tc>
        <w:tc>
          <w:tcPr>
            <w:tcW w:w="1982" w:type="dxa"/>
            <w:vMerge w:val="continue"/>
          </w:tcPr>
          <w:p w14:paraId="1969000D">
            <w:pPr>
              <w:spacing w:before="156" w:beforeLines="50" w:after="156" w:afterLines="50"/>
              <w:jc w:val="left"/>
              <w:rPr>
                <w:rFonts w:ascii="宋体"/>
                <w:sz w:val="18"/>
                <w:szCs w:val="18"/>
              </w:rPr>
            </w:pPr>
          </w:p>
        </w:tc>
        <w:tc>
          <w:tcPr>
            <w:tcW w:w="2270" w:type="dxa"/>
            <w:vMerge w:val="continue"/>
          </w:tcPr>
          <w:p w14:paraId="32F54F99">
            <w:pPr>
              <w:spacing w:before="156" w:beforeLines="50" w:after="156" w:afterLines="50"/>
              <w:jc w:val="left"/>
              <w:rPr>
                <w:rFonts w:ascii="宋体"/>
                <w:sz w:val="18"/>
                <w:szCs w:val="18"/>
              </w:rPr>
            </w:pPr>
          </w:p>
        </w:tc>
        <w:tc>
          <w:tcPr>
            <w:tcW w:w="1362" w:type="dxa"/>
            <w:vMerge w:val="continue"/>
          </w:tcPr>
          <w:p w14:paraId="063C6F82">
            <w:pPr>
              <w:spacing w:before="156" w:beforeLines="50" w:after="156" w:afterLines="50"/>
              <w:jc w:val="left"/>
              <w:rPr>
                <w:rFonts w:ascii="宋体"/>
                <w:sz w:val="18"/>
                <w:szCs w:val="18"/>
              </w:rPr>
            </w:pPr>
          </w:p>
        </w:tc>
      </w:tr>
    </w:tbl>
    <w:p w14:paraId="1BA01DBE">
      <w:pPr>
        <w:spacing w:before="156" w:beforeLines="50" w:after="156" w:afterLines="50"/>
        <w:jc w:val="left"/>
        <w:rPr>
          <w:rFonts w:ascii="宋体"/>
          <w:b/>
          <w:kern w:val="0"/>
          <w:sz w:val="18"/>
          <w:szCs w:val="18"/>
        </w:rPr>
      </w:pPr>
      <w:r>
        <w:rPr>
          <w:rFonts w:ascii="宋体"/>
          <w:b/>
          <w:kern w:val="0"/>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2069"/>
        <w:gridCol w:w="2642"/>
        <w:gridCol w:w="3030"/>
        <w:gridCol w:w="1034"/>
        <w:gridCol w:w="4568"/>
        <w:gridCol w:w="6071"/>
      </w:tblGrid>
      <w:tr w14:paraId="200B1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106" w:type="dxa"/>
            <w:vMerge w:val="restart"/>
            <w:vAlign w:val="center"/>
          </w:tcPr>
          <w:p w14:paraId="523FD10D">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69" w:type="dxa"/>
            <w:vMerge w:val="restart"/>
            <w:vAlign w:val="center"/>
          </w:tcPr>
          <w:p w14:paraId="4AAC499B">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672" w:type="dxa"/>
            <w:gridSpan w:val="2"/>
            <w:vMerge w:val="restart"/>
            <w:vAlign w:val="center"/>
          </w:tcPr>
          <w:p w14:paraId="5D1F6FB7">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34" w:type="dxa"/>
            <w:vMerge w:val="restart"/>
            <w:vAlign w:val="center"/>
          </w:tcPr>
          <w:p w14:paraId="4D87BA22">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4568" w:type="dxa"/>
            <w:vMerge w:val="restart"/>
            <w:vAlign w:val="center"/>
          </w:tcPr>
          <w:p w14:paraId="5C99E603">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07CFC6B">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071" w:type="dxa"/>
            <w:vAlign w:val="center"/>
          </w:tcPr>
          <w:p w14:paraId="221F8A2D">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责令改正，可以处</w:t>
            </w:r>
            <w:r>
              <w:rPr>
                <w:rFonts w:ascii="宋体"/>
                <w:b/>
                <w:sz w:val="18"/>
                <w:szCs w:val="18"/>
              </w:rPr>
              <w:t>2000</w:t>
            </w:r>
            <w:r>
              <w:rPr>
                <w:rFonts w:hint="eastAsia" w:ascii="宋体"/>
                <w:b/>
                <w:sz w:val="18"/>
                <w:szCs w:val="18"/>
              </w:rPr>
              <w:t>元以下罚款。</w:t>
            </w:r>
          </w:p>
        </w:tc>
      </w:tr>
      <w:tr w14:paraId="2081C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14:paraId="3E355F87">
            <w:pPr>
              <w:spacing w:before="156" w:beforeLines="50" w:after="156" w:afterLines="50"/>
              <w:jc w:val="center"/>
              <w:rPr>
                <w:rFonts w:ascii="宋体"/>
                <w:b/>
                <w:kern w:val="0"/>
                <w:sz w:val="18"/>
                <w:szCs w:val="18"/>
              </w:rPr>
            </w:pPr>
          </w:p>
        </w:tc>
        <w:tc>
          <w:tcPr>
            <w:tcW w:w="2069" w:type="dxa"/>
            <w:vMerge w:val="continue"/>
            <w:vAlign w:val="center"/>
          </w:tcPr>
          <w:p w14:paraId="6EBA7E59">
            <w:pPr>
              <w:spacing w:before="156" w:beforeLines="50" w:after="156" w:afterLines="50"/>
              <w:jc w:val="center"/>
              <w:rPr>
                <w:rFonts w:ascii="宋体"/>
                <w:b/>
                <w:kern w:val="0"/>
                <w:sz w:val="18"/>
                <w:szCs w:val="18"/>
              </w:rPr>
            </w:pPr>
          </w:p>
        </w:tc>
        <w:tc>
          <w:tcPr>
            <w:tcW w:w="5672" w:type="dxa"/>
            <w:gridSpan w:val="2"/>
            <w:vMerge w:val="continue"/>
            <w:vAlign w:val="center"/>
          </w:tcPr>
          <w:p w14:paraId="4D8DE933">
            <w:pPr>
              <w:spacing w:before="156" w:beforeLines="50" w:after="156" w:afterLines="50"/>
              <w:jc w:val="center"/>
              <w:rPr>
                <w:rFonts w:ascii="宋体"/>
                <w:b/>
                <w:kern w:val="0"/>
                <w:sz w:val="18"/>
                <w:szCs w:val="18"/>
              </w:rPr>
            </w:pPr>
          </w:p>
        </w:tc>
        <w:tc>
          <w:tcPr>
            <w:tcW w:w="1034" w:type="dxa"/>
            <w:vMerge w:val="continue"/>
            <w:vAlign w:val="center"/>
          </w:tcPr>
          <w:p w14:paraId="5E9ABA55">
            <w:pPr>
              <w:spacing w:before="156" w:beforeLines="50" w:after="156" w:afterLines="50"/>
              <w:jc w:val="left"/>
              <w:rPr>
                <w:rFonts w:ascii="宋体"/>
                <w:b/>
                <w:kern w:val="0"/>
                <w:sz w:val="18"/>
                <w:szCs w:val="18"/>
              </w:rPr>
            </w:pPr>
          </w:p>
        </w:tc>
        <w:tc>
          <w:tcPr>
            <w:tcW w:w="4568" w:type="dxa"/>
            <w:vMerge w:val="continue"/>
            <w:vAlign w:val="center"/>
          </w:tcPr>
          <w:p w14:paraId="373BDA57">
            <w:pPr>
              <w:spacing w:before="156" w:beforeLines="50" w:after="156" w:afterLines="50"/>
              <w:jc w:val="left"/>
              <w:rPr>
                <w:rFonts w:ascii="宋体"/>
                <w:b/>
                <w:kern w:val="0"/>
                <w:sz w:val="18"/>
                <w:szCs w:val="18"/>
              </w:rPr>
            </w:pPr>
          </w:p>
        </w:tc>
        <w:tc>
          <w:tcPr>
            <w:tcW w:w="6071" w:type="dxa"/>
            <w:vAlign w:val="center"/>
          </w:tcPr>
          <w:p w14:paraId="08BEB3DD">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38DFB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14:paraId="77B5EC04">
            <w:pPr>
              <w:spacing w:before="156" w:beforeLines="50" w:after="156" w:afterLines="50"/>
              <w:jc w:val="center"/>
              <w:rPr>
                <w:rFonts w:ascii="宋体"/>
                <w:b/>
                <w:kern w:val="0"/>
                <w:sz w:val="18"/>
                <w:szCs w:val="18"/>
              </w:rPr>
            </w:pPr>
          </w:p>
        </w:tc>
        <w:tc>
          <w:tcPr>
            <w:tcW w:w="2069" w:type="dxa"/>
            <w:vMerge w:val="continue"/>
            <w:vAlign w:val="center"/>
          </w:tcPr>
          <w:p w14:paraId="3487DCE7">
            <w:pPr>
              <w:spacing w:before="156" w:beforeLines="50" w:after="156" w:afterLines="50"/>
              <w:jc w:val="center"/>
              <w:rPr>
                <w:rFonts w:ascii="宋体"/>
                <w:b/>
                <w:kern w:val="0"/>
                <w:sz w:val="18"/>
                <w:szCs w:val="18"/>
              </w:rPr>
            </w:pPr>
          </w:p>
        </w:tc>
        <w:tc>
          <w:tcPr>
            <w:tcW w:w="2642" w:type="dxa"/>
            <w:vAlign w:val="center"/>
          </w:tcPr>
          <w:p w14:paraId="57C1C8B1">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30" w:type="dxa"/>
            <w:vAlign w:val="center"/>
          </w:tcPr>
          <w:p w14:paraId="70813714">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34" w:type="dxa"/>
            <w:vMerge w:val="continue"/>
            <w:vAlign w:val="center"/>
          </w:tcPr>
          <w:p w14:paraId="3BF006EC">
            <w:pPr>
              <w:spacing w:before="156" w:beforeLines="50" w:after="156" w:afterLines="50"/>
              <w:jc w:val="left"/>
              <w:rPr>
                <w:rFonts w:ascii="宋体"/>
                <w:b/>
                <w:kern w:val="0"/>
                <w:sz w:val="18"/>
                <w:szCs w:val="18"/>
              </w:rPr>
            </w:pPr>
          </w:p>
        </w:tc>
        <w:tc>
          <w:tcPr>
            <w:tcW w:w="4568" w:type="dxa"/>
            <w:vMerge w:val="continue"/>
            <w:vAlign w:val="center"/>
          </w:tcPr>
          <w:p w14:paraId="26E52FD4">
            <w:pPr>
              <w:spacing w:before="156" w:beforeLines="50" w:after="156" w:afterLines="50"/>
              <w:jc w:val="left"/>
              <w:rPr>
                <w:rFonts w:ascii="宋体"/>
                <w:b/>
                <w:kern w:val="0"/>
                <w:sz w:val="18"/>
                <w:szCs w:val="18"/>
              </w:rPr>
            </w:pPr>
          </w:p>
        </w:tc>
        <w:tc>
          <w:tcPr>
            <w:tcW w:w="6071" w:type="dxa"/>
            <w:vAlign w:val="center"/>
          </w:tcPr>
          <w:p w14:paraId="759D5CC6">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0BDC7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restart"/>
            <w:vAlign w:val="center"/>
          </w:tcPr>
          <w:p w14:paraId="45C54E75">
            <w:pPr>
              <w:spacing w:before="156" w:beforeLines="50" w:after="156" w:afterLines="50"/>
              <w:jc w:val="center"/>
              <w:rPr>
                <w:rFonts w:ascii="宋体"/>
                <w:kern w:val="0"/>
                <w:sz w:val="18"/>
                <w:szCs w:val="18"/>
              </w:rPr>
            </w:pPr>
            <w:r>
              <w:rPr>
                <w:rFonts w:hint="eastAsia" w:ascii="宋体"/>
                <w:kern w:val="0"/>
                <w:sz w:val="18"/>
                <w:szCs w:val="18"/>
              </w:rPr>
              <w:t>70</w:t>
            </w:r>
          </w:p>
        </w:tc>
        <w:tc>
          <w:tcPr>
            <w:tcW w:w="2069" w:type="dxa"/>
            <w:vMerge w:val="restart"/>
            <w:vAlign w:val="center"/>
          </w:tcPr>
          <w:p w14:paraId="1D599BF6">
            <w:pPr>
              <w:spacing w:before="156" w:beforeLines="50" w:after="156" w:afterLines="50"/>
              <w:jc w:val="left"/>
              <w:rPr>
                <w:rFonts w:ascii="宋体"/>
                <w:kern w:val="0"/>
                <w:sz w:val="18"/>
                <w:szCs w:val="18"/>
              </w:rPr>
            </w:pPr>
            <w:r>
              <w:rPr>
                <w:rFonts w:hint="eastAsia" w:ascii="宋体"/>
                <w:sz w:val="18"/>
                <w:szCs w:val="18"/>
              </w:rPr>
              <w:t>船员在船工作期间未携带规定的有效证件</w:t>
            </w:r>
          </w:p>
        </w:tc>
        <w:tc>
          <w:tcPr>
            <w:tcW w:w="2642" w:type="dxa"/>
            <w:vMerge w:val="restart"/>
            <w:vAlign w:val="center"/>
          </w:tcPr>
          <w:p w14:paraId="20A25347">
            <w:pPr>
              <w:widowControl/>
              <w:spacing w:before="156" w:beforeLines="50" w:after="156" w:afterLines="50"/>
              <w:jc w:val="left"/>
              <w:rPr>
                <w:rFonts w:ascii="宋体"/>
                <w:kern w:val="0"/>
                <w:sz w:val="18"/>
                <w:szCs w:val="18"/>
              </w:rPr>
            </w:pPr>
            <w:r>
              <w:rPr>
                <w:rFonts w:hint="eastAsia" w:ascii="宋体"/>
                <w:kern w:val="0"/>
                <w:sz w:val="18"/>
                <w:szCs w:val="18"/>
              </w:rPr>
              <w:t>1.《中华人民共和国船员条例》第十六条第（一）项；</w:t>
            </w:r>
          </w:p>
          <w:p w14:paraId="38A77BB1"/>
          <w:p w14:paraId="00C4AB5E">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.《游艇安全管理规定》第三十五条第三款。</w:t>
            </w:r>
          </w:p>
        </w:tc>
        <w:tc>
          <w:tcPr>
            <w:tcW w:w="3030" w:type="dxa"/>
            <w:vMerge w:val="restart"/>
            <w:vAlign w:val="center"/>
          </w:tcPr>
          <w:p w14:paraId="250DCC6C">
            <w:pPr>
              <w:spacing w:before="156" w:beforeLines="50" w:after="156" w:afterLines="50"/>
              <w:jc w:val="left"/>
              <w:rPr>
                <w:rFonts w:ascii="宋体"/>
                <w:kern w:val="0"/>
                <w:sz w:val="18"/>
                <w:szCs w:val="18"/>
              </w:rPr>
            </w:pPr>
            <w:r>
              <w:rPr>
                <w:rFonts w:hint="eastAsia" w:ascii="宋体"/>
                <w:kern w:val="0"/>
                <w:sz w:val="18"/>
                <w:szCs w:val="18"/>
              </w:rPr>
              <w:t>1.《中华人民共和国船员条例》第五十一条；</w:t>
            </w:r>
          </w:p>
          <w:p w14:paraId="36EACE9B"/>
          <w:p w14:paraId="265CEA5C">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.《游艇安全管理规定》第三十八条；</w:t>
            </w:r>
          </w:p>
          <w:p w14:paraId="4B9BCD81">
            <w:pPr>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《中华人民共和国行政处罚法》第三十二条（从轻）。</w:t>
            </w:r>
          </w:p>
        </w:tc>
        <w:tc>
          <w:tcPr>
            <w:tcW w:w="1034" w:type="dxa"/>
            <w:vAlign w:val="center"/>
          </w:tcPr>
          <w:p w14:paraId="3763013D">
            <w:pPr>
              <w:spacing w:before="156" w:beforeLines="50" w:after="156" w:afterLines="50"/>
              <w:jc w:val="center"/>
              <w:rPr>
                <w:rFonts w:ascii="宋体"/>
                <w:kern w:val="0"/>
                <w:sz w:val="18"/>
                <w:szCs w:val="18"/>
              </w:rPr>
            </w:pPr>
            <w:r>
              <w:rPr>
                <w:rFonts w:hint="eastAsia" w:ascii="宋体"/>
                <w:kern w:val="0"/>
                <w:sz w:val="18"/>
                <w:szCs w:val="18"/>
              </w:rPr>
              <w:t>从轻</w:t>
            </w:r>
          </w:p>
        </w:tc>
        <w:tc>
          <w:tcPr>
            <w:tcW w:w="4568" w:type="dxa"/>
            <w:vAlign w:val="center"/>
          </w:tcPr>
          <w:p w14:paraId="4A1B0AC1">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071" w:type="dxa"/>
            <w:vAlign w:val="center"/>
          </w:tcPr>
          <w:p w14:paraId="1D67431D">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元以下</w:t>
            </w:r>
          </w:p>
        </w:tc>
      </w:tr>
      <w:tr w14:paraId="3AEE6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14:paraId="211B77C4">
            <w:pPr>
              <w:spacing w:before="156" w:beforeLines="50" w:after="156" w:afterLines="50"/>
              <w:jc w:val="left"/>
              <w:rPr>
                <w:rFonts w:ascii="宋体"/>
                <w:kern w:val="0"/>
                <w:sz w:val="18"/>
                <w:szCs w:val="18"/>
              </w:rPr>
            </w:pPr>
          </w:p>
        </w:tc>
        <w:tc>
          <w:tcPr>
            <w:tcW w:w="2069" w:type="dxa"/>
            <w:vMerge w:val="continue"/>
            <w:vAlign w:val="center"/>
          </w:tcPr>
          <w:p w14:paraId="05984FA7">
            <w:pPr>
              <w:spacing w:before="156" w:beforeLines="50" w:after="156" w:afterLines="50"/>
              <w:jc w:val="left"/>
              <w:rPr>
                <w:rFonts w:ascii="宋体"/>
                <w:kern w:val="0"/>
                <w:sz w:val="18"/>
                <w:szCs w:val="18"/>
              </w:rPr>
            </w:pPr>
          </w:p>
        </w:tc>
        <w:tc>
          <w:tcPr>
            <w:tcW w:w="2642" w:type="dxa"/>
            <w:vMerge w:val="continue"/>
            <w:vAlign w:val="center"/>
          </w:tcPr>
          <w:p w14:paraId="75C09ACA">
            <w:pPr>
              <w:widowControl/>
              <w:spacing w:before="156" w:beforeLines="50" w:after="156" w:afterLines="50"/>
              <w:jc w:val="left"/>
              <w:rPr>
                <w:rFonts w:ascii="宋体"/>
                <w:kern w:val="0"/>
                <w:sz w:val="18"/>
                <w:szCs w:val="18"/>
              </w:rPr>
            </w:pPr>
          </w:p>
        </w:tc>
        <w:tc>
          <w:tcPr>
            <w:tcW w:w="3030" w:type="dxa"/>
            <w:vMerge w:val="continue"/>
            <w:vAlign w:val="center"/>
          </w:tcPr>
          <w:p w14:paraId="205457E0">
            <w:pPr>
              <w:spacing w:before="156" w:beforeLines="50" w:after="156" w:afterLines="50"/>
              <w:jc w:val="left"/>
              <w:rPr>
                <w:rFonts w:ascii="宋体"/>
                <w:kern w:val="0"/>
                <w:sz w:val="18"/>
                <w:szCs w:val="18"/>
              </w:rPr>
            </w:pPr>
          </w:p>
        </w:tc>
        <w:tc>
          <w:tcPr>
            <w:tcW w:w="1034" w:type="dxa"/>
            <w:vMerge w:val="restart"/>
            <w:vAlign w:val="center"/>
          </w:tcPr>
          <w:p w14:paraId="56596E39">
            <w:pPr>
              <w:spacing w:before="156" w:beforeLines="50" w:after="156" w:afterLines="50"/>
              <w:jc w:val="center"/>
              <w:rPr>
                <w:rFonts w:ascii="宋体"/>
                <w:kern w:val="0"/>
                <w:sz w:val="18"/>
                <w:szCs w:val="18"/>
              </w:rPr>
            </w:pPr>
            <w:r>
              <w:rPr>
                <w:rFonts w:hint="eastAsia" w:ascii="宋体"/>
                <w:kern w:val="0"/>
                <w:sz w:val="18"/>
                <w:szCs w:val="18"/>
              </w:rPr>
              <w:t>一般</w:t>
            </w:r>
          </w:p>
        </w:tc>
        <w:tc>
          <w:tcPr>
            <w:tcW w:w="4568" w:type="dxa"/>
            <w:vAlign w:val="center"/>
          </w:tcPr>
          <w:p w14:paraId="7E97130A">
            <w:pPr>
              <w:spacing w:before="156" w:beforeLines="50" w:after="156" w:afterLines="50"/>
              <w:jc w:val="left"/>
              <w:rPr>
                <w:rFonts w:ascii="宋体"/>
                <w:sz w:val="18"/>
                <w:szCs w:val="18"/>
              </w:rPr>
            </w:pPr>
            <w:r>
              <w:rPr>
                <w:rFonts w:hint="eastAsia" w:ascii="宋体"/>
                <w:sz w:val="18"/>
                <w:szCs w:val="18"/>
              </w:rPr>
              <w:t>船员在船工作期间未携带船员服务簿、相应的专业培训合格证或客船等特殊培训合格证明的。</w:t>
            </w:r>
          </w:p>
        </w:tc>
        <w:tc>
          <w:tcPr>
            <w:tcW w:w="6071" w:type="dxa"/>
            <w:vAlign w:val="center"/>
          </w:tcPr>
          <w:p w14:paraId="320BF0EC">
            <w:pPr>
              <w:spacing w:before="156" w:beforeLines="50" w:after="156" w:afterLines="50"/>
              <w:jc w:val="left"/>
              <w:rPr>
                <w:rFonts w:ascii="宋体"/>
                <w:kern w:val="0"/>
                <w:sz w:val="18"/>
                <w:szCs w:val="18"/>
              </w:rPr>
            </w:pPr>
            <w:r>
              <w:rPr>
                <w:rFonts w:ascii="宋体"/>
                <w:kern w:val="0"/>
                <w:sz w:val="18"/>
                <w:szCs w:val="18"/>
              </w:rPr>
              <w:t>500</w:t>
            </w:r>
            <w:r>
              <w:rPr>
                <w:rFonts w:hint="eastAsia" w:ascii="宋体"/>
                <w:kern w:val="0"/>
                <w:sz w:val="18"/>
                <w:szCs w:val="18"/>
              </w:rPr>
              <w:t>元及以上</w:t>
            </w:r>
            <w:r>
              <w:rPr>
                <w:rFonts w:ascii="宋体"/>
                <w:kern w:val="0"/>
                <w:sz w:val="18"/>
                <w:szCs w:val="18"/>
              </w:rPr>
              <w:t>800</w:t>
            </w:r>
            <w:r>
              <w:rPr>
                <w:rFonts w:hint="eastAsia" w:ascii="宋体"/>
                <w:kern w:val="0"/>
                <w:sz w:val="18"/>
                <w:szCs w:val="18"/>
              </w:rPr>
              <w:t>元以下</w:t>
            </w:r>
          </w:p>
        </w:tc>
      </w:tr>
      <w:tr w14:paraId="254A7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14:paraId="7E102DAE">
            <w:pPr>
              <w:spacing w:before="156" w:beforeLines="50" w:after="156" w:afterLines="50"/>
              <w:jc w:val="left"/>
              <w:rPr>
                <w:rFonts w:ascii="宋体"/>
                <w:kern w:val="0"/>
                <w:sz w:val="18"/>
                <w:szCs w:val="18"/>
              </w:rPr>
            </w:pPr>
          </w:p>
        </w:tc>
        <w:tc>
          <w:tcPr>
            <w:tcW w:w="2069" w:type="dxa"/>
            <w:vMerge w:val="continue"/>
            <w:vAlign w:val="center"/>
          </w:tcPr>
          <w:p w14:paraId="2102B1FC">
            <w:pPr>
              <w:spacing w:before="156" w:beforeLines="50" w:after="156" w:afterLines="50"/>
              <w:jc w:val="left"/>
              <w:rPr>
                <w:rFonts w:ascii="宋体"/>
                <w:kern w:val="0"/>
                <w:sz w:val="18"/>
                <w:szCs w:val="18"/>
              </w:rPr>
            </w:pPr>
          </w:p>
        </w:tc>
        <w:tc>
          <w:tcPr>
            <w:tcW w:w="2642" w:type="dxa"/>
            <w:vMerge w:val="continue"/>
            <w:vAlign w:val="center"/>
          </w:tcPr>
          <w:p w14:paraId="4EB45421">
            <w:pPr>
              <w:spacing w:before="156" w:beforeLines="50" w:after="156" w:afterLines="50"/>
              <w:jc w:val="left"/>
              <w:rPr>
                <w:rFonts w:ascii="宋体"/>
                <w:kern w:val="0"/>
                <w:sz w:val="18"/>
                <w:szCs w:val="18"/>
              </w:rPr>
            </w:pPr>
          </w:p>
        </w:tc>
        <w:tc>
          <w:tcPr>
            <w:tcW w:w="3030" w:type="dxa"/>
            <w:vMerge w:val="continue"/>
            <w:vAlign w:val="center"/>
          </w:tcPr>
          <w:p w14:paraId="585A663F">
            <w:pPr>
              <w:spacing w:before="156" w:beforeLines="50" w:after="156" w:afterLines="50"/>
              <w:jc w:val="left"/>
              <w:rPr>
                <w:rFonts w:ascii="宋体"/>
                <w:kern w:val="0"/>
                <w:sz w:val="18"/>
                <w:szCs w:val="18"/>
              </w:rPr>
            </w:pPr>
          </w:p>
        </w:tc>
        <w:tc>
          <w:tcPr>
            <w:tcW w:w="1034" w:type="dxa"/>
            <w:vMerge w:val="continue"/>
            <w:vAlign w:val="center"/>
          </w:tcPr>
          <w:p w14:paraId="1D57036E">
            <w:pPr>
              <w:spacing w:before="156" w:beforeLines="50" w:after="156" w:afterLines="50"/>
              <w:jc w:val="center"/>
              <w:rPr>
                <w:rFonts w:ascii="宋体"/>
                <w:kern w:val="0"/>
                <w:sz w:val="18"/>
                <w:szCs w:val="18"/>
              </w:rPr>
            </w:pPr>
          </w:p>
        </w:tc>
        <w:tc>
          <w:tcPr>
            <w:tcW w:w="4568" w:type="dxa"/>
            <w:vAlign w:val="center"/>
          </w:tcPr>
          <w:p w14:paraId="1A11B727">
            <w:pPr>
              <w:widowControl/>
              <w:spacing w:before="156" w:beforeLines="50" w:after="156" w:afterLines="50"/>
              <w:jc w:val="left"/>
              <w:rPr>
                <w:rFonts w:ascii="宋体"/>
                <w:sz w:val="18"/>
                <w:szCs w:val="18"/>
              </w:rPr>
            </w:pPr>
            <w:r>
              <w:rPr>
                <w:rFonts w:hint="eastAsia" w:ascii="宋体"/>
                <w:sz w:val="18"/>
                <w:szCs w:val="18"/>
              </w:rPr>
              <w:t>船员在船工作期间未携带船员适任证书或者中华人民共和国海员证的。</w:t>
            </w:r>
          </w:p>
        </w:tc>
        <w:tc>
          <w:tcPr>
            <w:tcW w:w="6071" w:type="dxa"/>
            <w:vAlign w:val="center"/>
          </w:tcPr>
          <w:p w14:paraId="7FF46E69">
            <w:pPr>
              <w:spacing w:before="156" w:beforeLines="50" w:after="156" w:afterLines="50"/>
              <w:jc w:val="left"/>
              <w:rPr>
                <w:rFonts w:ascii="宋体"/>
                <w:kern w:val="0"/>
                <w:sz w:val="18"/>
                <w:szCs w:val="18"/>
              </w:rPr>
            </w:pPr>
            <w:r>
              <w:rPr>
                <w:rFonts w:ascii="宋体"/>
                <w:kern w:val="0"/>
                <w:sz w:val="18"/>
                <w:szCs w:val="18"/>
              </w:rPr>
              <w:t>800</w:t>
            </w:r>
            <w:r>
              <w:rPr>
                <w:rFonts w:hint="eastAsia" w:ascii="宋体"/>
                <w:kern w:val="0"/>
                <w:sz w:val="18"/>
                <w:szCs w:val="18"/>
              </w:rPr>
              <w:t>元及以上</w:t>
            </w:r>
            <w:r>
              <w:rPr>
                <w:rFonts w:ascii="宋体"/>
                <w:kern w:val="0"/>
                <w:sz w:val="18"/>
                <w:szCs w:val="18"/>
              </w:rPr>
              <w:t>1200</w:t>
            </w:r>
            <w:r>
              <w:rPr>
                <w:rFonts w:hint="eastAsia" w:ascii="宋体"/>
                <w:kern w:val="0"/>
                <w:sz w:val="18"/>
                <w:szCs w:val="18"/>
              </w:rPr>
              <w:t>元以下</w:t>
            </w:r>
          </w:p>
        </w:tc>
      </w:tr>
      <w:tr w14:paraId="349C7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06" w:type="dxa"/>
            <w:vMerge w:val="continue"/>
            <w:vAlign w:val="center"/>
          </w:tcPr>
          <w:p w14:paraId="1E363460">
            <w:pPr>
              <w:spacing w:before="156" w:beforeLines="50" w:after="156" w:afterLines="50"/>
              <w:jc w:val="left"/>
              <w:rPr>
                <w:rFonts w:ascii="宋体"/>
                <w:kern w:val="0"/>
                <w:sz w:val="18"/>
                <w:szCs w:val="18"/>
              </w:rPr>
            </w:pPr>
          </w:p>
        </w:tc>
        <w:tc>
          <w:tcPr>
            <w:tcW w:w="2069" w:type="dxa"/>
            <w:vMerge w:val="continue"/>
            <w:vAlign w:val="center"/>
          </w:tcPr>
          <w:p w14:paraId="4B40A29A">
            <w:pPr>
              <w:spacing w:before="156" w:beforeLines="50" w:after="156" w:afterLines="50"/>
              <w:jc w:val="left"/>
              <w:rPr>
                <w:rFonts w:ascii="宋体"/>
                <w:kern w:val="0"/>
                <w:sz w:val="18"/>
                <w:szCs w:val="18"/>
              </w:rPr>
            </w:pPr>
          </w:p>
        </w:tc>
        <w:tc>
          <w:tcPr>
            <w:tcW w:w="2642" w:type="dxa"/>
            <w:vMerge w:val="continue"/>
            <w:vAlign w:val="center"/>
          </w:tcPr>
          <w:p w14:paraId="443C1186">
            <w:pPr>
              <w:spacing w:before="156" w:beforeLines="50" w:after="156" w:afterLines="50"/>
              <w:jc w:val="left"/>
              <w:rPr>
                <w:rFonts w:ascii="宋体"/>
                <w:kern w:val="0"/>
                <w:sz w:val="18"/>
                <w:szCs w:val="18"/>
              </w:rPr>
            </w:pPr>
          </w:p>
        </w:tc>
        <w:tc>
          <w:tcPr>
            <w:tcW w:w="3030" w:type="dxa"/>
            <w:vMerge w:val="continue"/>
            <w:vAlign w:val="center"/>
          </w:tcPr>
          <w:p w14:paraId="36DA3500">
            <w:pPr>
              <w:spacing w:before="156" w:beforeLines="50" w:after="156" w:afterLines="50"/>
              <w:jc w:val="left"/>
              <w:rPr>
                <w:rFonts w:ascii="宋体"/>
                <w:kern w:val="0"/>
                <w:sz w:val="18"/>
                <w:szCs w:val="18"/>
              </w:rPr>
            </w:pPr>
          </w:p>
        </w:tc>
        <w:tc>
          <w:tcPr>
            <w:tcW w:w="1034" w:type="dxa"/>
            <w:vMerge w:val="continue"/>
            <w:vAlign w:val="center"/>
          </w:tcPr>
          <w:p w14:paraId="3F31E8BE">
            <w:pPr>
              <w:spacing w:before="156" w:beforeLines="50" w:after="156" w:afterLines="50"/>
              <w:jc w:val="center"/>
              <w:rPr>
                <w:rFonts w:ascii="宋体"/>
                <w:kern w:val="0"/>
                <w:sz w:val="18"/>
                <w:szCs w:val="18"/>
              </w:rPr>
            </w:pPr>
          </w:p>
        </w:tc>
        <w:tc>
          <w:tcPr>
            <w:tcW w:w="4568" w:type="dxa"/>
            <w:vAlign w:val="center"/>
          </w:tcPr>
          <w:p w14:paraId="14B11784">
            <w:pPr>
              <w:spacing w:before="156" w:beforeLines="50" w:after="156" w:afterLines="50"/>
              <w:jc w:val="left"/>
              <w:rPr>
                <w:rFonts w:ascii="宋体"/>
                <w:sz w:val="18"/>
                <w:szCs w:val="18"/>
              </w:rPr>
            </w:pPr>
            <w:r>
              <w:rPr>
                <w:rFonts w:hint="eastAsia" w:ascii="宋体"/>
                <w:sz w:val="18"/>
                <w:szCs w:val="18"/>
              </w:rPr>
              <w:t>1.船员在船工作期间未携带船员服务簿、专业培训合格证和客船等特殊培训合格证明一种及以上，且未携带船员适任证书和中华人民共和国海员证一种及以上的；</w:t>
            </w:r>
          </w:p>
          <w:p w14:paraId="2B1D365D">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6071" w:type="dxa"/>
            <w:vAlign w:val="center"/>
          </w:tcPr>
          <w:p w14:paraId="35678E17">
            <w:pPr>
              <w:spacing w:before="156" w:beforeLines="50" w:after="156" w:afterLines="50"/>
              <w:jc w:val="left"/>
              <w:rPr>
                <w:rFonts w:ascii="宋体"/>
                <w:kern w:val="0"/>
                <w:sz w:val="18"/>
                <w:szCs w:val="18"/>
              </w:rPr>
            </w:pPr>
            <w:r>
              <w:rPr>
                <w:rFonts w:ascii="宋体"/>
                <w:kern w:val="0"/>
                <w:sz w:val="18"/>
                <w:szCs w:val="18"/>
              </w:rPr>
              <w:t>1200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bl>
    <w:p w14:paraId="598C905F">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
        <w:gridCol w:w="1056"/>
        <w:gridCol w:w="2572"/>
        <w:gridCol w:w="2803"/>
        <w:gridCol w:w="1003"/>
        <w:gridCol w:w="6216"/>
        <w:gridCol w:w="6012"/>
      </w:tblGrid>
      <w:tr w14:paraId="577FD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928" w:type="dxa"/>
            <w:vMerge w:val="restart"/>
            <w:vAlign w:val="center"/>
          </w:tcPr>
          <w:p w14:paraId="3C399E5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056" w:type="dxa"/>
            <w:vMerge w:val="restart"/>
            <w:vAlign w:val="center"/>
          </w:tcPr>
          <w:p w14:paraId="1AE5489E">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375" w:type="dxa"/>
            <w:gridSpan w:val="2"/>
            <w:vMerge w:val="restart"/>
            <w:vAlign w:val="center"/>
          </w:tcPr>
          <w:p w14:paraId="1DEB3D01">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003" w:type="dxa"/>
            <w:vMerge w:val="restart"/>
            <w:vAlign w:val="center"/>
          </w:tcPr>
          <w:p w14:paraId="33289F92">
            <w:pPr>
              <w:spacing w:before="156" w:beforeLines="50" w:after="156" w:afterLines="50"/>
              <w:jc w:val="center"/>
              <w:rPr>
                <w:rFonts w:ascii="宋体"/>
                <w:b/>
                <w:kern w:val="0"/>
                <w:sz w:val="18"/>
                <w:szCs w:val="18"/>
              </w:rPr>
            </w:pPr>
            <w:r>
              <w:rPr>
                <w:rFonts w:hint="eastAsia" w:ascii="宋体"/>
                <w:b/>
                <w:kern w:val="0"/>
                <w:sz w:val="18"/>
                <w:szCs w:val="18"/>
              </w:rPr>
              <w:t>违法</w:t>
            </w:r>
          </w:p>
          <w:p w14:paraId="1A0D2E9B">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6216" w:type="dxa"/>
            <w:vMerge w:val="restart"/>
            <w:vAlign w:val="center"/>
          </w:tcPr>
          <w:p w14:paraId="4E6D80F5">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F6E2B8C">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012" w:type="dxa"/>
            <w:vAlign w:val="center"/>
          </w:tcPr>
          <w:p w14:paraId="120CEE1E">
            <w:pPr>
              <w:spacing w:before="156" w:beforeLines="50" w:after="156" w:afterLines="50"/>
              <w:rPr>
                <w:rFonts w:ascii="宋体"/>
                <w:b/>
                <w:kern w:val="0"/>
                <w:sz w:val="18"/>
                <w:szCs w:val="18"/>
              </w:rPr>
            </w:pPr>
            <w:r>
              <w:rPr>
                <w:rFonts w:hint="eastAsia" w:ascii="宋体"/>
                <w:b/>
                <w:kern w:val="0"/>
                <w:sz w:val="18"/>
                <w:szCs w:val="18"/>
              </w:rPr>
              <w:t>【法定幅度和种类】</w:t>
            </w:r>
            <w:r>
              <w:rPr>
                <w:rFonts w:ascii="宋体"/>
                <w:b/>
                <w:kern w:val="0"/>
                <w:sz w:val="18"/>
                <w:szCs w:val="18"/>
              </w:rPr>
              <w:t>1000</w:t>
            </w:r>
            <w:r>
              <w:rPr>
                <w:rFonts w:hint="eastAsia" w:ascii="宋体"/>
                <w:b/>
                <w:kern w:val="0"/>
                <w:sz w:val="18"/>
                <w:szCs w:val="18"/>
              </w:rPr>
              <w:t>元及以上</w:t>
            </w:r>
            <w:r>
              <w:rPr>
                <w:rFonts w:ascii="宋体"/>
                <w:b/>
                <w:kern w:val="0"/>
                <w:sz w:val="18"/>
                <w:szCs w:val="18"/>
              </w:rPr>
              <w:t>1</w:t>
            </w:r>
            <w:r>
              <w:rPr>
                <w:rFonts w:hint="eastAsia" w:ascii="宋体"/>
                <w:b/>
                <w:kern w:val="0"/>
                <w:sz w:val="18"/>
                <w:szCs w:val="18"/>
              </w:rPr>
              <w:t>万元及以下；情节严重的，并且给予暂扣船员服务簿、船员适任证书</w:t>
            </w:r>
            <w:r>
              <w:rPr>
                <w:rFonts w:ascii="宋体"/>
                <w:b/>
                <w:kern w:val="0"/>
                <w:sz w:val="18"/>
                <w:szCs w:val="18"/>
              </w:rPr>
              <w:t>6</w:t>
            </w:r>
            <w:r>
              <w:rPr>
                <w:rFonts w:hint="eastAsia" w:ascii="宋体"/>
                <w:b/>
                <w:kern w:val="0"/>
                <w:sz w:val="18"/>
                <w:szCs w:val="18"/>
              </w:rPr>
              <w:t>个月及以上</w:t>
            </w:r>
            <w:r>
              <w:rPr>
                <w:rFonts w:ascii="宋体"/>
                <w:b/>
                <w:kern w:val="0"/>
                <w:sz w:val="18"/>
                <w:szCs w:val="18"/>
              </w:rPr>
              <w:t>2</w:t>
            </w:r>
            <w:r>
              <w:rPr>
                <w:rFonts w:hint="eastAsia" w:ascii="宋体"/>
                <w:b/>
                <w:kern w:val="0"/>
                <w:sz w:val="18"/>
                <w:szCs w:val="18"/>
              </w:rPr>
              <w:t>年及以下直至吊销船员服务簿、船员适任证书的处罚。</w:t>
            </w:r>
          </w:p>
        </w:tc>
      </w:tr>
      <w:tr w14:paraId="45537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14:paraId="44AF7191">
            <w:pPr>
              <w:spacing w:before="156" w:beforeLines="50" w:after="156" w:afterLines="50"/>
              <w:jc w:val="center"/>
              <w:rPr>
                <w:rFonts w:ascii="宋体"/>
                <w:b/>
                <w:kern w:val="0"/>
                <w:sz w:val="18"/>
                <w:szCs w:val="18"/>
              </w:rPr>
            </w:pPr>
          </w:p>
        </w:tc>
        <w:tc>
          <w:tcPr>
            <w:tcW w:w="1056" w:type="dxa"/>
            <w:vMerge w:val="continue"/>
            <w:vAlign w:val="center"/>
          </w:tcPr>
          <w:p w14:paraId="69866AAF">
            <w:pPr>
              <w:spacing w:before="156" w:beforeLines="50" w:after="156" w:afterLines="50"/>
              <w:jc w:val="center"/>
              <w:rPr>
                <w:rFonts w:ascii="宋体"/>
                <w:b/>
                <w:kern w:val="0"/>
                <w:sz w:val="18"/>
                <w:szCs w:val="18"/>
              </w:rPr>
            </w:pPr>
          </w:p>
        </w:tc>
        <w:tc>
          <w:tcPr>
            <w:tcW w:w="5375" w:type="dxa"/>
            <w:gridSpan w:val="2"/>
            <w:vMerge w:val="continue"/>
            <w:vAlign w:val="center"/>
          </w:tcPr>
          <w:p w14:paraId="6D619A5D">
            <w:pPr>
              <w:spacing w:before="156" w:beforeLines="50" w:after="156" w:afterLines="50"/>
              <w:jc w:val="center"/>
              <w:rPr>
                <w:rFonts w:ascii="宋体"/>
                <w:b/>
                <w:kern w:val="0"/>
                <w:sz w:val="18"/>
                <w:szCs w:val="18"/>
              </w:rPr>
            </w:pPr>
          </w:p>
        </w:tc>
        <w:tc>
          <w:tcPr>
            <w:tcW w:w="1003" w:type="dxa"/>
            <w:vMerge w:val="continue"/>
            <w:vAlign w:val="center"/>
          </w:tcPr>
          <w:p w14:paraId="2250D143">
            <w:pPr>
              <w:spacing w:before="156" w:beforeLines="50" w:after="156" w:afterLines="50"/>
              <w:jc w:val="left"/>
              <w:rPr>
                <w:rFonts w:ascii="宋体"/>
                <w:b/>
                <w:kern w:val="0"/>
                <w:sz w:val="18"/>
                <w:szCs w:val="18"/>
              </w:rPr>
            </w:pPr>
          </w:p>
        </w:tc>
        <w:tc>
          <w:tcPr>
            <w:tcW w:w="6216" w:type="dxa"/>
            <w:vMerge w:val="continue"/>
            <w:vAlign w:val="center"/>
          </w:tcPr>
          <w:p w14:paraId="1BF4387E">
            <w:pPr>
              <w:spacing w:before="156" w:beforeLines="50" w:after="156" w:afterLines="50"/>
              <w:jc w:val="left"/>
              <w:rPr>
                <w:rFonts w:ascii="宋体"/>
                <w:b/>
                <w:kern w:val="0"/>
                <w:sz w:val="18"/>
                <w:szCs w:val="18"/>
              </w:rPr>
            </w:pPr>
          </w:p>
        </w:tc>
        <w:tc>
          <w:tcPr>
            <w:tcW w:w="6012" w:type="dxa"/>
            <w:vAlign w:val="center"/>
          </w:tcPr>
          <w:p w14:paraId="728024EF">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B995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14:paraId="0ED7952E">
            <w:pPr>
              <w:spacing w:before="156" w:beforeLines="50" w:after="156" w:afterLines="50"/>
              <w:jc w:val="center"/>
              <w:rPr>
                <w:rFonts w:ascii="宋体"/>
                <w:b/>
                <w:kern w:val="0"/>
                <w:sz w:val="18"/>
                <w:szCs w:val="18"/>
              </w:rPr>
            </w:pPr>
          </w:p>
        </w:tc>
        <w:tc>
          <w:tcPr>
            <w:tcW w:w="1056" w:type="dxa"/>
            <w:vMerge w:val="continue"/>
            <w:vAlign w:val="center"/>
          </w:tcPr>
          <w:p w14:paraId="293C1019">
            <w:pPr>
              <w:spacing w:before="156" w:beforeLines="50" w:after="156" w:afterLines="50"/>
              <w:jc w:val="center"/>
              <w:rPr>
                <w:rFonts w:ascii="宋体"/>
                <w:b/>
                <w:kern w:val="0"/>
                <w:sz w:val="18"/>
                <w:szCs w:val="18"/>
              </w:rPr>
            </w:pPr>
          </w:p>
        </w:tc>
        <w:tc>
          <w:tcPr>
            <w:tcW w:w="2572" w:type="dxa"/>
            <w:vAlign w:val="center"/>
          </w:tcPr>
          <w:p w14:paraId="126A2CA9">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803" w:type="dxa"/>
            <w:vAlign w:val="center"/>
          </w:tcPr>
          <w:p w14:paraId="3E6F86C4">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003" w:type="dxa"/>
            <w:vMerge w:val="continue"/>
            <w:vAlign w:val="center"/>
          </w:tcPr>
          <w:p w14:paraId="3478F6AB">
            <w:pPr>
              <w:spacing w:before="156" w:beforeLines="50" w:after="156" w:afterLines="50"/>
              <w:jc w:val="left"/>
              <w:rPr>
                <w:rFonts w:ascii="宋体"/>
                <w:b/>
                <w:kern w:val="0"/>
                <w:sz w:val="18"/>
                <w:szCs w:val="18"/>
              </w:rPr>
            </w:pPr>
          </w:p>
        </w:tc>
        <w:tc>
          <w:tcPr>
            <w:tcW w:w="6216" w:type="dxa"/>
            <w:vMerge w:val="continue"/>
            <w:vAlign w:val="center"/>
          </w:tcPr>
          <w:p w14:paraId="635C7824">
            <w:pPr>
              <w:spacing w:before="156" w:beforeLines="50" w:after="156" w:afterLines="50"/>
              <w:jc w:val="left"/>
              <w:rPr>
                <w:rFonts w:ascii="宋体"/>
                <w:b/>
                <w:kern w:val="0"/>
                <w:sz w:val="18"/>
                <w:szCs w:val="18"/>
              </w:rPr>
            </w:pPr>
          </w:p>
        </w:tc>
        <w:tc>
          <w:tcPr>
            <w:tcW w:w="6012" w:type="dxa"/>
            <w:vAlign w:val="center"/>
          </w:tcPr>
          <w:p w14:paraId="2BBE79F2">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6A78B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restart"/>
            <w:vAlign w:val="center"/>
          </w:tcPr>
          <w:p w14:paraId="168F776B">
            <w:pPr>
              <w:spacing w:before="156" w:beforeLines="50" w:after="156" w:afterLines="50"/>
              <w:jc w:val="center"/>
              <w:rPr>
                <w:rFonts w:ascii="宋体"/>
                <w:kern w:val="0"/>
                <w:sz w:val="18"/>
                <w:szCs w:val="18"/>
              </w:rPr>
            </w:pPr>
            <w:r>
              <w:rPr>
                <w:rFonts w:hint="eastAsia" w:ascii="宋体"/>
                <w:kern w:val="0"/>
                <w:sz w:val="18"/>
                <w:szCs w:val="18"/>
              </w:rPr>
              <w:t>71</w:t>
            </w:r>
          </w:p>
        </w:tc>
        <w:tc>
          <w:tcPr>
            <w:tcW w:w="1056" w:type="dxa"/>
            <w:vMerge w:val="restart"/>
            <w:vAlign w:val="center"/>
          </w:tcPr>
          <w:p w14:paraId="0E668017">
            <w:pPr>
              <w:spacing w:before="156" w:beforeLines="50" w:after="156" w:afterLines="50"/>
              <w:jc w:val="left"/>
              <w:rPr>
                <w:rFonts w:ascii="宋体"/>
                <w:b/>
                <w:kern w:val="0"/>
                <w:sz w:val="18"/>
                <w:szCs w:val="18"/>
              </w:rPr>
            </w:pPr>
            <w:r>
              <w:rPr>
                <w:rFonts w:hint="eastAsia" w:ascii="宋体"/>
                <w:sz w:val="18"/>
                <w:szCs w:val="18"/>
              </w:rPr>
              <w:t>未如实填写或者记载有关船舶法定文书</w:t>
            </w:r>
          </w:p>
        </w:tc>
        <w:tc>
          <w:tcPr>
            <w:tcW w:w="2572" w:type="dxa"/>
            <w:vMerge w:val="restart"/>
            <w:vAlign w:val="center"/>
          </w:tcPr>
          <w:p w14:paraId="60123C38">
            <w:pPr>
              <w:spacing w:before="156" w:beforeLines="50" w:after="156" w:afterLines="50"/>
              <w:jc w:val="left"/>
              <w:rPr>
                <w:rFonts w:ascii="宋体"/>
                <w:b/>
                <w:kern w:val="0"/>
                <w:sz w:val="18"/>
                <w:szCs w:val="18"/>
              </w:rPr>
            </w:pPr>
            <w:r>
              <w:rPr>
                <w:rFonts w:hint="eastAsia" w:ascii="宋体"/>
                <w:kern w:val="0"/>
                <w:sz w:val="18"/>
                <w:szCs w:val="18"/>
              </w:rPr>
              <w:t>《中华人民共和国船员条例》第十六条第（三）项</w:t>
            </w:r>
          </w:p>
        </w:tc>
        <w:tc>
          <w:tcPr>
            <w:tcW w:w="2803" w:type="dxa"/>
            <w:vMerge w:val="restart"/>
            <w:vAlign w:val="center"/>
          </w:tcPr>
          <w:p w14:paraId="0B4A48F8">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《中华人民共和国船员条例》第五十二条第（四）项；</w:t>
            </w:r>
          </w:p>
          <w:p w14:paraId="4B1733D4">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《中华人民共和国行政处罚法》第三十二条（从轻）。</w:t>
            </w:r>
          </w:p>
        </w:tc>
        <w:tc>
          <w:tcPr>
            <w:tcW w:w="1003" w:type="dxa"/>
            <w:vAlign w:val="center"/>
          </w:tcPr>
          <w:p w14:paraId="6E1DD989">
            <w:pPr>
              <w:spacing w:before="156" w:beforeLines="50" w:after="156" w:afterLines="50"/>
              <w:jc w:val="center"/>
              <w:rPr>
                <w:rFonts w:ascii="宋体"/>
                <w:kern w:val="0"/>
                <w:sz w:val="18"/>
                <w:szCs w:val="18"/>
              </w:rPr>
            </w:pPr>
            <w:r>
              <w:rPr>
                <w:rFonts w:hint="eastAsia" w:ascii="宋体"/>
                <w:kern w:val="0"/>
                <w:sz w:val="18"/>
                <w:szCs w:val="18"/>
              </w:rPr>
              <w:t>从轻</w:t>
            </w:r>
          </w:p>
        </w:tc>
        <w:tc>
          <w:tcPr>
            <w:tcW w:w="6216" w:type="dxa"/>
            <w:vAlign w:val="center"/>
          </w:tcPr>
          <w:p w14:paraId="22A4E466">
            <w:pPr>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012" w:type="dxa"/>
            <w:vAlign w:val="center"/>
          </w:tcPr>
          <w:p w14:paraId="1BD6196C">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w:t>
            </w:r>
          </w:p>
        </w:tc>
      </w:tr>
      <w:tr w14:paraId="02BB6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14:paraId="4696DFF9">
            <w:pPr>
              <w:spacing w:before="156" w:beforeLines="50" w:after="156" w:afterLines="50"/>
              <w:jc w:val="left"/>
              <w:rPr>
                <w:rFonts w:ascii="宋体"/>
                <w:kern w:val="0"/>
                <w:sz w:val="18"/>
                <w:szCs w:val="18"/>
              </w:rPr>
            </w:pPr>
          </w:p>
        </w:tc>
        <w:tc>
          <w:tcPr>
            <w:tcW w:w="1056" w:type="dxa"/>
            <w:vMerge w:val="continue"/>
            <w:vAlign w:val="center"/>
          </w:tcPr>
          <w:p w14:paraId="4783C127">
            <w:pPr>
              <w:spacing w:before="156" w:beforeLines="50" w:after="156" w:afterLines="50"/>
              <w:jc w:val="left"/>
              <w:rPr>
                <w:rFonts w:ascii="宋体"/>
                <w:kern w:val="0"/>
                <w:sz w:val="18"/>
                <w:szCs w:val="18"/>
              </w:rPr>
            </w:pPr>
          </w:p>
        </w:tc>
        <w:tc>
          <w:tcPr>
            <w:tcW w:w="2572" w:type="dxa"/>
            <w:vMerge w:val="continue"/>
            <w:vAlign w:val="center"/>
          </w:tcPr>
          <w:p w14:paraId="4AD45D7A">
            <w:pPr>
              <w:widowControl/>
              <w:spacing w:before="156" w:beforeLines="50" w:after="156" w:afterLines="50"/>
              <w:jc w:val="left"/>
              <w:rPr>
                <w:rFonts w:ascii="宋体"/>
                <w:kern w:val="0"/>
                <w:sz w:val="18"/>
                <w:szCs w:val="18"/>
              </w:rPr>
            </w:pPr>
          </w:p>
        </w:tc>
        <w:tc>
          <w:tcPr>
            <w:tcW w:w="2803" w:type="dxa"/>
            <w:vMerge w:val="continue"/>
            <w:vAlign w:val="center"/>
          </w:tcPr>
          <w:p w14:paraId="3317B6AD">
            <w:pPr>
              <w:spacing w:before="156" w:beforeLines="50" w:after="156" w:afterLines="50"/>
              <w:jc w:val="left"/>
              <w:rPr>
                <w:rFonts w:ascii="宋体"/>
                <w:kern w:val="0"/>
                <w:sz w:val="18"/>
                <w:szCs w:val="18"/>
              </w:rPr>
            </w:pPr>
          </w:p>
        </w:tc>
        <w:tc>
          <w:tcPr>
            <w:tcW w:w="1003" w:type="dxa"/>
            <w:vMerge w:val="restart"/>
            <w:vAlign w:val="center"/>
          </w:tcPr>
          <w:p w14:paraId="705ABC03">
            <w:pPr>
              <w:spacing w:before="156" w:beforeLines="50" w:after="156" w:afterLines="50"/>
              <w:jc w:val="center"/>
              <w:rPr>
                <w:rFonts w:ascii="宋体"/>
                <w:kern w:val="0"/>
                <w:sz w:val="18"/>
                <w:szCs w:val="18"/>
              </w:rPr>
            </w:pPr>
            <w:r>
              <w:rPr>
                <w:rFonts w:hint="eastAsia" w:ascii="宋体"/>
                <w:kern w:val="0"/>
                <w:sz w:val="18"/>
                <w:szCs w:val="18"/>
              </w:rPr>
              <w:t>一般</w:t>
            </w:r>
          </w:p>
        </w:tc>
        <w:tc>
          <w:tcPr>
            <w:tcW w:w="6216" w:type="dxa"/>
            <w:vAlign w:val="center"/>
          </w:tcPr>
          <w:p w14:paraId="7A0AF7DD">
            <w:pPr>
              <w:widowControl/>
              <w:spacing w:before="156" w:beforeLines="50" w:after="156" w:afterLines="50"/>
              <w:jc w:val="left"/>
              <w:rPr>
                <w:rFonts w:ascii="宋体"/>
                <w:kern w:val="0"/>
                <w:sz w:val="18"/>
                <w:szCs w:val="18"/>
              </w:rPr>
            </w:pPr>
            <w:r>
              <w:rPr>
                <w:rFonts w:hint="eastAsia" w:ascii="宋体"/>
                <w:kern w:val="0"/>
                <w:sz w:val="18"/>
                <w:szCs w:val="18"/>
              </w:rPr>
              <w:t>未如实填写或记载的内容不涉及事故或可能存在的违法行为，且未对海事管理机构的检查、调查造成不利影响的。</w:t>
            </w:r>
          </w:p>
        </w:tc>
        <w:tc>
          <w:tcPr>
            <w:tcW w:w="6012" w:type="dxa"/>
            <w:vAlign w:val="center"/>
          </w:tcPr>
          <w:p w14:paraId="0E565A4B">
            <w:pPr>
              <w:spacing w:before="156" w:beforeLines="50" w:after="156" w:afterLines="50"/>
              <w:jc w:val="left"/>
              <w:rPr>
                <w:rFonts w:ascii="宋体"/>
                <w:kern w:val="0"/>
                <w:sz w:val="18"/>
                <w:szCs w:val="18"/>
              </w:rPr>
            </w:pPr>
            <w:r>
              <w:rPr>
                <w:rFonts w:ascii="宋体"/>
                <w:kern w:val="0"/>
                <w:sz w:val="18"/>
                <w:szCs w:val="18"/>
              </w:rPr>
              <w:t>1500</w:t>
            </w:r>
            <w:r>
              <w:rPr>
                <w:rFonts w:hint="eastAsia" w:ascii="宋体"/>
                <w:kern w:val="0"/>
                <w:sz w:val="18"/>
                <w:szCs w:val="18"/>
              </w:rPr>
              <w:t>元</w:t>
            </w:r>
          </w:p>
        </w:tc>
      </w:tr>
      <w:tr w14:paraId="0B0B4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14:paraId="7A6ECD1C">
            <w:pPr>
              <w:spacing w:before="156" w:beforeLines="50" w:after="156" w:afterLines="50"/>
              <w:jc w:val="left"/>
              <w:rPr>
                <w:rFonts w:ascii="宋体"/>
                <w:kern w:val="0"/>
                <w:sz w:val="18"/>
                <w:szCs w:val="18"/>
              </w:rPr>
            </w:pPr>
          </w:p>
        </w:tc>
        <w:tc>
          <w:tcPr>
            <w:tcW w:w="1056" w:type="dxa"/>
            <w:vMerge w:val="continue"/>
            <w:vAlign w:val="center"/>
          </w:tcPr>
          <w:p w14:paraId="17CC5F29">
            <w:pPr>
              <w:spacing w:before="156" w:beforeLines="50" w:after="156" w:afterLines="50"/>
              <w:jc w:val="left"/>
              <w:rPr>
                <w:rFonts w:ascii="宋体"/>
                <w:kern w:val="0"/>
                <w:sz w:val="18"/>
                <w:szCs w:val="18"/>
              </w:rPr>
            </w:pPr>
          </w:p>
        </w:tc>
        <w:tc>
          <w:tcPr>
            <w:tcW w:w="2572" w:type="dxa"/>
            <w:vMerge w:val="continue"/>
            <w:vAlign w:val="center"/>
          </w:tcPr>
          <w:p w14:paraId="559194B9">
            <w:pPr>
              <w:spacing w:before="156" w:beforeLines="50" w:after="156" w:afterLines="50"/>
              <w:jc w:val="left"/>
              <w:rPr>
                <w:rFonts w:ascii="宋体"/>
                <w:kern w:val="0"/>
                <w:sz w:val="18"/>
                <w:szCs w:val="18"/>
              </w:rPr>
            </w:pPr>
          </w:p>
        </w:tc>
        <w:tc>
          <w:tcPr>
            <w:tcW w:w="2803" w:type="dxa"/>
            <w:vMerge w:val="continue"/>
            <w:vAlign w:val="center"/>
          </w:tcPr>
          <w:p w14:paraId="49A6B085">
            <w:pPr>
              <w:spacing w:before="156" w:beforeLines="50" w:after="156" w:afterLines="50"/>
              <w:jc w:val="left"/>
              <w:rPr>
                <w:rFonts w:ascii="宋体"/>
                <w:kern w:val="0"/>
                <w:sz w:val="18"/>
                <w:szCs w:val="18"/>
              </w:rPr>
            </w:pPr>
          </w:p>
        </w:tc>
        <w:tc>
          <w:tcPr>
            <w:tcW w:w="1003" w:type="dxa"/>
            <w:vMerge w:val="continue"/>
            <w:vAlign w:val="center"/>
          </w:tcPr>
          <w:p w14:paraId="0A0D61D7">
            <w:pPr>
              <w:spacing w:before="156" w:beforeLines="50" w:after="156" w:afterLines="50"/>
              <w:jc w:val="center"/>
              <w:rPr>
                <w:rFonts w:ascii="宋体"/>
                <w:kern w:val="0"/>
                <w:sz w:val="18"/>
                <w:szCs w:val="18"/>
              </w:rPr>
            </w:pPr>
          </w:p>
        </w:tc>
        <w:tc>
          <w:tcPr>
            <w:tcW w:w="6216" w:type="dxa"/>
            <w:vAlign w:val="center"/>
          </w:tcPr>
          <w:p w14:paraId="2AD8DB32">
            <w:pPr>
              <w:widowControl/>
              <w:spacing w:before="156" w:beforeLines="50" w:after="156" w:afterLines="50"/>
              <w:jc w:val="left"/>
              <w:rPr>
                <w:rFonts w:ascii="宋体"/>
                <w:kern w:val="0"/>
                <w:sz w:val="18"/>
                <w:szCs w:val="18"/>
              </w:rPr>
            </w:pPr>
            <w:r>
              <w:rPr>
                <w:rFonts w:hint="eastAsia" w:ascii="宋体"/>
                <w:kern w:val="0"/>
                <w:sz w:val="18"/>
                <w:szCs w:val="18"/>
              </w:rPr>
              <w:t>未如实填写或记载的内容与船舶事故、可能存在的违法行为相关或对海事管理机构的检查、调查造成不利影响的。</w:t>
            </w:r>
          </w:p>
        </w:tc>
        <w:tc>
          <w:tcPr>
            <w:tcW w:w="6012" w:type="dxa"/>
            <w:vAlign w:val="center"/>
          </w:tcPr>
          <w:p w14:paraId="27DD25FC">
            <w:pPr>
              <w:spacing w:before="156" w:beforeLines="50" w:after="156" w:afterLines="50"/>
              <w:jc w:val="left"/>
              <w:rPr>
                <w:rFonts w:ascii="宋体"/>
                <w:kern w:val="0"/>
                <w:sz w:val="18"/>
                <w:szCs w:val="18"/>
              </w:rPr>
            </w:pPr>
            <w:r>
              <w:rPr>
                <w:rFonts w:hint="eastAsia" w:ascii="宋体"/>
                <w:kern w:val="0"/>
                <w:sz w:val="18"/>
                <w:szCs w:val="18"/>
              </w:rPr>
              <w:t>4</w:t>
            </w:r>
            <w:r>
              <w:rPr>
                <w:rFonts w:ascii="宋体"/>
                <w:kern w:val="0"/>
                <w:sz w:val="18"/>
                <w:szCs w:val="18"/>
              </w:rPr>
              <w:t>000</w:t>
            </w:r>
            <w:r>
              <w:rPr>
                <w:rFonts w:hint="eastAsia" w:ascii="宋体"/>
                <w:kern w:val="0"/>
                <w:sz w:val="18"/>
                <w:szCs w:val="18"/>
              </w:rPr>
              <w:t>元</w:t>
            </w:r>
          </w:p>
        </w:tc>
      </w:tr>
      <w:tr w14:paraId="0CEB9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28" w:type="dxa"/>
            <w:vMerge w:val="continue"/>
            <w:vAlign w:val="center"/>
          </w:tcPr>
          <w:p w14:paraId="44D41CE1">
            <w:pPr>
              <w:spacing w:before="156" w:beforeLines="50" w:after="156" w:afterLines="50"/>
              <w:jc w:val="left"/>
              <w:rPr>
                <w:rFonts w:ascii="宋体"/>
                <w:kern w:val="0"/>
                <w:sz w:val="18"/>
                <w:szCs w:val="18"/>
              </w:rPr>
            </w:pPr>
          </w:p>
        </w:tc>
        <w:tc>
          <w:tcPr>
            <w:tcW w:w="1056" w:type="dxa"/>
            <w:vMerge w:val="continue"/>
            <w:vAlign w:val="center"/>
          </w:tcPr>
          <w:p w14:paraId="15CF4CFC">
            <w:pPr>
              <w:spacing w:before="156" w:beforeLines="50" w:after="156" w:afterLines="50"/>
              <w:jc w:val="left"/>
              <w:rPr>
                <w:rFonts w:ascii="宋体"/>
                <w:kern w:val="0"/>
                <w:sz w:val="18"/>
                <w:szCs w:val="18"/>
              </w:rPr>
            </w:pPr>
          </w:p>
        </w:tc>
        <w:tc>
          <w:tcPr>
            <w:tcW w:w="2572" w:type="dxa"/>
            <w:vMerge w:val="continue"/>
            <w:vAlign w:val="center"/>
          </w:tcPr>
          <w:p w14:paraId="282EFD3A">
            <w:pPr>
              <w:spacing w:before="156" w:beforeLines="50" w:after="156" w:afterLines="50"/>
              <w:jc w:val="left"/>
              <w:rPr>
                <w:rFonts w:ascii="宋体"/>
                <w:kern w:val="0"/>
                <w:sz w:val="18"/>
                <w:szCs w:val="18"/>
              </w:rPr>
            </w:pPr>
          </w:p>
        </w:tc>
        <w:tc>
          <w:tcPr>
            <w:tcW w:w="2803" w:type="dxa"/>
            <w:vMerge w:val="continue"/>
            <w:vAlign w:val="center"/>
          </w:tcPr>
          <w:p w14:paraId="50C824EF">
            <w:pPr>
              <w:spacing w:before="156" w:beforeLines="50" w:after="156" w:afterLines="50"/>
              <w:jc w:val="left"/>
              <w:rPr>
                <w:rFonts w:ascii="宋体"/>
                <w:kern w:val="0"/>
                <w:sz w:val="18"/>
                <w:szCs w:val="18"/>
              </w:rPr>
            </w:pPr>
          </w:p>
        </w:tc>
        <w:tc>
          <w:tcPr>
            <w:tcW w:w="1003" w:type="dxa"/>
            <w:vAlign w:val="center"/>
          </w:tcPr>
          <w:p w14:paraId="7443BEB1">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6216" w:type="dxa"/>
            <w:vAlign w:val="center"/>
          </w:tcPr>
          <w:p w14:paraId="5BB02EC4">
            <w:pPr>
              <w:widowControl/>
              <w:spacing w:before="156" w:beforeLines="50" w:after="156" w:afterLines="50"/>
              <w:jc w:val="left"/>
              <w:rPr>
                <w:rFonts w:ascii="宋体"/>
                <w:kern w:val="0"/>
                <w:sz w:val="18"/>
                <w:szCs w:val="18"/>
              </w:rPr>
            </w:pPr>
            <w:r>
              <w:rPr>
                <w:rFonts w:hint="eastAsia" w:ascii="宋体"/>
                <w:kern w:val="0"/>
                <w:sz w:val="18"/>
                <w:szCs w:val="18"/>
              </w:rPr>
              <w:t>1.在船舶法定文书中故意弄虚作假掩盖事故、违法事实或阻挠、逃避海事机构检查、调查的；</w:t>
            </w:r>
          </w:p>
          <w:p w14:paraId="3E4DDD6D">
            <w:pPr>
              <w:widowControl/>
              <w:spacing w:before="156" w:beforeLines="50" w:after="156" w:afterLines="50"/>
              <w:jc w:val="left"/>
              <w:rPr>
                <w:rFonts w:ascii="宋体"/>
                <w:kern w:val="0"/>
                <w:sz w:val="18"/>
                <w:szCs w:val="18"/>
              </w:rPr>
            </w:pPr>
            <w:r>
              <w:rPr>
                <w:rFonts w:hint="eastAsia" w:ascii="宋体"/>
                <w:kern w:val="0"/>
                <w:sz w:val="18"/>
                <w:szCs w:val="18"/>
              </w:rPr>
              <w:t>2.船员被海事管理机构查出</w:t>
            </w:r>
            <w:r>
              <w:rPr>
                <w:rFonts w:hint="eastAsia" w:ascii="宋体"/>
                <w:sz w:val="18"/>
                <w:szCs w:val="18"/>
              </w:rPr>
              <w:t>未如实填写或者记载有关船舶法定文书违法行为时已离职，海事管理机构通知后拒不或不及时接受调查或处罚的；</w:t>
            </w:r>
          </w:p>
          <w:p w14:paraId="5A0DE3F7">
            <w:pPr>
              <w:widowControl/>
              <w:spacing w:before="156" w:beforeLines="50" w:after="156" w:afterLines="50"/>
              <w:jc w:val="left"/>
              <w:rPr>
                <w:rFonts w:ascii="宋体"/>
                <w:kern w:val="0"/>
                <w:sz w:val="18"/>
                <w:szCs w:val="18"/>
              </w:rPr>
            </w:pPr>
            <w:r>
              <w:rPr>
                <w:rFonts w:hint="eastAsia" w:ascii="宋体"/>
                <w:kern w:val="0"/>
                <w:sz w:val="18"/>
                <w:szCs w:val="18"/>
              </w:rPr>
              <w:t>3.具有其他严重情节的。</w:t>
            </w:r>
          </w:p>
        </w:tc>
        <w:tc>
          <w:tcPr>
            <w:tcW w:w="6012" w:type="dxa"/>
            <w:vAlign w:val="center"/>
          </w:tcPr>
          <w:p w14:paraId="5F300B50">
            <w:pPr>
              <w:spacing w:before="156" w:beforeLines="50" w:after="156" w:afterLines="50"/>
              <w:jc w:val="left"/>
              <w:rPr>
                <w:rFonts w:ascii="宋体"/>
                <w:kern w:val="0"/>
                <w:sz w:val="18"/>
                <w:szCs w:val="18"/>
              </w:rPr>
            </w:pPr>
            <w:r>
              <w:rPr>
                <w:rFonts w:hint="eastAsia" w:ascii="宋体"/>
                <w:kern w:val="0"/>
                <w:sz w:val="18"/>
                <w:szCs w:val="18"/>
              </w:rPr>
              <w:t>8000元及以上1万元及以下；并扣证6个月及以上2年及以下直至吊销证书。</w:t>
            </w:r>
          </w:p>
        </w:tc>
      </w:tr>
    </w:tbl>
    <w:p w14:paraId="6E4199F5">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2052"/>
        <w:gridCol w:w="2732"/>
        <w:gridCol w:w="2711"/>
        <w:gridCol w:w="1299"/>
        <w:gridCol w:w="3525"/>
        <w:gridCol w:w="7703"/>
      </w:tblGrid>
      <w:tr w14:paraId="363B3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848" w:type="dxa"/>
            <w:vMerge w:val="restart"/>
            <w:vAlign w:val="center"/>
          </w:tcPr>
          <w:p w14:paraId="517721A5">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052" w:type="dxa"/>
            <w:vMerge w:val="restart"/>
            <w:vAlign w:val="center"/>
          </w:tcPr>
          <w:p w14:paraId="04E2D3F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443" w:type="dxa"/>
            <w:gridSpan w:val="2"/>
            <w:vMerge w:val="restart"/>
            <w:vAlign w:val="center"/>
          </w:tcPr>
          <w:p w14:paraId="0080040B">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299" w:type="dxa"/>
            <w:vMerge w:val="restart"/>
            <w:vAlign w:val="center"/>
          </w:tcPr>
          <w:p w14:paraId="64D9AB5F">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525" w:type="dxa"/>
            <w:vMerge w:val="restart"/>
            <w:vAlign w:val="center"/>
          </w:tcPr>
          <w:p w14:paraId="5A4B8577">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5864C496">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7703" w:type="dxa"/>
            <w:vAlign w:val="center"/>
          </w:tcPr>
          <w:p w14:paraId="3FE75B0C">
            <w:pPr>
              <w:spacing w:before="156" w:beforeLines="50" w:after="156" w:afterLines="50"/>
              <w:rPr>
                <w:rFonts w:ascii="宋体"/>
                <w:b/>
                <w:kern w:val="0"/>
                <w:sz w:val="18"/>
                <w:szCs w:val="18"/>
              </w:rPr>
            </w:pPr>
            <w:r>
              <w:rPr>
                <w:rFonts w:hint="eastAsia" w:ascii="宋体"/>
                <w:b/>
                <w:kern w:val="0"/>
                <w:sz w:val="18"/>
                <w:szCs w:val="18"/>
              </w:rPr>
              <w:t>【法定幅度和种类】</w:t>
            </w:r>
            <w:r>
              <w:rPr>
                <w:rFonts w:ascii="宋体"/>
                <w:b/>
                <w:kern w:val="0"/>
                <w:sz w:val="18"/>
                <w:szCs w:val="18"/>
              </w:rPr>
              <w:t>2000</w:t>
            </w:r>
            <w:r>
              <w:rPr>
                <w:rFonts w:hint="eastAsia" w:ascii="宋体"/>
                <w:b/>
                <w:kern w:val="0"/>
                <w:sz w:val="18"/>
                <w:szCs w:val="18"/>
              </w:rPr>
              <w:t>元以上</w:t>
            </w:r>
            <w:r>
              <w:rPr>
                <w:rFonts w:ascii="宋体"/>
                <w:b/>
                <w:kern w:val="0"/>
                <w:sz w:val="18"/>
                <w:szCs w:val="18"/>
              </w:rPr>
              <w:t>2</w:t>
            </w:r>
            <w:r>
              <w:rPr>
                <w:rFonts w:hint="eastAsia" w:ascii="宋体"/>
                <w:b/>
                <w:kern w:val="0"/>
                <w:sz w:val="18"/>
                <w:szCs w:val="18"/>
              </w:rPr>
              <w:t>万元以下罚款；情节严重的，并给予暂扣船员适任证书</w:t>
            </w:r>
            <w:r>
              <w:rPr>
                <w:rFonts w:ascii="宋体"/>
                <w:b/>
                <w:kern w:val="0"/>
                <w:sz w:val="18"/>
                <w:szCs w:val="18"/>
              </w:rPr>
              <w:t>6</w:t>
            </w:r>
            <w:r>
              <w:rPr>
                <w:rFonts w:hint="eastAsia" w:ascii="宋体"/>
                <w:b/>
                <w:kern w:val="0"/>
                <w:sz w:val="18"/>
                <w:szCs w:val="18"/>
              </w:rPr>
              <w:t>个月以上</w:t>
            </w:r>
            <w:r>
              <w:rPr>
                <w:rFonts w:ascii="宋体"/>
                <w:b/>
                <w:kern w:val="0"/>
                <w:sz w:val="18"/>
                <w:szCs w:val="18"/>
              </w:rPr>
              <w:t>2</w:t>
            </w:r>
            <w:r>
              <w:rPr>
                <w:rFonts w:hint="eastAsia" w:ascii="宋体"/>
                <w:b/>
                <w:kern w:val="0"/>
                <w:sz w:val="18"/>
                <w:szCs w:val="18"/>
              </w:rPr>
              <w:t>年以下直至吊销船员适任证书的处罚。</w:t>
            </w:r>
          </w:p>
        </w:tc>
      </w:tr>
      <w:tr w14:paraId="10BF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14:paraId="73D3E180">
            <w:pPr>
              <w:spacing w:before="156" w:beforeLines="50" w:after="156" w:afterLines="50"/>
              <w:jc w:val="center"/>
              <w:rPr>
                <w:rFonts w:ascii="宋体"/>
                <w:b/>
                <w:kern w:val="0"/>
                <w:sz w:val="18"/>
                <w:szCs w:val="18"/>
              </w:rPr>
            </w:pPr>
          </w:p>
        </w:tc>
        <w:tc>
          <w:tcPr>
            <w:tcW w:w="2052" w:type="dxa"/>
            <w:vMerge w:val="continue"/>
            <w:vAlign w:val="center"/>
          </w:tcPr>
          <w:p w14:paraId="46321FD7">
            <w:pPr>
              <w:spacing w:before="156" w:beforeLines="50" w:after="156" w:afterLines="50"/>
              <w:jc w:val="center"/>
              <w:rPr>
                <w:rFonts w:ascii="宋体"/>
                <w:b/>
                <w:kern w:val="0"/>
                <w:sz w:val="18"/>
                <w:szCs w:val="18"/>
              </w:rPr>
            </w:pPr>
          </w:p>
        </w:tc>
        <w:tc>
          <w:tcPr>
            <w:tcW w:w="5443" w:type="dxa"/>
            <w:gridSpan w:val="2"/>
            <w:vMerge w:val="continue"/>
            <w:vAlign w:val="center"/>
          </w:tcPr>
          <w:p w14:paraId="1B99B4C9">
            <w:pPr>
              <w:spacing w:before="156" w:beforeLines="50" w:after="156" w:afterLines="50"/>
              <w:jc w:val="center"/>
              <w:rPr>
                <w:rFonts w:ascii="宋体"/>
                <w:b/>
                <w:kern w:val="0"/>
                <w:sz w:val="18"/>
                <w:szCs w:val="18"/>
              </w:rPr>
            </w:pPr>
          </w:p>
        </w:tc>
        <w:tc>
          <w:tcPr>
            <w:tcW w:w="1299" w:type="dxa"/>
            <w:vMerge w:val="continue"/>
            <w:vAlign w:val="center"/>
          </w:tcPr>
          <w:p w14:paraId="7FECE893">
            <w:pPr>
              <w:spacing w:before="156" w:beforeLines="50" w:after="156" w:afterLines="50"/>
              <w:jc w:val="left"/>
              <w:rPr>
                <w:rFonts w:ascii="宋体"/>
                <w:b/>
                <w:kern w:val="0"/>
                <w:sz w:val="18"/>
                <w:szCs w:val="18"/>
              </w:rPr>
            </w:pPr>
          </w:p>
        </w:tc>
        <w:tc>
          <w:tcPr>
            <w:tcW w:w="3525" w:type="dxa"/>
            <w:vMerge w:val="continue"/>
            <w:vAlign w:val="center"/>
          </w:tcPr>
          <w:p w14:paraId="234F3273">
            <w:pPr>
              <w:spacing w:before="156" w:beforeLines="50" w:after="156" w:afterLines="50"/>
              <w:jc w:val="left"/>
              <w:rPr>
                <w:rFonts w:ascii="宋体"/>
                <w:b/>
                <w:kern w:val="0"/>
                <w:sz w:val="18"/>
                <w:szCs w:val="18"/>
              </w:rPr>
            </w:pPr>
          </w:p>
        </w:tc>
        <w:tc>
          <w:tcPr>
            <w:tcW w:w="7703" w:type="dxa"/>
            <w:vAlign w:val="center"/>
          </w:tcPr>
          <w:p w14:paraId="5C3F32C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4FEDF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14:paraId="6D961F7D">
            <w:pPr>
              <w:spacing w:before="156" w:beforeLines="50" w:after="156" w:afterLines="50"/>
              <w:jc w:val="center"/>
              <w:rPr>
                <w:rFonts w:ascii="宋体"/>
                <w:b/>
                <w:kern w:val="0"/>
                <w:sz w:val="18"/>
                <w:szCs w:val="18"/>
              </w:rPr>
            </w:pPr>
          </w:p>
        </w:tc>
        <w:tc>
          <w:tcPr>
            <w:tcW w:w="2052" w:type="dxa"/>
            <w:vMerge w:val="continue"/>
            <w:vAlign w:val="center"/>
          </w:tcPr>
          <w:p w14:paraId="449600AA">
            <w:pPr>
              <w:spacing w:before="156" w:beforeLines="50" w:after="156" w:afterLines="50"/>
              <w:jc w:val="center"/>
              <w:rPr>
                <w:rFonts w:ascii="宋体"/>
                <w:b/>
                <w:kern w:val="0"/>
                <w:sz w:val="18"/>
                <w:szCs w:val="18"/>
              </w:rPr>
            </w:pPr>
          </w:p>
        </w:tc>
        <w:tc>
          <w:tcPr>
            <w:tcW w:w="2732" w:type="dxa"/>
            <w:vAlign w:val="center"/>
          </w:tcPr>
          <w:p w14:paraId="4EAA8C87">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711" w:type="dxa"/>
            <w:vAlign w:val="center"/>
          </w:tcPr>
          <w:p w14:paraId="2BF6C27A">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299" w:type="dxa"/>
            <w:vMerge w:val="continue"/>
            <w:vAlign w:val="center"/>
          </w:tcPr>
          <w:p w14:paraId="59757989">
            <w:pPr>
              <w:spacing w:before="156" w:beforeLines="50" w:after="156" w:afterLines="50"/>
              <w:jc w:val="left"/>
              <w:rPr>
                <w:rFonts w:ascii="宋体"/>
                <w:b/>
                <w:kern w:val="0"/>
                <w:sz w:val="18"/>
                <w:szCs w:val="18"/>
              </w:rPr>
            </w:pPr>
          </w:p>
        </w:tc>
        <w:tc>
          <w:tcPr>
            <w:tcW w:w="3525" w:type="dxa"/>
            <w:vMerge w:val="continue"/>
            <w:vAlign w:val="center"/>
          </w:tcPr>
          <w:p w14:paraId="71E2B318">
            <w:pPr>
              <w:spacing w:before="156" w:beforeLines="50" w:after="156" w:afterLines="50"/>
              <w:jc w:val="left"/>
              <w:rPr>
                <w:rFonts w:ascii="宋体"/>
                <w:b/>
                <w:kern w:val="0"/>
                <w:sz w:val="18"/>
                <w:szCs w:val="18"/>
              </w:rPr>
            </w:pPr>
          </w:p>
        </w:tc>
        <w:tc>
          <w:tcPr>
            <w:tcW w:w="7703" w:type="dxa"/>
            <w:vAlign w:val="center"/>
          </w:tcPr>
          <w:p w14:paraId="17DA4BBE">
            <w:pPr>
              <w:spacing w:before="156" w:beforeLines="50" w:after="156" w:afterLines="50"/>
              <w:jc w:val="center"/>
              <w:rPr>
                <w:rFonts w:ascii="宋体"/>
                <w:b/>
                <w:kern w:val="0"/>
                <w:sz w:val="18"/>
                <w:szCs w:val="18"/>
              </w:rPr>
            </w:pPr>
            <w:r>
              <w:rPr>
                <w:rFonts w:hint="eastAsia" w:ascii="宋体"/>
                <w:b/>
                <w:kern w:val="0"/>
                <w:sz w:val="18"/>
                <w:szCs w:val="18"/>
              </w:rPr>
              <w:t>【对象】船长</w:t>
            </w:r>
          </w:p>
        </w:tc>
      </w:tr>
      <w:tr w14:paraId="41933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848" w:type="dxa"/>
            <w:vMerge w:val="restart"/>
            <w:vAlign w:val="center"/>
          </w:tcPr>
          <w:p w14:paraId="054E5AA8">
            <w:pPr>
              <w:spacing w:before="156" w:beforeLines="50" w:after="156" w:afterLines="50"/>
              <w:jc w:val="center"/>
              <w:rPr>
                <w:rFonts w:ascii="宋体"/>
                <w:kern w:val="0"/>
                <w:sz w:val="18"/>
                <w:szCs w:val="18"/>
              </w:rPr>
            </w:pPr>
            <w:r>
              <w:rPr>
                <w:rFonts w:hint="eastAsia" w:ascii="宋体"/>
                <w:kern w:val="0"/>
                <w:sz w:val="18"/>
                <w:szCs w:val="18"/>
              </w:rPr>
              <w:t>72</w:t>
            </w:r>
          </w:p>
        </w:tc>
        <w:tc>
          <w:tcPr>
            <w:tcW w:w="2052" w:type="dxa"/>
            <w:vMerge w:val="restart"/>
            <w:vAlign w:val="center"/>
          </w:tcPr>
          <w:p w14:paraId="1960F64D">
            <w:pPr>
              <w:widowControl/>
              <w:spacing w:before="156" w:beforeLines="50" w:after="156" w:afterLines="50"/>
              <w:jc w:val="left"/>
              <w:rPr>
                <w:rFonts w:ascii="宋体"/>
                <w:kern w:val="0"/>
                <w:sz w:val="18"/>
                <w:szCs w:val="18"/>
              </w:rPr>
            </w:pPr>
            <w:r>
              <w:rPr>
                <w:rFonts w:hint="eastAsia" w:ascii="宋体"/>
                <w:kern w:val="0"/>
                <w:sz w:val="18"/>
                <w:szCs w:val="18"/>
              </w:rPr>
              <w:t>船长未保证船舶和船员携带符合法定要求的证书、文书以及有关航行资料的</w:t>
            </w:r>
          </w:p>
        </w:tc>
        <w:tc>
          <w:tcPr>
            <w:tcW w:w="2732" w:type="dxa"/>
            <w:vMerge w:val="restart"/>
            <w:vAlign w:val="center"/>
          </w:tcPr>
          <w:p w14:paraId="5918069E">
            <w:pPr>
              <w:widowControl/>
              <w:spacing w:before="156" w:beforeLines="50" w:after="156" w:afterLines="50"/>
              <w:jc w:val="left"/>
              <w:rPr>
                <w:rFonts w:ascii="宋体"/>
                <w:kern w:val="0"/>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船员条例》第十八条第（一）项</w:t>
            </w:r>
          </w:p>
        </w:tc>
        <w:tc>
          <w:tcPr>
            <w:tcW w:w="2711" w:type="dxa"/>
            <w:vMerge w:val="restart"/>
            <w:vAlign w:val="center"/>
          </w:tcPr>
          <w:p w14:paraId="75DA9808">
            <w:pPr>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船员条例》第五十三条第（一）项；</w:t>
            </w:r>
          </w:p>
          <w:p w14:paraId="4159AF71">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1299" w:type="dxa"/>
            <w:vAlign w:val="center"/>
          </w:tcPr>
          <w:p w14:paraId="62EFED13">
            <w:pPr>
              <w:spacing w:before="156" w:beforeLines="50" w:after="156" w:afterLines="50"/>
              <w:jc w:val="center"/>
              <w:rPr>
                <w:rFonts w:ascii="宋体"/>
                <w:kern w:val="0"/>
                <w:sz w:val="18"/>
                <w:szCs w:val="18"/>
              </w:rPr>
            </w:pPr>
            <w:r>
              <w:rPr>
                <w:rFonts w:hint="eastAsia" w:ascii="宋体"/>
                <w:kern w:val="0"/>
                <w:sz w:val="18"/>
                <w:szCs w:val="18"/>
              </w:rPr>
              <w:t>从轻</w:t>
            </w:r>
          </w:p>
        </w:tc>
        <w:tc>
          <w:tcPr>
            <w:tcW w:w="3525" w:type="dxa"/>
            <w:vAlign w:val="center"/>
          </w:tcPr>
          <w:p w14:paraId="2A72F0F3">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7703" w:type="dxa"/>
            <w:vAlign w:val="center"/>
          </w:tcPr>
          <w:p w14:paraId="4088BC13">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000</w:t>
            </w:r>
            <w:r>
              <w:rPr>
                <w:rFonts w:hint="eastAsia" w:ascii="宋体"/>
                <w:kern w:val="0"/>
                <w:sz w:val="18"/>
                <w:szCs w:val="18"/>
              </w:rPr>
              <w:t>元</w:t>
            </w:r>
          </w:p>
        </w:tc>
      </w:tr>
      <w:tr w14:paraId="79AF9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14:paraId="0CE4F374">
            <w:pPr>
              <w:spacing w:before="156" w:beforeLines="50" w:after="156" w:afterLines="50"/>
              <w:jc w:val="left"/>
              <w:rPr>
                <w:rFonts w:ascii="宋体"/>
                <w:kern w:val="0"/>
                <w:sz w:val="18"/>
                <w:szCs w:val="18"/>
              </w:rPr>
            </w:pPr>
          </w:p>
        </w:tc>
        <w:tc>
          <w:tcPr>
            <w:tcW w:w="2052" w:type="dxa"/>
            <w:vMerge w:val="continue"/>
            <w:vAlign w:val="center"/>
          </w:tcPr>
          <w:p w14:paraId="2E2E23D3">
            <w:pPr>
              <w:spacing w:before="156" w:beforeLines="50" w:after="156" w:afterLines="50"/>
              <w:jc w:val="left"/>
              <w:rPr>
                <w:rFonts w:ascii="宋体"/>
                <w:kern w:val="0"/>
                <w:sz w:val="18"/>
                <w:szCs w:val="18"/>
              </w:rPr>
            </w:pPr>
          </w:p>
        </w:tc>
        <w:tc>
          <w:tcPr>
            <w:tcW w:w="2732" w:type="dxa"/>
            <w:vMerge w:val="continue"/>
            <w:vAlign w:val="center"/>
          </w:tcPr>
          <w:p w14:paraId="5854A1B0">
            <w:pPr>
              <w:widowControl/>
              <w:spacing w:before="156" w:beforeLines="50" w:after="156" w:afterLines="50"/>
              <w:jc w:val="left"/>
              <w:rPr>
                <w:rFonts w:ascii="宋体"/>
                <w:kern w:val="0"/>
                <w:sz w:val="18"/>
                <w:szCs w:val="18"/>
              </w:rPr>
            </w:pPr>
          </w:p>
        </w:tc>
        <w:tc>
          <w:tcPr>
            <w:tcW w:w="2711" w:type="dxa"/>
            <w:vMerge w:val="continue"/>
            <w:vAlign w:val="center"/>
          </w:tcPr>
          <w:p w14:paraId="279626FD">
            <w:pPr>
              <w:spacing w:before="156" w:beforeLines="50" w:after="156" w:afterLines="50"/>
              <w:jc w:val="left"/>
              <w:rPr>
                <w:rFonts w:ascii="宋体"/>
                <w:kern w:val="0"/>
                <w:sz w:val="18"/>
                <w:szCs w:val="18"/>
              </w:rPr>
            </w:pPr>
          </w:p>
        </w:tc>
        <w:tc>
          <w:tcPr>
            <w:tcW w:w="1299" w:type="dxa"/>
            <w:vMerge w:val="restart"/>
            <w:vAlign w:val="center"/>
          </w:tcPr>
          <w:p w14:paraId="137AFFF9">
            <w:pPr>
              <w:spacing w:before="156" w:beforeLines="50" w:after="156" w:afterLines="50"/>
              <w:jc w:val="center"/>
              <w:rPr>
                <w:rFonts w:ascii="宋体"/>
                <w:kern w:val="0"/>
                <w:sz w:val="18"/>
                <w:szCs w:val="18"/>
              </w:rPr>
            </w:pPr>
            <w:r>
              <w:rPr>
                <w:rFonts w:hint="eastAsia" w:ascii="宋体"/>
                <w:kern w:val="0"/>
                <w:sz w:val="18"/>
                <w:szCs w:val="18"/>
              </w:rPr>
              <w:t>一般</w:t>
            </w:r>
          </w:p>
        </w:tc>
        <w:tc>
          <w:tcPr>
            <w:tcW w:w="3525" w:type="dxa"/>
            <w:vAlign w:val="center"/>
          </w:tcPr>
          <w:p w14:paraId="2644F285">
            <w:pPr>
              <w:spacing w:before="156" w:beforeLines="50" w:after="156" w:afterLines="50"/>
              <w:jc w:val="left"/>
              <w:rPr>
                <w:rFonts w:ascii="宋体"/>
                <w:kern w:val="0"/>
                <w:sz w:val="18"/>
                <w:szCs w:val="18"/>
              </w:rPr>
            </w:pPr>
            <w:r>
              <w:rPr>
                <w:rFonts w:hint="eastAsia" w:ascii="宋体"/>
                <w:kern w:val="0"/>
                <w:sz w:val="18"/>
                <w:szCs w:val="18"/>
              </w:rPr>
              <w:t>1.缺1本船舶证书或1本船舶文书或1本船员证书的；</w:t>
            </w:r>
          </w:p>
          <w:p w14:paraId="3A4C8EFC">
            <w:pPr>
              <w:spacing w:before="156" w:beforeLines="50" w:after="156" w:afterLines="50"/>
              <w:jc w:val="left"/>
              <w:rPr>
                <w:rFonts w:ascii="宋体"/>
                <w:kern w:val="0"/>
                <w:sz w:val="18"/>
                <w:szCs w:val="18"/>
              </w:rPr>
            </w:pPr>
            <w:r>
              <w:rPr>
                <w:rFonts w:hint="eastAsia" w:ascii="宋体"/>
                <w:kern w:val="0"/>
                <w:sz w:val="18"/>
                <w:szCs w:val="18"/>
              </w:rPr>
              <w:t>2.未持有有关航行资料的。</w:t>
            </w:r>
          </w:p>
        </w:tc>
        <w:tc>
          <w:tcPr>
            <w:tcW w:w="7703" w:type="dxa"/>
            <w:vAlign w:val="center"/>
          </w:tcPr>
          <w:p w14:paraId="4CA10C1E">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500-3500</w:t>
            </w:r>
            <w:r>
              <w:rPr>
                <w:rFonts w:hint="eastAsia" w:ascii="宋体"/>
                <w:kern w:val="0"/>
                <w:sz w:val="18"/>
                <w:szCs w:val="18"/>
              </w:rPr>
              <w:t>元。</w:t>
            </w:r>
          </w:p>
        </w:tc>
      </w:tr>
      <w:tr w14:paraId="4CCA1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14:paraId="40B07857">
            <w:pPr>
              <w:spacing w:before="156" w:beforeLines="50" w:after="156" w:afterLines="50"/>
              <w:jc w:val="left"/>
              <w:rPr>
                <w:rFonts w:ascii="宋体"/>
                <w:kern w:val="0"/>
                <w:sz w:val="18"/>
                <w:szCs w:val="18"/>
              </w:rPr>
            </w:pPr>
          </w:p>
        </w:tc>
        <w:tc>
          <w:tcPr>
            <w:tcW w:w="2052" w:type="dxa"/>
            <w:vMerge w:val="continue"/>
            <w:vAlign w:val="center"/>
          </w:tcPr>
          <w:p w14:paraId="124D69A7">
            <w:pPr>
              <w:spacing w:before="156" w:beforeLines="50" w:after="156" w:afterLines="50"/>
              <w:jc w:val="left"/>
              <w:rPr>
                <w:rFonts w:ascii="宋体"/>
                <w:kern w:val="0"/>
                <w:sz w:val="18"/>
                <w:szCs w:val="18"/>
              </w:rPr>
            </w:pPr>
          </w:p>
        </w:tc>
        <w:tc>
          <w:tcPr>
            <w:tcW w:w="2732" w:type="dxa"/>
            <w:vMerge w:val="continue"/>
            <w:vAlign w:val="center"/>
          </w:tcPr>
          <w:p w14:paraId="0C54A3A7">
            <w:pPr>
              <w:spacing w:before="156" w:beforeLines="50" w:after="156" w:afterLines="50"/>
              <w:jc w:val="left"/>
              <w:rPr>
                <w:rFonts w:ascii="宋体"/>
                <w:kern w:val="0"/>
                <w:sz w:val="18"/>
                <w:szCs w:val="18"/>
              </w:rPr>
            </w:pPr>
          </w:p>
        </w:tc>
        <w:tc>
          <w:tcPr>
            <w:tcW w:w="2711" w:type="dxa"/>
            <w:vMerge w:val="continue"/>
            <w:vAlign w:val="center"/>
          </w:tcPr>
          <w:p w14:paraId="4C9B0F12">
            <w:pPr>
              <w:spacing w:before="156" w:beforeLines="50" w:after="156" w:afterLines="50"/>
              <w:jc w:val="left"/>
              <w:rPr>
                <w:rFonts w:ascii="宋体"/>
                <w:kern w:val="0"/>
                <w:sz w:val="18"/>
                <w:szCs w:val="18"/>
              </w:rPr>
            </w:pPr>
          </w:p>
        </w:tc>
        <w:tc>
          <w:tcPr>
            <w:tcW w:w="1299" w:type="dxa"/>
            <w:vMerge w:val="continue"/>
            <w:vAlign w:val="center"/>
          </w:tcPr>
          <w:p w14:paraId="748F49B2">
            <w:pPr>
              <w:spacing w:before="156" w:beforeLines="50" w:after="156" w:afterLines="50"/>
              <w:jc w:val="center"/>
              <w:rPr>
                <w:rFonts w:ascii="宋体"/>
                <w:kern w:val="0"/>
                <w:sz w:val="18"/>
                <w:szCs w:val="18"/>
              </w:rPr>
            </w:pPr>
          </w:p>
        </w:tc>
        <w:tc>
          <w:tcPr>
            <w:tcW w:w="3525" w:type="dxa"/>
            <w:vAlign w:val="center"/>
          </w:tcPr>
          <w:p w14:paraId="7744DF58">
            <w:pPr>
              <w:spacing w:before="156" w:beforeLines="50" w:after="156" w:afterLines="50"/>
              <w:jc w:val="left"/>
              <w:rPr>
                <w:rFonts w:ascii="宋体"/>
                <w:kern w:val="0"/>
                <w:sz w:val="18"/>
                <w:szCs w:val="18"/>
              </w:rPr>
            </w:pPr>
            <w:r>
              <w:rPr>
                <w:rFonts w:hint="eastAsia" w:ascii="宋体"/>
                <w:kern w:val="0"/>
                <w:sz w:val="18"/>
                <w:szCs w:val="18"/>
              </w:rPr>
              <w:t>缺船舶证书、文书或船员证书累计达2本及以上的。</w:t>
            </w:r>
          </w:p>
        </w:tc>
        <w:tc>
          <w:tcPr>
            <w:tcW w:w="7703" w:type="dxa"/>
            <w:vAlign w:val="center"/>
          </w:tcPr>
          <w:p w14:paraId="5E68055E">
            <w:pPr>
              <w:spacing w:before="156" w:beforeLines="50" w:after="156" w:afterLines="50"/>
              <w:jc w:val="left"/>
              <w:rPr>
                <w:rFonts w:ascii="宋体"/>
                <w:kern w:val="0"/>
                <w:sz w:val="18"/>
                <w:szCs w:val="18"/>
              </w:rPr>
            </w:pPr>
            <w:r>
              <w:rPr>
                <w:rFonts w:hint="eastAsia" w:ascii="宋体"/>
                <w:kern w:val="0"/>
                <w:sz w:val="18"/>
                <w:szCs w:val="18"/>
              </w:rPr>
              <w:t>每多缺</w:t>
            </w:r>
            <w:r>
              <w:rPr>
                <w:rFonts w:ascii="宋体"/>
                <w:kern w:val="0"/>
                <w:sz w:val="18"/>
                <w:szCs w:val="18"/>
              </w:rPr>
              <w:t>1</w:t>
            </w:r>
            <w:r>
              <w:rPr>
                <w:rFonts w:hint="eastAsia" w:ascii="宋体"/>
                <w:kern w:val="0"/>
                <w:sz w:val="18"/>
                <w:szCs w:val="18"/>
              </w:rPr>
              <w:t>本，加罚1</w:t>
            </w:r>
            <w:r>
              <w:rPr>
                <w:rFonts w:ascii="宋体"/>
                <w:kern w:val="0"/>
                <w:sz w:val="18"/>
                <w:szCs w:val="18"/>
              </w:rPr>
              <w:t>000</w:t>
            </w:r>
            <w:r>
              <w:rPr>
                <w:rFonts w:hint="eastAsia" w:ascii="宋体"/>
                <w:kern w:val="0"/>
                <w:sz w:val="18"/>
                <w:szCs w:val="18"/>
              </w:rPr>
              <w:t>元（在</w:t>
            </w:r>
            <w:r>
              <w:rPr>
                <w:rFonts w:ascii="宋体"/>
                <w:kern w:val="0"/>
                <w:sz w:val="18"/>
                <w:szCs w:val="18"/>
              </w:rPr>
              <w:t>3500</w:t>
            </w:r>
            <w:r>
              <w:rPr>
                <w:rFonts w:hint="eastAsia" w:ascii="宋体"/>
                <w:kern w:val="0"/>
                <w:sz w:val="18"/>
                <w:szCs w:val="18"/>
              </w:rPr>
              <w:t>元的基准上累加），最高不超过15000元。</w:t>
            </w:r>
          </w:p>
        </w:tc>
      </w:tr>
      <w:tr w14:paraId="0578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48" w:type="dxa"/>
            <w:vMerge w:val="continue"/>
            <w:vAlign w:val="center"/>
          </w:tcPr>
          <w:p w14:paraId="7B5BC087">
            <w:pPr>
              <w:spacing w:before="156" w:beforeLines="50" w:after="156" w:afterLines="50"/>
              <w:jc w:val="left"/>
              <w:rPr>
                <w:rFonts w:ascii="宋体"/>
                <w:kern w:val="0"/>
                <w:sz w:val="18"/>
                <w:szCs w:val="18"/>
              </w:rPr>
            </w:pPr>
          </w:p>
        </w:tc>
        <w:tc>
          <w:tcPr>
            <w:tcW w:w="2052" w:type="dxa"/>
            <w:vMerge w:val="continue"/>
            <w:vAlign w:val="center"/>
          </w:tcPr>
          <w:p w14:paraId="10F6B84E">
            <w:pPr>
              <w:spacing w:before="156" w:beforeLines="50" w:after="156" w:afterLines="50"/>
              <w:jc w:val="left"/>
              <w:rPr>
                <w:rFonts w:ascii="宋体"/>
                <w:kern w:val="0"/>
                <w:sz w:val="18"/>
                <w:szCs w:val="18"/>
              </w:rPr>
            </w:pPr>
          </w:p>
        </w:tc>
        <w:tc>
          <w:tcPr>
            <w:tcW w:w="2732" w:type="dxa"/>
            <w:vMerge w:val="continue"/>
            <w:vAlign w:val="center"/>
          </w:tcPr>
          <w:p w14:paraId="3B885F39">
            <w:pPr>
              <w:spacing w:before="156" w:beforeLines="50" w:after="156" w:afterLines="50"/>
              <w:jc w:val="left"/>
              <w:rPr>
                <w:rFonts w:ascii="宋体"/>
                <w:kern w:val="0"/>
                <w:sz w:val="18"/>
                <w:szCs w:val="18"/>
              </w:rPr>
            </w:pPr>
          </w:p>
        </w:tc>
        <w:tc>
          <w:tcPr>
            <w:tcW w:w="2711" w:type="dxa"/>
            <w:vMerge w:val="continue"/>
            <w:vAlign w:val="center"/>
          </w:tcPr>
          <w:p w14:paraId="37176637">
            <w:pPr>
              <w:spacing w:before="156" w:beforeLines="50" w:after="156" w:afterLines="50"/>
              <w:jc w:val="left"/>
              <w:rPr>
                <w:rFonts w:ascii="宋体"/>
                <w:kern w:val="0"/>
                <w:sz w:val="18"/>
                <w:szCs w:val="18"/>
              </w:rPr>
            </w:pPr>
          </w:p>
        </w:tc>
        <w:tc>
          <w:tcPr>
            <w:tcW w:w="1299" w:type="dxa"/>
            <w:vAlign w:val="center"/>
          </w:tcPr>
          <w:p w14:paraId="05C424F0">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3525" w:type="dxa"/>
            <w:vAlign w:val="center"/>
          </w:tcPr>
          <w:p w14:paraId="4C0D5BFF">
            <w:pPr>
              <w:spacing w:before="156" w:beforeLines="50" w:after="156" w:afterLines="50"/>
              <w:jc w:val="left"/>
              <w:rPr>
                <w:rFonts w:ascii="宋体"/>
                <w:kern w:val="0"/>
                <w:sz w:val="18"/>
                <w:szCs w:val="18"/>
              </w:rPr>
            </w:pPr>
            <w:r>
              <w:rPr>
                <w:rFonts w:hint="eastAsia" w:ascii="宋体"/>
                <w:kern w:val="0"/>
                <w:sz w:val="18"/>
                <w:szCs w:val="18"/>
              </w:rPr>
              <w:t>1.船长未保证船舶和船员携带有关航行资料，为事故发生原因；</w:t>
            </w:r>
          </w:p>
          <w:p w14:paraId="257820CD">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7703" w:type="dxa"/>
            <w:vAlign w:val="center"/>
          </w:tcPr>
          <w:p w14:paraId="481D905A">
            <w:pPr>
              <w:spacing w:before="156" w:beforeLines="50" w:after="156" w:afterLines="50"/>
              <w:jc w:val="left"/>
              <w:rPr>
                <w:rFonts w:ascii="宋体"/>
                <w:kern w:val="0"/>
                <w:sz w:val="18"/>
                <w:szCs w:val="18"/>
              </w:rPr>
            </w:pPr>
            <w:r>
              <w:rPr>
                <w:rFonts w:hint="eastAsia" w:ascii="宋体"/>
                <w:kern w:val="0"/>
                <w:sz w:val="18"/>
                <w:szCs w:val="18"/>
              </w:rPr>
              <w:t>15000元及以上2万元及以下，并暂扣船员适任证书</w:t>
            </w:r>
            <w:r>
              <w:rPr>
                <w:rFonts w:ascii="宋体"/>
                <w:kern w:val="0"/>
                <w:sz w:val="18"/>
                <w:szCs w:val="18"/>
              </w:rPr>
              <w:t>6</w:t>
            </w:r>
            <w:r>
              <w:rPr>
                <w:rFonts w:hint="eastAsia" w:ascii="宋体"/>
                <w:kern w:val="0"/>
                <w:sz w:val="18"/>
                <w:szCs w:val="18"/>
              </w:rPr>
              <w:t>个月以上</w:t>
            </w:r>
            <w:r>
              <w:rPr>
                <w:rFonts w:ascii="宋体"/>
                <w:kern w:val="0"/>
                <w:sz w:val="18"/>
                <w:szCs w:val="18"/>
              </w:rPr>
              <w:t>2</w:t>
            </w:r>
            <w:r>
              <w:rPr>
                <w:rFonts w:hint="eastAsia" w:ascii="宋体"/>
                <w:kern w:val="0"/>
                <w:sz w:val="18"/>
                <w:szCs w:val="18"/>
              </w:rPr>
              <w:t>年以下直至吊销船员适任证书。</w:t>
            </w:r>
          </w:p>
        </w:tc>
      </w:tr>
    </w:tbl>
    <w:p w14:paraId="106B27F9">
      <w:pPr>
        <w:spacing w:before="156" w:beforeLines="50" w:after="156" w:afterLines="50"/>
        <w:jc w:val="left"/>
        <w:rPr>
          <w:rFonts w:ascii="宋体"/>
          <w:sz w:val="18"/>
          <w:szCs w:val="18"/>
        </w:rPr>
      </w:pPr>
      <w:r>
        <w:rPr>
          <w:rFonts w:ascii="宋体"/>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547"/>
        <w:gridCol w:w="303"/>
        <w:gridCol w:w="915"/>
        <w:gridCol w:w="835"/>
        <w:gridCol w:w="282"/>
        <w:gridCol w:w="1283"/>
        <w:gridCol w:w="610"/>
        <w:gridCol w:w="381"/>
        <w:gridCol w:w="2376"/>
        <w:gridCol w:w="362"/>
        <w:gridCol w:w="454"/>
        <w:gridCol w:w="2301"/>
        <w:gridCol w:w="2340"/>
        <w:gridCol w:w="14"/>
        <w:gridCol w:w="7742"/>
        <w:gridCol w:w="17"/>
      </w:tblGrid>
      <w:tr w14:paraId="1CB8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74" w:hRule="atLeast"/>
        </w:trPr>
        <w:tc>
          <w:tcPr>
            <w:tcW w:w="655" w:type="dxa"/>
            <w:gridSpan w:val="2"/>
            <w:vMerge w:val="restart"/>
            <w:vAlign w:val="center"/>
          </w:tcPr>
          <w:p w14:paraId="04F93B0A">
            <w:pPr>
              <w:spacing w:before="156" w:beforeLines="50" w:after="156" w:afterLines="50"/>
              <w:jc w:val="center"/>
              <w:rPr>
                <w:b/>
                <w:sz w:val="18"/>
                <w:szCs w:val="18"/>
              </w:rPr>
            </w:pPr>
            <w:r>
              <w:rPr>
                <w:rFonts w:hint="eastAsia"/>
                <w:b/>
                <w:sz w:val="18"/>
                <w:szCs w:val="18"/>
              </w:rPr>
              <w:t>序号</w:t>
            </w:r>
          </w:p>
        </w:tc>
        <w:tc>
          <w:tcPr>
            <w:tcW w:w="1218" w:type="dxa"/>
            <w:gridSpan w:val="2"/>
            <w:vMerge w:val="restart"/>
            <w:vAlign w:val="center"/>
          </w:tcPr>
          <w:p w14:paraId="7971B7C8">
            <w:pPr>
              <w:spacing w:before="156" w:beforeLines="50" w:after="156" w:afterLines="50"/>
              <w:jc w:val="center"/>
              <w:rPr>
                <w:b/>
                <w:sz w:val="18"/>
                <w:szCs w:val="18"/>
              </w:rPr>
            </w:pPr>
            <w:r>
              <w:rPr>
                <w:rFonts w:hint="eastAsia"/>
                <w:b/>
                <w:sz w:val="18"/>
                <w:szCs w:val="18"/>
              </w:rPr>
              <w:t>案由</w:t>
            </w:r>
          </w:p>
        </w:tc>
        <w:tc>
          <w:tcPr>
            <w:tcW w:w="2400" w:type="dxa"/>
            <w:gridSpan w:val="3"/>
            <w:vMerge w:val="restart"/>
            <w:vAlign w:val="center"/>
          </w:tcPr>
          <w:p w14:paraId="3EF9644B">
            <w:pPr>
              <w:spacing w:before="156" w:beforeLines="50" w:after="156" w:afterLines="50"/>
              <w:jc w:val="center"/>
              <w:rPr>
                <w:b/>
                <w:sz w:val="18"/>
                <w:szCs w:val="18"/>
              </w:rPr>
            </w:pPr>
            <w:r>
              <w:rPr>
                <w:rFonts w:hint="eastAsia"/>
                <w:b/>
                <w:sz w:val="18"/>
                <w:szCs w:val="18"/>
              </w:rPr>
              <w:t>法律依据</w:t>
            </w:r>
          </w:p>
        </w:tc>
        <w:tc>
          <w:tcPr>
            <w:tcW w:w="991" w:type="dxa"/>
            <w:gridSpan w:val="2"/>
            <w:vMerge w:val="restart"/>
            <w:vAlign w:val="center"/>
          </w:tcPr>
          <w:p w14:paraId="14A7D878">
            <w:pPr>
              <w:spacing w:before="156" w:beforeLines="50" w:after="156" w:afterLines="50"/>
              <w:jc w:val="left"/>
              <w:rPr>
                <w:b/>
                <w:sz w:val="18"/>
                <w:szCs w:val="18"/>
              </w:rPr>
            </w:pPr>
            <w:r>
              <w:rPr>
                <w:rFonts w:hint="eastAsia"/>
                <w:b/>
                <w:sz w:val="18"/>
                <w:szCs w:val="18"/>
              </w:rPr>
              <w:t>违法行为情节</w:t>
            </w:r>
          </w:p>
        </w:tc>
        <w:tc>
          <w:tcPr>
            <w:tcW w:w="2738" w:type="dxa"/>
            <w:gridSpan w:val="2"/>
            <w:vMerge w:val="restart"/>
            <w:vAlign w:val="center"/>
          </w:tcPr>
          <w:p w14:paraId="57896CBD">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2851" w:type="dxa"/>
            <w:gridSpan w:val="5"/>
            <w:vAlign w:val="center"/>
          </w:tcPr>
          <w:p w14:paraId="231138C6">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处1000元以上</w:t>
            </w:r>
            <w:r>
              <w:rPr>
                <w:rFonts w:ascii="宋体"/>
                <w:b/>
                <w:sz w:val="18"/>
                <w:szCs w:val="18"/>
              </w:rPr>
              <w:t>1</w:t>
            </w:r>
            <w:r>
              <w:rPr>
                <w:rFonts w:hint="eastAsia" w:ascii="宋体"/>
                <w:b/>
                <w:sz w:val="18"/>
                <w:szCs w:val="18"/>
              </w:rPr>
              <w:t>万元以下罚款；情节严重的，并给予暂扣船员服务簿、船员适任证书</w:t>
            </w:r>
            <w:r>
              <w:rPr>
                <w:rFonts w:ascii="宋体"/>
                <w:b/>
                <w:sz w:val="18"/>
                <w:szCs w:val="18"/>
              </w:rPr>
              <w:t>6</w:t>
            </w:r>
            <w:r>
              <w:rPr>
                <w:rFonts w:hint="eastAsia" w:ascii="宋体"/>
                <w:b/>
                <w:sz w:val="18"/>
                <w:szCs w:val="18"/>
              </w:rPr>
              <w:t>个月以上2年以下直至吊销船员服务簿、船员适任证书的处罚。</w:t>
            </w:r>
          </w:p>
        </w:tc>
      </w:tr>
      <w:tr w14:paraId="759D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52" w:hRule="atLeast"/>
        </w:trPr>
        <w:tc>
          <w:tcPr>
            <w:tcW w:w="655" w:type="dxa"/>
            <w:gridSpan w:val="2"/>
            <w:vMerge w:val="continue"/>
            <w:vAlign w:val="center"/>
          </w:tcPr>
          <w:p w14:paraId="29D634F6">
            <w:pPr>
              <w:spacing w:before="156" w:beforeLines="50" w:after="156" w:afterLines="50"/>
              <w:jc w:val="left"/>
              <w:rPr>
                <w:b/>
                <w:sz w:val="18"/>
                <w:szCs w:val="18"/>
              </w:rPr>
            </w:pPr>
          </w:p>
        </w:tc>
        <w:tc>
          <w:tcPr>
            <w:tcW w:w="1218" w:type="dxa"/>
            <w:gridSpan w:val="2"/>
            <w:vMerge w:val="continue"/>
            <w:vAlign w:val="center"/>
          </w:tcPr>
          <w:p w14:paraId="1246B7FC">
            <w:pPr>
              <w:spacing w:before="156" w:beforeLines="50" w:after="156" w:afterLines="50"/>
              <w:jc w:val="left"/>
              <w:rPr>
                <w:b/>
                <w:sz w:val="18"/>
                <w:szCs w:val="18"/>
              </w:rPr>
            </w:pPr>
          </w:p>
        </w:tc>
        <w:tc>
          <w:tcPr>
            <w:tcW w:w="2400" w:type="dxa"/>
            <w:gridSpan w:val="3"/>
            <w:vMerge w:val="continue"/>
            <w:vAlign w:val="center"/>
          </w:tcPr>
          <w:p w14:paraId="19E401BC">
            <w:pPr>
              <w:spacing w:before="156" w:beforeLines="50" w:after="156" w:afterLines="50"/>
              <w:jc w:val="left"/>
              <w:rPr>
                <w:b/>
                <w:sz w:val="18"/>
                <w:szCs w:val="18"/>
              </w:rPr>
            </w:pPr>
          </w:p>
        </w:tc>
        <w:tc>
          <w:tcPr>
            <w:tcW w:w="991" w:type="dxa"/>
            <w:gridSpan w:val="2"/>
            <w:vMerge w:val="continue"/>
            <w:vAlign w:val="center"/>
          </w:tcPr>
          <w:p w14:paraId="437D4B31">
            <w:pPr>
              <w:spacing w:before="156" w:beforeLines="50" w:after="156" w:afterLines="50"/>
              <w:jc w:val="left"/>
              <w:rPr>
                <w:b/>
                <w:sz w:val="18"/>
                <w:szCs w:val="18"/>
              </w:rPr>
            </w:pPr>
          </w:p>
        </w:tc>
        <w:tc>
          <w:tcPr>
            <w:tcW w:w="2738" w:type="dxa"/>
            <w:gridSpan w:val="2"/>
            <w:vMerge w:val="continue"/>
            <w:vAlign w:val="center"/>
          </w:tcPr>
          <w:p w14:paraId="5907DD07">
            <w:pPr>
              <w:spacing w:before="156" w:beforeLines="50" w:after="156" w:afterLines="50"/>
              <w:jc w:val="left"/>
              <w:rPr>
                <w:rFonts w:ascii="宋体"/>
                <w:b/>
                <w:sz w:val="18"/>
                <w:szCs w:val="18"/>
              </w:rPr>
            </w:pPr>
          </w:p>
        </w:tc>
        <w:tc>
          <w:tcPr>
            <w:tcW w:w="12851" w:type="dxa"/>
            <w:gridSpan w:val="5"/>
            <w:vAlign w:val="center"/>
          </w:tcPr>
          <w:p w14:paraId="7B1E3F64">
            <w:pPr>
              <w:spacing w:before="156" w:beforeLines="50" w:after="156" w:afterLines="50"/>
              <w:jc w:val="center"/>
              <w:rPr>
                <w:b/>
                <w:sz w:val="18"/>
                <w:szCs w:val="18"/>
              </w:rPr>
            </w:pPr>
            <w:r>
              <w:rPr>
                <w:rFonts w:hint="eastAsia"/>
                <w:b/>
                <w:sz w:val="18"/>
                <w:szCs w:val="18"/>
              </w:rPr>
              <w:t>处罚基准</w:t>
            </w:r>
          </w:p>
        </w:tc>
      </w:tr>
      <w:tr w14:paraId="6BC5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52" w:hRule="atLeast"/>
        </w:trPr>
        <w:tc>
          <w:tcPr>
            <w:tcW w:w="655" w:type="dxa"/>
            <w:gridSpan w:val="2"/>
            <w:vMerge w:val="continue"/>
            <w:vAlign w:val="center"/>
          </w:tcPr>
          <w:p w14:paraId="004E47F6">
            <w:pPr>
              <w:spacing w:before="156" w:beforeLines="50" w:after="156" w:afterLines="50"/>
              <w:jc w:val="left"/>
              <w:rPr>
                <w:b/>
                <w:sz w:val="18"/>
                <w:szCs w:val="18"/>
              </w:rPr>
            </w:pPr>
          </w:p>
        </w:tc>
        <w:tc>
          <w:tcPr>
            <w:tcW w:w="1218" w:type="dxa"/>
            <w:gridSpan w:val="2"/>
            <w:vMerge w:val="continue"/>
            <w:vAlign w:val="center"/>
          </w:tcPr>
          <w:p w14:paraId="1670DC40">
            <w:pPr>
              <w:spacing w:before="156" w:beforeLines="50" w:after="156" w:afterLines="50"/>
              <w:jc w:val="left"/>
              <w:rPr>
                <w:b/>
                <w:sz w:val="18"/>
                <w:szCs w:val="18"/>
              </w:rPr>
            </w:pPr>
          </w:p>
        </w:tc>
        <w:tc>
          <w:tcPr>
            <w:tcW w:w="2400" w:type="dxa"/>
            <w:gridSpan w:val="3"/>
            <w:vMerge w:val="continue"/>
            <w:vAlign w:val="center"/>
          </w:tcPr>
          <w:p w14:paraId="27D176E0">
            <w:pPr>
              <w:spacing w:before="156" w:beforeLines="50" w:after="156" w:afterLines="50"/>
              <w:jc w:val="left"/>
              <w:rPr>
                <w:b/>
                <w:sz w:val="18"/>
                <w:szCs w:val="18"/>
              </w:rPr>
            </w:pPr>
          </w:p>
        </w:tc>
        <w:tc>
          <w:tcPr>
            <w:tcW w:w="991" w:type="dxa"/>
            <w:gridSpan w:val="2"/>
            <w:vMerge w:val="continue"/>
            <w:vAlign w:val="center"/>
          </w:tcPr>
          <w:p w14:paraId="45443579">
            <w:pPr>
              <w:spacing w:before="156" w:beforeLines="50" w:after="156" w:afterLines="50"/>
              <w:jc w:val="left"/>
              <w:rPr>
                <w:b/>
                <w:sz w:val="18"/>
                <w:szCs w:val="18"/>
              </w:rPr>
            </w:pPr>
          </w:p>
        </w:tc>
        <w:tc>
          <w:tcPr>
            <w:tcW w:w="2738" w:type="dxa"/>
            <w:gridSpan w:val="2"/>
            <w:vMerge w:val="continue"/>
            <w:vAlign w:val="center"/>
          </w:tcPr>
          <w:p w14:paraId="46599092">
            <w:pPr>
              <w:spacing w:before="156" w:beforeLines="50" w:after="156" w:afterLines="50"/>
              <w:jc w:val="left"/>
              <w:rPr>
                <w:rFonts w:ascii="宋体"/>
                <w:b/>
                <w:sz w:val="18"/>
                <w:szCs w:val="18"/>
              </w:rPr>
            </w:pPr>
          </w:p>
        </w:tc>
        <w:tc>
          <w:tcPr>
            <w:tcW w:w="12851" w:type="dxa"/>
            <w:gridSpan w:val="5"/>
            <w:vAlign w:val="center"/>
          </w:tcPr>
          <w:p w14:paraId="19B32F70">
            <w:pPr>
              <w:spacing w:before="156" w:beforeLines="50" w:after="156" w:afterLines="50"/>
              <w:jc w:val="center"/>
              <w:rPr>
                <w:b/>
                <w:sz w:val="18"/>
                <w:szCs w:val="18"/>
              </w:rPr>
            </w:pPr>
            <w:r>
              <w:rPr>
                <w:rFonts w:hint="eastAsia"/>
                <w:b/>
                <w:sz w:val="18"/>
                <w:szCs w:val="18"/>
              </w:rPr>
              <w:t>【对象】船员</w:t>
            </w:r>
          </w:p>
        </w:tc>
      </w:tr>
      <w:tr w14:paraId="5F6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846" w:hRule="atLeast"/>
        </w:trPr>
        <w:tc>
          <w:tcPr>
            <w:tcW w:w="655" w:type="dxa"/>
            <w:gridSpan w:val="2"/>
            <w:vMerge w:val="continue"/>
            <w:vAlign w:val="center"/>
          </w:tcPr>
          <w:p w14:paraId="440D4A51">
            <w:pPr>
              <w:spacing w:before="156" w:beforeLines="50" w:after="156" w:afterLines="50"/>
              <w:jc w:val="left"/>
              <w:rPr>
                <w:b/>
                <w:sz w:val="18"/>
                <w:szCs w:val="18"/>
              </w:rPr>
            </w:pPr>
          </w:p>
        </w:tc>
        <w:tc>
          <w:tcPr>
            <w:tcW w:w="1218" w:type="dxa"/>
            <w:gridSpan w:val="2"/>
            <w:vMerge w:val="continue"/>
            <w:vAlign w:val="center"/>
          </w:tcPr>
          <w:p w14:paraId="2FCC3C5B">
            <w:pPr>
              <w:spacing w:before="156" w:beforeLines="50" w:after="156" w:afterLines="50"/>
              <w:jc w:val="left"/>
              <w:rPr>
                <w:b/>
                <w:sz w:val="18"/>
                <w:szCs w:val="18"/>
              </w:rPr>
            </w:pPr>
          </w:p>
        </w:tc>
        <w:tc>
          <w:tcPr>
            <w:tcW w:w="1117" w:type="dxa"/>
            <w:gridSpan w:val="2"/>
            <w:vAlign w:val="center"/>
          </w:tcPr>
          <w:p w14:paraId="3E681C04">
            <w:pPr>
              <w:spacing w:before="156" w:beforeLines="50" w:after="156" w:afterLines="50"/>
              <w:jc w:val="center"/>
              <w:rPr>
                <w:b/>
                <w:sz w:val="18"/>
                <w:szCs w:val="18"/>
              </w:rPr>
            </w:pPr>
            <w:r>
              <w:rPr>
                <w:rFonts w:hint="eastAsia"/>
                <w:b/>
                <w:sz w:val="18"/>
                <w:szCs w:val="18"/>
              </w:rPr>
              <w:t>违反条款</w:t>
            </w:r>
          </w:p>
        </w:tc>
        <w:tc>
          <w:tcPr>
            <w:tcW w:w="1283" w:type="dxa"/>
            <w:vAlign w:val="center"/>
          </w:tcPr>
          <w:p w14:paraId="21B12EC5">
            <w:pPr>
              <w:spacing w:before="156" w:beforeLines="50" w:after="156" w:afterLines="50"/>
              <w:jc w:val="center"/>
              <w:rPr>
                <w:b/>
                <w:sz w:val="18"/>
                <w:szCs w:val="18"/>
              </w:rPr>
            </w:pPr>
            <w:r>
              <w:rPr>
                <w:rFonts w:hint="eastAsia"/>
                <w:b/>
                <w:sz w:val="18"/>
                <w:szCs w:val="18"/>
              </w:rPr>
              <w:t>处罚依据</w:t>
            </w:r>
          </w:p>
        </w:tc>
        <w:tc>
          <w:tcPr>
            <w:tcW w:w="991" w:type="dxa"/>
            <w:gridSpan w:val="2"/>
            <w:vMerge w:val="continue"/>
            <w:vAlign w:val="center"/>
          </w:tcPr>
          <w:p w14:paraId="7B76B109">
            <w:pPr>
              <w:spacing w:before="156" w:beforeLines="50" w:after="156" w:afterLines="50"/>
              <w:jc w:val="left"/>
              <w:rPr>
                <w:b/>
                <w:sz w:val="18"/>
                <w:szCs w:val="18"/>
              </w:rPr>
            </w:pPr>
          </w:p>
        </w:tc>
        <w:tc>
          <w:tcPr>
            <w:tcW w:w="2738" w:type="dxa"/>
            <w:gridSpan w:val="2"/>
            <w:vMerge w:val="continue"/>
            <w:vAlign w:val="center"/>
          </w:tcPr>
          <w:p w14:paraId="650F65CD">
            <w:pPr>
              <w:spacing w:before="156" w:beforeLines="50" w:after="156" w:afterLines="50"/>
              <w:jc w:val="left"/>
              <w:rPr>
                <w:b/>
                <w:sz w:val="18"/>
                <w:szCs w:val="18"/>
              </w:rPr>
            </w:pPr>
          </w:p>
        </w:tc>
        <w:tc>
          <w:tcPr>
            <w:tcW w:w="2755" w:type="dxa"/>
            <w:gridSpan w:val="2"/>
            <w:vAlign w:val="center"/>
          </w:tcPr>
          <w:p w14:paraId="0577D67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340" w:type="dxa"/>
            <w:vAlign w:val="center"/>
          </w:tcPr>
          <w:p w14:paraId="2B9BF7C4">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7756" w:type="dxa"/>
            <w:gridSpan w:val="2"/>
            <w:vAlign w:val="center"/>
          </w:tcPr>
          <w:p w14:paraId="70103F1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758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10" w:hRule="atLeast"/>
        </w:trPr>
        <w:tc>
          <w:tcPr>
            <w:tcW w:w="655" w:type="dxa"/>
            <w:gridSpan w:val="2"/>
            <w:vMerge w:val="restart"/>
            <w:vAlign w:val="center"/>
          </w:tcPr>
          <w:p w14:paraId="15648774">
            <w:pPr>
              <w:spacing w:before="156" w:beforeLines="50" w:after="156" w:afterLines="50"/>
              <w:jc w:val="center"/>
              <w:rPr>
                <w:sz w:val="18"/>
                <w:szCs w:val="18"/>
              </w:rPr>
            </w:pPr>
            <w:r>
              <w:rPr>
                <w:rFonts w:hint="eastAsia"/>
                <w:sz w:val="18"/>
                <w:szCs w:val="18"/>
              </w:rPr>
              <w:t>73</w:t>
            </w:r>
          </w:p>
        </w:tc>
        <w:tc>
          <w:tcPr>
            <w:tcW w:w="1218" w:type="dxa"/>
            <w:gridSpan w:val="2"/>
            <w:vMerge w:val="restart"/>
            <w:vAlign w:val="center"/>
          </w:tcPr>
          <w:p w14:paraId="30B59B56">
            <w:pPr>
              <w:spacing w:before="156" w:beforeLines="50" w:after="156" w:afterLines="50"/>
              <w:rPr>
                <w:sz w:val="18"/>
                <w:szCs w:val="18"/>
              </w:rPr>
            </w:pPr>
            <w:r>
              <w:rPr>
                <w:rFonts w:hint="eastAsia"/>
                <w:sz w:val="18"/>
                <w:szCs w:val="18"/>
              </w:rPr>
              <w:t>未遵守值班规定擅自离开工作岗位</w:t>
            </w:r>
          </w:p>
        </w:tc>
        <w:tc>
          <w:tcPr>
            <w:tcW w:w="1117" w:type="dxa"/>
            <w:gridSpan w:val="2"/>
            <w:vMerge w:val="restart"/>
            <w:vAlign w:val="center"/>
          </w:tcPr>
          <w:p w14:paraId="610119C0">
            <w:pPr>
              <w:spacing w:before="156" w:beforeLines="50" w:after="156" w:afterLines="50"/>
              <w:rPr>
                <w:sz w:val="18"/>
                <w:szCs w:val="18"/>
              </w:rPr>
            </w:pPr>
            <w:r>
              <w:rPr>
                <w:rFonts w:hint="eastAsia"/>
                <w:sz w:val="18"/>
                <w:szCs w:val="18"/>
              </w:rPr>
              <w:t>《中华人民共和国船员条例》第十六条第（三）项</w:t>
            </w:r>
          </w:p>
        </w:tc>
        <w:tc>
          <w:tcPr>
            <w:tcW w:w="1283" w:type="dxa"/>
            <w:vMerge w:val="restart"/>
            <w:vAlign w:val="center"/>
          </w:tcPr>
          <w:p w14:paraId="188DBAE1">
            <w:pP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《中华人民共和国船员条例》第五十二条第（一）项；</w:t>
            </w:r>
          </w:p>
          <w:p w14:paraId="608EF843">
            <w:pPr>
              <w:spacing w:before="156" w:beforeLines="50" w:after="156" w:afterLines="50"/>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91" w:type="dxa"/>
            <w:gridSpan w:val="2"/>
            <w:vAlign w:val="center"/>
          </w:tcPr>
          <w:p w14:paraId="1DC3F94B">
            <w:pPr>
              <w:spacing w:before="156" w:beforeLines="50" w:after="156" w:afterLines="50"/>
              <w:jc w:val="center"/>
              <w:rPr>
                <w:rFonts w:ascii="宋体"/>
                <w:sz w:val="18"/>
                <w:szCs w:val="18"/>
              </w:rPr>
            </w:pPr>
            <w:r>
              <w:rPr>
                <w:rFonts w:hint="eastAsia"/>
                <w:sz w:val="18"/>
                <w:szCs w:val="18"/>
              </w:rPr>
              <w:t>从轻</w:t>
            </w:r>
          </w:p>
        </w:tc>
        <w:tc>
          <w:tcPr>
            <w:tcW w:w="2738" w:type="dxa"/>
            <w:gridSpan w:val="2"/>
            <w:vAlign w:val="center"/>
          </w:tcPr>
          <w:p w14:paraId="04E523AA">
            <w:pPr>
              <w:widowControl/>
              <w:spacing w:before="156" w:beforeLines="50" w:after="156" w:afterLines="50"/>
              <w:jc w:val="left"/>
              <w:rPr>
                <w:sz w:val="18"/>
                <w:szCs w:val="18"/>
              </w:rPr>
            </w:pPr>
            <w:r>
              <w:rPr>
                <w:rFonts w:hint="eastAsia"/>
                <w:sz w:val="18"/>
                <w:szCs w:val="18"/>
              </w:rPr>
              <w:t>具有法定从轻情节的。</w:t>
            </w:r>
          </w:p>
        </w:tc>
        <w:tc>
          <w:tcPr>
            <w:tcW w:w="2755" w:type="dxa"/>
            <w:gridSpan w:val="2"/>
            <w:vAlign w:val="center"/>
          </w:tcPr>
          <w:p w14:paraId="6802FE48">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2340" w:type="dxa"/>
            <w:vAlign w:val="center"/>
          </w:tcPr>
          <w:p w14:paraId="0630C2C8">
            <w:pPr>
              <w:spacing w:before="156" w:beforeLines="50" w:after="156" w:afterLines="50"/>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7756" w:type="dxa"/>
            <w:gridSpan w:val="2"/>
            <w:vAlign w:val="center"/>
          </w:tcPr>
          <w:p w14:paraId="01BA4CCE">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14:paraId="04AC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70" w:hRule="atLeast"/>
        </w:trPr>
        <w:tc>
          <w:tcPr>
            <w:tcW w:w="655" w:type="dxa"/>
            <w:gridSpan w:val="2"/>
            <w:vMerge w:val="continue"/>
          </w:tcPr>
          <w:p w14:paraId="61F79700">
            <w:pPr>
              <w:spacing w:before="156" w:beforeLines="50" w:after="156" w:afterLines="50"/>
              <w:jc w:val="left"/>
              <w:rPr>
                <w:sz w:val="18"/>
                <w:szCs w:val="18"/>
              </w:rPr>
            </w:pPr>
          </w:p>
        </w:tc>
        <w:tc>
          <w:tcPr>
            <w:tcW w:w="1218" w:type="dxa"/>
            <w:gridSpan w:val="2"/>
            <w:vMerge w:val="continue"/>
            <w:vAlign w:val="center"/>
          </w:tcPr>
          <w:p w14:paraId="7A8ACBBF">
            <w:pPr>
              <w:spacing w:before="156" w:beforeLines="50" w:after="156" w:afterLines="50"/>
              <w:jc w:val="left"/>
              <w:rPr>
                <w:sz w:val="18"/>
                <w:szCs w:val="18"/>
              </w:rPr>
            </w:pPr>
          </w:p>
        </w:tc>
        <w:tc>
          <w:tcPr>
            <w:tcW w:w="1117" w:type="dxa"/>
            <w:gridSpan w:val="2"/>
            <w:vMerge w:val="continue"/>
            <w:vAlign w:val="center"/>
          </w:tcPr>
          <w:p w14:paraId="19A8B1A3">
            <w:pPr>
              <w:spacing w:before="156" w:beforeLines="50" w:after="156" w:afterLines="50"/>
              <w:jc w:val="left"/>
              <w:rPr>
                <w:sz w:val="18"/>
                <w:szCs w:val="18"/>
              </w:rPr>
            </w:pPr>
          </w:p>
        </w:tc>
        <w:tc>
          <w:tcPr>
            <w:tcW w:w="1283" w:type="dxa"/>
            <w:vMerge w:val="continue"/>
            <w:vAlign w:val="center"/>
          </w:tcPr>
          <w:p w14:paraId="2CD7F6DB">
            <w:pPr>
              <w:spacing w:before="156" w:beforeLines="50" w:after="156" w:afterLines="50"/>
              <w:jc w:val="left"/>
              <w:rPr>
                <w:sz w:val="18"/>
                <w:szCs w:val="18"/>
              </w:rPr>
            </w:pPr>
          </w:p>
        </w:tc>
        <w:tc>
          <w:tcPr>
            <w:tcW w:w="991" w:type="dxa"/>
            <w:gridSpan w:val="2"/>
            <w:vMerge w:val="restart"/>
            <w:vAlign w:val="center"/>
          </w:tcPr>
          <w:p w14:paraId="7903A816">
            <w:pPr>
              <w:spacing w:before="156" w:beforeLines="50" w:after="156" w:afterLines="50"/>
              <w:jc w:val="center"/>
              <w:rPr>
                <w:sz w:val="18"/>
                <w:szCs w:val="18"/>
              </w:rPr>
            </w:pPr>
            <w:r>
              <w:rPr>
                <w:rFonts w:hint="eastAsia"/>
                <w:sz w:val="18"/>
                <w:szCs w:val="18"/>
              </w:rPr>
              <w:t>一般</w:t>
            </w:r>
          </w:p>
        </w:tc>
        <w:tc>
          <w:tcPr>
            <w:tcW w:w="2738" w:type="dxa"/>
            <w:gridSpan w:val="2"/>
            <w:vAlign w:val="center"/>
          </w:tcPr>
          <w:p w14:paraId="2C4F50E6">
            <w:pPr>
              <w:widowControl/>
              <w:spacing w:before="156" w:beforeLines="50" w:after="156" w:afterLines="50"/>
              <w:jc w:val="left"/>
              <w:rPr>
                <w:sz w:val="18"/>
                <w:szCs w:val="18"/>
              </w:rPr>
            </w:pPr>
            <w:r>
              <w:rPr>
                <w:rFonts w:hint="eastAsia"/>
                <w:sz w:val="18"/>
                <w:szCs w:val="18"/>
              </w:rPr>
              <w:t>未遵守值班规定擅自离开工作岗位的。</w:t>
            </w:r>
          </w:p>
        </w:tc>
        <w:tc>
          <w:tcPr>
            <w:tcW w:w="2755" w:type="dxa"/>
            <w:gridSpan w:val="2"/>
            <w:vAlign w:val="center"/>
          </w:tcPr>
          <w:p w14:paraId="7A8983D2">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元及以上30</w:t>
            </w:r>
            <w:r>
              <w:rPr>
                <w:sz w:val="18"/>
                <w:szCs w:val="18"/>
              </w:rPr>
              <w:t>00</w:t>
            </w:r>
            <w:r>
              <w:rPr>
                <w:rFonts w:hint="eastAsia"/>
                <w:sz w:val="18"/>
                <w:szCs w:val="18"/>
              </w:rPr>
              <w:t>元以下</w:t>
            </w:r>
          </w:p>
        </w:tc>
        <w:tc>
          <w:tcPr>
            <w:tcW w:w="2340" w:type="dxa"/>
            <w:vAlign w:val="center"/>
          </w:tcPr>
          <w:p w14:paraId="301E98F9">
            <w:pPr>
              <w:spacing w:before="156" w:beforeLines="50" w:after="156" w:afterLines="50"/>
              <w:rPr>
                <w:sz w:val="18"/>
                <w:szCs w:val="18"/>
              </w:rPr>
            </w:pPr>
            <w:r>
              <w:rPr>
                <w:rFonts w:hint="eastAsia"/>
                <w:sz w:val="18"/>
                <w:szCs w:val="18"/>
              </w:rPr>
              <w:t>20</w:t>
            </w:r>
            <w:r>
              <w:rPr>
                <w:sz w:val="18"/>
                <w:szCs w:val="18"/>
              </w:rPr>
              <w:t>00</w:t>
            </w:r>
            <w:r>
              <w:rPr>
                <w:rFonts w:hint="eastAsia"/>
                <w:sz w:val="18"/>
                <w:szCs w:val="18"/>
              </w:rPr>
              <w:t>元及以上40</w:t>
            </w:r>
            <w:r>
              <w:rPr>
                <w:sz w:val="18"/>
                <w:szCs w:val="18"/>
              </w:rPr>
              <w:t>00</w:t>
            </w:r>
            <w:r>
              <w:rPr>
                <w:rFonts w:hint="eastAsia"/>
                <w:sz w:val="18"/>
                <w:szCs w:val="18"/>
              </w:rPr>
              <w:t>元以下</w:t>
            </w:r>
          </w:p>
        </w:tc>
        <w:tc>
          <w:tcPr>
            <w:tcW w:w="7756" w:type="dxa"/>
            <w:gridSpan w:val="2"/>
            <w:vAlign w:val="center"/>
          </w:tcPr>
          <w:p w14:paraId="1147B357">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元及以上50</w:t>
            </w:r>
            <w:r>
              <w:rPr>
                <w:sz w:val="18"/>
                <w:szCs w:val="18"/>
              </w:rPr>
              <w:t>00</w:t>
            </w:r>
            <w:r>
              <w:rPr>
                <w:rFonts w:hint="eastAsia"/>
                <w:sz w:val="18"/>
                <w:szCs w:val="18"/>
              </w:rPr>
              <w:t>元以下</w:t>
            </w:r>
          </w:p>
        </w:tc>
      </w:tr>
      <w:tr w14:paraId="50A14012">
        <w:tblPrEx>
          <w:tblCellMar>
            <w:top w:w="0" w:type="dxa"/>
            <w:left w:w="108" w:type="dxa"/>
            <w:bottom w:w="0" w:type="dxa"/>
            <w:right w:w="108" w:type="dxa"/>
          </w:tblCellMar>
        </w:tblPrEx>
        <w:trPr>
          <w:gridAfter w:val="1"/>
          <w:wAfter w:w="17" w:type="dxa"/>
          <w:trHeight w:val="690" w:hRule="atLeast"/>
        </w:trPr>
        <w:tc>
          <w:tcPr>
            <w:tcW w:w="655" w:type="dxa"/>
            <w:gridSpan w:val="2"/>
            <w:vMerge w:val="continue"/>
          </w:tcPr>
          <w:p w14:paraId="5D80EF8C">
            <w:pPr>
              <w:spacing w:before="156" w:beforeLines="50" w:after="156" w:afterLines="50"/>
              <w:jc w:val="left"/>
              <w:rPr>
                <w:sz w:val="18"/>
                <w:szCs w:val="18"/>
              </w:rPr>
            </w:pPr>
          </w:p>
        </w:tc>
        <w:tc>
          <w:tcPr>
            <w:tcW w:w="1218" w:type="dxa"/>
            <w:gridSpan w:val="2"/>
            <w:vMerge w:val="continue"/>
            <w:vAlign w:val="center"/>
          </w:tcPr>
          <w:p w14:paraId="3A5E41F5">
            <w:pPr>
              <w:spacing w:before="156" w:beforeLines="50" w:after="156" w:afterLines="50"/>
              <w:jc w:val="left"/>
              <w:rPr>
                <w:sz w:val="18"/>
                <w:szCs w:val="18"/>
              </w:rPr>
            </w:pPr>
          </w:p>
        </w:tc>
        <w:tc>
          <w:tcPr>
            <w:tcW w:w="1117" w:type="dxa"/>
            <w:gridSpan w:val="2"/>
            <w:vMerge w:val="continue"/>
            <w:vAlign w:val="center"/>
          </w:tcPr>
          <w:p w14:paraId="7C6B7418">
            <w:pPr>
              <w:spacing w:before="156" w:beforeLines="50" w:after="156" w:afterLines="50"/>
              <w:jc w:val="left"/>
              <w:rPr>
                <w:sz w:val="18"/>
                <w:szCs w:val="18"/>
              </w:rPr>
            </w:pPr>
          </w:p>
        </w:tc>
        <w:tc>
          <w:tcPr>
            <w:tcW w:w="1283" w:type="dxa"/>
            <w:vMerge w:val="continue"/>
            <w:vAlign w:val="center"/>
          </w:tcPr>
          <w:p w14:paraId="056688F0">
            <w:pPr>
              <w:spacing w:before="156" w:beforeLines="50" w:after="156" w:afterLines="50"/>
              <w:jc w:val="left"/>
              <w:rPr>
                <w:sz w:val="18"/>
                <w:szCs w:val="18"/>
              </w:rPr>
            </w:pPr>
          </w:p>
        </w:tc>
        <w:tc>
          <w:tcPr>
            <w:tcW w:w="991" w:type="dxa"/>
            <w:gridSpan w:val="2"/>
            <w:vMerge w:val="continue"/>
            <w:vAlign w:val="center"/>
          </w:tcPr>
          <w:p w14:paraId="1A2AEDC7">
            <w:pPr>
              <w:spacing w:before="156" w:beforeLines="50" w:after="156" w:afterLines="50"/>
              <w:jc w:val="center"/>
              <w:rPr>
                <w:sz w:val="18"/>
                <w:szCs w:val="18"/>
              </w:rPr>
            </w:pPr>
          </w:p>
        </w:tc>
        <w:tc>
          <w:tcPr>
            <w:tcW w:w="2738" w:type="dxa"/>
            <w:gridSpan w:val="2"/>
            <w:vAlign w:val="center"/>
          </w:tcPr>
          <w:p w14:paraId="5173BE61">
            <w:pPr>
              <w:widowControl/>
              <w:spacing w:before="156" w:beforeLines="50" w:after="156" w:afterLines="50"/>
              <w:jc w:val="left"/>
              <w:rPr>
                <w:sz w:val="18"/>
                <w:szCs w:val="18"/>
              </w:rPr>
            </w:pPr>
            <w:r>
              <w:rPr>
                <w:rFonts w:hint="eastAsia"/>
                <w:sz w:val="18"/>
                <w:szCs w:val="18"/>
              </w:rPr>
              <w:t>未遵守值班规定擅自离开工作岗位，导致发生一般以下等级事故的。</w:t>
            </w:r>
          </w:p>
        </w:tc>
        <w:tc>
          <w:tcPr>
            <w:tcW w:w="2755" w:type="dxa"/>
            <w:gridSpan w:val="2"/>
            <w:vAlign w:val="center"/>
          </w:tcPr>
          <w:p w14:paraId="070DC547">
            <w:pPr>
              <w:spacing w:before="156" w:beforeLines="50" w:after="156" w:afterLines="50"/>
              <w:rPr>
                <w:sz w:val="18"/>
                <w:szCs w:val="18"/>
              </w:rPr>
            </w:pPr>
            <w:r>
              <w:rPr>
                <w:rFonts w:hint="eastAsia"/>
                <w:sz w:val="18"/>
                <w:szCs w:val="18"/>
              </w:rPr>
              <w:t>30</w:t>
            </w:r>
            <w:r>
              <w:rPr>
                <w:sz w:val="18"/>
                <w:szCs w:val="18"/>
              </w:rPr>
              <w:t>00</w:t>
            </w:r>
            <w:r>
              <w:rPr>
                <w:rFonts w:hint="eastAsia"/>
                <w:sz w:val="18"/>
                <w:szCs w:val="18"/>
              </w:rPr>
              <w:t>元及以上50</w:t>
            </w:r>
            <w:r>
              <w:rPr>
                <w:sz w:val="18"/>
                <w:szCs w:val="18"/>
              </w:rPr>
              <w:t>00</w:t>
            </w:r>
            <w:r>
              <w:rPr>
                <w:rFonts w:hint="eastAsia"/>
                <w:sz w:val="18"/>
                <w:szCs w:val="18"/>
              </w:rPr>
              <w:t>元以下</w:t>
            </w:r>
          </w:p>
        </w:tc>
        <w:tc>
          <w:tcPr>
            <w:tcW w:w="2340" w:type="dxa"/>
            <w:vAlign w:val="center"/>
          </w:tcPr>
          <w:p w14:paraId="605C47D7">
            <w:pPr>
              <w:spacing w:before="156" w:beforeLines="50" w:after="156" w:afterLines="50"/>
              <w:rPr>
                <w:sz w:val="18"/>
                <w:szCs w:val="18"/>
              </w:rPr>
            </w:pPr>
            <w:r>
              <w:rPr>
                <w:sz w:val="18"/>
                <w:szCs w:val="18"/>
              </w:rPr>
              <w:t>4</w:t>
            </w:r>
            <w:r>
              <w:rPr>
                <w:rFonts w:hint="eastAsia"/>
                <w:sz w:val="18"/>
                <w:szCs w:val="18"/>
              </w:rPr>
              <w:t>0</w:t>
            </w:r>
            <w:r>
              <w:rPr>
                <w:sz w:val="18"/>
                <w:szCs w:val="18"/>
              </w:rPr>
              <w:t>00</w:t>
            </w:r>
            <w:r>
              <w:rPr>
                <w:rFonts w:hint="eastAsia"/>
                <w:sz w:val="18"/>
                <w:szCs w:val="18"/>
              </w:rPr>
              <w:t>元及以上</w:t>
            </w:r>
            <w:r>
              <w:rPr>
                <w:sz w:val="18"/>
                <w:szCs w:val="18"/>
              </w:rPr>
              <w:t>6</w:t>
            </w:r>
            <w:r>
              <w:rPr>
                <w:rFonts w:hint="eastAsia"/>
                <w:sz w:val="18"/>
                <w:szCs w:val="18"/>
              </w:rPr>
              <w:t>0</w:t>
            </w:r>
            <w:r>
              <w:rPr>
                <w:sz w:val="18"/>
                <w:szCs w:val="18"/>
              </w:rPr>
              <w:t>00</w:t>
            </w:r>
            <w:r>
              <w:rPr>
                <w:rFonts w:hint="eastAsia"/>
                <w:sz w:val="18"/>
                <w:szCs w:val="18"/>
              </w:rPr>
              <w:t>元以下</w:t>
            </w:r>
          </w:p>
        </w:tc>
        <w:tc>
          <w:tcPr>
            <w:tcW w:w="7756" w:type="dxa"/>
            <w:gridSpan w:val="2"/>
            <w:vAlign w:val="center"/>
          </w:tcPr>
          <w:p w14:paraId="5C518DD1">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元及以上70</w:t>
            </w:r>
            <w:r>
              <w:rPr>
                <w:sz w:val="18"/>
                <w:szCs w:val="18"/>
              </w:rPr>
              <w:t>00</w:t>
            </w:r>
            <w:r>
              <w:rPr>
                <w:rFonts w:hint="eastAsia"/>
                <w:sz w:val="18"/>
                <w:szCs w:val="18"/>
              </w:rPr>
              <w:t>元以下</w:t>
            </w:r>
          </w:p>
        </w:tc>
      </w:tr>
      <w:tr w14:paraId="09E2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785" w:hRule="atLeast"/>
        </w:trPr>
        <w:tc>
          <w:tcPr>
            <w:tcW w:w="655" w:type="dxa"/>
            <w:gridSpan w:val="2"/>
            <w:vMerge w:val="continue"/>
          </w:tcPr>
          <w:p w14:paraId="1CBEA1C5">
            <w:pPr>
              <w:spacing w:before="156" w:beforeLines="50" w:after="156" w:afterLines="50"/>
              <w:jc w:val="left"/>
              <w:rPr>
                <w:sz w:val="18"/>
                <w:szCs w:val="18"/>
              </w:rPr>
            </w:pPr>
          </w:p>
        </w:tc>
        <w:tc>
          <w:tcPr>
            <w:tcW w:w="1218" w:type="dxa"/>
            <w:gridSpan w:val="2"/>
            <w:vMerge w:val="continue"/>
            <w:vAlign w:val="center"/>
          </w:tcPr>
          <w:p w14:paraId="3852FDEB">
            <w:pPr>
              <w:spacing w:before="156" w:beforeLines="50" w:after="156" w:afterLines="50"/>
              <w:jc w:val="left"/>
              <w:rPr>
                <w:sz w:val="18"/>
                <w:szCs w:val="18"/>
              </w:rPr>
            </w:pPr>
          </w:p>
        </w:tc>
        <w:tc>
          <w:tcPr>
            <w:tcW w:w="1117" w:type="dxa"/>
            <w:gridSpan w:val="2"/>
            <w:vMerge w:val="continue"/>
            <w:vAlign w:val="center"/>
          </w:tcPr>
          <w:p w14:paraId="16324645">
            <w:pPr>
              <w:spacing w:before="156" w:beforeLines="50" w:after="156" w:afterLines="50"/>
              <w:jc w:val="left"/>
              <w:rPr>
                <w:sz w:val="18"/>
                <w:szCs w:val="18"/>
              </w:rPr>
            </w:pPr>
          </w:p>
        </w:tc>
        <w:tc>
          <w:tcPr>
            <w:tcW w:w="1283" w:type="dxa"/>
            <w:vMerge w:val="continue"/>
            <w:vAlign w:val="center"/>
          </w:tcPr>
          <w:p w14:paraId="44CD3232">
            <w:pPr>
              <w:spacing w:before="156" w:beforeLines="50" w:after="156" w:afterLines="50"/>
              <w:jc w:val="left"/>
              <w:rPr>
                <w:sz w:val="18"/>
                <w:szCs w:val="18"/>
              </w:rPr>
            </w:pPr>
          </w:p>
        </w:tc>
        <w:tc>
          <w:tcPr>
            <w:tcW w:w="991" w:type="dxa"/>
            <w:gridSpan w:val="2"/>
            <w:vMerge w:val="restart"/>
            <w:vAlign w:val="center"/>
          </w:tcPr>
          <w:p w14:paraId="51608E5B">
            <w:pPr>
              <w:spacing w:before="156" w:beforeLines="50" w:after="156" w:afterLines="50"/>
              <w:jc w:val="center"/>
              <w:rPr>
                <w:sz w:val="18"/>
                <w:szCs w:val="18"/>
              </w:rPr>
            </w:pPr>
            <w:r>
              <w:rPr>
                <w:rFonts w:hint="eastAsia"/>
                <w:sz w:val="18"/>
                <w:szCs w:val="18"/>
              </w:rPr>
              <w:t>情节严重</w:t>
            </w:r>
          </w:p>
        </w:tc>
        <w:tc>
          <w:tcPr>
            <w:tcW w:w="2738" w:type="dxa"/>
            <w:gridSpan w:val="2"/>
            <w:vAlign w:val="center"/>
          </w:tcPr>
          <w:p w14:paraId="19C728C7">
            <w:pPr>
              <w:widowControl/>
              <w:spacing w:before="156" w:beforeLines="50" w:after="156" w:afterLines="50"/>
              <w:jc w:val="left"/>
              <w:rPr>
                <w:sz w:val="18"/>
                <w:szCs w:val="18"/>
              </w:rPr>
            </w:pPr>
            <w:r>
              <w:rPr>
                <w:rFonts w:hint="eastAsia"/>
                <w:sz w:val="18"/>
                <w:szCs w:val="18"/>
              </w:rPr>
              <w:t>未遵守值班规定擅自离开工作岗位，导致发生一般等级以上事故的。</w:t>
            </w:r>
          </w:p>
        </w:tc>
        <w:tc>
          <w:tcPr>
            <w:tcW w:w="2755" w:type="dxa"/>
            <w:gridSpan w:val="2"/>
            <w:vAlign w:val="center"/>
          </w:tcPr>
          <w:p w14:paraId="0FC5A416">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w:t>
            </w:r>
            <w:r>
              <w:rPr>
                <w:rFonts w:ascii="宋体"/>
                <w:kern w:val="0"/>
                <w:sz w:val="18"/>
                <w:szCs w:val="18"/>
              </w:rPr>
              <w:t>三十二</w:t>
            </w:r>
            <w:r>
              <w:rPr>
                <w:rFonts w:hint="eastAsia" w:ascii="宋体"/>
                <w:kern w:val="0"/>
                <w:sz w:val="18"/>
                <w:szCs w:val="18"/>
              </w:rPr>
              <w:t>实施。</w:t>
            </w:r>
          </w:p>
        </w:tc>
        <w:tc>
          <w:tcPr>
            <w:tcW w:w="2340" w:type="dxa"/>
            <w:vAlign w:val="center"/>
          </w:tcPr>
          <w:p w14:paraId="258A2A10">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w:t>
            </w:r>
            <w:bookmarkStart w:id="0" w:name="_GoBack"/>
            <w:bookmarkEnd w:id="0"/>
            <w:r>
              <w:rPr>
                <w:rFonts w:ascii="宋体"/>
                <w:kern w:val="0"/>
                <w:sz w:val="18"/>
                <w:szCs w:val="18"/>
              </w:rPr>
              <w:t>三十二条</w:t>
            </w:r>
            <w:r>
              <w:rPr>
                <w:rFonts w:hint="eastAsia" w:ascii="宋体"/>
                <w:kern w:val="0"/>
                <w:sz w:val="18"/>
                <w:szCs w:val="18"/>
              </w:rPr>
              <w:t>实施。</w:t>
            </w:r>
          </w:p>
        </w:tc>
        <w:tc>
          <w:tcPr>
            <w:tcW w:w="7756" w:type="dxa"/>
            <w:gridSpan w:val="2"/>
            <w:vAlign w:val="center"/>
          </w:tcPr>
          <w:p w14:paraId="2E9B1C7A">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26AA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050" w:hRule="atLeast"/>
        </w:trPr>
        <w:tc>
          <w:tcPr>
            <w:tcW w:w="655" w:type="dxa"/>
            <w:gridSpan w:val="2"/>
            <w:vMerge w:val="continue"/>
          </w:tcPr>
          <w:p w14:paraId="0602736D">
            <w:pPr>
              <w:spacing w:before="156" w:beforeLines="50" w:after="156" w:afterLines="50"/>
              <w:jc w:val="left"/>
              <w:rPr>
                <w:sz w:val="18"/>
                <w:szCs w:val="18"/>
              </w:rPr>
            </w:pPr>
          </w:p>
        </w:tc>
        <w:tc>
          <w:tcPr>
            <w:tcW w:w="1218" w:type="dxa"/>
            <w:gridSpan w:val="2"/>
            <w:vMerge w:val="continue"/>
            <w:vAlign w:val="center"/>
          </w:tcPr>
          <w:p w14:paraId="6D72689A">
            <w:pPr>
              <w:spacing w:before="156" w:beforeLines="50" w:after="156" w:afterLines="50"/>
              <w:jc w:val="left"/>
              <w:rPr>
                <w:sz w:val="18"/>
                <w:szCs w:val="18"/>
              </w:rPr>
            </w:pPr>
          </w:p>
        </w:tc>
        <w:tc>
          <w:tcPr>
            <w:tcW w:w="1117" w:type="dxa"/>
            <w:gridSpan w:val="2"/>
            <w:vMerge w:val="continue"/>
            <w:vAlign w:val="center"/>
          </w:tcPr>
          <w:p w14:paraId="636EE29E">
            <w:pPr>
              <w:spacing w:before="156" w:beforeLines="50" w:after="156" w:afterLines="50"/>
              <w:jc w:val="left"/>
              <w:rPr>
                <w:sz w:val="18"/>
                <w:szCs w:val="18"/>
              </w:rPr>
            </w:pPr>
          </w:p>
        </w:tc>
        <w:tc>
          <w:tcPr>
            <w:tcW w:w="1283" w:type="dxa"/>
            <w:vMerge w:val="continue"/>
            <w:vAlign w:val="center"/>
          </w:tcPr>
          <w:p w14:paraId="32305943">
            <w:pPr>
              <w:spacing w:before="156" w:beforeLines="50" w:after="156" w:afterLines="50"/>
              <w:jc w:val="left"/>
              <w:rPr>
                <w:sz w:val="18"/>
                <w:szCs w:val="18"/>
              </w:rPr>
            </w:pPr>
          </w:p>
        </w:tc>
        <w:tc>
          <w:tcPr>
            <w:tcW w:w="991" w:type="dxa"/>
            <w:gridSpan w:val="2"/>
            <w:vMerge w:val="continue"/>
            <w:vAlign w:val="center"/>
          </w:tcPr>
          <w:p w14:paraId="46D932C4">
            <w:pPr>
              <w:spacing w:before="156" w:beforeLines="50" w:after="156" w:afterLines="50"/>
              <w:jc w:val="center"/>
              <w:rPr>
                <w:sz w:val="18"/>
                <w:szCs w:val="18"/>
              </w:rPr>
            </w:pPr>
          </w:p>
        </w:tc>
        <w:tc>
          <w:tcPr>
            <w:tcW w:w="2738" w:type="dxa"/>
            <w:gridSpan w:val="2"/>
            <w:vAlign w:val="center"/>
          </w:tcPr>
          <w:p w14:paraId="0B759662">
            <w:pPr>
              <w:spacing w:before="156" w:beforeLines="50" w:after="156" w:afterLines="50"/>
              <w:jc w:val="left"/>
              <w:rPr>
                <w:sz w:val="18"/>
                <w:szCs w:val="18"/>
              </w:rPr>
            </w:pPr>
            <w:r>
              <w:rPr>
                <w:rFonts w:hint="eastAsia"/>
                <w:sz w:val="18"/>
                <w:szCs w:val="18"/>
              </w:rPr>
              <w:t>具有其他</w:t>
            </w:r>
            <w:r>
              <w:rPr>
                <w:rFonts w:hint="eastAsia" w:ascii="宋体"/>
                <w:kern w:val="0"/>
                <w:sz w:val="18"/>
                <w:szCs w:val="18"/>
              </w:rPr>
              <w:t>严重</w:t>
            </w:r>
            <w:r>
              <w:rPr>
                <w:rFonts w:hint="eastAsia"/>
                <w:sz w:val="18"/>
                <w:szCs w:val="18"/>
              </w:rPr>
              <w:t>情节的。</w:t>
            </w:r>
          </w:p>
        </w:tc>
        <w:tc>
          <w:tcPr>
            <w:tcW w:w="2755" w:type="dxa"/>
            <w:gridSpan w:val="2"/>
            <w:vAlign w:val="center"/>
          </w:tcPr>
          <w:p w14:paraId="2969ECC5">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2340" w:type="dxa"/>
            <w:vAlign w:val="center"/>
          </w:tcPr>
          <w:p w14:paraId="1732366F">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7756" w:type="dxa"/>
            <w:gridSpan w:val="2"/>
            <w:vAlign w:val="center"/>
          </w:tcPr>
          <w:p w14:paraId="593771F4">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r>
      <w:tr w14:paraId="6ECF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36"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1EBD54">
            <w:pPr>
              <w:spacing w:before="156" w:beforeLines="50" w:after="156" w:afterLines="50" w:line="240" w:lineRule="exact"/>
              <w:jc w:val="center"/>
              <w:rPr>
                <w:b/>
                <w:sz w:val="18"/>
                <w:szCs w:val="18"/>
              </w:rPr>
            </w:pPr>
            <w:r>
              <w:rPr>
                <w:rFonts w:hint="eastAsia"/>
                <w:b/>
                <w:sz w:val="18"/>
                <w:szCs w:val="18"/>
              </w:rPr>
              <w:t>序号</w:t>
            </w:r>
          </w:p>
        </w:tc>
        <w:tc>
          <w:tcPr>
            <w:tcW w:w="17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8501EDB">
            <w:pPr>
              <w:spacing w:before="156" w:beforeLines="50" w:after="156" w:afterLines="50" w:line="240" w:lineRule="exact"/>
              <w:jc w:val="center"/>
              <w:rPr>
                <w:b/>
                <w:sz w:val="18"/>
                <w:szCs w:val="18"/>
              </w:rPr>
            </w:pPr>
            <w:r>
              <w:rPr>
                <w:rFonts w:hint="eastAsia"/>
                <w:b/>
                <w:sz w:val="18"/>
                <w:szCs w:val="18"/>
              </w:rPr>
              <w:t>案由</w:t>
            </w:r>
          </w:p>
        </w:tc>
        <w:tc>
          <w:tcPr>
            <w:tcW w:w="4932" w:type="dxa"/>
            <w:gridSpan w:val="5"/>
            <w:vMerge w:val="restart"/>
            <w:tcBorders>
              <w:top w:val="single" w:color="000000" w:sz="4" w:space="0"/>
              <w:left w:val="single" w:color="000000" w:sz="4" w:space="0"/>
              <w:bottom w:val="single" w:color="000000" w:sz="4" w:space="0"/>
              <w:right w:val="single" w:color="000000" w:sz="4" w:space="0"/>
            </w:tcBorders>
            <w:vAlign w:val="center"/>
          </w:tcPr>
          <w:p w14:paraId="702F77CC">
            <w:pPr>
              <w:spacing w:before="156" w:beforeLines="50" w:after="156" w:afterLines="50" w:line="240" w:lineRule="exact"/>
              <w:jc w:val="center"/>
              <w:rPr>
                <w:b/>
                <w:sz w:val="18"/>
                <w:szCs w:val="18"/>
              </w:rPr>
            </w:pPr>
            <w:r>
              <w:rPr>
                <w:rFonts w:hint="eastAsia"/>
                <w:b/>
                <w:sz w:val="18"/>
                <w:szCs w:val="18"/>
              </w:rPr>
              <w:t>法律依据</w:t>
            </w:r>
          </w:p>
        </w:tc>
        <w:tc>
          <w:tcPr>
            <w:tcW w:w="8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E0549B3">
            <w:pPr>
              <w:spacing w:before="156" w:beforeLines="50" w:after="156" w:afterLines="50" w:line="240" w:lineRule="exact"/>
              <w:jc w:val="center"/>
              <w:rPr>
                <w:b/>
                <w:sz w:val="18"/>
                <w:szCs w:val="18"/>
              </w:rPr>
            </w:pPr>
            <w:r>
              <w:rPr>
                <w:rFonts w:hint="eastAsia"/>
                <w:b/>
                <w:sz w:val="18"/>
                <w:szCs w:val="18"/>
              </w:rPr>
              <w:t>违法情节</w:t>
            </w:r>
          </w:p>
        </w:tc>
        <w:tc>
          <w:tcPr>
            <w:tcW w:w="465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A5B5EC2">
            <w:pPr>
              <w:spacing w:before="156" w:beforeLines="50" w:after="156" w:afterLines="50" w:line="240" w:lineRule="exact"/>
              <w:jc w:val="center"/>
              <w:rPr>
                <w:b/>
                <w:sz w:val="18"/>
                <w:szCs w:val="18"/>
              </w:rPr>
            </w:pPr>
            <w:r>
              <w:rPr>
                <w:rFonts w:hint="eastAsia"/>
                <w:b/>
                <w:sz w:val="18"/>
                <w:szCs w:val="18"/>
              </w:rPr>
              <w:t>主要考虑因素（事实、性质、情节、危害程度和实际后果等）</w:t>
            </w:r>
          </w:p>
        </w:tc>
        <w:tc>
          <w:tcPr>
            <w:tcW w:w="7759" w:type="dxa"/>
            <w:gridSpan w:val="2"/>
            <w:tcBorders>
              <w:top w:val="single" w:color="000000" w:sz="4" w:space="0"/>
              <w:left w:val="single" w:color="000000" w:sz="4" w:space="0"/>
              <w:bottom w:val="single" w:color="auto" w:sz="4" w:space="0"/>
              <w:right w:val="single" w:color="auto" w:sz="4" w:space="0"/>
            </w:tcBorders>
            <w:vAlign w:val="center"/>
          </w:tcPr>
          <w:p w14:paraId="0593ACB2">
            <w:pPr>
              <w:spacing w:before="156" w:beforeLines="50" w:after="156" w:afterLines="50" w:line="240" w:lineRule="exact"/>
              <w:jc w:val="center"/>
              <w:rPr>
                <w:b/>
                <w:sz w:val="18"/>
                <w:szCs w:val="18"/>
              </w:rPr>
            </w:pPr>
            <w:r>
              <w:rPr>
                <w:rFonts w:hint="eastAsia"/>
                <w:b/>
                <w:sz w:val="18"/>
                <w:szCs w:val="18"/>
              </w:rPr>
              <w:t>【法定幅度和种类】责令改正，处以</w:t>
            </w:r>
            <w:r>
              <w:rPr>
                <w:b/>
                <w:sz w:val="18"/>
                <w:szCs w:val="18"/>
              </w:rPr>
              <w:t>3</w:t>
            </w:r>
            <w:r>
              <w:rPr>
                <w:rFonts w:hint="eastAsia"/>
                <w:b/>
                <w:sz w:val="18"/>
                <w:szCs w:val="18"/>
              </w:rPr>
              <w:t>万元以上</w:t>
            </w:r>
            <w:r>
              <w:rPr>
                <w:b/>
                <w:sz w:val="18"/>
                <w:szCs w:val="18"/>
              </w:rPr>
              <w:t>15</w:t>
            </w:r>
            <w:r>
              <w:rPr>
                <w:rFonts w:hint="eastAsia"/>
                <w:b/>
                <w:sz w:val="18"/>
                <w:szCs w:val="18"/>
              </w:rPr>
              <w:t>万元以下罚款。</w:t>
            </w:r>
          </w:p>
        </w:tc>
      </w:tr>
      <w:tr w14:paraId="053B8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208"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383520">
            <w:pPr>
              <w:spacing w:before="156" w:beforeLines="50" w:after="156" w:afterLines="50" w:line="240" w:lineRule="exact"/>
              <w:jc w:val="left"/>
              <w:rPr>
                <w:b/>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D37F4B5">
            <w:pPr>
              <w:spacing w:before="156" w:beforeLines="50" w:after="156" w:afterLines="50" w:line="240" w:lineRule="exact"/>
              <w:jc w:val="left"/>
              <w:rPr>
                <w:b/>
                <w:sz w:val="18"/>
                <w:szCs w:val="18"/>
              </w:rPr>
            </w:pPr>
          </w:p>
        </w:tc>
        <w:tc>
          <w:tcPr>
            <w:tcW w:w="4932"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2DF581A7">
            <w:pPr>
              <w:spacing w:before="156" w:beforeLines="50" w:after="156" w:afterLines="50" w:line="240" w:lineRule="exact"/>
              <w:jc w:val="left"/>
              <w:rPr>
                <w:b/>
                <w:sz w:val="18"/>
                <w:szCs w:val="18"/>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E0539A">
            <w:pPr>
              <w:spacing w:before="156" w:beforeLines="50" w:after="156" w:afterLines="50" w:line="240" w:lineRule="exact"/>
              <w:jc w:val="center"/>
              <w:rPr>
                <w:b/>
                <w:sz w:val="18"/>
                <w:szCs w:val="18"/>
              </w:rPr>
            </w:pPr>
          </w:p>
        </w:tc>
        <w:tc>
          <w:tcPr>
            <w:tcW w:w="46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1F82AB">
            <w:pPr>
              <w:spacing w:before="156" w:beforeLines="50" w:after="156" w:afterLines="50" w:line="240" w:lineRule="exact"/>
              <w:jc w:val="center"/>
              <w:rPr>
                <w:b/>
                <w:sz w:val="18"/>
                <w:szCs w:val="18"/>
              </w:rPr>
            </w:pPr>
          </w:p>
        </w:tc>
        <w:tc>
          <w:tcPr>
            <w:tcW w:w="7759" w:type="dxa"/>
            <w:gridSpan w:val="2"/>
            <w:tcBorders>
              <w:top w:val="single" w:color="auto" w:sz="4" w:space="0"/>
              <w:left w:val="single" w:color="000000" w:sz="4" w:space="0"/>
              <w:bottom w:val="single" w:color="auto" w:sz="4" w:space="0"/>
              <w:right w:val="single" w:color="auto" w:sz="4" w:space="0"/>
            </w:tcBorders>
            <w:vAlign w:val="center"/>
          </w:tcPr>
          <w:p w14:paraId="0167E61B">
            <w:pPr>
              <w:spacing w:before="156" w:beforeLines="50" w:after="156" w:afterLines="50" w:line="240" w:lineRule="exact"/>
              <w:jc w:val="center"/>
              <w:rPr>
                <w:sz w:val="18"/>
                <w:szCs w:val="18"/>
              </w:rPr>
            </w:pPr>
            <w:r>
              <w:rPr>
                <w:rFonts w:hint="eastAsia"/>
                <w:b/>
                <w:sz w:val="18"/>
                <w:szCs w:val="18"/>
              </w:rPr>
              <w:t>处罚基准</w:t>
            </w:r>
          </w:p>
        </w:tc>
      </w:tr>
      <w:tr w14:paraId="6B6D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C21706A">
            <w:pPr>
              <w:spacing w:before="156" w:beforeLines="50" w:after="156" w:afterLines="50" w:line="240" w:lineRule="exact"/>
              <w:jc w:val="left"/>
              <w:rPr>
                <w:b/>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5E08D7">
            <w:pPr>
              <w:spacing w:before="156" w:beforeLines="50" w:after="156" w:afterLines="50" w:line="240" w:lineRule="exact"/>
              <w:jc w:val="left"/>
              <w:rPr>
                <w:b/>
                <w:sz w:val="18"/>
                <w:szCs w:val="18"/>
              </w:rPr>
            </w:pPr>
          </w:p>
        </w:tc>
        <w:tc>
          <w:tcPr>
            <w:tcW w:w="2175" w:type="dxa"/>
            <w:gridSpan w:val="3"/>
            <w:tcBorders>
              <w:top w:val="single" w:color="000000" w:sz="4" w:space="0"/>
              <w:left w:val="single" w:color="000000" w:sz="4" w:space="0"/>
              <w:bottom w:val="single" w:color="000000" w:sz="4" w:space="0"/>
              <w:right w:val="single" w:color="000000" w:sz="4" w:space="0"/>
            </w:tcBorders>
            <w:vAlign w:val="center"/>
          </w:tcPr>
          <w:p w14:paraId="61AE8921">
            <w:pPr>
              <w:spacing w:before="156" w:beforeLines="50" w:after="156" w:afterLines="50" w:line="240" w:lineRule="exact"/>
              <w:jc w:val="center"/>
              <w:rPr>
                <w:b/>
                <w:sz w:val="18"/>
                <w:szCs w:val="18"/>
              </w:rPr>
            </w:pPr>
            <w:r>
              <w:rPr>
                <w:rFonts w:hint="eastAsia"/>
                <w:b/>
                <w:sz w:val="18"/>
                <w:szCs w:val="18"/>
              </w:rPr>
              <w:t>违反条款</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14:paraId="7AC3838E">
            <w:pPr>
              <w:spacing w:before="156" w:beforeLines="50" w:after="156" w:afterLines="50" w:line="240" w:lineRule="exact"/>
              <w:jc w:val="center"/>
              <w:rPr>
                <w:b/>
                <w:sz w:val="18"/>
                <w:szCs w:val="18"/>
              </w:rPr>
            </w:pPr>
            <w:r>
              <w:rPr>
                <w:rFonts w:hint="eastAsia"/>
                <w:b/>
                <w:sz w:val="18"/>
                <w:szCs w:val="18"/>
              </w:rPr>
              <w:t>处罚依据</w:t>
            </w:r>
          </w:p>
        </w:tc>
        <w:tc>
          <w:tcPr>
            <w:tcW w:w="8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D6AF28">
            <w:pPr>
              <w:spacing w:before="156" w:beforeLines="50" w:after="156" w:afterLines="50" w:line="240" w:lineRule="exact"/>
              <w:jc w:val="center"/>
              <w:rPr>
                <w:b/>
                <w:sz w:val="18"/>
                <w:szCs w:val="18"/>
              </w:rPr>
            </w:pPr>
          </w:p>
        </w:tc>
        <w:tc>
          <w:tcPr>
            <w:tcW w:w="46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B23DB1A">
            <w:pPr>
              <w:spacing w:before="156" w:beforeLines="50" w:after="156" w:afterLines="50" w:line="240" w:lineRule="exact"/>
              <w:jc w:val="center"/>
              <w:rPr>
                <w:b/>
                <w:sz w:val="18"/>
                <w:szCs w:val="18"/>
              </w:rPr>
            </w:pPr>
          </w:p>
        </w:tc>
        <w:tc>
          <w:tcPr>
            <w:tcW w:w="7759" w:type="dxa"/>
            <w:gridSpan w:val="2"/>
            <w:tcBorders>
              <w:top w:val="single" w:color="auto" w:sz="4" w:space="0"/>
              <w:left w:val="single" w:color="000000" w:sz="4" w:space="0"/>
              <w:bottom w:val="single" w:color="000000" w:sz="4" w:space="0"/>
              <w:right w:val="single" w:color="auto" w:sz="4" w:space="0"/>
            </w:tcBorders>
            <w:vAlign w:val="center"/>
          </w:tcPr>
          <w:p w14:paraId="2A7A769F">
            <w:pPr>
              <w:spacing w:before="156" w:beforeLines="50" w:after="156" w:afterLines="50" w:line="240" w:lineRule="exact"/>
              <w:jc w:val="center"/>
              <w:rPr>
                <w:b/>
                <w:sz w:val="18"/>
                <w:szCs w:val="18"/>
              </w:rPr>
            </w:pPr>
            <w:r>
              <w:rPr>
                <w:rFonts w:hint="eastAsia"/>
                <w:b/>
                <w:sz w:val="18"/>
                <w:szCs w:val="18"/>
              </w:rPr>
              <w:t>【对象】船员用人单位、船舶所有人</w:t>
            </w:r>
          </w:p>
        </w:tc>
      </w:tr>
      <w:tr w14:paraId="7552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58117A8">
            <w:pPr>
              <w:spacing w:before="156" w:beforeLines="50" w:after="156" w:afterLines="50" w:line="240" w:lineRule="exact"/>
              <w:jc w:val="center"/>
              <w:rPr>
                <w:sz w:val="18"/>
                <w:szCs w:val="18"/>
              </w:rPr>
            </w:pPr>
            <w:r>
              <w:rPr>
                <w:rFonts w:hint="eastAsia"/>
                <w:sz w:val="18"/>
                <w:szCs w:val="18"/>
              </w:rPr>
              <w:t>74</w:t>
            </w:r>
          </w:p>
        </w:tc>
        <w:tc>
          <w:tcPr>
            <w:tcW w:w="17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3219C7">
            <w:pPr>
              <w:spacing w:before="156" w:beforeLines="50" w:after="156" w:afterLines="50"/>
              <w:rPr>
                <w:rFonts w:ascii="宋体"/>
                <w:kern w:val="0"/>
                <w:sz w:val="18"/>
                <w:szCs w:val="18"/>
              </w:rPr>
            </w:pPr>
            <w:r>
              <w:rPr>
                <w:rFonts w:ascii="宋体"/>
                <w:kern w:val="0"/>
                <w:sz w:val="18"/>
                <w:szCs w:val="18"/>
              </w:rPr>
              <w:t>招用未依照</w:t>
            </w:r>
            <w:r>
              <w:rPr>
                <w:rFonts w:hint="eastAsia" w:ascii="宋体"/>
                <w:kern w:val="0"/>
                <w:sz w:val="18"/>
                <w:szCs w:val="18"/>
              </w:rPr>
              <w:t>《中华人民共和国船员条例》</w:t>
            </w:r>
            <w:r>
              <w:rPr>
                <w:rFonts w:ascii="宋体"/>
                <w:kern w:val="0"/>
                <w:sz w:val="18"/>
                <w:szCs w:val="18"/>
              </w:rPr>
              <w:t>规定取得相应有效证件的人员上船工作</w:t>
            </w:r>
          </w:p>
        </w:tc>
        <w:tc>
          <w:tcPr>
            <w:tcW w:w="217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5665AD4">
            <w:pPr>
              <w:pStyle w:val="13"/>
              <w:spacing w:before="156" w:beforeLines="50" w:after="156" w:afterLines="50"/>
              <w:rPr>
                <w:rFonts w:ascii="宋体"/>
                <w:sz w:val="18"/>
                <w:szCs w:val="18"/>
              </w:rPr>
            </w:pPr>
            <w:r>
              <w:rPr>
                <w:rFonts w:hint="eastAsia" w:ascii="宋体"/>
                <w:sz w:val="18"/>
                <w:szCs w:val="18"/>
              </w:rPr>
              <w:t>《中华人民共和国船员条例》第二十三条第二款</w:t>
            </w:r>
          </w:p>
        </w:tc>
        <w:tc>
          <w:tcPr>
            <w:tcW w:w="275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2ABD77">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《中华人民共和国船员条例》第五十五条第（一）项；</w:t>
            </w:r>
          </w:p>
          <w:p w14:paraId="1EE584B4">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816" w:type="dxa"/>
            <w:gridSpan w:val="2"/>
            <w:tcBorders>
              <w:top w:val="single" w:color="000000" w:sz="4" w:space="0"/>
              <w:left w:val="single" w:color="000000" w:sz="4" w:space="0"/>
              <w:bottom w:val="single" w:color="000000" w:sz="4" w:space="0"/>
              <w:right w:val="single" w:color="000000" w:sz="4" w:space="0"/>
            </w:tcBorders>
            <w:vAlign w:val="center"/>
          </w:tcPr>
          <w:p w14:paraId="6AD8C619">
            <w:pPr>
              <w:pStyle w:val="13"/>
              <w:spacing w:before="156" w:beforeLines="50" w:after="156" w:afterLines="50"/>
              <w:rPr>
                <w:rFonts w:ascii="宋体"/>
                <w:sz w:val="18"/>
                <w:szCs w:val="18"/>
              </w:rPr>
            </w:pPr>
            <w:r>
              <w:rPr>
                <w:rFonts w:hint="eastAsia" w:ascii="宋体"/>
                <w:sz w:val="18"/>
                <w:szCs w:val="18"/>
              </w:rPr>
              <w:t>从轻</w:t>
            </w:r>
          </w:p>
        </w:tc>
        <w:tc>
          <w:tcPr>
            <w:tcW w:w="4655" w:type="dxa"/>
            <w:gridSpan w:val="3"/>
            <w:tcBorders>
              <w:top w:val="single" w:color="000000" w:sz="4" w:space="0"/>
              <w:left w:val="single" w:color="000000" w:sz="4" w:space="0"/>
              <w:bottom w:val="single" w:color="000000" w:sz="4" w:space="0"/>
              <w:right w:val="single" w:color="000000" w:sz="4" w:space="0"/>
            </w:tcBorders>
            <w:vAlign w:val="center"/>
          </w:tcPr>
          <w:p w14:paraId="76D0FF0D">
            <w:pPr>
              <w:pStyle w:val="13"/>
              <w:spacing w:before="156" w:beforeLines="50" w:after="156" w:afterLines="50"/>
              <w:rPr>
                <w:rFonts w:ascii="宋体"/>
                <w:sz w:val="18"/>
                <w:szCs w:val="18"/>
              </w:rPr>
            </w:pPr>
            <w:r>
              <w:rPr>
                <w:rFonts w:hint="eastAsia" w:ascii="宋体"/>
                <w:sz w:val="18"/>
                <w:szCs w:val="18"/>
              </w:rPr>
              <w:t>具有法定从轻情节的。</w:t>
            </w:r>
          </w:p>
        </w:tc>
        <w:tc>
          <w:tcPr>
            <w:tcW w:w="7759" w:type="dxa"/>
            <w:gridSpan w:val="2"/>
            <w:tcBorders>
              <w:top w:val="single" w:color="000000" w:sz="4" w:space="0"/>
              <w:left w:val="single" w:color="000000" w:sz="4" w:space="0"/>
              <w:bottom w:val="single" w:color="auto" w:sz="4" w:space="0"/>
              <w:right w:val="single" w:color="auto" w:sz="4" w:space="0"/>
            </w:tcBorders>
            <w:vAlign w:val="center"/>
          </w:tcPr>
          <w:p w14:paraId="709F0BE7">
            <w:pPr>
              <w:pStyle w:val="13"/>
              <w:spacing w:before="156" w:beforeLines="50" w:after="156" w:afterLines="50"/>
              <w:rPr>
                <w:rFonts w:ascii="宋体"/>
                <w:sz w:val="18"/>
                <w:szCs w:val="18"/>
              </w:rPr>
            </w:pPr>
            <w:r>
              <w:rPr>
                <w:rFonts w:ascii="宋体"/>
                <w:sz w:val="18"/>
                <w:szCs w:val="18"/>
              </w:rPr>
              <w:t>3</w:t>
            </w:r>
            <w:r>
              <w:rPr>
                <w:rFonts w:hint="eastAsia" w:ascii="宋体"/>
                <w:sz w:val="18"/>
                <w:szCs w:val="18"/>
              </w:rPr>
              <w:t>万元及以上4万元以下</w:t>
            </w:r>
          </w:p>
        </w:tc>
      </w:tr>
      <w:tr w14:paraId="19E82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4F60402">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130785">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6552717">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9B8610">
            <w:pPr>
              <w:spacing w:before="156" w:beforeLines="50" w:after="156" w:afterLines="50"/>
              <w:rPr>
                <w:rFonts w:ascii="宋体"/>
                <w:kern w:val="0"/>
                <w:sz w:val="18"/>
                <w:szCs w:val="18"/>
              </w:rPr>
            </w:pPr>
          </w:p>
        </w:tc>
        <w:tc>
          <w:tcPr>
            <w:tcW w:w="816" w:type="dxa"/>
            <w:gridSpan w:val="2"/>
            <w:vMerge w:val="restart"/>
            <w:tcBorders>
              <w:top w:val="single" w:color="000000" w:sz="4" w:space="0"/>
              <w:left w:val="single" w:color="000000" w:sz="4" w:space="0"/>
              <w:right w:val="single" w:color="000000" w:sz="4" w:space="0"/>
            </w:tcBorders>
            <w:vAlign w:val="center"/>
          </w:tcPr>
          <w:p w14:paraId="21BA461C">
            <w:pPr>
              <w:spacing w:before="156" w:beforeLines="50" w:after="156" w:afterLines="50"/>
              <w:rPr>
                <w:rFonts w:ascii="宋体"/>
                <w:kern w:val="0"/>
                <w:sz w:val="18"/>
                <w:szCs w:val="18"/>
              </w:rPr>
            </w:pPr>
            <w:r>
              <w:rPr>
                <w:rFonts w:hint="eastAsia" w:ascii="宋体"/>
                <w:kern w:val="0"/>
                <w:sz w:val="18"/>
                <w:szCs w:val="18"/>
              </w:rPr>
              <w:t>一般</w:t>
            </w:r>
          </w:p>
        </w:tc>
        <w:tc>
          <w:tcPr>
            <w:tcW w:w="4655" w:type="dxa"/>
            <w:gridSpan w:val="3"/>
            <w:tcBorders>
              <w:top w:val="single" w:color="auto" w:sz="4" w:space="0"/>
              <w:left w:val="single" w:color="000000" w:sz="4" w:space="0"/>
              <w:bottom w:val="single" w:color="auto" w:sz="4" w:space="0"/>
              <w:right w:val="single" w:color="000000" w:sz="4" w:space="0"/>
            </w:tcBorders>
            <w:vAlign w:val="center"/>
          </w:tcPr>
          <w:p w14:paraId="5B72C850">
            <w:pPr>
              <w:spacing w:before="156" w:beforeLines="50" w:after="156" w:afterLines="50"/>
              <w:rPr>
                <w:rFonts w:ascii="宋体"/>
                <w:kern w:val="0"/>
                <w:sz w:val="18"/>
                <w:szCs w:val="18"/>
              </w:rPr>
            </w:pPr>
            <w:r>
              <w:rPr>
                <w:rFonts w:hint="eastAsia" w:ascii="宋体"/>
                <w:kern w:val="0"/>
                <w:sz w:val="18"/>
                <w:szCs w:val="18"/>
              </w:rPr>
              <w:t>招用未取得相应有效证件的人员数量少于在船人员数量一半，未造成事故的。</w:t>
            </w:r>
          </w:p>
        </w:tc>
        <w:tc>
          <w:tcPr>
            <w:tcW w:w="7759" w:type="dxa"/>
            <w:gridSpan w:val="2"/>
            <w:tcBorders>
              <w:top w:val="single" w:color="000000" w:sz="4" w:space="0"/>
              <w:left w:val="single" w:color="000000" w:sz="4" w:space="0"/>
              <w:bottom w:val="single" w:color="000000" w:sz="4" w:space="0"/>
              <w:right w:val="single" w:color="auto" w:sz="4" w:space="0"/>
            </w:tcBorders>
            <w:vAlign w:val="center"/>
          </w:tcPr>
          <w:p w14:paraId="31FD6B5D">
            <w:pPr>
              <w:spacing w:before="156" w:beforeLines="50" w:after="156" w:afterLines="50"/>
              <w:rPr>
                <w:rFonts w:ascii="宋体"/>
                <w:kern w:val="0"/>
                <w:sz w:val="18"/>
                <w:szCs w:val="18"/>
              </w:rPr>
            </w:pPr>
            <w:r>
              <w:rPr>
                <w:rFonts w:ascii="宋体"/>
                <w:kern w:val="0"/>
                <w:sz w:val="18"/>
                <w:szCs w:val="18"/>
              </w:rPr>
              <w:t>4</w:t>
            </w:r>
            <w:r>
              <w:rPr>
                <w:rFonts w:hint="eastAsia" w:ascii="宋体"/>
                <w:kern w:val="0"/>
                <w:sz w:val="18"/>
                <w:szCs w:val="18"/>
              </w:rPr>
              <w:t>万元及以上6万元以下</w:t>
            </w:r>
          </w:p>
        </w:tc>
      </w:tr>
      <w:tr w14:paraId="5B62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03"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3DF7BB">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FF50BD">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1620D70">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50AD472">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14:paraId="79EA9FBB">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000000" w:sz="4" w:space="0"/>
              <w:right w:val="single" w:color="000000" w:sz="4" w:space="0"/>
            </w:tcBorders>
            <w:vAlign w:val="center"/>
          </w:tcPr>
          <w:p w14:paraId="151185EA">
            <w:pPr>
              <w:spacing w:before="156" w:beforeLines="50" w:after="156" w:afterLines="50"/>
              <w:rPr>
                <w:rFonts w:ascii="宋体"/>
                <w:kern w:val="0"/>
                <w:sz w:val="18"/>
                <w:szCs w:val="18"/>
              </w:rPr>
            </w:pPr>
            <w:r>
              <w:rPr>
                <w:rFonts w:hint="eastAsia" w:ascii="宋体"/>
                <w:kern w:val="0"/>
                <w:sz w:val="18"/>
                <w:szCs w:val="18"/>
              </w:rPr>
              <w:t>招用未取得相应有效证件的人员数量大于或等于在船人员数量一半，且少于在船人员数量的三分之二，未造成事故的。</w:t>
            </w:r>
          </w:p>
        </w:tc>
        <w:tc>
          <w:tcPr>
            <w:tcW w:w="7759" w:type="dxa"/>
            <w:gridSpan w:val="2"/>
            <w:tcBorders>
              <w:top w:val="single" w:color="auto" w:sz="4" w:space="0"/>
              <w:left w:val="single" w:color="000000" w:sz="4" w:space="0"/>
              <w:bottom w:val="single" w:color="000000" w:sz="4" w:space="0"/>
              <w:right w:val="single" w:color="auto" w:sz="4" w:space="0"/>
            </w:tcBorders>
            <w:vAlign w:val="center"/>
          </w:tcPr>
          <w:p w14:paraId="00AA316D">
            <w:pPr>
              <w:spacing w:before="156" w:beforeLines="50" w:after="156" w:afterLines="50"/>
              <w:rPr>
                <w:rFonts w:ascii="宋体"/>
                <w:kern w:val="0"/>
                <w:sz w:val="18"/>
                <w:szCs w:val="18"/>
              </w:rPr>
            </w:pPr>
            <w:r>
              <w:rPr>
                <w:rFonts w:ascii="宋体"/>
                <w:kern w:val="0"/>
                <w:sz w:val="18"/>
                <w:szCs w:val="18"/>
              </w:rPr>
              <w:t>6</w:t>
            </w:r>
            <w:r>
              <w:rPr>
                <w:rFonts w:hint="eastAsia" w:ascii="宋体"/>
                <w:kern w:val="0"/>
                <w:sz w:val="18"/>
                <w:szCs w:val="18"/>
              </w:rPr>
              <w:t>万元及以上8万元以下</w:t>
            </w:r>
          </w:p>
        </w:tc>
      </w:tr>
      <w:tr w14:paraId="0844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24"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E0588D">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2AE668">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3C3F0D1">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72257F">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14:paraId="259D7A9C">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auto" w:sz="4" w:space="0"/>
              <w:right w:val="single" w:color="auto" w:sz="4" w:space="0"/>
            </w:tcBorders>
            <w:vAlign w:val="center"/>
          </w:tcPr>
          <w:p w14:paraId="2C99A933">
            <w:pPr>
              <w:spacing w:before="156" w:beforeLines="50" w:after="156" w:afterLines="50"/>
              <w:rPr>
                <w:rFonts w:ascii="宋体"/>
                <w:kern w:val="0"/>
                <w:sz w:val="18"/>
                <w:szCs w:val="18"/>
              </w:rPr>
            </w:pPr>
            <w:r>
              <w:rPr>
                <w:rFonts w:hint="eastAsia" w:ascii="宋体"/>
                <w:kern w:val="0"/>
                <w:sz w:val="18"/>
                <w:szCs w:val="18"/>
              </w:rPr>
              <w:t>招用未取得相应有效证件的人员数量大于或等于在船人员数量的三分之二，未造成事故的。</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2FB07A47">
            <w:pPr>
              <w:spacing w:before="156" w:beforeLines="50" w:after="156" w:afterLines="50"/>
              <w:rPr>
                <w:rFonts w:ascii="宋体"/>
                <w:kern w:val="0"/>
                <w:sz w:val="18"/>
                <w:szCs w:val="18"/>
              </w:rPr>
            </w:pPr>
            <w:r>
              <w:rPr>
                <w:rFonts w:ascii="宋体"/>
                <w:kern w:val="0"/>
                <w:sz w:val="18"/>
                <w:szCs w:val="18"/>
              </w:rPr>
              <w:t>8</w:t>
            </w:r>
            <w:r>
              <w:rPr>
                <w:rFonts w:hint="eastAsia" w:ascii="宋体"/>
                <w:kern w:val="0"/>
                <w:sz w:val="18"/>
                <w:szCs w:val="18"/>
              </w:rPr>
              <w:t>万元及以上15万元及以下</w:t>
            </w:r>
          </w:p>
        </w:tc>
      </w:tr>
      <w:tr w14:paraId="4C96C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77"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D12B32">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229840">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E5548C6">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C4E07E">
            <w:pPr>
              <w:spacing w:before="156" w:beforeLines="50" w:after="156" w:afterLines="50"/>
              <w:rPr>
                <w:rFonts w:ascii="宋体"/>
                <w:kern w:val="0"/>
                <w:sz w:val="18"/>
                <w:szCs w:val="18"/>
              </w:rPr>
            </w:pPr>
          </w:p>
        </w:tc>
        <w:tc>
          <w:tcPr>
            <w:tcW w:w="816" w:type="dxa"/>
            <w:gridSpan w:val="2"/>
            <w:vMerge w:val="continue"/>
            <w:tcBorders>
              <w:left w:val="single" w:color="000000" w:sz="4" w:space="0"/>
              <w:right w:val="single" w:color="000000" w:sz="4" w:space="0"/>
            </w:tcBorders>
            <w:vAlign w:val="center"/>
          </w:tcPr>
          <w:p w14:paraId="7B721985">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auto" w:sz="4" w:space="0"/>
              <w:right w:val="single" w:color="auto" w:sz="4" w:space="0"/>
            </w:tcBorders>
            <w:vAlign w:val="center"/>
          </w:tcPr>
          <w:p w14:paraId="07838D50">
            <w:pPr>
              <w:spacing w:before="156" w:beforeLines="50" w:after="156" w:afterLines="50"/>
              <w:rPr>
                <w:rFonts w:ascii="宋体"/>
                <w:kern w:val="0"/>
                <w:sz w:val="18"/>
                <w:szCs w:val="18"/>
              </w:rPr>
            </w:pPr>
            <w:r>
              <w:rPr>
                <w:rFonts w:hint="eastAsia" w:ascii="宋体"/>
                <w:kern w:val="0"/>
                <w:sz w:val="18"/>
                <w:szCs w:val="18"/>
              </w:rPr>
              <w:t>招用未取得相应有效证件的人员上船工作，造成事故的。</w:t>
            </w:r>
          </w:p>
        </w:tc>
        <w:tc>
          <w:tcPr>
            <w:tcW w:w="7759" w:type="dxa"/>
            <w:gridSpan w:val="2"/>
            <w:tcBorders>
              <w:top w:val="single" w:color="auto" w:sz="4" w:space="0"/>
              <w:left w:val="single" w:color="auto" w:sz="4" w:space="0"/>
              <w:bottom w:val="single" w:color="auto" w:sz="4" w:space="0"/>
              <w:right w:val="single" w:color="auto" w:sz="4" w:space="0"/>
            </w:tcBorders>
            <w:vAlign w:val="center"/>
          </w:tcPr>
          <w:p w14:paraId="209354C0">
            <w:pPr>
              <w:spacing w:before="156" w:beforeLines="50" w:after="156" w:afterLines="50"/>
              <w:rPr>
                <w:rFonts w:ascii="宋体"/>
                <w:kern w:val="0"/>
                <w:sz w:val="18"/>
                <w:szCs w:val="18"/>
              </w:rPr>
            </w:pPr>
            <w:r>
              <w:rPr>
                <w:rFonts w:hint="eastAsia" w:ascii="宋体"/>
                <w:kern w:val="0"/>
                <w:sz w:val="18"/>
                <w:szCs w:val="18"/>
              </w:rPr>
              <w:t>小事故，</w:t>
            </w:r>
            <w:r>
              <w:rPr>
                <w:rFonts w:ascii="宋体"/>
                <w:kern w:val="0"/>
                <w:sz w:val="18"/>
                <w:szCs w:val="18"/>
              </w:rPr>
              <w:t>6</w:t>
            </w:r>
            <w:r>
              <w:rPr>
                <w:rFonts w:hint="eastAsia" w:ascii="宋体"/>
                <w:kern w:val="0"/>
                <w:sz w:val="18"/>
                <w:szCs w:val="18"/>
              </w:rPr>
              <w:t>万元；一般事故，</w:t>
            </w:r>
            <w:r>
              <w:rPr>
                <w:rFonts w:ascii="宋体"/>
                <w:kern w:val="0"/>
                <w:sz w:val="18"/>
                <w:szCs w:val="18"/>
              </w:rPr>
              <w:t>7</w:t>
            </w:r>
            <w:r>
              <w:rPr>
                <w:rFonts w:hint="eastAsia" w:ascii="宋体"/>
                <w:kern w:val="0"/>
                <w:sz w:val="18"/>
                <w:szCs w:val="18"/>
              </w:rPr>
              <w:t>万元；较大事故，</w:t>
            </w:r>
            <w:r>
              <w:rPr>
                <w:rFonts w:ascii="宋体"/>
                <w:kern w:val="0"/>
                <w:sz w:val="18"/>
                <w:szCs w:val="18"/>
              </w:rPr>
              <w:t>8</w:t>
            </w:r>
            <w:r>
              <w:rPr>
                <w:rFonts w:hint="eastAsia" w:ascii="宋体"/>
                <w:kern w:val="0"/>
                <w:sz w:val="18"/>
                <w:szCs w:val="18"/>
              </w:rPr>
              <w:t>万元；重大事故，</w:t>
            </w:r>
            <w:r>
              <w:rPr>
                <w:rFonts w:ascii="宋体"/>
                <w:kern w:val="0"/>
                <w:sz w:val="18"/>
                <w:szCs w:val="18"/>
              </w:rPr>
              <w:t>10</w:t>
            </w:r>
            <w:r>
              <w:rPr>
                <w:rFonts w:hint="eastAsia" w:ascii="宋体"/>
                <w:kern w:val="0"/>
                <w:sz w:val="18"/>
                <w:szCs w:val="18"/>
              </w:rPr>
              <w:t>万元；特别重大事故，</w:t>
            </w:r>
            <w:r>
              <w:rPr>
                <w:rFonts w:ascii="宋体"/>
                <w:kern w:val="0"/>
                <w:sz w:val="18"/>
                <w:szCs w:val="18"/>
              </w:rPr>
              <w:t>15</w:t>
            </w:r>
            <w:r>
              <w:rPr>
                <w:rFonts w:hint="eastAsia" w:ascii="宋体"/>
                <w:kern w:val="0"/>
                <w:sz w:val="18"/>
                <w:szCs w:val="18"/>
              </w:rPr>
              <w:t>万元。</w:t>
            </w:r>
          </w:p>
        </w:tc>
      </w:tr>
      <w:tr w14:paraId="10173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108" w:type="dxa"/>
          <w:trHeight w:val="324" w:hRule="atLeast"/>
        </w:trPr>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3FB666">
            <w:pPr>
              <w:spacing w:before="156" w:beforeLines="50" w:after="156" w:afterLines="50" w:line="240" w:lineRule="exact"/>
              <w:jc w:val="left"/>
              <w:rPr>
                <w:sz w:val="18"/>
                <w:szCs w:val="18"/>
              </w:rPr>
            </w:pPr>
          </w:p>
        </w:tc>
        <w:tc>
          <w:tcPr>
            <w:tcW w:w="17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8A677ED">
            <w:pPr>
              <w:spacing w:before="156" w:beforeLines="50" w:after="156" w:afterLines="50"/>
              <w:rPr>
                <w:rFonts w:ascii="宋体"/>
                <w:kern w:val="0"/>
                <w:sz w:val="18"/>
                <w:szCs w:val="18"/>
              </w:rPr>
            </w:pPr>
          </w:p>
        </w:tc>
        <w:tc>
          <w:tcPr>
            <w:tcW w:w="217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6B1D55B">
            <w:pPr>
              <w:spacing w:before="156" w:beforeLines="50" w:after="156" w:afterLines="50"/>
              <w:rPr>
                <w:rFonts w:ascii="宋体"/>
                <w:kern w:val="0"/>
                <w:sz w:val="18"/>
                <w:szCs w:val="18"/>
              </w:rPr>
            </w:pPr>
          </w:p>
        </w:tc>
        <w:tc>
          <w:tcPr>
            <w:tcW w:w="275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D3C7CF">
            <w:pPr>
              <w:spacing w:before="156" w:beforeLines="50" w:after="156" w:afterLines="50"/>
              <w:rPr>
                <w:rFonts w:ascii="宋体"/>
                <w:kern w:val="0"/>
                <w:sz w:val="18"/>
                <w:szCs w:val="18"/>
              </w:rPr>
            </w:pPr>
          </w:p>
        </w:tc>
        <w:tc>
          <w:tcPr>
            <w:tcW w:w="816" w:type="dxa"/>
            <w:gridSpan w:val="2"/>
            <w:vMerge w:val="continue"/>
            <w:tcBorders>
              <w:left w:val="single" w:color="000000" w:sz="4" w:space="0"/>
              <w:bottom w:val="single" w:color="000000" w:sz="4" w:space="0"/>
              <w:right w:val="single" w:color="000000" w:sz="4" w:space="0"/>
            </w:tcBorders>
            <w:vAlign w:val="center"/>
          </w:tcPr>
          <w:p w14:paraId="56E1A9F7">
            <w:pPr>
              <w:spacing w:before="156" w:beforeLines="50" w:after="156" w:afterLines="50"/>
              <w:rPr>
                <w:rFonts w:ascii="宋体"/>
                <w:kern w:val="0"/>
                <w:sz w:val="18"/>
                <w:szCs w:val="18"/>
              </w:rPr>
            </w:pPr>
          </w:p>
        </w:tc>
        <w:tc>
          <w:tcPr>
            <w:tcW w:w="4655" w:type="dxa"/>
            <w:gridSpan w:val="3"/>
            <w:tcBorders>
              <w:top w:val="single" w:color="auto" w:sz="4" w:space="0"/>
              <w:left w:val="single" w:color="000000" w:sz="4" w:space="0"/>
              <w:bottom w:val="single" w:color="000000" w:sz="4" w:space="0"/>
              <w:right w:val="single" w:color="auto" w:sz="4" w:space="0"/>
            </w:tcBorders>
            <w:vAlign w:val="center"/>
          </w:tcPr>
          <w:p w14:paraId="597C1CC3">
            <w:pPr>
              <w:spacing w:before="156" w:beforeLines="50" w:after="156" w:afterLines="50"/>
              <w:rPr>
                <w:rFonts w:ascii="宋体"/>
                <w:kern w:val="0"/>
                <w:sz w:val="18"/>
                <w:szCs w:val="18"/>
              </w:rPr>
            </w:pPr>
            <w:r>
              <w:rPr>
                <w:rFonts w:hint="eastAsia" w:ascii="宋体"/>
                <w:kern w:val="0"/>
                <w:sz w:val="18"/>
                <w:szCs w:val="18"/>
              </w:rPr>
              <w:t>其它严重情节的。</w:t>
            </w:r>
          </w:p>
        </w:tc>
        <w:tc>
          <w:tcPr>
            <w:tcW w:w="7759" w:type="dxa"/>
            <w:gridSpan w:val="2"/>
            <w:tcBorders>
              <w:top w:val="single" w:color="auto" w:sz="4" w:space="0"/>
              <w:left w:val="single" w:color="auto" w:sz="4" w:space="0"/>
              <w:bottom w:val="single" w:color="000000" w:sz="4" w:space="0"/>
              <w:right w:val="single" w:color="auto" w:sz="4" w:space="0"/>
            </w:tcBorders>
            <w:vAlign w:val="center"/>
          </w:tcPr>
          <w:p w14:paraId="57888A4B">
            <w:pPr>
              <w:spacing w:before="156" w:beforeLines="50" w:after="156" w:afterLines="50"/>
              <w:rPr>
                <w:rFonts w:ascii="宋体"/>
                <w:kern w:val="0"/>
                <w:sz w:val="18"/>
                <w:szCs w:val="18"/>
              </w:rPr>
            </w:pPr>
            <w:r>
              <w:rPr>
                <w:rFonts w:hint="eastAsia" w:ascii="宋体"/>
                <w:kern w:val="0"/>
                <w:sz w:val="18"/>
                <w:szCs w:val="18"/>
              </w:rPr>
              <w:t>8万元及以上</w:t>
            </w:r>
            <w:r>
              <w:rPr>
                <w:rFonts w:ascii="宋体"/>
                <w:kern w:val="0"/>
                <w:sz w:val="18"/>
                <w:szCs w:val="18"/>
              </w:rPr>
              <w:t>15</w:t>
            </w:r>
            <w:r>
              <w:rPr>
                <w:rFonts w:hint="eastAsia" w:ascii="宋体"/>
                <w:kern w:val="0"/>
                <w:sz w:val="18"/>
                <w:szCs w:val="18"/>
              </w:rPr>
              <w:t>万元及以下</w:t>
            </w:r>
          </w:p>
        </w:tc>
      </w:tr>
    </w:tbl>
    <w:p w14:paraId="1D31A9EE">
      <w:pPr>
        <w:spacing w:before="156" w:beforeLines="50" w:after="156" w:afterLines="50"/>
        <w:rPr>
          <w:rFonts w:ascii="宋体"/>
          <w:sz w:val="18"/>
          <w:szCs w:val="18"/>
        </w:rPr>
      </w:pPr>
      <w:r>
        <w:rPr>
          <w:rFonts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1123"/>
        <w:gridCol w:w="2066"/>
        <w:gridCol w:w="2673"/>
        <w:gridCol w:w="885"/>
        <w:gridCol w:w="5987"/>
        <w:gridCol w:w="7424"/>
      </w:tblGrid>
      <w:tr w14:paraId="75D2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95" w:type="dxa"/>
            <w:vMerge w:val="restart"/>
            <w:vAlign w:val="center"/>
          </w:tcPr>
          <w:p w14:paraId="032E16D5">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123" w:type="dxa"/>
            <w:vMerge w:val="restart"/>
            <w:vAlign w:val="center"/>
          </w:tcPr>
          <w:p w14:paraId="61354889">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739" w:type="dxa"/>
            <w:gridSpan w:val="2"/>
            <w:vMerge w:val="restart"/>
            <w:vAlign w:val="center"/>
          </w:tcPr>
          <w:p w14:paraId="59FC0DDC">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885" w:type="dxa"/>
            <w:vMerge w:val="restart"/>
            <w:vAlign w:val="center"/>
          </w:tcPr>
          <w:p w14:paraId="7120B3EA">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5987" w:type="dxa"/>
            <w:vMerge w:val="restart"/>
            <w:vAlign w:val="center"/>
          </w:tcPr>
          <w:p w14:paraId="0356E962">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7424" w:type="dxa"/>
            <w:tcBorders>
              <w:bottom w:val="single" w:color="auto" w:sz="4" w:space="0"/>
              <w:right w:val="single" w:color="auto" w:sz="4" w:space="0"/>
            </w:tcBorders>
            <w:vAlign w:val="center"/>
          </w:tcPr>
          <w:p w14:paraId="78E83090">
            <w:pPr>
              <w:spacing w:before="156" w:beforeLines="50" w:after="156" w:afterLines="50"/>
              <w:jc w:val="center"/>
              <w:rPr>
                <w:rFonts w:ascii="宋体"/>
                <w:b/>
                <w:kern w:val="0"/>
                <w:sz w:val="18"/>
                <w:szCs w:val="18"/>
              </w:rPr>
            </w:pPr>
            <w:r>
              <w:rPr>
                <w:rFonts w:hint="eastAsia" w:ascii="宋体"/>
                <w:b/>
                <w:kern w:val="0"/>
                <w:sz w:val="18"/>
                <w:szCs w:val="18"/>
              </w:rPr>
              <w:t>【法定幅度和种类】责令改正，可以处</w:t>
            </w:r>
            <w:r>
              <w:rPr>
                <w:rFonts w:ascii="宋体"/>
                <w:b/>
                <w:kern w:val="0"/>
                <w:sz w:val="18"/>
                <w:szCs w:val="18"/>
              </w:rPr>
              <w:t>1000</w:t>
            </w:r>
            <w:r>
              <w:rPr>
                <w:rFonts w:hint="eastAsia" w:ascii="宋体"/>
                <w:b/>
                <w:kern w:val="0"/>
                <w:sz w:val="18"/>
                <w:szCs w:val="18"/>
              </w:rPr>
              <w:t>元以下罚款。</w:t>
            </w:r>
          </w:p>
        </w:tc>
      </w:tr>
      <w:tr w14:paraId="33F3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695" w:type="dxa"/>
            <w:vMerge w:val="continue"/>
            <w:vAlign w:val="center"/>
          </w:tcPr>
          <w:p w14:paraId="0521009F">
            <w:pPr>
              <w:spacing w:before="156" w:beforeLines="50" w:after="156" w:afterLines="50"/>
              <w:jc w:val="center"/>
              <w:rPr>
                <w:rFonts w:ascii="宋体"/>
                <w:b/>
                <w:kern w:val="0"/>
                <w:sz w:val="18"/>
                <w:szCs w:val="18"/>
              </w:rPr>
            </w:pPr>
          </w:p>
        </w:tc>
        <w:tc>
          <w:tcPr>
            <w:tcW w:w="1123" w:type="dxa"/>
            <w:vMerge w:val="continue"/>
            <w:vAlign w:val="center"/>
          </w:tcPr>
          <w:p w14:paraId="567FDAA4">
            <w:pPr>
              <w:spacing w:before="156" w:beforeLines="50" w:after="156" w:afterLines="50"/>
              <w:jc w:val="center"/>
              <w:rPr>
                <w:rFonts w:ascii="宋体"/>
                <w:b/>
                <w:kern w:val="0"/>
                <w:sz w:val="18"/>
                <w:szCs w:val="18"/>
              </w:rPr>
            </w:pPr>
          </w:p>
        </w:tc>
        <w:tc>
          <w:tcPr>
            <w:tcW w:w="4739" w:type="dxa"/>
            <w:gridSpan w:val="2"/>
            <w:vMerge w:val="continue"/>
            <w:vAlign w:val="center"/>
          </w:tcPr>
          <w:p w14:paraId="3D830150">
            <w:pPr>
              <w:spacing w:before="156" w:beforeLines="50" w:after="156" w:afterLines="50"/>
              <w:jc w:val="center"/>
              <w:rPr>
                <w:rFonts w:ascii="宋体"/>
                <w:b/>
                <w:kern w:val="0"/>
                <w:sz w:val="18"/>
                <w:szCs w:val="18"/>
              </w:rPr>
            </w:pPr>
          </w:p>
        </w:tc>
        <w:tc>
          <w:tcPr>
            <w:tcW w:w="885" w:type="dxa"/>
            <w:vMerge w:val="continue"/>
            <w:vAlign w:val="center"/>
          </w:tcPr>
          <w:p w14:paraId="0B19D7A7">
            <w:pPr>
              <w:spacing w:before="156" w:beforeLines="50" w:after="156" w:afterLines="50"/>
              <w:jc w:val="left"/>
              <w:rPr>
                <w:rFonts w:ascii="宋体"/>
                <w:b/>
                <w:kern w:val="0"/>
                <w:sz w:val="18"/>
                <w:szCs w:val="18"/>
              </w:rPr>
            </w:pPr>
          </w:p>
        </w:tc>
        <w:tc>
          <w:tcPr>
            <w:tcW w:w="5987" w:type="dxa"/>
            <w:vMerge w:val="continue"/>
            <w:vAlign w:val="center"/>
          </w:tcPr>
          <w:p w14:paraId="7CCA9CCD">
            <w:pPr>
              <w:spacing w:before="156" w:beforeLines="50" w:after="156" w:afterLines="50"/>
              <w:jc w:val="left"/>
              <w:rPr>
                <w:rFonts w:ascii="宋体"/>
                <w:b/>
                <w:kern w:val="0"/>
                <w:sz w:val="18"/>
                <w:szCs w:val="18"/>
              </w:rPr>
            </w:pPr>
          </w:p>
        </w:tc>
        <w:tc>
          <w:tcPr>
            <w:tcW w:w="7424" w:type="dxa"/>
            <w:tcBorders>
              <w:top w:val="single" w:color="auto" w:sz="4" w:space="0"/>
              <w:bottom w:val="single" w:color="auto" w:sz="4" w:space="0"/>
              <w:right w:val="single" w:color="auto" w:sz="4" w:space="0"/>
            </w:tcBorders>
            <w:vAlign w:val="center"/>
          </w:tcPr>
          <w:p w14:paraId="21ADCFCE">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0AA64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5" w:type="dxa"/>
            <w:vMerge w:val="continue"/>
            <w:vAlign w:val="center"/>
          </w:tcPr>
          <w:p w14:paraId="1B8FAF10">
            <w:pPr>
              <w:spacing w:before="156" w:beforeLines="50" w:after="156" w:afterLines="50"/>
              <w:jc w:val="center"/>
              <w:rPr>
                <w:rFonts w:ascii="宋体"/>
                <w:b/>
                <w:kern w:val="0"/>
                <w:sz w:val="18"/>
                <w:szCs w:val="18"/>
              </w:rPr>
            </w:pPr>
          </w:p>
        </w:tc>
        <w:tc>
          <w:tcPr>
            <w:tcW w:w="1123" w:type="dxa"/>
            <w:vMerge w:val="continue"/>
            <w:vAlign w:val="center"/>
          </w:tcPr>
          <w:p w14:paraId="1202A229">
            <w:pPr>
              <w:spacing w:before="156" w:beforeLines="50" w:after="156" w:afterLines="50"/>
              <w:jc w:val="center"/>
              <w:rPr>
                <w:rFonts w:ascii="宋体"/>
                <w:b/>
                <w:kern w:val="0"/>
                <w:sz w:val="18"/>
                <w:szCs w:val="18"/>
              </w:rPr>
            </w:pPr>
          </w:p>
        </w:tc>
        <w:tc>
          <w:tcPr>
            <w:tcW w:w="2066" w:type="dxa"/>
            <w:vAlign w:val="center"/>
          </w:tcPr>
          <w:p w14:paraId="0F48D734">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673" w:type="dxa"/>
            <w:vAlign w:val="center"/>
          </w:tcPr>
          <w:p w14:paraId="1385D9EE">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885" w:type="dxa"/>
            <w:vMerge w:val="continue"/>
            <w:vAlign w:val="center"/>
          </w:tcPr>
          <w:p w14:paraId="4E43BECD">
            <w:pPr>
              <w:spacing w:before="156" w:beforeLines="50" w:after="156" w:afterLines="50"/>
              <w:jc w:val="left"/>
              <w:rPr>
                <w:rFonts w:ascii="宋体"/>
                <w:b/>
                <w:kern w:val="0"/>
                <w:sz w:val="18"/>
                <w:szCs w:val="18"/>
              </w:rPr>
            </w:pPr>
          </w:p>
        </w:tc>
        <w:tc>
          <w:tcPr>
            <w:tcW w:w="5987" w:type="dxa"/>
            <w:vMerge w:val="continue"/>
            <w:vAlign w:val="center"/>
          </w:tcPr>
          <w:p w14:paraId="16CAF70C">
            <w:pPr>
              <w:spacing w:before="156" w:beforeLines="50" w:after="156" w:afterLines="50"/>
              <w:jc w:val="left"/>
              <w:rPr>
                <w:rFonts w:ascii="宋体"/>
                <w:b/>
                <w:kern w:val="0"/>
                <w:sz w:val="18"/>
                <w:szCs w:val="18"/>
              </w:rPr>
            </w:pPr>
          </w:p>
        </w:tc>
        <w:tc>
          <w:tcPr>
            <w:tcW w:w="7424" w:type="dxa"/>
            <w:tcBorders>
              <w:top w:val="single" w:color="auto" w:sz="4" w:space="0"/>
              <w:bottom w:val="single" w:color="auto" w:sz="4" w:space="0"/>
              <w:right w:val="single" w:color="auto" w:sz="4" w:space="0"/>
            </w:tcBorders>
            <w:vAlign w:val="center"/>
          </w:tcPr>
          <w:p w14:paraId="166BC07A">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0E8E8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95" w:type="dxa"/>
            <w:vMerge w:val="restart"/>
            <w:vAlign w:val="center"/>
          </w:tcPr>
          <w:p w14:paraId="092529BB">
            <w:pPr>
              <w:spacing w:before="156" w:beforeLines="50" w:after="156" w:afterLines="50"/>
              <w:jc w:val="center"/>
              <w:rPr>
                <w:rFonts w:ascii="宋体"/>
                <w:kern w:val="0"/>
                <w:sz w:val="18"/>
                <w:szCs w:val="18"/>
              </w:rPr>
            </w:pPr>
            <w:r>
              <w:rPr>
                <w:rFonts w:hint="eastAsia" w:ascii="宋体"/>
                <w:kern w:val="0"/>
                <w:sz w:val="18"/>
                <w:szCs w:val="18"/>
              </w:rPr>
              <w:t>75</w:t>
            </w:r>
          </w:p>
        </w:tc>
        <w:tc>
          <w:tcPr>
            <w:tcW w:w="1123" w:type="dxa"/>
            <w:vMerge w:val="restart"/>
            <w:vAlign w:val="center"/>
          </w:tcPr>
          <w:p w14:paraId="73A598ED">
            <w:pPr>
              <w:spacing w:before="156" w:beforeLines="50" w:after="156" w:afterLines="50"/>
            </w:pPr>
            <w:r>
              <w:rPr>
                <w:rFonts w:hint="eastAsia"/>
                <w:sz w:val="18"/>
                <w:szCs w:val="18"/>
              </w:rPr>
              <w:t>船员服务簿记载的事项发生变更，船员未办理变更手续</w:t>
            </w:r>
          </w:p>
        </w:tc>
        <w:tc>
          <w:tcPr>
            <w:tcW w:w="2066" w:type="dxa"/>
            <w:vMerge w:val="restart"/>
            <w:vAlign w:val="center"/>
          </w:tcPr>
          <w:p w14:paraId="4C5565DE">
            <w:pPr>
              <w:spacing w:before="156" w:beforeLines="50" w:after="156" w:afterLines="50"/>
              <w:jc w:val="left"/>
              <w:rPr>
                <w:rFonts w:ascii="宋体"/>
                <w:kern w:val="0"/>
                <w:sz w:val="18"/>
                <w:szCs w:val="18"/>
              </w:rPr>
            </w:pPr>
            <w:r>
              <w:rPr>
                <w:rFonts w:hint="eastAsia" w:ascii="宋体"/>
                <w:kern w:val="0"/>
                <w:sz w:val="18"/>
                <w:szCs w:val="18"/>
              </w:rPr>
              <w:t>《中华人民共和国船员条例》第七条第四款。</w:t>
            </w:r>
          </w:p>
        </w:tc>
        <w:tc>
          <w:tcPr>
            <w:tcW w:w="2673" w:type="dxa"/>
            <w:vMerge w:val="restart"/>
            <w:vAlign w:val="center"/>
          </w:tcPr>
          <w:p w14:paraId="2DAD2754">
            <w:pPr>
              <w:spacing w:before="156" w:beforeLines="50" w:after="156" w:afterLines="50"/>
              <w:jc w:val="left"/>
              <w:rPr>
                <w:sz w:val="18"/>
                <w:szCs w:val="18"/>
              </w:rPr>
            </w:pPr>
            <w:r>
              <w:rPr>
                <w:rFonts w:hint="eastAsia" w:ascii="宋体"/>
                <w:kern w:val="0"/>
                <w:sz w:val="18"/>
                <w:szCs w:val="18"/>
              </w:rPr>
              <w:t>1.《中华人民共和国船员条例》</w:t>
            </w:r>
            <w:r>
              <w:rPr>
                <w:rFonts w:hint="eastAsia"/>
                <w:sz w:val="18"/>
                <w:szCs w:val="18"/>
              </w:rPr>
              <w:t>第五十条；</w:t>
            </w:r>
          </w:p>
          <w:p w14:paraId="020105B1">
            <w:pPr>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885" w:type="dxa"/>
            <w:vAlign w:val="center"/>
          </w:tcPr>
          <w:p w14:paraId="70EA228C">
            <w:pPr>
              <w:spacing w:before="156" w:beforeLines="50" w:after="156" w:afterLines="50"/>
              <w:jc w:val="left"/>
              <w:rPr>
                <w:rFonts w:ascii="宋体"/>
                <w:kern w:val="0"/>
                <w:sz w:val="18"/>
                <w:szCs w:val="18"/>
              </w:rPr>
            </w:pPr>
            <w:r>
              <w:rPr>
                <w:rFonts w:hint="eastAsia" w:ascii="宋体"/>
                <w:kern w:val="0"/>
                <w:sz w:val="18"/>
                <w:szCs w:val="18"/>
              </w:rPr>
              <w:t>从轻</w:t>
            </w:r>
          </w:p>
        </w:tc>
        <w:tc>
          <w:tcPr>
            <w:tcW w:w="5987" w:type="dxa"/>
            <w:vAlign w:val="center"/>
          </w:tcPr>
          <w:p w14:paraId="4E6C84C1">
            <w:pPr>
              <w:spacing w:before="156" w:beforeLines="50" w:after="156" w:afterLines="50"/>
              <w:jc w:val="left"/>
              <w:rPr>
                <w:rFonts w:ascii="宋体"/>
                <w:kern w:val="0"/>
                <w:sz w:val="18"/>
                <w:szCs w:val="18"/>
              </w:rPr>
            </w:pPr>
            <w:r>
              <w:rPr>
                <w:rFonts w:hint="eastAsia"/>
                <w:sz w:val="18"/>
                <w:szCs w:val="18"/>
              </w:rPr>
              <w:t>具有法定从轻情节的。</w:t>
            </w:r>
          </w:p>
        </w:tc>
        <w:tc>
          <w:tcPr>
            <w:tcW w:w="7424" w:type="dxa"/>
            <w:tcBorders>
              <w:top w:val="single" w:color="auto" w:sz="4" w:space="0"/>
              <w:bottom w:val="single" w:color="auto" w:sz="4" w:space="0"/>
              <w:right w:val="single" w:color="auto" w:sz="4" w:space="0"/>
            </w:tcBorders>
            <w:vAlign w:val="center"/>
          </w:tcPr>
          <w:p w14:paraId="07B70F8B">
            <w:pPr>
              <w:spacing w:before="156" w:beforeLines="50" w:after="156" w:afterLines="50"/>
              <w:jc w:val="left"/>
              <w:rPr>
                <w:sz w:val="18"/>
                <w:szCs w:val="18"/>
              </w:rPr>
            </w:pPr>
            <w:r>
              <w:rPr>
                <w:rFonts w:hint="eastAsia"/>
                <w:sz w:val="18"/>
                <w:szCs w:val="18"/>
              </w:rPr>
              <w:t>责令改正，不予处罚。</w:t>
            </w:r>
          </w:p>
        </w:tc>
      </w:tr>
      <w:tr w14:paraId="26E2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95" w:type="dxa"/>
            <w:vMerge w:val="continue"/>
            <w:vAlign w:val="center"/>
          </w:tcPr>
          <w:p w14:paraId="2251108C">
            <w:pPr>
              <w:spacing w:before="156" w:beforeLines="50" w:after="156" w:afterLines="50"/>
              <w:jc w:val="left"/>
              <w:rPr>
                <w:rFonts w:ascii="宋体"/>
                <w:kern w:val="0"/>
                <w:sz w:val="18"/>
                <w:szCs w:val="18"/>
              </w:rPr>
            </w:pPr>
          </w:p>
        </w:tc>
        <w:tc>
          <w:tcPr>
            <w:tcW w:w="1123" w:type="dxa"/>
            <w:vMerge w:val="continue"/>
            <w:vAlign w:val="center"/>
          </w:tcPr>
          <w:p w14:paraId="7D655287">
            <w:pPr>
              <w:spacing w:before="156" w:beforeLines="50" w:after="156" w:afterLines="50"/>
              <w:jc w:val="left"/>
              <w:rPr>
                <w:rFonts w:ascii="宋体"/>
                <w:kern w:val="0"/>
                <w:sz w:val="18"/>
                <w:szCs w:val="18"/>
              </w:rPr>
            </w:pPr>
          </w:p>
        </w:tc>
        <w:tc>
          <w:tcPr>
            <w:tcW w:w="2066" w:type="dxa"/>
            <w:vMerge w:val="continue"/>
            <w:vAlign w:val="center"/>
          </w:tcPr>
          <w:p w14:paraId="51A66328">
            <w:pPr>
              <w:widowControl/>
              <w:spacing w:before="156" w:beforeLines="50" w:after="156" w:afterLines="50"/>
              <w:jc w:val="left"/>
              <w:rPr>
                <w:rFonts w:ascii="宋体"/>
                <w:kern w:val="0"/>
                <w:sz w:val="18"/>
                <w:szCs w:val="18"/>
              </w:rPr>
            </w:pPr>
          </w:p>
        </w:tc>
        <w:tc>
          <w:tcPr>
            <w:tcW w:w="2673" w:type="dxa"/>
            <w:vMerge w:val="continue"/>
            <w:vAlign w:val="center"/>
          </w:tcPr>
          <w:p w14:paraId="1DF1CDFC">
            <w:pPr>
              <w:spacing w:before="156" w:beforeLines="50" w:after="156" w:afterLines="50"/>
              <w:jc w:val="left"/>
              <w:rPr>
                <w:rFonts w:ascii="宋体"/>
                <w:kern w:val="0"/>
                <w:sz w:val="18"/>
                <w:szCs w:val="18"/>
              </w:rPr>
            </w:pPr>
          </w:p>
        </w:tc>
        <w:tc>
          <w:tcPr>
            <w:tcW w:w="885" w:type="dxa"/>
            <w:vMerge w:val="restart"/>
            <w:vAlign w:val="center"/>
          </w:tcPr>
          <w:p w14:paraId="4723AA1A">
            <w:pPr>
              <w:spacing w:before="156" w:beforeLines="50" w:after="156" w:afterLines="50"/>
              <w:jc w:val="left"/>
              <w:rPr>
                <w:rFonts w:ascii="宋体"/>
                <w:kern w:val="0"/>
                <w:sz w:val="18"/>
                <w:szCs w:val="18"/>
              </w:rPr>
            </w:pPr>
            <w:r>
              <w:rPr>
                <w:rFonts w:hint="eastAsia" w:ascii="宋体"/>
                <w:kern w:val="0"/>
                <w:sz w:val="18"/>
                <w:szCs w:val="18"/>
              </w:rPr>
              <w:t>一般</w:t>
            </w:r>
          </w:p>
          <w:p w14:paraId="242FF00B">
            <w:pPr>
              <w:spacing w:before="156" w:beforeLines="50" w:after="156" w:afterLines="50"/>
              <w:jc w:val="left"/>
              <w:rPr>
                <w:rFonts w:ascii="宋体"/>
                <w:kern w:val="0"/>
                <w:sz w:val="18"/>
                <w:szCs w:val="18"/>
              </w:rPr>
            </w:pPr>
          </w:p>
        </w:tc>
        <w:tc>
          <w:tcPr>
            <w:tcW w:w="5987" w:type="dxa"/>
            <w:vAlign w:val="center"/>
          </w:tcPr>
          <w:p w14:paraId="6028A192">
            <w:pPr>
              <w:widowControl/>
              <w:spacing w:before="156" w:beforeLines="50" w:after="156" w:afterLines="50"/>
              <w:jc w:val="left"/>
              <w:rPr>
                <w:sz w:val="18"/>
                <w:szCs w:val="18"/>
              </w:rPr>
            </w:pPr>
            <w:r>
              <w:rPr>
                <w:rFonts w:hint="eastAsia"/>
                <w:sz w:val="18"/>
                <w:szCs w:val="18"/>
              </w:rPr>
              <w:t>无法定从轻处罚情节的。</w:t>
            </w:r>
          </w:p>
        </w:tc>
        <w:tc>
          <w:tcPr>
            <w:tcW w:w="7424" w:type="dxa"/>
            <w:tcBorders>
              <w:bottom w:val="single" w:color="auto" w:sz="4" w:space="0"/>
              <w:right w:val="single" w:color="auto" w:sz="4" w:space="0"/>
            </w:tcBorders>
            <w:vAlign w:val="center"/>
          </w:tcPr>
          <w:p w14:paraId="2A9C9346">
            <w:pPr>
              <w:spacing w:before="156" w:beforeLines="50" w:after="156" w:afterLines="50"/>
              <w:jc w:val="left"/>
              <w:rPr>
                <w:sz w:val="18"/>
                <w:szCs w:val="18"/>
              </w:rPr>
            </w:pPr>
            <w:r>
              <w:rPr>
                <w:rFonts w:hint="eastAsia"/>
                <w:sz w:val="18"/>
                <w:szCs w:val="18"/>
              </w:rPr>
              <w:t>500元</w:t>
            </w:r>
          </w:p>
        </w:tc>
      </w:tr>
      <w:tr w14:paraId="38C1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95" w:type="dxa"/>
            <w:vMerge w:val="continue"/>
            <w:vAlign w:val="center"/>
          </w:tcPr>
          <w:p w14:paraId="4B6E1977">
            <w:pPr>
              <w:spacing w:before="156" w:beforeLines="50" w:after="156" w:afterLines="50"/>
              <w:jc w:val="left"/>
              <w:rPr>
                <w:rFonts w:ascii="宋体"/>
                <w:kern w:val="0"/>
                <w:sz w:val="18"/>
                <w:szCs w:val="18"/>
              </w:rPr>
            </w:pPr>
          </w:p>
        </w:tc>
        <w:tc>
          <w:tcPr>
            <w:tcW w:w="1123" w:type="dxa"/>
            <w:vMerge w:val="continue"/>
            <w:vAlign w:val="center"/>
          </w:tcPr>
          <w:p w14:paraId="21E20796">
            <w:pPr>
              <w:spacing w:before="156" w:beforeLines="50" w:after="156" w:afterLines="50"/>
              <w:jc w:val="left"/>
              <w:rPr>
                <w:rFonts w:ascii="宋体"/>
                <w:kern w:val="0"/>
                <w:sz w:val="18"/>
                <w:szCs w:val="18"/>
              </w:rPr>
            </w:pPr>
          </w:p>
        </w:tc>
        <w:tc>
          <w:tcPr>
            <w:tcW w:w="2066" w:type="dxa"/>
            <w:vMerge w:val="continue"/>
            <w:vAlign w:val="center"/>
          </w:tcPr>
          <w:p w14:paraId="6C63994F">
            <w:pPr>
              <w:widowControl/>
              <w:spacing w:before="156" w:beforeLines="50" w:after="156" w:afterLines="50"/>
              <w:jc w:val="left"/>
              <w:rPr>
                <w:rFonts w:ascii="宋体"/>
                <w:kern w:val="0"/>
                <w:sz w:val="18"/>
                <w:szCs w:val="18"/>
              </w:rPr>
            </w:pPr>
          </w:p>
        </w:tc>
        <w:tc>
          <w:tcPr>
            <w:tcW w:w="2673" w:type="dxa"/>
            <w:vMerge w:val="continue"/>
            <w:vAlign w:val="center"/>
          </w:tcPr>
          <w:p w14:paraId="453F52A3">
            <w:pPr>
              <w:spacing w:before="156" w:beforeLines="50" w:after="156" w:afterLines="50"/>
              <w:jc w:val="left"/>
              <w:rPr>
                <w:rFonts w:ascii="宋体"/>
                <w:kern w:val="0"/>
                <w:sz w:val="18"/>
                <w:szCs w:val="18"/>
              </w:rPr>
            </w:pPr>
          </w:p>
        </w:tc>
        <w:tc>
          <w:tcPr>
            <w:tcW w:w="885" w:type="dxa"/>
            <w:vMerge w:val="continue"/>
            <w:vAlign w:val="center"/>
          </w:tcPr>
          <w:p w14:paraId="50E13EB0">
            <w:pPr>
              <w:spacing w:before="156" w:beforeLines="50" w:after="156" w:afterLines="50"/>
              <w:jc w:val="left"/>
              <w:rPr>
                <w:rFonts w:ascii="宋体"/>
                <w:kern w:val="0"/>
                <w:sz w:val="18"/>
                <w:szCs w:val="18"/>
              </w:rPr>
            </w:pPr>
          </w:p>
        </w:tc>
        <w:tc>
          <w:tcPr>
            <w:tcW w:w="5987" w:type="dxa"/>
            <w:vAlign w:val="center"/>
          </w:tcPr>
          <w:p w14:paraId="1FE577E5">
            <w:pPr>
              <w:widowControl/>
              <w:spacing w:before="156" w:beforeLines="50" w:after="156" w:afterLines="50"/>
              <w:jc w:val="left"/>
              <w:rPr>
                <w:sz w:val="18"/>
                <w:szCs w:val="18"/>
              </w:rPr>
            </w:pPr>
            <w:r>
              <w:rPr>
                <w:rFonts w:hint="eastAsia"/>
                <w:sz w:val="18"/>
                <w:szCs w:val="18"/>
              </w:rPr>
              <w:t>具有其他从重情节的。</w:t>
            </w:r>
          </w:p>
        </w:tc>
        <w:tc>
          <w:tcPr>
            <w:tcW w:w="7424" w:type="dxa"/>
            <w:tcBorders>
              <w:right w:val="single" w:color="auto" w:sz="4" w:space="0"/>
            </w:tcBorders>
            <w:vAlign w:val="center"/>
          </w:tcPr>
          <w:p w14:paraId="1D765645">
            <w:pPr>
              <w:spacing w:before="156" w:beforeLines="50" w:after="156" w:afterLines="50"/>
              <w:jc w:val="left"/>
              <w:rPr>
                <w:sz w:val="18"/>
                <w:szCs w:val="18"/>
              </w:rPr>
            </w:pPr>
            <w:r>
              <w:rPr>
                <w:rFonts w:hint="eastAsia"/>
                <w:sz w:val="18"/>
                <w:szCs w:val="18"/>
              </w:rPr>
              <w:t>1000元</w:t>
            </w:r>
          </w:p>
        </w:tc>
      </w:tr>
    </w:tbl>
    <w:p w14:paraId="385C572C">
      <w:pPr>
        <w:spacing w:before="156" w:beforeLines="50" w:after="156" w:afterLines="50"/>
        <w:jc w:val="left"/>
        <w:rPr>
          <w:rFonts w:ascii="宋体"/>
          <w:sz w:val="18"/>
          <w:szCs w:val="18"/>
        </w:rPr>
      </w:pPr>
      <w:r>
        <w:rPr>
          <w:rFonts w:hint="eastAsia" w:ascii="宋体"/>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294"/>
        <w:gridCol w:w="1294"/>
        <w:gridCol w:w="2730"/>
        <w:gridCol w:w="718"/>
        <w:gridCol w:w="4161"/>
        <w:gridCol w:w="8647"/>
      </w:tblGrid>
      <w:tr w14:paraId="09EF1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84" w:type="dxa"/>
            <w:vMerge w:val="restart"/>
            <w:vAlign w:val="center"/>
          </w:tcPr>
          <w:p w14:paraId="1829EF3C">
            <w:pPr>
              <w:spacing w:before="156" w:beforeLines="50" w:after="156" w:afterLines="50"/>
              <w:jc w:val="left"/>
              <w:rPr>
                <w:rFonts w:ascii="宋体"/>
                <w:b/>
                <w:kern w:val="0"/>
                <w:sz w:val="18"/>
                <w:szCs w:val="18"/>
              </w:rPr>
            </w:pPr>
            <w:r>
              <w:rPr>
                <w:rFonts w:hint="eastAsia" w:ascii="宋体"/>
                <w:b/>
                <w:kern w:val="0"/>
                <w:sz w:val="18"/>
                <w:szCs w:val="18"/>
              </w:rPr>
              <w:t>序号</w:t>
            </w:r>
          </w:p>
        </w:tc>
        <w:tc>
          <w:tcPr>
            <w:tcW w:w="1294" w:type="dxa"/>
            <w:vMerge w:val="restart"/>
            <w:vAlign w:val="center"/>
          </w:tcPr>
          <w:p w14:paraId="6FF679A3">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024" w:type="dxa"/>
            <w:gridSpan w:val="2"/>
            <w:vMerge w:val="restart"/>
            <w:vAlign w:val="center"/>
          </w:tcPr>
          <w:p w14:paraId="3AF2E2CA">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8" w:type="dxa"/>
            <w:vMerge w:val="restart"/>
            <w:vAlign w:val="center"/>
          </w:tcPr>
          <w:p w14:paraId="4D63E1D0">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4161" w:type="dxa"/>
            <w:vMerge w:val="restart"/>
            <w:vAlign w:val="center"/>
          </w:tcPr>
          <w:p w14:paraId="4DB0D993">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8647" w:type="dxa"/>
            <w:tcBorders>
              <w:left w:val="single" w:color="auto" w:sz="4" w:space="0"/>
              <w:bottom w:val="single" w:color="auto" w:sz="4" w:space="0"/>
              <w:right w:val="single" w:color="auto" w:sz="4" w:space="0"/>
            </w:tcBorders>
            <w:vAlign w:val="center"/>
          </w:tcPr>
          <w:p w14:paraId="7D4BA682">
            <w:pPr>
              <w:spacing w:before="156" w:beforeLines="50" w:after="156" w:afterLines="50"/>
              <w:jc w:val="left"/>
              <w:rPr>
                <w:rFonts w:ascii="宋体"/>
                <w:b/>
                <w:kern w:val="0"/>
                <w:sz w:val="18"/>
                <w:szCs w:val="18"/>
              </w:rPr>
            </w:pPr>
            <w:r>
              <w:rPr>
                <w:rFonts w:hint="eastAsia" w:ascii="宋体"/>
                <w:b/>
                <w:kern w:val="0"/>
                <w:sz w:val="18"/>
                <w:szCs w:val="18"/>
              </w:rPr>
              <w:t>【法定幅度和种类】收缴有关证件，处2万元以上10万元</w:t>
            </w:r>
            <w:r>
              <w:rPr>
                <w:rFonts w:hint="eastAsia"/>
                <w:b/>
                <w:sz w:val="18"/>
                <w:szCs w:val="18"/>
              </w:rPr>
              <w:t>以下罚款，有违法所得的，还应当没收违法所得。</w:t>
            </w:r>
          </w:p>
        </w:tc>
      </w:tr>
      <w:tr w14:paraId="1AF5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684" w:type="dxa"/>
            <w:vMerge w:val="continue"/>
            <w:vAlign w:val="center"/>
          </w:tcPr>
          <w:p w14:paraId="3C6E28D5">
            <w:pPr>
              <w:spacing w:before="156" w:beforeLines="50" w:after="156" w:afterLines="50"/>
              <w:jc w:val="left"/>
              <w:rPr>
                <w:rFonts w:ascii="宋体"/>
                <w:b/>
                <w:kern w:val="0"/>
                <w:sz w:val="18"/>
                <w:szCs w:val="18"/>
              </w:rPr>
            </w:pPr>
          </w:p>
        </w:tc>
        <w:tc>
          <w:tcPr>
            <w:tcW w:w="1294" w:type="dxa"/>
            <w:vMerge w:val="continue"/>
            <w:vAlign w:val="center"/>
          </w:tcPr>
          <w:p w14:paraId="734A365E">
            <w:pPr>
              <w:spacing w:before="156" w:beforeLines="50" w:after="156" w:afterLines="50"/>
              <w:jc w:val="left"/>
              <w:rPr>
                <w:rFonts w:ascii="宋体"/>
                <w:b/>
                <w:kern w:val="0"/>
                <w:sz w:val="18"/>
                <w:szCs w:val="18"/>
              </w:rPr>
            </w:pPr>
          </w:p>
        </w:tc>
        <w:tc>
          <w:tcPr>
            <w:tcW w:w="4024" w:type="dxa"/>
            <w:gridSpan w:val="2"/>
            <w:vMerge w:val="continue"/>
            <w:vAlign w:val="center"/>
          </w:tcPr>
          <w:p w14:paraId="46ACF5F4">
            <w:pPr>
              <w:spacing w:before="156" w:beforeLines="50" w:after="156" w:afterLines="50"/>
              <w:jc w:val="center"/>
              <w:rPr>
                <w:rFonts w:ascii="宋体"/>
                <w:b/>
                <w:kern w:val="0"/>
                <w:sz w:val="18"/>
                <w:szCs w:val="18"/>
              </w:rPr>
            </w:pPr>
          </w:p>
        </w:tc>
        <w:tc>
          <w:tcPr>
            <w:tcW w:w="718" w:type="dxa"/>
            <w:vMerge w:val="continue"/>
            <w:vAlign w:val="center"/>
          </w:tcPr>
          <w:p w14:paraId="2E127018">
            <w:pPr>
              <w:spacing w:before="156" w:beforeLines="50" w:after="156" w:afterLines="50"/>
              <w:jc w:val="left"/>
              <w:rPr>
                <w:rFonts w:ascii="宋体"/>
                <w:b/>
                <w:kern w:val="0"/>
                <w:sz w:val="18"/>
                <w:szCs w:val="18"/>
              </w:rPr>
            </w:pPr>
          </w:p>
        </w:tc>
        <w:tc>
          <w:tcPr>
            <w:tcW w:w="4161" w:type="dxa"/>
            <w:vMerge w:val="continue"/>
            <w:vAlign w:val="center"/>
          </w:tcPr>
          <w:p w14:paraId="6B69C2EC">
            <w:pPr>
              <w:spacing w:before="156" w:beforeLines="50" w:after="156" w:afterLines="50"/>
              <w:jc w:val="left"/>
              <w:rPr>
                <w:rFonts w:ascii="宋体"/>
                <w:b/>
                <w:kern w:val="0"/>
                <w:sz w:val="18"/>
                <w:szCs w:val="18"/>
              </w:rPr>
            </w:pPr>
          </w:p>
        </w:tc>
        <w:tc>
          <w:tcPr>
            <w:tcW w:w="8647" w:type="dxa"/>
            <w:tcBorders>
              <w:top w:val="single" w:color="auto" w:sz="4" w:space="0"/>
              <w:left w:val="single" w:color="auto" w:sz="4" w:space="0"/>
              <w:bottom w:val="single" w:color="auto" w:sz="4" w:space="0"/>
              <w:right w:val="single" w:color="auto" w:sz="4" w:space="0"/>
            </w:tcBorders>
            <w:vAlign w:val="center"/>
          </w:tcPr>
          <w:p w14:paraId="39E9F6B0">
            <w:pPr>
              <w:spacing w:before="156" w:beforeLines="50" w:after="156" w:afterLines="50"/>
              <w:jc w:val="center"/>
              <w:rPr>
                <w:b/>
                <w:sz w:val="18"/>
                <w:szCs w:val="18"/>
              </w:rPr>
            </w:pPr>
            <w:r>
              <w:rPr>
                <w:rFonts w:hint="eastAsia" w:ascii="宋体"/>
                <w:b/>
                <w:kern w:val="0"/>
                <w:sz w:val="18"/>
                <w:szCs w:val="18"/>
              </w:rPr>
              <w:t>处罚基准</w:t>
            </w:r>
          </w:p>
        </w:tc>
      </w:tr>
      <w:tr w14:paraId="693D4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14:paraId="2AA8536D">
            <w:pPr>
              <w:spacing w:before="156" w:beforeLines="50" w:after="156" w:afterLines="50"/>
              <w:jc w:val="left"/>
              <w:rPr>
                <w:rFonts w:ascii="宋体"/>
                <w:b/>
                <w:kern w:val="0"/>
                <w:sz w:val="18"/>
                <w:szCs w:val="18"/>
              </w:rPr>
            </w:pPr>
          </w:p>
        </w:tc>
        <w:tc>
          <w:tcPr>
            <w:tcW w:w="1294" w:type="dxa"/>
            <w:vMerge w:val="continue"/>
            <w:vAlign w:val="center"/>
          </w:tcPr>
          <w:p w14:paraId="07529283">
            <w:pPr>
              <w:spacing w:before="156" w:beforeLines="50" w:after="156" w:afterLines="50"/>
              <w:jc w:val="left"/>
              <w:rPr>
                <w:rFonts w:ascii="宋体"/>
                <w:b/>
                <w:kern w:val="0"/>
                <w:sz w:val="18"/>
                <w:szCs w:val="18"/>
              </w:rPr>
            </w:pPr>
          </w:p>
        </w:tc>
        <w:tc>
          <w:tcPr>
            <w:tcW w:w="1294" w:type="dxa"/>
            <w:vAlign w:val="center"/>
          </w:tcPr>
          <w:p w14:paraId="6CE43F33">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730" w:type="dxa"/>
            <w:vAlign w:val="center"/>
          </w:tcPr>
          <w:p w14:paraId="035AD505">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18" w:type="dxa"/>
            <w:vMerge w:val="continue"/>
            <w:vAlign w:val="center"/>
          </w:tcPr>
          <w:p w14:paraId="3E5E5701">
            <w:pPr>
              <w:spacing w:before="156" w:beforeLines="50" w:after="156" w:afterLines="50"/>
              <w:jc w:val="left"/>
              <w:rPr>
                <w:rFonts w:ascii="宋体"/>
                <w:b/>
                <w:kern w:val="0"/>
                <w:sz w:val="18"/>
                <w:szCs w:val="18"/>
              </w:rPr>
            </w:pPr>
          </w:p>
        </w:tc>
        <w:tc>
          <w:tcPr>
            <w:tcW w:w="4161" w:type="dxa"/>
            <w:vMerge w:val="continue"/>
            <w:vAlign w:val="center"/>
          </w:tcPr>
          <w:p w14:paraId="6F1888C0">
            <w:pPr>
              <w:spacing w:before="156" w:beforeLines="50" w:after="156" w:afterLines="50"/>
              <w:jc w:val="left"/>
              <w:rPr>
                <w:rFonts w:ascii="宋体"/>
                <w:b/>
                <w:kern w:val="0"/>
                <w:sz w:val="18"/>
                <w:szCs w:val="18"/>
              </w:rPr>
            </w:pPr>
          </w:p>
        </w:tc>
        <w:tc>
          <w:tcPr>
            <w:tcW w:w="8647" w:type="dxa"/>
            <w:tcBorders>
              <w:top w:val="single" w:color="auto" w:sz="4" w:space="0"/>
              <w:left w:val="single" w:color="auto" w:sz="4" w:space="0"/>
              <w:right w:val="single" w:color="auto" w:sz="4" w:space="0"/>
            </w:tcBorders>
            <w:vAlign w:val="center"/>
          </w:tcPr>
          <w:p w14:paraId="01E41BAD">
            <w:pPr>
              <w:spacing w:before="156" w:beforeLines="50" w:after="156" w:afterLines="50"/>
              <w:jc w:val="center"/>
              <w:rPr>
                <w:rFonts w:ascii="宋体"/>
                <w:b/>
                <w:kern w:val="0"/>
                <w:sz w:val="18"/>
                <w:szCs w:val="18"/>
              </w:rPr>
            </w:pPr>
            <w:r>
              <w:rPr>
                <w:rFonts w:hint="eastAsia" w:ascii="宋体"/>
                <w:b/>
                <w:kern w:val="0"/>
                <w:sz w:val="18"/>
                <w:szCs w:val="18"/>
              </w:rPr>
              <w:t>【对象】公民、法人或其他组织</w:t>
            </w:r>
          </w:p>
        </w:tc>
      </w:tr>
      <w:tr w14:paraId="5182E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vAlign w:val="center"/>
          </w:tcPr>
          <w:p w14:paraId="46565897">
            <w:pPr>
              <w:spacing w:before="156" w:beforeLines="50" w:after="156" w:afterLines="50"/>
              <w:jc w:val="center"/>
              <w:rPr>
                <w:rFonts w:ascii="宋体"/>
                <w:kern w:val="0"/>
                <w:sz w:val="18"/>
                <w:szCs w:val="18"/>
              </w:rPr>
            </w:pPr>
            <w:r>
              <w:rPr>
                <w:rFonts w:hint="eastAsia" w:ascii="宋体"/>
                <w:kern w:val="0"/>
                <w:sz w:val="18"/>
                <w:szCs w:val="18"/>
              </w:rPr>
              <w:t>76</w:t>
            </w:r>
          </w:p>
        </w:tc>
        <w:tc>
          <w:tcPr>
            <w:tcW w:w="1294" w:type="dxa"/>
            <w:vMerge w:val="restart"/>
            <w:vAlign w:val="center"/>
          </w:tcPr>
          <w:p w14:paraId="51F935D7">
            <w:pPr>
              <w:spacing w:before="156" w:beforeLines="50" w:after="156" w:afterLines="50"/>
              <w:rPr>
                <w:rFonts w:ascii="宋体"/>
                <w:kern w:val="0"/>
                <w:sz w:val="18"/>
                <w:szCs w:val="18"/>
              </w:rPr>
            </w:pPr>
            <w:r>
              <w:rPr>
                <w:rFonts w:hint="eastAsia"/>
                <w:sz w:val="18"/>
                <w:szCs w:val="18"/>
              </w:rPr>
              <w:t>伪造、变造或者买卖船员服务簿、船员适任证书、船员培训合格证书、中华人民共和国海员证</w:t>
            </w:r>
          </w:p>
        </w:tc>
        <w:tc>
          <w:tcPr>
            <w:tcW w:w="1294" w:type="dxa"/>
            <w:vMerge w:val="restart"/>
            <w:vAlign w:val="center"/>
          </w:tcPr>
          <w:p w14:paraId="56AB99BE">
            <w:pPr>
              <w:widowControl/>
              <w:spacing w:before="156" w:beforeLines="50" w:after="156" w:afterLines="50"/>
              <w:rPr>
                <w:rFonts w:ascii="宋体"/>
                <w:kern w:val="0"/>
                <w:sz w:val="18"/>
                <w:szCs w:val="18"/>
              </w:rPr>
            </w:pPr>
            <w:r>
              <w:rPr>
                <w:rFonts w:hint="eastAsia" w:ascii="宋体"/>
                <w:kern w:val="0"/>
                <w:sz w:val="18"/>
                <w:szCs w:val="18"/>
              </w:rPr>
              <w:t>《中华人民共和国船员条例》第五条、第六条、第十一条</w:t>
            </w:r>
            <w:r>
              <w:rPr>
                <w:rFonts w:hint="eastAsia" w:ascii="宋体"/>
                <w:strike/>
                <w:kern w:val="0"/>
                <w:sz w:val="18"/>
                <w:szCs w:val="18"/>
              </w:rPr>
              <w:t>。</w:t>
            </w:r>
          </w:p>
          <w:p w14:paraId="328EFDDF">
            <w:pPr>
              <w:widowControl/>
              <w:spacing w:before="156" w:beforeLines="50" w:after="156" w:afterLines="50"/>
              <w:rPr>
                <w:rFonts w:ascii="宋体"/>
                <w:kern w:val="0"/>
                <w:sz w:val="18"/>
                <w:szCs w:val="18"/>
              </w:rPr>
            </w:pPr>
          </w:p>
        </w:tc>
        <w:tc>
          <w:tcPr>
            <w:tcW w:w="2730" w:type="dxa"/>
            <w:vMerge w:val="restart"/>
            <w:vAlign w:val="center"/>
          </w:tcPr>
          <w:p w14:paraId="5161FBB1">
            <w:pPr>
              <w:widowControl/>
              <w:spacing w:before="156" w:beforeLines="50" w:after="156" w:afterLines="50"/>
              <w:rPr>
                <w:rFonts w:ascii="宋体"/>
                <w:kern w:val="0"/>
                <w:sz w:val="18"/>
                <w:szCs w:val="18"/>
              </w:rPr>
            </w:pPr>
            <w:r>
              <w:rPr>
                <w:rFonts w:hint="eastAsia" w:ascii="宋体"/>
                <w:kern w:val="0"/>
                <w:sz w:val="18"/>
                <w:szCs w:val="18"/>
              </w:rPr>
              <w:t>1.《中华人民共和国船员条例》第四十九条；</w:t>
            </w:r>
          </w:p>
          <w:p w14:paraId="6888F7F9">
            <w:pPr>
              <w:widowControl/>
              <w:spacing w:before="156" w:beforeLines="50" w:after="156" w:afterLines="50"/>
              <w:rPr>
                <w:rFonts w:ascii="宋体"/>
                <w:kern w:val="0"/>
                <w:sz w:val="18"/>
                <w:szCs w:val="18"/>
              </w:rPr>
            </w:pPr>
            <w:r>
              <w:rPr>
                <w:rFonts w:hint="eastAsia" w:ascii="宋体"/>
                <w:kern w:val="0"/>
                <w:sz w:val="18"/>
                <w:szCs w:val="18"/>
              </w:rPr>
              <w:t>2.《中华人民共和国内河船舶船员适任考试和发证规则》第二十五条；</w:t>
            </w:r>
          </w:p>
          <w:p w14:paraId="0D1088CA">
            <w:pPr>
              <w:widowControl/>
              <w:spacing w:before="156" w:beforeLines="50" w:after="156" w:afterLines="50"/>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18" w:type="dxa"/>
            <w:vAlign w:val="center"/>
          </w:tcPr>
          <w:p w14:paraId="6FFA8E55">
            <w:pPr>
              <w:spacing w:before="156" w:beforeLines="50" w:after="156" w:afterLines="50"/>
              <w:jc w:val="center"/>
              <w:rPr>
                <w:rFonts w:ascii="宋体"/>
                <w:kern w:val="0"/>
                <w:sz w:val="18"/>
                <w:szCs w:val="18"/>
              </w:rPr>
            </w:pPr>
            <w:r>
              <w:rPr>
                <w:rFonts w:hint="eastAsia" w:ascii="宋体"/>
                <w:kern w:val="0"/>
                <w:sz w:val="18"/>
                <w:szCs w:val="18"/>
              </w:rPr>
              <w:t>从轻</w:t>
            </w:r>
          </w:p>
        </w:tc>
        <w:tc>
          <w:tcPr>
            <w:tcW w:w="4161" w:type="dxa"/>
            <w:vAlign w:val="center"/>
          </w:tcPr>
          <w:p w14:paraId="0118030F">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8647" w:type="dxa"/>
            <w:tcBorders>
              <w:left w:val="single" w:color="auto" w:sz="4" w:space="0"/>
              <w:bottom w:val="single" w:color="auto" w:sz="4" w:space="0"/>
              <w:right w:val="single" w:color="auto" w:sz="4" w:space="0"/>
            </w:tcBorders>
            <w:vAlign w:val="center"/>
          </w:tcPr>
          <w:p w14:paraId="3D0B7326">
            <w:pPr>
              <w:spacing w:before="156" w:beforeLines="50" w:after="156" w:afterLines="50"/>
              <w:jc w:val="left"/>
              <w:rPr>
                <w:rFonts w:ascii="宋体"/>
                <w:kern w:val="0"/>
                <w:sz w:val="18"/>
                <w:szCs w:val="18"/>
              </w:rPr>
            </w:pPr>
            <w:r>
              <w:rPr>
                <w:sz w:val="18"/>
                <w:szCs w:val="18"/>
              </w:rPr>
              <w:t>2</w:t>
            </w:r>
            <w:r>
              <w:rPr>
                <w:rFonts w:hint="eastAsia"/>
                <w:sz w:val="18"/>
                <w:szCs w:val="18"/>
              </w:rPr>
              <w:t>万元及以上</w:t>
            </w:r>
            <w:r>
              <w:rPr>
                <w:sz w:val="18"/>
                <w:szCs w:val="18"/>
              </w:rPr>
              <w:t>2.</w:t>
            </w:r>
            <w:r>
              <w:rPr>
                <w:rFonts w:hint="eastAsia"/>
                <w:sz w:val="18"/>
                <w:szCs w:val="18"/>
              </w:rPr>
              <w:t>5万元以下</w:t>
            </w:r>
          </w:p>
        </w:tc>
      </w:tr>
      <w:tr w14:paraId="1D48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684" w:type="dxa"/>
            <w:vMerge w:val="continue"/>
            <w:vAlign w:val="center"/>
          </w:tcPr>
          <w:p w14:paraId="2F13F04F">
            <w:pPr>
              <w:spacing w:before="156" w:beforeLines="50" w:after="156" w:afterLines="50"/>
              <w:jc w:val="left"/>
              <w:rPr>
                <w:rFonts w:ascii="宋体"/>
                <w:kern w:val="0"/>
                <w:sz w:val="18"/>
                <w:szCs w:val="18"/>
              </w:rPr>
            </w:pPr>
          </w:p>
        </w:tc>
        <w:tc>
          <w:tcPr>
            <w:tcW w:w="1294" w:type="dxa"/>
            <w:vMerge w:val="continue"/>
            <w:vAlign w:val="center"/>
          </w:tcPr>
          <w:p w14:paraId="7BCE8086">
            <w:pPr>
              <w:spacing w:before="156" w:beforeLines="50" w:after="156" w:afterLines="50"/>
              <w:jc w:val="left"/>
              <w:rPr>
                <w:rFonts w:ascii="宋体"/>
                <w:kern w:val="0"/>
                <w:sz w:val="18"/>
                <w:szCs w:val="18"/>
              </w:rPr>
            </w:pPr>
          </w:p>
        </w:tc>
        <w:tc>
          <w:tcPr>
            <w:tcW w:w="1294" w:type="dxa"/>
            <w:vMerge w:val="continue"/>
            <w:vAlign w:val="center"/>
          </w:tcPr>
          <w:p w14:paraId="5500903C">
            <w:pPr>
              <w:widowControl/>
              <w:spacing w:before="156" w:beforeLines="50" w:after="156" w:afterLines="50"/>
              <w:jc w:val="left"/>
              <w:rPr>
                <w:rFonts w:ascii="宋体"/>
                <w:kern w:val="0"/>
                <w:sz w:val="18"/>
                <w:szCs w:val="18"/>
              </w:rPr>
            </w:pPr>
          </w:p>
        </w:tc>
        <w:tc>
          <w:tcPr>
            <w:tcW w:w="2730" w:type="dxa"/>
            <w:vMerge w:val="continue"/>
            <w:vAlign w:val="center"/>
          </w:tcPr>
          <w:p w14:paraId="28EADD0C">
            <w:pPr>
              <w:spacing w:before="156" w:beforeLines="50" w:after="156" w:afterLines="50"/>
              <w:jc w:val="left"/>
              <w:rPr>
                <w:rFonts w:ascii="宋体"/>
                <w:kern w:val="0"/>
                <w:sz w:val="18"/>
                <w:szCs w:val="18"/>
              </w:rPr>
            </w:pPr>
          </w:p>
        </w:tc>
        <w:tc>
          <w:tcPr>
            <w:tcW w:w="718" w:type="dxa"/>
            <w:vMerge w:val="restart"/>
            <w:vAlign w:val="center"/>
          </w:tcPr>
          <w:p w14:paraId="7F7AD1F4">
            <w:pPr>
              <w:spacing w:before="156" w:beforeLines="50" w:after="156" w:afterLines="50"/>
              <w:jc w:val="center"/>
              <w:rPr>
                <w:rFonts w:ascii="宋体"/>
                <w:kern w:val="0"/>
                <w:sz w:val="18"/>
                <w:szCs w:val="18"/>
              </w:rPr>
            </w:pPr>
            <w:r>
              <w:rPr>
                <w:rFonts w:hint="eastAsia" w:ascii="宋体"/>
                <w:kern w:val="0"/>
                <w:sz w:val="18"/>
                <w:szCs w:val="18"/>
              </w:rPr>
              <w:t>一般</w:t>
            </w:r>
          </w:p>
        </w:tc>
        <w:tc>
          <w:tcPr>
            <w:tcW w:w="4161" w:type="dxa"/>
            <w:vAlign w:val="center"/>
          </w:tcPr>
          <w:p w14:paraId="46BA19A7">
            <w:pPr>
              <w:widowControl/>
              <w:spacing w:before="156" w:beforeLines="50" w:after="156" w:afterLines="50"/>
              <w:jc w:val="left"/>
              <w:rPr>
                <w:sz w:val="18"/>
                <w:szCs w:val="18"/>
              </w:rPr>
            </w:pPr>
            <w:r>
              <w:rPr>
                <w:rFonts w:hint="eastAsia"/>
                <w:sz w:val="18"/>
                <w:szCs w:val="18"/>
              </w:rPr>
              <w:t>伪造、变造或者买卖船员服务簿、船员基本安全培训合格证的。</w:t>
            </w:r>
          </w:p>
        </w:tc>
        <w:tc>
          <w:tcPr>
            <w:tcW w:w="8647" w:type="dxa"/>
            <w:tcBorders>
              <w:top w:val="single" w:color="auto" w:sz="4" w:space="0"/>
              <w:left w:val="single" w:color="auto" w:sz="4" w:space="0"/>
              <w:bottom w:val="single" w:color="auto" w:sz="4" w:space="0"/>
              <w:right w:val="single" w:color="auto" w:sz="4" w:space="0"/>
            </w:tcBorders>
            <w:vAlign w:val="center"/>
          </w:tcPr>
          <w:p w14:paraId="177CB93D">
            <w:pPr>
              <w:spacing w:before="156" w:beforeLines="50" w:after="156" w:afterLines="50"/>
              <w:jc w:val="left"/>
              <w:rPr>
                <w:rFonts w:ascii="宋体"/>
                <w:kern w:val="0"/>
                <w:sz w:val="18"/>
                <w:szCs w:val="18"/>
              </w:rPr>
            </w:pPr>
            <w:r>
              <w:rPr>
                <w:sz w:val="18"/>
                <w:szCs w:val="18"/>
              </w:rPr>
              <w:t>2.</w:t>
            </w:r>
            <w:r>
              <w:rPr>
                <w:rFonts w:hint="eastAsia"/>
                <w:sz w:val="18"/>
                <w:szCs w:val="18"/>
              </w:rPr>
              <w:t>5万元及以上</w:t>
            </w:r>
            <w:r>
              <w:rPr>
                <w:sz w:val="18"/>
                <w:szCs w:val="18"/>
              </w:rPr>
              <w:t>4</w:t>
            </w:r>
            <w:r>
              <w:rPr>
                <w:rFonts w:hint="eastAsia"/>
                <w:sz w:val="18"/>
                <w:szCs w:val="18"/>
              </w:rPr>
              <w:t>万元以下</w:t>
            </w:r>
          </w:p>
        </w:tc>
      </w:tr>
      <w:tr w14:paraId="147C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8" w:hRule="atLeast"/>
        </w:trPr>
        <w:tc>
          <w:tcPr>
            <w:tcW w:w="684" w:type="dxa"/>
            <w:vMerge w:val="continue"/>
            <w:vAlign w:val="center"/>
          </w:tcPr>
          <w:p w14:paraId="1D0C81DA">
            <w:pPr>
              <w:spacing w:before="156" w:beforeLines="50" w:after="156" w:afterLines="50"/>
              <w:jc w:val="left"/>
              <w:rPr>
                <w:rFonts w:ascii="宋体"/>
                <w:kern w:val="0"/>
                <w:sz w:val="18"/>
                <w:szCs w:val="18"/>
              </w:rPr>
            </w:pPr>
          </w:p>
        </w:tc>
        <w:tc>
          <w:tcPr>
            <w:tcW w:w="1294" w:type="dxa"/>
            <w:vMerge w:val="continue"/>
            <w:vAlign w:val="center"/>
          </w:tcPr>
          <w:p w14:paraId="1F9C5EBF">
            <w:pPr>
              <w:spacing w:before="156" w:beforeLines="50" w:after="156" w:afterLines="50"/>
              <w:jc w:val="left"/>
              <w:rPr>
                <w:rFonts w:ascii="宋体"/>
                <w:kern w:val="0"/>
                <w:sz w:val="18"/>
                <w:szCs w:val="18"/>
              </w:rPr>
            </w:pPr>
          </w:p>
        </w:tc>
        <w:tc>
          <w:tcPr>
            <w:tcW w:w="1294" w:type="dxa"/>
            <w:vMerge w:val="continue"/>
            <w:vAlign w:val="center"/>
          </w:tcPr>
          <w:p w14:paraId="3EBF0E76">
            <w:pPr>
              <w:spacing w:before="156" w:beforeLines="50" w:after="156" w:afterLines="50"/>
              <w:jc w:val="left"/>
              <w:rPr>
                <w:rFonts w:ascii="宋体"/>
                <w:kern w:val="0"/>
                <w:sz w:val="18"/>
                <w:szCs w:val="18"/>
              </w:rPr>
            </w:pPr>
          </w:p>
        </w:tc>
        <w:tc>
          <w:tcPr>
            <w:tcW w:w="2730" w:type="dxa"/>
            <w:vMerge w:val="continue"/>
            <w:vAlign w:val="center"/>
          </w:tcPr>
          <w:p w14:paraId="0A4347E3">
            <w:pPr>
              <w:spacing w:before="156" w:beforeLines="50" w:after="156" w:afterLines="50"/>
              <w:jc w:val="left"/>
              <w:rPr>
                <w:rFonts w:ascii="宋体"/>
                <w:kern w:val="0"/>
                <w:sz w:val="18"/>
                <w:szCs w:val="18"/>
              </w:rPr>
            </w:pPr>
          </w:p>
        </w:tc>
        <w:tc>
          <w:tcPr>
            <w:tcW w:w="718" w:type="dxa"/>
            <w:vMerge w:val="continue"/>
            <w:vAlign w:val="center"/>
          </w:tcPr>
          <w:p w14:paraId="4BA34B99">
            <w:pPr>
              <w:spacing w:before="156" w:beforeLines="50" w:after="156" w:afterLines="50"/>
              <w:jc w:val="center"/>
              <w:rPr>
                <w:rFonts w:ascii="宋体"/>
                <w:kern w:val="0"/>
                <w:sz w:val="18"/>
                <w:szCs w:val="18"/>
              </w:rPr>
            </w:pPr>
          </w:p>
        </w:tc>
        <w:tc>
          <w:tcPr>
            <w:tcW w:w="4161" w:type="dxa"/>
            <w:tcBorders>
              <w:top w:val="single" w:color="auto" w:sz="4" w:space="0"/>
              <w:bottom w:val="single" w:color="auto" w:sz="4" w:space="0"/>
            </w:tcBorders>
            <w:vAlign w:val="center"/>
          </w:tcPr>
          <w:p w14:paraId="61A124F8">
            <w:pPr>
              <w:spacing w:before="156" w:beforeLines="50" w:after="156" w:afterLines="50"/>
              <w:jc w:val="left"/>
              <w:rPr>
                <w:sz w:val="18"/>
                <w:szCs w:val="18"/>
              </w:rPr>
            </w:pPr>
            <w:r>
              <w:rPr>
                <w:rFonts w:hint="eastAsia"/>
                <w:sz w:val="18"/>
                <w:szCs w:val="18"/>
              </w:rPr>
              <w:t>1.在客船、危险品船等特殊船舶上工作的船员，伪造、变造或者买卖特殊培训合格证明的；</w:t>
            </w:r>
          </w:p>
          <w:p w14:paraId="633D3639">
            <w:pPr>
              <w:spacing w:before="156" w:beforeLines="50" w:after="156" w:afterLines="50"/>
              <w:rPr>
                <w:sz w:val="18"/>
                <w:szCs w:val="18"/>
              </w:rPr>
            </w:pPr>
            <w:r>
              <w:rPr>
                <w:rFonts w:hint="eastAsia"/>
                <w:sz w:val="18"/>
                <w:szCs w:val="18"/>
              </w:rPr>
              <w:t>2. 伪造、变造或者买卖船员适任证书、中华人民共和国海员证的。</w:t>
            </w:r>
          </w:p>
        </w:tc>
        <w:tc>
          <w:tcPr>
            <w:tcW w:w="8647" w:type="dxa"/>
            <w:tcBorders>
              <w:top w:val="single" w:color="auto" w:sz="4" w:space="0"/>
              <w:left w:val="single" w:color="auto" w:sz="4" w:space="0"/>
              <w:bottom w:val="single" w:color="auto" w:sz="4" w:space="0"/>
              <w:right w:val="single" w:color="auto" w:sz="4" w:space="0"/>
            </w:tcBorders>
            <w:vAlign w:val="center"/>
          </w:tcPr>
          <w:p w14:paraId="7097E268">
            <w:pPr>
              <w:spacing w:before="156" w:beforeLines="50" w:after="156" w:afterLines="50"/>
              <w:jc w:val="left"/>
              <w:rPr>
                <w:rFonts w:ascii="宋体"/>
                <w:kern w:val="0"/>
                <w:sz w:val="18"/>
                <w:szCs w:val="18"/>
              </w:rPr>
            </w:pPr>
            <w:r>
              <w:rPr>
                <w:sz w:val="18"/>
                <w:szCs w:val="18"/>
              </w:rPr>
              <w:t>4</w:t>
            </w:r>
            <w:r>
              <w:rPr>
                <w:rFonts w:hint="eastAsia"/>
                <w:sz w:val="18"/>
                <w:szCs w:val="18"/>
              </w:rPr>
              <w:t>万元及以上</w:t>
            </w:r>
            <w:r>
              <w:rPr>
                <w:sz w:val="18"/>
                <w:szCs w:val="18"/>
              </w:rPr>
              <w:t>5.</w:t>
            </w:r>
            <w:r>
              <w:rPr>
                <w:rFonts w:hint="eastAsia"/>
                <w:sz w:val="18"/>
                <w:szCs w:val="18"/>
              </w:rPr>
              <w:t>5万元以下</w:t>
            </w:r>
          </w:p>
        </w:tc>
      </w:tr>
      <w:tr w14:paraId="7D97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14:paraId="2B9A7742">
            <w:pPr>
              <w:spacing w:before="156" w:beforeLines="50" w:after="156" w:afterLines="50"/>
              <w:jc w:val="left"/>
              <w:rPr>
                <w:rFonts w:ascii="宋体"/>
                <w:kern w:val="0"/>
                <w:sz w:val="18"/>
                <w:szCs w:val="18"/>
              </w:rPr>
            </w:pPr>
          </w:p>
        </w:tc>
        <w:tc>
          <w:tcPr>
            <w:tcW w:w="1294" w:type="dxa"/>
            <w:vMerge w:val="continue"/>
            <w:vAlign w:val="center"/>
          </w:tcPr>
          <w:p w14:paraId="5F635BFB">
            <w:pPr>
              <w:spacing w:before="156" w:beforeLines="50" w:after="156" w:afterLines="50"/>
              <w:jc w:val="left"/>
              <w:rPr>
                <w:rFonts w:ascii="宋体"/>
                <w:kern w:val="0"/>
                <w:sz w:val="18"/>
                <w:szCs w:val="18"/>
              </w:rPr>
            </w:pPr>
          </w:p>
        </w:tc>
        <w:tc>
          <w:tcPr>
            <w:tcW w:w="1294" w:type="dxa"/>
            <w:vMerge w:val="continue"/>
            <w:vAlign w:val="center"/>
          </w:tcPr>
          <w:p w14:paraId="7BF1C223">
            <w:pPr>
              <w:spacing w:before="156" w:beforeLines="50" w:after="156" w:afterLines="50"/>
              <w:jc w:val="left"/>
              <w:rPr>
                <w:rFonts w:ascii="宋体"/>
                <w:kern w:val="0"/>
                <w:sz w:val="18"/>
                <w:szCs w:val="18"/>
              </w:rPr>
            </w:pPr>
          </w:p>
        </w:tc>
        <w:tc>
          <w:tcPr>
            <w:tcW w:w="2730" w:type="dxa"/>
            <w:vMerge w:val="continue"/>
            <w:vAlign w:val="center"/>
          </w:tcPr>
          <w:p w14:paraId="54688CE2">
            <w:pPr>
              <w:spacing w:before="156" w:beforeLines="50" w:after="156" w:afterLines="50"/>
              <w:jc w:val="left"/>
              <w:rPr>
                <w:rFonts w:ascii="宋体"/>
                <w:kern w:val="0"/>
                <w:sz w:val="18"/>
                <w:szCs w:val="18"/>
              </w:rPr>
            </w:pPr>
          </w:p>
        </w:tc>
        <w:tc>
          <w:tcPr>
            <w:tcW w:w="718" w:type="dxa"/>
            <w:vMerge w:val="continue"/>
            <w:vAlign w:val="center"/>
          </w:tcPr>
          <w:p w14:paraId="72ECB9EE">
            <w:pPr>
              <w:spacing w:before="156" w:beforeLines="50" w:after="156" w:afterLines="50"/>
              <w:jc w:val="center"/>
              <w:rPr>
                <w:rFonts w:ascii="宋体"/>
                <w:kern w:val="0"/>
                <w:sz w:val="18"/>
                <w:szCs w:val="18"/>
              </w:rPr>
            </w:pPr>
          </w:p>
        </w:tc>
        <w:tc>
          <w:tcPr>
            <w:tcW w:w="4161" w:type="dxa"/>
            <w:tcBorders>
              <w:top w:val="single" w:color="auto" w:sz="4" w:space="0"/>
              <w:bottom w:val="single" w:color="auto" w:sz="4" w:space="0"/>
            </w:tcBorders>
            <w:vAlign w:val="center"/>
          </w:tcPr>
          <w:p w14:paraId="57C3599E">
            <w:pPr>
              <w:spacing w:before="156" w:beforeLines="50" w:after="156" w:afterLines="50"/>
              <w:rPr>
                <w:rFonts w:ascii="宋体"/>
                <w:kern w:val="0"/>
                <w:sz w:val="18"/>
                <w:szCs w:val="18"/>
              </w:rPr>
            </w:pPr>
            <w:r>
              <w:rPr>
                <w:rFonts w:hint="eastAsia"/>
                <w:sz w:val="18"/>
                <w:szCs w:val="18"/>
              </w:rPr>
              <w:t>1..因伪造、变造或者买卖船员服务簿、船员适任证书、船员培训合格证书、中华人民共和国海员证而导致一般及以上水上交通事故、船舶事故，或者造成不良影响的</w:t>
            </w:r>
            <w:r>
              <w:rPr>
                <w:rFonts w:hint="eastAsia" w:ascii="宋体"/>
                <w:kern w:val="0"/>
                <w:sz w:val="18"/>
                <w:szCs w:val="18"/>
              </w:rPr>
              <w:t>；</w:t>
            </w:r>
          </w:p>
          <w:p w14:paraId="5D51907C">
            <w:pPr>
              <w:spacing w:before="156" w:beforeLines="50" w:after="156" w:afterLines="50"/>
              <w:jc w:val="left"/>
              <w:rPr>
                <w:rFonts w:ascii="宋体"/>
                <w:kern w:val="0"/>
                <w:sz w:val="18"/>
                <w:szCs w:val="18"/>
              </w:rPr>
            </w:pPr>
            <w:r>
              <w:rPr>
                <w:rFonts w:hint="eastAsia" w:ascii="宋体"/>
                <w:kern w:val="0"/>
                <w:sz w:val="18"/>
                <w:szCs w:val="18"/>
              </w:rPr>
              <w:t>2.具有其他严重情形的。</w:t>
            </w:r>
          </w:p>
        </w:tc>
        <w:tc>
          <w:tcPr>
            <w:tcW w:w="8647" w:type="dxa"/>
            <w:tcBorders>
              <w:top w:val="single" w:color="auto" w:sz="4" w:space="0"/>
              <w:left w:val="single" w:color="auto" w:sz="4" w:space="0"/>
              <w:bottom w:val="single" w:color="auto" w:sz="4" w:space="0"/>
              <w:right w:val="single" w:color="auto" w:sz="4" w:space="0"/>
            </w:tcBorders>
            <w:vAlign w:val="center"/>
          </w:tcPr>
          <w:p w14:paraId="1FC03664">
            <w:pPr>
              <w:spacing w:before="156" w:beforeLines="50" w:after="156" w:afterLines="50"/>
              <w:jc w:val="left"/>
              <w:rPr>
                <w:rFonts w:ascii="宋体"/>
                <w:kern w:val="0"/>
                <w:sz w:val="18"/>
                <w:szCs w:val="18"/>
              </w:rPr>
            </w:pPr>
            <w:r>
              <w:rPr>
                <w:rFonts w:hint="eastAsia"/>
                <w:sz w:val="18"/>
                <w:szCs w:val="18"/>
              </w:rPr>
              <w:t>5.5万元及以上</w:t>
            </w:r>
            <w:r>
              <w:rPr>
                <w:sz w:val="18"/>
                <w:szCs w:val="18"/>
              </w:rPr>
              <w:t>10</w:t>
            </w:r>
            <w:r>
              <w:rPr>
                <w:rFonts w:hint="eastAsia"/>
                <w:sz w:val="18"/>
                <w:szCs w:val="18"/>
              </w:rPr>
              <w:t>万元以下</w:t>
            </w:r>
          </w:p>
        </w:tc>
      </w:tr>
    </w:tbl>
    <w:p w14:paraId="5B0CEB8B">
      <w:pPr>
        <w:spacing w:before="156" w:beforeLines="50" w:after="156" w:afterLines="50"/>
        <w:jc w:val="left"/>
        <w:rPr>
          <w:b/>
          <w:sz w:val="18"/>
          <w:szCs w:val="18"/>
        </w:rPr>
      </w:pPr>
      <w:r>
        <w:rPr>
          <w:rFonts w:hint="eastAsia"/>
          <w:b/>
          <w:sz w:val="18"/>
          <w:szCs w:val="18"/>
        </w:rPr>
        <w:br w:type="page"/>
      </w: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37"/>
        <w:gridCol w:w="1631"/>
        <w:gridCol w:w="2486"/>
        <w:gridCol w:w="2588"/>
        <w:gridCol w:w="905"/>
        <w:gridCol w:w="4962"/>
        <w:gridCol w:w="6655"/>
      </w:tblGrid>
      <w:tr w14:paraId="4BC4E0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4" w:hRule="atLeast"/>
          <w:jc w:val="center"/>
        </w:trPr>
        <w:tc>
          <w:tcPr>
            <w:tcW w:w="1037" w:type="dxa"/>
            <w:vMerge w:val="restart"/>
            <w:vAlign w:val="center"/>
          </w:tcPr>
          <w:p w14:paraId="55F870FB">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631" w:type="dxa"/>
            <w:vMerge w:val="restart"/>
            <w:vAlign w:val="center"/>
          </w:tcPr>
          <w:p w14:paraId="17A4D253">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074" w:type="dxa"/>
            <w:gridSpan w:val="2"/>
            <w:vMerge w:val="restart"/>
            <w:vAlign w:val="center"/>
          </w:tcPr>
          <w:p w14:paraId="0752BBBF">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5" w:type="dxa"/>
            <w:vMerge w:val="restart"/>
            <w:vAlign w:val="center"/>
          </w:tcPr>
          <w:p w14:paraId="6A14BA56">
            <w:pPr>
              <w:spacing w:before="156" w:beforeLines="50" w:after="156" w:afterLines="50"/>
              <w:jc w:val="center"/>
              <w:rPr>
                <w:rFonts w:ascii="宋体"/>
                <w:b/>
                <w:kern w:val="0"/>
                <w:sz w:val="18"/>
                <w:szCs w:val="18"/>
              </w:rPr>
            </w:pPr>
            <w:r>
              <w:rPr>
                <w:rFonts w:hint="eastAsia" w:ascii="宋体"/>
                <w:b/>
                <w:kern w:val="0"/>
                <w:sz w:val="18"/>
                <w:szCs w:val="18"/>
              </w:rPr>
              <w:t>违法</w:t>
            </w:r>
          </w:p>
          <w:p w14:paraId="5E3922FC">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4962" w:type="dxa"/>
            <w:vMerge w:val="restart"/>
            <w:vAlign w:val="center"/>
          </w:tcPr>
          <w:p w14:paraId="1400B413">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00EB49EF">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6655" w:type="dxa"/>
            <w:vAlign w:val="center"/>
          </w:tcPr>
          <w:p w14:paraId="6F7969B4">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处</w:t>
            </w:r>
            <w:r>
              <w:rPr>
                <w:rFonts w:ascii="宋体"/>
                <w:b/>
                <w:sz w:val="18"/>
                <w:szCs w:val="18"/>
              </w:rPr>
              <w:t>1000</w:t>
            </w:r>
            <w:r>
              <w:rPr>
                <w:rFonts w:hint="eastAsia" w:ascii="宋体"/>
                <w:b/>
                <w:sz w:val="18"/>
                <w:szCs w:val="18"/>
              </w:rPr>
              <w:t>元以上</w:t>
            </w:r>
            <w:r>
              <w:rPr>
                <w:rFonts w:ascii="宋体"/>
                <w:b/>
                <w:sz w:val="18"/>
                <w:szCs w:val="18"/>
              </w:rPr>
              <w:t>1</w:t>
            </w:r>
            <w:r>
              <w:rPr>
                <w:rFonts w:hint="eastAsia" w:ascii="宋体"/>
                <w:b/>
                <w:sz w:val="18"/>
                <w:szCs w:val="18"/>
              </w:rPr>
              <w:t>万元以下罚款；情节严重的，并给予暂扣船员适任证书</w:t>
            </w:r>
            <w:r>
              <w:rPr>
                <w:rFonts w:ascii="宋体"/>
                <w:b/>
                <w:sz w:val="18"/>
                <w:szCs w:val="18"/>
              </w:rPr>
              <w:t>6</w:t>
            </w:r>
            <w:r>
              <w:rPr>
                <w:rFonts w:hint="eastAsia" w:ascii="宋体"/>
                <w:b/>
                <w:sz w:val="18"/>
                <w:szCs w:val="18"/>
              </w:rPr>
              <w:t>个月以上</w:t>
            </w:r>
            <w:r>
              <w:rPr>
                <w:rFonts w:ascii="宋体"/>
                <w:b/>
                <w:sz w:val="18"/>
                <w:szCs w:val="18"/>
              </w:rPr>
              <w:t>2</w:t>
            </w:r>
            <w:r>
              <w:rPr>
                <w:rFonts w:hint="eastAsia" w:ascii="宋体"/>
                <w:b/>
                <w:sz w:val="18"/>
                <w:szCs w:val="18"/>
              </w:rPr>
              <w:t>年以下直至吊销船员适任证书的处罚。</w:t>
            </w:r>
          </w:p>
        </w:tc>
      </w:tr>
      <w:tr w14:paraId="2F53A4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14:paraId="7B1D9ECE">
            <w:pPr>
              <w:spacing w:before="156" w:beforeLines="50" w:after="156" w:afterLines="50"/>
              <w:jc w:val="center"/>
              <w:rPr>
                <w:rFonts w:ascii="宋体"/>
                <w:b/>
                <w:kern w:val="0"/>
                <w:sz w:val="18"/>
                <w:szCs w:val="18"/>
              </w:rPr>
            </w:pPr>
          </w:p>
        </w:tc>
        <w:tc>
          <w:tcPr>
            <w:tcW w:w="1631" w:type="dxa"/>
            <w:vMerge w:val="continue"/>
            <w:vAlign w:val="center"/>
          </w:tcPr>
          <w:p w14:paraId="37D6F46E">
            <w:pPr>
              <w:spacing w:before="156" w:beforeLines="50" w:after="156" w:afterLines="50"/>
              <w:jc w:val="center"/>
              <w:rPr>
                <w:rFonts w:ascii="宋体"/>
                <w:b/>
                <w:kern w:val="0"/>
                <w:sz w:val="18"/>
                <w:szCs w:val="18"/>
              </w:rPr>
            </w:pPr>
          </w:p>
        </w:tc>
        <w:tc>
          <w:tcPr>
            <w:tcW w:w="5074" w:type="dxa"/>
            <w:gridSpan w:val="2"/>
            <w:vMerge w:val="continue"/>
            <w:vAlign w:val="center"/>
          </w:tcPr>
          <w:p w14:paraId="1CA99D4C">
            <w:pPr>
              <w:spacing w:before="156" w:beforeLines="50" w:after="156" w:afterLines="50"/>
              <w:jc w:val="center"/>
              <w:rPr>
                <w:rFonts w:ascii="宋体"/>
                <w:b/>
                <w:kern w:val="0"/>
                <w:sz w:val="18"/>
                <w:szCs w:val="18"/>
              </w:rPr>
            </w:pPr>
          </w:p>
        </w:tc>
        <w:tc>
          <w:tcPr>
            <w:tcW w:w="905" w:type="dxa"/>
            <w:vMerge w:val="continue"/>
            <w:vAlign w:val="center"/>
          </w:tcPr>
          <w:p w14:paraId="24E337F4">
            <w:pPr>
              <w:spacing w:before="156" w:beforeLines="50" w:after="156" w:afterLines="50"/>
              <w:jc w:val="left"/>
              <w:rPr>
                <w:rFonts w:ascii="宋体"/>
                <w:b/>
                <w:kern w:val="0"/>
                <w:sz w:val="18"/>
                <w:szCs w:val="18"/>
              </w:rPr>
            </w:pPr>
          </w:p>
        </w:tc>
        <w:tc>
          <w:tcPr>
            <w:tcW w:w="4962" w:type="dxa"/>
            <w:vMerge w:val="continue"/>
            <w:vAlign w:val="center"/>
          </w:tcPr>
          <w:p w14:paraId="2BA32168">
            <w:pPr>
              <w:spacing w:before="156" w:beforeLines="50" w:after="156" w:afterLines="50"/>
              <w:jc w:val="left"/>
              <w:rPr>
                <w:rFonts w:ascii="宋体"/>
                <w:b/>
                <w:kern w:val="0"/>
                <w:sz w:val="18"/>
                <w:szCs w:val="18"/>
              </w:rPr>
            </w:pPr>
          </w:p>
        </w:tc>
        <w:tc>
          <w:tcPr>
            <w:tcW w:w="6655" w:type="dxa"/>
            <w:vAlign w:val="center"/>
          </w:tcPr>
          <w:p w14:paraId="50218619">
            <w:pPr>
              <w:spacing w:before="156" w:beforeLines="50" w:after="156" w:afterLines="50"/>
              <w:jc w:val="center"/>
              <w:rPr>
                <w:rFonts w:ascii="宋体"/>
                <w:b/>
                <w:sz w:val="18"/>
                <w:szCs w:val="18"/>
              </w:rPr>
            </w:pPr>
            <w:r>
              <w:rPr>
                <w:rFonts w:hint="eastAsia" w:ascii="宋体"/>
                <w:b/>
                <w:kern w:val="0"/>
                <w:sz w:val="18"/>
                <w:szCs w:val="18"/>
              </w:rPr>
              <w:t>处罚基准</w:t>
            </w:r>
          </w:p>
        </w:tc>
      </w:tr>
      <w:tr w14:paraId="039CDB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14:paraId="36876E77">
            <w:pPr>
              <w:spacing w:before="156" w:beforeLines="50" w:after="156" w:afterLines="50"/>
              <w:jc w:val="center"/>
              <w:rPr>
                <w:rFonts w:ascii="宋体"/>
                <w:b/>
                <w:kern w:val="0"/>
                <w:sz w:val="18"/>
                <w:szCs w:val="18"/>
              </w:rPr>
            </w:pPr>
          </w:p>
        </w:tc>
        <w:tc>
          <w:tcPr>
            <w:tcW w:w="1631" w:type="dxa"/>
            <w:vMerge w:val="continue"/>
            <w:vAlign w:val="center"/>
          </w:tcPr>
          <w:p w14:paraId="0B6DFF8F">
            <w:pPr>
              <w:spacing w:before="156" w:beforeLines="50" w:after="156" w:afterLines="50"/>
              <w:jc w:val="center"/>
              <w:rPr>
                <w:rFonts w:ascii="宋体"/>
                <w:b/>
                <w:kern w:val="0"/>
                <w:sz w:val="18"/>
                <w:szCs w:val="18"/>
              </w:rPr>
            </w:pPr>
          </w:p>
        </w:tc>
        <w:tc>
          <w:tcPr>
            <w:tcW w:w="2486" w:type="dxa"/>
            <w:vAlign w:val="center"/>
          </w:tcPr>
          <w:p w14:paraId="5A8290B7">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588" w:type="dxa"/>
            <w:vAlign w:val="center"/>
          </w:tcPr>
          <w:p w14:paraId="4C61AAA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5" w:type="dxa"/>
            <w:vMerge w:val="continue"/>
            <w:vAlign w:val="center"/>
          </w:tcPr>
          <w:p w14:paraId="32CB813D">
            <w:pPr>
              <w:spacing w:before="156" w:beforeLines="50" w:after="156" w:afterLines="50"/>
              <w:jc w:val="left"/>
              <w:rPr>
                <w:rFonts w:ascii="宋体"/>
                <w:b/>
                <w:kern w:val="0"/>
                <w:sz w:val="18"/>
                <w:szCs w:val="18"/>
              </w:rPr>
            </w:pPr>
          </w:p>
        </w:tc>
        <w:tc>
          <w:tcPr>
            <w:tcW w:w="4962" w:type="dxa"/>
            <w:vMerge w:val="continue"/>
            <w:vAlign w:val="center"/>
          </w:tcPr>
          <w:p w14:paraId="34648450">
            <w:pPr>
              <w:spacing w:before="156" w:beforeLines="50" w:after="156" w:afterLines="50"/>
              <w:jc w:val="left"/>
              <w:rPr>
                <w:rFonts w:ascii="宋体"/>
                <w:b/>
                <w:kern w:val="0"/>
                <w:sz w:val="18"/>
                <w:szCs w:val="18"/>
              </w:rPr>
            </w:pPr>
          </w:p>
        </w:tc>
        <w:tc>
          <w:tcPr>
            <w:tcW w:w="6655" w:type="dxa"/>
            <w:vAlign w:val="center"/>
          </w:tcPr>
          <w:p w14:paraId="36206235">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322D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10" w:hRule="atLeast"/>
          <w:jc w:val="center"/>
        </w:trPr>
        <w:tc>
          <w:tcPr>
            <w:tcW w:w="1037" w:type="dxa"/>
            <w:vMerge w:val="restart"/>
            <w:vAlign w:val="center"/>
          </w:tcPr>
          <w:p w14:paraId="467646E4">
            <w:pPr>
              <w:spacing w:before="156" w:beforeLines="50" w:after="156" w:afterLines="50"/>
              <w:jc w:val="center"/>
              <w:rPr>
                <w:rFonts w:ascii="宋体"/>
                <w:kern w:val="0"/>
                <w:sz w:val="18"/>
                <w:szCs w:val="18"/>
              </w:rPr>
            </w:pPr>
            <w:r>
              <w:rPr>
                <w:rFonts w:hint="eastAsia" w:ascii="宋体"/>
                <w:kern w:val="0"/>
                <w:sz w:val="18"/>
                <w:szCs w:val="18"/>
              </w:rPr>
              <w:t>77</w:t>
            </w:r>
          </w:p>
        </w:tc>
        <w:tc>
          <w:tcPr>
            <w:tcW w:w="1631" w:type="dxa"/>
            <w:vMerge w:val="restart"/>
            <w:vAlign w:val="center"/>
          </w:tcPr>
          <w:p w14:paraId="6EA9FFC5">
            <w:pPr>
              <w:spacing w:before="156" w:beforeLines="50" w:after="156" w:afterLines="50"/>
              <w:jc w:val="left"/>
              <w:rPr>
                <w:rFonts w:ascii="宋体"/>
                <w:kern w:val="0"/>
                <w:sz w:val="18"/>
                <w:szCs w:val="18"/>
              </w:rPr>
            </w:pPr>
            <w:r>
              <w:rPr>
                <w:rFonts w:hint="eastAsia" w:ascii="宋体"/>
                <w:kern w:val="0"/>
                <w:sz w:val="18"/>
                <w:szCs w:val="18"/>
              </w:rPr>
              <w:t>船员发现或者发生险情、事故、保安事件或者影响航行安全的情况，未及时报告</w:t>
            </w:r>
          </w:p>
        </w:tc>
        <w:tc>
          <w:tcPr>
            <w:tcW w:w="2486" w:type="dxa"/>
            <w:vMerge w:val="restart"/>
            <w:vAlign w:val="center"/>
          </w:tcPr>
          <w:p w14:paraId="3E06747F">
            <w:pPr>
              <w:widowControl/>
              <w:spacing w:before="156" w:beforeLines="50" w:after="156" w:afterLines="50"/>
              <w:jc w:val="left"/>
              <w:rPr>
                <w:rFonts w:ascii="宋体"/>
                <w:kern w:val="0"/>
                <w:sz w:val="18"/>
                <w:szCs w:val="18"/>
              </w:rPr>
            </w:pPr>
            <w:r>
              <w:rPr>
                <w:rFonts w:hint="eastAsia" w:ascii="宋体"/>
                <w:kern w:val="0"/>
                <w:sz w:val="18"/>
                <w:szCs w:val="18"/>
              </w:rPr>
              <w:t>《中华人民共和国船员条例》第十六条第（五）项</w:t>
            </w:r>
          </w:p>
        </w:tc>
        <w:tc>
          <w:tcPr>
            <w:tcW w:w="2588" w:type="dxa"/>
            <w:vMerge w:val="restart"/>
            <w:vAlign w:val="center"/>
          </w:tcPr>
          <w:p w14:paraId="5FAD5EBE">
            <w:pPr>
              <w:widowControl/>
              <w:spacing w:before="156" w:beforeLines="50" w:after="156" w:afterLines="50"/>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《中华人民共和国船员条例》第五十二条第（三）项；</w:t>
            </w:r>
          </w:p>
          <w:p w14:paraId="729FB89E">
            <w:pPr>
              <w:widowControl/>
              <w:spacing w:before="156" w:beforeLines="50" w:after="156" w:afterLines="50"/>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05" w:type="dxa"/>
            <w:vAlign w:val="center"/>
          </w:tcPr>
          <w:p w14:paraId="092A276D">
            <w:pPr>
              <w:spacing w:before="156" w:beforeLines="50" w:after="156" w:afterLines="50"/>
              <w:jc w:val="center"/>
              <w:rPr>
                <w:rFonts w:ascii="宋体"/>
                <w:kern w:val="0"/>
                <w:sz w:val="18"/>
                <w:szCs w:val="18"/>
              </w:rPr>
            </w:pPr>
            <w:r>
              <w:rPr>
                <w:rFonts w:hint="eastAsia" w:ascii="宋体"/>
                <w:kern w:val="0"/>
                <w:sz w:val="18"/>
                <w:szCs w:val="18"/>
              </w:rPr>
              <w:t>从轻</w:t>
            </w:r>
          </w:p>
        </w:tc>
        <w:tc>
          <w:tcPr>
            <w:tcW w:w="4962" w:type="dxa"/>
            <w:vAlign w:val="center"/>
          </w:tcPr>
          <w:p w14:paraId="192CDA5F">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655" w:type="dxa"/>
            <w:vAlign w:val="center"/>
          </w:tcPr>
          <w:p w14:paraId="3F38F78A">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r w14:paraId="2E91D5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8" w:hRule="atLeast"/>
          <w:jc w:val="center"/>
        </w:trPr>
        <w:tc>
          <w:tcPr>
            <w:tcW w:w="1037" w:type="dxa"/>
            <w:vMerge w:val="continue"/>
            <w:vAlign w:val="center"/>
          </w:tcPr>
          <w:p w14:paraId="0DC6406C">
            <w:pPr>
              <w:spacing w:before="156" w:beforeLines="50" w:after="156" w:afterLines="50"/>
              <w:jc w:val="left"/>
              <w:rPr>
                <w:rFonts w:ascii="宋体"/>
                <w:kern w:val="0"/>
                <w:sz w:val="18"/>
                <w:szCs w:val="18"/>
              </w:rPr>
            </w:pPr>
          </w:p>
        </w:tc>
        <w:tc>
          <w:tcPr>
            <w:tcW w:w="1631" w:type="dxa"/>
            <w:vMerge w:val="continue"/>
            <w:vAlign w:val="center"/>
          </w:tcPr>
          <w:p w14:paraId="17FC870D">
            <w:pPr>
              <w:spacing w:before="156" w:beforeLines="50" w:after="156" w:afterLines="50"/>
              <w:jc w:val="left"/>
              <w:rPr>
                <w:rFonts w:ascii="宋体"/>
                <w:kern w:val="0"/>
                <w:sz w:val="18"/>
                <w:szCs w:val="18"/>
              </w:rPr>
            </w:pPr>
          </w:p>
        </w:tc>
        <w:tc>
          <w:tcPr>
            <w:tcW w:w="2486" w:type="dxa"/>
            <w:vMerge w:val="continue"/>
            <w:vAlign w:val="center"/>
          </w:tcPr>
          <w:p w14:paraId="35E9C4A0">
            <w:pPr>
              <w:widowControl/>
              <w:spacing w:before="156" w:beforeLines="50" w:after="156" w:afterLines="50"/>
              <w:jc w:val="left"/>
              <w:rPr>
                <w:rFonts w:ascii="宋体"/>
                <w:kern w:val="0"/>
                <w:sz w:val="18"/>
                <w:szCs w:val="18"/>
              </w:rPr>
            </w:pPr>
          </w:p>
        </w:tc>
        <w:tc>
          <w:tcPr>
            <w:tcW w:w="2588" w:type="dxa"/>
            <w:vMerge w:val="continue"/>
            <w:vAlign w:val="center"/>
          </w:tcPr>
          <w:p w14:paraId="1BEC4FFE">
            <w:pPr>
              <w:spacing w:before="156" w:beforeLines="50" w:after="156" w:afterLines="50"/>
              <w:jc w:val="left"/>
              <w:rPr>
                <w:rFonts w:ascii="宋体"/>
                <w:kern w:val="0"/>
                <w:sz w:val="18"/>
                <w:szCs w:val="18"/>
              </w:rPr>
            </w:pPr>
          </w:p>
        </w:tc>
        <w:tc>
          <w:tcPr>
            <w:tcW w:w="905" w:type="dxa"/>
            <w:vMerge w:val="restart"/>
            <w:vAlign w:val="center"/>
          </w:tcPr>
          <w:p w14:paraId="026F1591">
            <w:pPr>
              <w:spacing w:before="156" w:beforeLines="50" w:after="156" w:afterLines="50"/>
              <w:jc w:val="center"/>
              <w:rPr>
                <w:rFonts w:ascii="宋体"/>
                <w:kern w:val="0"/>
                <w:sz w:val="18"/>
                <w:szCs w:val="18"/>
              </w:rPr>
            </w:pPr>
            <w:r>
              <w:rPr>
                <w:rFonts w:hint="eastAsia" w:ascii="宋体"/>
                <w:kern w:val="0"/>
                <w:sz w:val="18"/>
                <w:szCs w:val="18"/>
              </w:rPr>
              <w:t>一般</w:t>
            </w:r>
          </w:p>
        </w:tc>
        <w:tc>
          <w:tcPr>
            <w:tcW w:w="4962" w:type="dxa"/>
            <w:vAlign w:val="center"/>
          </w:tcPr>
          <w:p w14:paraId="681F7529">
            <w:pPr>
              <w:widowControl/>
              <w:spacing w:before="156" w:beforeLines="50" w:after="156" w:afterLines="50"/>
              <w:jc w:val="left"/>
              <w:rPr>
                <w:rFonts w:ascii="宋体"/>
                <w:kern w:val="0"/>
                <w:sz w:val="18"/>
                <w:szCs w:val="18"/>
              </w:rPr>
            </w:pPr>
            <w:r>
              <w:rPr>
                <w:rFonts w:hint="eastAsia" w:ascii="宋体"/>
                <w:sz w:val="18"/>
                <w:szCs w:val="18"/>
              </w:rPr>
              <w:t>未按照规定报告本船遇险的时间、地点、遇险状况、遇险原因、救助要求。</w:t>
            </w:r>
          </w:p>
        </w:tc>
        <w:tc>
          <w:tcPr>
            <w:tcW w:w="6655" w:type="dxa"/>
            <w:vAlign w:val="center"/>
          </w:tcPr>
          <w:p w14:paraId="24340249">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元以下</w:t>
            </w:r>
          </w:p>
        </w:tc>
      </w:tr>
      <w:tr w14:paraId="21F113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1037" w:type="dxa"/>
            <w:vMerge w:val="continue"/>
            <w:vAlign w:val="center"/>
          </w:tcPr>
          <w:p w14:paraId="19AD09D2">
            <w:pPr>
              <w:spacing w:before="156" w:beforeLines="50" w:after="156" w:afterLines="50"/>
              <w:jc w:val="left"/>
              <w:rPr>
                <w:rFonts w:ascii="宋体"/>
                <w:kern w:val="0"/>
                <w:sz w:val="18"/>
                <w:szCs w:val="18"/>
              </w:rPr>
            </w:pPr>
          </w:p>
        </w:tc>
        <w:tc>
          <w:tcPr>
            <w:tcW w:w="1631" w:type="dxa"/>
            <w:vMerge w:val="continue"/>
            <w:vAlign w:val="center"/>
          </w:tcPr>
          <w:p w14:paraId="4A45F5F7">
            <w:pPr>
              <w:spacing w:before="156" w:beforeLines="50" w:after="156" w:afterLines="50"/>
              <w:jc w:val="left"/>
              <w:rPr>
                <w:rFonts w:ascii="宋体"/>
                <w:kern w:val="0"/>
                <w:sz w:val="18"/>
                <w:szCs w:val="18"/>
              </w:rPr>
            </w:pPr>
          </w:p>
        </w:tc>
        <w:tc>
          <w:tcPr>
            <w:tcW w:w="2486" w:type="dxa"/>
            <w:vMerge w:val="continue"/>
            <w:vAlign w:val="center"/>
          </w:tcPr>
          <w:p w14:paraId="33228C15">
            <w:pPr>
              <w:spacing w:before="156" w:beforeLines="50" w:after="156" w:afterLines="50"/>
              <w:jc w:val="left"/>
              <w:rPr>
                <w:rFonts w:ascii="宋体"/>
                <w:kern w:val="0"/>
                <w:sz w:val="18"/>
                <w:szCs w:val="18"/>
              </w:rPr>
            </w:pPr>
          </w:p>
        </w:tc>
        <w:tc>
          <w:tcPr>
            <w:tcW w:w="2588" w:type="dxa"/>
            <w:vMerge w:val="continue"/>
            <w:vAlign w:val="center"/>
          </w:tcPr>
          <w:p w14:paraId="020EDA4F">
            <w:pPr>
              <w:spacing w:before="156" w:beforeLines="50" w:after="156" w:afterLines="50"/>
              <w:jc w:val="left"/>
              <w:rPr>
                <w:rFonts w:ascii="宋体"/>
                <w:kern w:val="0"/>
                <w:sz w:val="18"/>
                <w:szCs w:val="18"/>
              </w:rPr>
            </w:pPr>
          </w:p>
        </w:tc>
        <w:tc>
          <w:tcPr>
            <w:tcW w:w="905" w:type="dxa"/>
            <w:vMerge w:val="continue"/>
            <w:vAlign w:val="center"/>
          </w:tcPr>
          <w:p w14:paraId="6E095707">
            <w:pPr>
              <w:spacing w:before="156" w:beforeLines="50" w:after="156" w:afterLines="50"/>
              <w:jc w:val="center"/>
              <w:rPr>
                <w:rFonts w:ascii="宋体"/>
                <w:kern w:val="0"/>
                <w:sz w:val="18"/>
                <w:szCs w:val="18"/>
              </w:rPr>
            </w:pPr>
          </w:p>
        </w:tc>
        <w:tc>
          <w:tcPr>
            <w:tcW w:w="4962" w:type="dxa"/>
            <w:vAlign w:val="center"/>
          </w:tcPr>
          <w:p w14:paraId="698FBBEB">
            <w:pPr>
              <w:spacing w:before="156" w:beforeLines="50" w:after="156" w:afterLines="50"/>
              <w:jc w:val="left"/>
              <w:rPr>
                <w:rFonts w:ascii="宋体"/>
                <w:sz w:val="18"/>
                <w:szCs w:val="18"/>
              </w:rPr>
            </w:pPr>
            <w:r>
              <w:rPr>
                <w:rFonts w:hint="eastAsia" w:ascii="宋体"/>
                <w:sz w:val="18"/>
                <w:szCs w:val="18"/>
              </w:rPr>
              <w:t>1.</w:t>
            </w:r>
            <w:r>
              <w:rPr>
                <w:rFonts w:hint="eastAsia" w:ascii="宋体"/>
                <w:kern w:val="0"/>
                <w:sz w:val="18"/>
                <w:szCs w:val="18"/>
              </w:rPr>
              <w:t>发生险情、事故、保安事件或者影响航行安全的情况</w:t>
            </w:r>
            <w:r>
              <w:rPr>
                <w:rFonts w:hint="eastAsia" w:ascii="宋体"/>
                <w:sz w:val="18"/>
                <w:szCs w:val="18"/>
              </w:rPr>
              <w:t>，未按照规定迅速向遇险地海事管理机构以及船舶、浮动设施所有人、经营人报告；</w:t>
            </w:r>
          </w:p>
          <w:p w14:paraId="79621BCD">
            <w:pPr>
              <w:spacing w:before="156" w:beforeLines="50" w:after="156" w:afterLines="50"/>
              <w:jc w:val="left"/>
              <w:rPr>
                <w:rFonts w:ascii="宋体"/>
                <w:sz w:val="18"/>
                <w:szCs w:val="18"/>
              </w:rPr>
            </w:pPr>
            <w:r>
              <w:rPr>
                <w:rFonts w:hint="eastAsia" w:ascii="宋体"/>
                <w:sz w:val="18"/>
                <w:szCs w:val="18"/>
              </w:rPr>
              <w:t>2.发现其他船舶、浮动设施</w:t>
            </w:r>
            <w:r>
              <w:rPr>
                <w:rFonts w:hint="eastAsia" w:ascii="宋体"/>
                <w:kern w:val="0"/>
                <w:sz w:val="18"/>
                <w:szCs w:val="18"/>
              </w:rPr>
              <w:t>发生险情、事故、保安事件或者影响航行安全的情况</w:t>
            </w:r>
            <w:r>
              <w:rPr>
                <w:rFonts w:hint="eastAsia" w:ascii="宋体"/>
                <w:sz w:val="18"/>
                <w:szCs w:val="18"/>
              </w:rPr>
              <w:t>，或者收到求救信号，未将有关情况及时向遇险地海事管理机构报告。</w:t>
            </w:r>
          </w:p>
        </w:tc>
        <w:tc>
          <w:tcPr>
            <w:tcW w:w="6655" w:type="dxa"/>
            <w:vAlign w:val="center"/>
          </w:tcPr>
          <w:p w14:paraId="067D4DEC">
            <w:pPr>
              <w:spacing w:before="156" w:beforeLines="50" w:after="156" w:afterLines="50"/>
              <w:jc w:val="left"/>
              <w:rPr>
                <w:rFonts w:ascii="宋体"/>
                <w:kern w:val="0"/>
                <w:sz w:val="18"/>
                <w:szCs w:val="18"/>
              </w:rPr>
            </w:pPr>
            <w:r>
              <w:rPr>
                <w:rFonts w:ascii="宋体"/>
                <w:kern w:val="0"/>
                <w:sz w:val="18"/>
                <w:szCs w:val="18"/>
              </w:rPr>
              <w:t>3000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r>
      <w:tr w14:paraId="1DE6E1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1" w:hRule="atLeast"/>
          <w:jc w:val="center"/>
        </w:trPr>
        <w:tc>
          <w:tcPr>
            <w:tcW w:w="1037" w:type="dxa"/>
            <w:vMerge w:val="continue"/>
            <w:vAlign w:val="center"/>
          </w:tcPr>
          <w:p w14:paraId="4C61EA76">
            <w:pPr>
              <w:spacing w:before="156" w:beforeLines="50" w:after="156" w:afterLines="50"/>
              <w:jc w:val="left"/>
              <w:rPr>
                <w:rFonts w:ascii="宋体"/>
                <w:kern w:val="0"/>
                <w:sz w:val="18"/>
                <w:szCs w:val="18"/>
              </w:rPr>
            </w:pPr>
          </w:p>
        </w:tc>
        <w:tc>
          <w:tcPr>
            <w:tcW w:w="1631" w:type="dxa"/>
            <w:vMerge w:val="continue"/>
            <w:vAlign w:val="center"/>
          </w:tcPr>
          <w:p w14:paraId="59A69F1C">
            <w:pPr>
              <w:spacing w:before="156" w:beforeLines="50" w:after="156" w:afterLines="50"/>
              <w:jc w:val="left"/>
              <w:rPr>
                <w:rFonts w:ascii="宋体"/>
                <w:kern w:val="0"/>
                <w:sz w:val="18"/>
                <w:szCs w:val="18"/>
              </w:rPr>
            </w:pPr>
          </w:p>
        </w:tc>
        <w:tc>
          <w:tcPr>
            <w:tcW w:w="2486" w:type="dxa"/>
            <w:vMerge w:val="continue"/>
            <w:vAlign w:val="center"/>
          </w:tcPr>
          <w:p w14:paraId="04359C49">
            <w:pPr>
              <w:spacing w:before="156" w:beforeLines="50" w:after="156" w:afterLines="50"/>
              <w:jc w:val="left"/>
              <w:rPr>
                <w:rFonts w:ascii="宋体"/>
                <w:kern w:val="0"/>
                <w:sz w:val="18"/>
                <w:szCs w:val="18"/>
              </w:rPr>
            </w:pPr>
          </w:p>
        </w:tc>
        <w:tc>
          <w:tcPr>
            <w:tcW w:w="2588" w:type="dxa"/>
            <w:vMerge w:val="continue"/>
            <w:vAlign w:val="center"/>
          </w:tcPr>
          <w:p w14:paraId="6160E66E">
            <w:pPr>
              <w:spacing w:before="156" w:beforeLines="50" w:after="156" w:afterLines="50"/>
              <w:jc w:val="left"/>
              <w:rPr>
                <w:rFonts w:ascii="宋体"/>
                <w:kern w:val="0"/>
                <w:sz w:val="18"/>
                <w:szCs w:val="18"/>
              </w:rPr>
            </w:pPr>
          </w:p>
        </w:tc>
        <w:tc>
          <w:tcPr>
            <w:tcW w:w="905" w:type="dxa"/>
            <w:vMerge w:val="restart"/>
            <w:vAlign w:val="center"/>
          </w:tcPr>
          <w:p w14:paraId="5DC97727">
            <w:pPr>
              <w:spacing w:before="156" w:beforeLines="50" w:after="156" w:afterLines="50"/>
              <w:jc w:val="center"/>
              <w:rPr>
                <w:rFonts w:ascii="宋体"/>
                <w:kern w:val="0"/>
                <w:sz w:val="18"/>
                <w:szCs w:val="18"/>
              </w:rPr>
            </w:pPr>
            <w:r>
              <w:rPr>
                <w:rFonts w:hint="eastAsia" w:ascii="宋体"/>
                <w:kern w:val="0"/>
                <w:sz w:val="18"/>
                <w:szCs w:val="18"/>
              </w:rPr>
              <w:t>情节严重</w:t>
            </w:r>
          </w:p>
        </w:tc>
        <w:tc>
          <w:tcPr>
            <w:tcW w:w="4962" w:type="dxa"/>
            <w:tcBorders>
              <w:bottom w:val="single" w:color="auto" w:sz="4" w:space="0"/>
            </w:tcBorders>
            <w:vAlign w:val="center"/>
          </w:tcPr>
          <w:p w14:paraId="568F693B">
            <w:pPr>
              <w:spacing w:before="156" w:beforeLines="50" w:after="156" w:afterLines="50"/>
              <w:jc w:val="left"/>
              <w:rPr>
                <w:rFonts w:ascii="宋体"/>
                <w:kern w:val="0"/>
                <w:sz w:val="18"/>
                <w:szCs w:val="18"/>
              </w:rPr>
            </w:pPr>
            <w:r>
              <w:rPr>
                <w:rFonts w:hint="eastAsia" w:ascii="宋体"/>
                <w:kern w:val="0"/>
                <w:sz w:val="18"/>
                <w:szCs w:val="18"/>
              </w:rPr>
              <w:t>发现或者发生险情、事故、保安事件或者影响航行安全的情况，未及时报告，同时本船或他船发生等级水上交通事故的。</w:t>
            </w:r>
          </w:p>
        </w:tc>
        <w:tc>
          <w:tcPr>
            <w:tcW w:w="6655" w:type="dxa"/>
            <w:tcBorders>
              <w:bottom w:val="single" w:color="auto" w:sz="4" w:space="0"/>
            </w:tcBorders>
            <w:vAlign w:val="center"/>
          </w:tcPr>
          <w:p w14:paraId="3566B951">
            <w:pPr>
              <w:spacing w:before="156" w:beforeLines="50" w:after="156" w:afterLines="50"/>
              <w:jc w:val="left"/>
              <w:rPr>
                <w:rFonts w:ascii="宋体"/>
                <w:kern w:val="0"/>
                <w:sz w:val="18"/>
                <w:szCs w:val="18"/>
              </w:rPr>
            </w:pPr>
            <w:r>
              <w:rPr>
                <w:rFonts w:hint="eastAsia" w:ascii="宋体"/>
                <w:kern w:val="0"/>
                <w:sz w:val="18"/>
                <w:szCs w:val="18"/>
              </w:rPr>
              <w:t>6</w:t>
            </w:r>
            <w:r>
              <w:rPr>
                <w:rFonts w:ascii="宋体"/>
                <w:kern w:val="0"/>
                <w:sz w:val="18"/>
                <w:szCs w:val="18"/>
              </w:rPr>
              <w:t>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334D1F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37" w:type="dxa"/>
            <w:vMerge w:val="continue"/>
            <w:vAlign w:val="center"/>
          </w:tcPr>
          <w:p w14:paraId="17633318">
            <w:pPr>
              <w:spacing w:before="156" w:beforeLines="50" w:after="156" w:afterLines="50"/>
              <w:jc w:val="left"/>
              <w:rPr>
                <w:rFonts w:ascii="宋体"/>
                <w:kern w:val="0"/>
                <w:sz w:val="18"/>
                <w:szCs w:val="18"/>
              </w:rPr>
            </w:pPr>
          </w:p>
        </w:tc>
        <w:tc>
          <w:tcPr>
            <w:tcW w:w="1631" w:type="dxa"/>
            <w:vMerge w:val="continue"/>
            <w:vAlign w:val="center"/>
          </w:tcPr>
          <w:p w14:paraId="4D88FE8F">
            <w:pPr>
              <w:spacing w:before="156" w:beforeLines="50" w:after="156" w:afterLines="50"/>
              <w:jc w:val="left"/>
              <w:rPr>
                <w:rFonts w:ascii="宋体"/>
                <w:kern w:val="0"/>
                <w:sz w:val="18"/>
                <w:szCs w:val="18"/>
              </w:rPr>
            </w:pPr>
          </w:p>
        </w:tc>
        <w:tc>
          <w:tcPr>
            <w:tcW w:w="2486" w:type="dxa"/>
            <w:vMerge w:val="continue"/>
            <w:vAlign w:val="center"/>
          </w:tcPr>
          <w:p w14:paraId="4D97218E">
            <w:pPr>
              <w:spacing w:before="156" w:beforeLines="50" w:after="156" w:afterLines="50"/>
              <w:jc w:val="left"/>
              <w:rPr>
                <w:rFonts w:ascii="宋体"/>
                <w:kern w:val="0"/>
                <w:sz w:val="18"/>
                <w:szCs w:val="18"/>
              </w:rPr>
            </w:pPr>
          </w:p>
        </w:tc>
        <w:tc>
          <w:tcPr>
            <w:tcW w:w="2588" w:type="dxa"/>
            <w:vMerge w:val="continue"/>
            <w:vAlign w:val="center"/>
          </w:tcPr>
          <w:p w14:paraId="1D4567AE">
            <w:pPr>
              <w:spacing w:before="156" w:beforeLines="50" w:after="156" w:afterLines="50"/>
              <w:jc w:val="left"/>
              <w:rPr>
                <w:rFonts w:ascii="宋体"/>
                <w:kern w:val="0"/>
                <w:sz w:val="18"/>
                <w:szCs w:val="18"/>
              </w:rPr>
            </w:pPr>
          </w:p>
        </w:tc>
        <w:tc>
          <w:tcPr>
            <w:tcW w:w="905" w:type="dxa"/>
            <w:vMerge w:val="continue"/>
            <w:vAlign w:val="center"/>
          </w:tcPr>
          <w:p w14:paraId="779D08FD">
            <w:pPr>
              <w:spacing w:before="156" w:beforeLines="50" w:after="156" w:afterLines="50"/>
              <w:jc w:val="center"/>
              <w:rPr>
                <w:rFonts w:ascii="宋体"/>
                <w:kern w:val="0"/>
                <w:sz w:val="18"/>
                <w:szCs w:val="18"/>
              </w:rPr>
            </w:pPr>
          </w:p>
        </w:tc>
        <w:tc>
          <w:tcPr>
            <w:tcW w:w="4962" w:type="dxa"/>
            <w:tcBorders>
              <w:top w:val="single" w:color="auto" w:sz="4" w:space="0"/>
            </w:tcBorders>
            <w:vAlign w:val="center"/>
          </w:tcPr>
          <w:p w14:paraId="6C7021D2">
            <w:pPr>
              <w:spacing w:before="156" w:beforeLines="50" w:after="156" w:afterLines="50"/>
              <w:jc w:val="left"/>
              <w:rPr>
                <w:rFonts w:ascii="宋体"/>
                <w:kern w:val="0"/>
                <w:sz w:val="18"/>
                <w:szCs w:val="18"/>
              </w:rPr>
            </w:pPr>
            <w:r>
              <w:rPr>
                <w:rFonts w:hint="eastAsia" w:ascii="宋体"/>
                <w:kern w:val="0"/>
                <w:sz w:val="18"/>
                <w:szCs w:val="18"/>
              </w:rPr>
              <w:t>具有其他严重情形的。</w:t>
            </w:r>
          </w:p>
        </w:tc>
        <w:tc>
          <w:tcPr>
            <w:tcW w:w="6655" w:type="dxa"/>
            <w:tcBorders>
              <w:top w:val="single" w:color="auto" w:sz="4" w:space="0"/>
            </w:tcBorders>
            <w:vAlign w:val="center"/>
          </w:tcPr>
          <w:p w14:paraId="58F8FBFA">
            <w:pPr>
              <w:spacing w:before="156" w:beforeLines="50" w:after="156" w:afterLines="50"/>
              <w:jc w:val="left"/>
              <w:rPr>
                <w:rFonts w:ascii="宋体"/>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1</w:t>
            </w:r>
            <w:r>
              <w:rPr>
                <w:rFonts w:hint="eastAsia" w:ascii="宋体"/>
                <w:kern w:val="0"/>
                <w:sz w:val="18"/>
                <w:szCs w:val="18"/>
              </w:rPr>
              <w:t>万元及以下，情节严重的，并给予暂扣船员适任证书6个月以上2年以下直至吊销船员适任证书的处罚。</w:t>
            </w:r>
          </w:p>
        </w:tc>
      </w:tr>
    </w:tbl>
    <w:p w14:paraId="65371D7E">
      <w:pPr>
        <w:spacing w:before="156" w:beforeLines="50" w:after="156" w:afterLines="50"/>
        <w:jc w:val="left"/>
        <w:rPr>
          <w:rFonts w:ascii="宋体"/>
          <w:b/>
          <w:sz w:val="18"/>
          <w:szCs w:val="18"/>
        </w:rPr>
      </w:pPr>
      <w:r>
        <w:rPr>
          <w:rFonts w:ascii="宋体"/>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3"/>
        <w:gridCol w:w="914"/>
        <w:gridCol w:w="643"/>
        <w:gridCol w:w="1256"/>
        <w:gridCol w:w="676"/>
        <w:gridCol w:w="1991"/>
        <w:gridCol w:w="2126"/>
        <w:gridCol w:w="2126"/>
        <w:gridCol w:w="2693"/>
        <w:gridCol w:w="2412"/>
        <w:gridCol w:w="2025"/>
        <w:gridCol w:w="1954"/>
        <w:gridCol w:w="1548"/>
      </w:tblGrid>
      <w:tr w14:paraId="4E9DF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63" w:type="dxa"/>
            <w:vMerge w:val="restart"/>
            <w:vAlign w:val="center"/>
          </w:tcPr>
          <w:p w14:paraId="28C6387C">
            <w:pPr>
              <w:spacing w:before="156" w:beforeLines="50" w:after="156" w:afterLines="50"/>
              <w:jc w:val="center"/>
              <w:rPr>
                <w:rFonts w:ascii="宋体"/>
                <w:b/>
                <w:sz w:val="18"/>
                <w:szCs w:val="18"/>
              </w:rPr>
            </w:pPr>
            <w:r>
              <w:rPr>
                <w:rFonts w:hint="eastAsia" w:ascii="宋体"/>
                <w:b/>
                <w:sz w:val="18"/>
                <w:szCs w:val="18"/>
              </w:rPr>
              <w:t>序号</w:t>
            </w:r>
          </w:p>
        </w:tc>
        <w:tc>
          <w:tcPr>
            <w:tcW w:w="914" w:type="dxa"/>
            <w:vMerge w:val="restart"/>
            <w:vAlign w:val="center"/>
          </w:tcPr>
          <w:p w14:paraId="6FD11000">
            <w:pPr>
              <w:spacing w:before="156" w:beforeLines="50" w:after="156" w:afterLines="50"/>
              <w:jc w:val="center"/>
              <w:rPr>
                <w:rFonts w:ascii="宋体"/>
                <w:b/>
                <w:sz w:val="18"/>
                <w:szCs w:val="18"/>
              </w:rPr>
            </w:pPr>
            <w:r>
              <w:rPr>
                <w:rFonts w:hint="eastAsia" w:ascii="宋体"/>
                <w:b/>
                <w:sz w:val="18"/>
                <w:szCs w:val="18"/>
              </w:rPr>
              <w:t>案由</w:t>
            </w:r>
          </w:p>
        </w:tc>
        <w:tc>
          <w:tcPr>
            <w:tcW w:w="1899" w:type="dxa"/>
            <w:gridSpan w:val="2"/>
            <w:vMerge w:val="restart"/>
            <w:vAlign w:val="center"/>
          </w:tcPr>
          <w:p w14:paraId="476F6FFB">
            <w:pPr>
              <w:spacing w:before="156" w:beforeLines="50" w:after="156" w:afterLines="50"/>
              <w:jc w:val="center"/>
              <w:rPr>
                <w:rFonts w:ascii="宋体"/>
                <w:b/>
                <w:sz w:val="18"/>
                <w:szCs w:val="18"/>
              </w:rPr>
            </w:pPr>
            <w:r>
              <w:rPr>
                <w:rFonts w:hint="eastAsia" w:ascii="宋体"/>
                <w:b/>
                <w:sz w:val="18"/>
                <w:szCs w:val="18"/>
              </w:rPr>
              <w:t>法律依据</w:t>
            </w:r>
          </w:p>
        </w:tc>
        <w:tc>
          <w:tcPr>
            <w:tcW w:w="676" w:type="dxa"/>
            <w:vMerge w:val="restart"/>
            <w:vAlign w:val="center"/>
          </w:tcPr>
          <w:p w14:paraId="4766D936">
            <w:pPr>
              <w:spacing w:before="156" w:beforeLines="50" w:after="156" w:afterLines="50"/>
              <w:jc w:val="left"/>
              <w:rPr>
                <w:rFonts w:ascii="宋体"/>
                <w:b/>
                <w:sz w:val="18"/>
                <w:szCs w:val="18"/>
              </w:rPr>
            </w:pPr>
            <w:r>
              <w:rPr>
                <w:rFonts w:hint="eastAsia" w:ascii="宋体"/>
                <w:b/>
                <w:sz w:val="18"/>
                <w:szCs w:val="18"/>
              </w:rPr>
              <w:t>违法行为情节</w:t>
            </w:r>
          </w:p>
        </w:tc>
        <w:tc>
          <w:tcPr>
            <w:tcW w:w="1991" w:type="dxa"/>
            <w:vMerge w:val="restart"/>
            <w:vAlign w:val="center"/>
          </w:tcPr>
          <w:p w14:paraId="79105F9A">
            <w:pPr>
              <w:spacing w:before="156" w:beforeLines="50" w:after="156" w:afterLines="50"/>
              <w:jc w:val="center"/>
              <w:rPr>
                <w:rFonts w:ascii="宋体"/>
                <w:b/>
                <w:sz w:val="18"/>
                <w:szCs w:val="18"/>
              </w:rPr>
            </w:pPr>
            <w:r>
              <w:rPr>
                <w:rFonts w:hint="eastAsia" w:ascii="宋体"/>
                <w:b/>
                <w:sz w:val="18"/>
                <w:szCs w:val="18"/>
              </w:rPr>
              <w:t>主要考虑因素</w:t>
            </w:r>
          </w:p>
          <w:p w14:paraId="4BC0946D">
            <w:pPr>
              <w:spacing w:before="156" w:beforeLines="50" w:after="156" w:afterLines="50"/>
              <w:jc w:val="center"/>
              <w:rPr>
                <w:rFonts w:ascii="宋体"/>
                <w:b/>
                <w:sz w:val="18"/>
                <w:szCs w:val="18"/>
              </w:rPr>
            </w:pPr>
            <w:r>
              <w:rPr>
                <w:rFonts w:hint="eastAsia" w:ascii="宋体"/>
                <w:b/>
                <w:sz w:val="18"/>
                <w:szCs w:val="18"/>
              </w:rPr>
              <w:t>（事实、性质、情节、危害程度和实际后果等）</w:t>
            </w:r>
          </w:p>
        </w:tc>
        <w:tc>
          <w:tcPr>
            <w:tcW w:w="14884" w:type="dxa"/>
            <w:gridSpan w:val="7"/>
            <w:vAlign w:val="center"/>
          </w:tcPr>
          <w:p w14:paraId="1CDF4436">
            <w:pPr>
              <w:spacing w:before="156" w:beforeLines="50" w:after="156" w:afterLines="50"/>
              <w:rPr>
                <w:rFonts w:ascii="宋体"/>
                <w:b/>
                <w:sz w:val="18"/>
                <w:szCs w:val="18"/>
              </w:rPr>
            </w:pPr>
            <w:r>
              <w:rPr>
                <w:rFonts w:hint="eastAsia" w:ascii="宋体"/>
                <w:b/>
                <w:sz w:val="18"/>
                <w:szCs w:val="18"/>
              </w:rPr>
              <w:t>【法定幅度和种类】责令其立即离岗，对直接责任人员处以</w:t>
            </w:r>
            <w:r>
              <w:rPr>
                <w:rFonts w:ascii="宋体"/>
                <w:b/>
                <w:sz w:val="18"/>
                <w:szCs w:val="18"/>
              </w:rPr>
              <w:t>2000</w:t>
            </w:r>
            <w:r>
              <w:rPr>
                <w:rFonts w:hint="eastAsia" w:ascii="宋体"/>
                <w:b/>
                <w:sz w:val="18"/>
                <w:szCs w:val="18"/>
              </w:rPr>
              <w:t>元以上</w:t>
            </w:r>
            <w:r>
              <w:rPr>
                <w:rFonts w:ascii="宋体"/>
                <w:b/>
                <w:sz w:val="18"/>
                <w:szCs w:val="18"/>
              </w:rPr>
              <w:t>2</w:t>
            </w:r>
            <w:r>
              <w:rPr>
                <w:rFonts w:hint="eastAsia" w:ascii="宋体"/>
                <w:b/>
                <w:sz w:val="18"/>
                <w:szCs w:val="18"/>
              </w:rPr>
              <w:t>万元以下罚款，并对聘用单位处3万元以上</w:t>
            </w:r>
            <w:r>
              <w:rPr>
                <w:rFonts w:ascii="宋体"/>
                <w:b/>
                <w:sz w:val="18"/>
                <w:szCs w:val="18"/>
              </w:rPr>
              <w:t>1</w:t>
            </w:r>
            <w:r>
              <w:rPr>
                <w:rFonts w:hint="eastAsia" w:ascii="宋体"/>
                <w:b/>
                <w:sz w:val="18"/>
                <w:szCs w:val="18"/>
              </w:rPr>
              <w:t>5万元以下罚款。</w:t>
            </w:r>
          </w:p>
        </w:tc>
      </w:tr>
      <w:tr w14:paraId="1328F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663" w:type="dxa"/>
            <w:vMerge w:val="continue"/>
            <w:vAlign w:val="center"/>
          </w:tcPr>
          <w:p w14:paraId="3164D1FD">
            <w:pPr>
              <w:spacing w:before="156" w:beforeLines="50" w:after="156" w:afterLines="50"/>
              <w:jc w:val="center"/>
              <w:rPr>
                <w:rFonts w:ascii="宋体"/>
                <w:b/>
                <w:sz w:val="18"/>
                <w:szCs w:val="18"/>
              </w:rPr>
            </w:pPr>
          </w:p>
        </w:tc>
        <w:tc>
          <w:tcPr>
            <w:tcW w:w="914" w:type="dxa"/>
            <w:vMerge w:val="continue"/>
            <w:vAlign w:val="center"/>
          </w:tcPr>
          <w:p w14:paraId="295A4948">
            <w:pPr>
              <w:spacing w:before="156" w:beforeLines="50" w:after="156" w:afterLines="50"/>
              <w:jc w:val="left"/>
              <w:rPr>
                <w:rFonts w:ascii="宋体"/>
                <w:b/>
                <w:sz w:val="18"/>
                <w:szCs w:val="18"/>
              </w:rPr>
            </w:pPr>
          </w:p>
        </w:tc>
        <w:tc>
          <w:tcPr>
            <w:tcW w:w="1899" w:type="dxa"/>
            <w:gridSpan w:val="2"/>
            <w:vMerge w:val="continue"/>
            <w:vAlign w:val="center"/>
          </w:tcPr>
          <w:p w14:paraId="7685D236">
            <w:pPr>
              <w:spacing w:before="156" w:beforeLines="50" w:after="156" w:afterLines="50"/>
              <w:jc w:val="center"/>
              <w:rPr>
                <w:rFonts w:ascii="宋体"/>
                <w:b/>
                <w:sz w:val="18"/>
                <w:szCs w:val="18"/>
              </w:rPr>
            </w:pPr>
          </w:p>
        </w:tc>
        <w:tc>
          <w:tcPr>
            <w:tcW w:w="676" w:type="dxa"/>
            <w:vMerge w:val="continue"/>
            <w:vAlign w:val="center"/>
          </w:tcPr>
          <w:p w14:paraId="66D05A29">
            <w:pPr>
              <w:spacing w:before="156" w:beforeLines="50" w:after="156" w:afterLines="50"/>
              <w:jc w:val="left"/>
              <w:rPr>
                <w:rFonts w:ascii="宋体"/>
                <w:b/>
                <w:sz w:val="18"/>
                <w:szCs w:val="18"/>
              </w:rPr>
            </w:pPr>
          </w:p>
        </w:tc>
        <w:tc>
          <w:tcPr>
            <w:tcW w:w="1991" w:type="dxa"/>
            <w:vMerge w:val="continue"/>
            <w:vAlign w:val="center"/>
          </w:tcPr>
          <w:p w14:paraId="17DE0AA1">
            <w:pPr>
              <w:spacing w:before="156" w:beforeLines="50" w:after="156" w:afterLines="50"/>
              <w:jc w:val="center"/>
              <w:rPr>
                <w:rFonts w:ascii="宋体"/>
                <w:b/>
                <w:sz w:val="18"/>
                <w:szCs w:val="18"/>
              </w:rPr>
            </w:pPr>
          </w:p>
        </w:tc>
        <w:tc>
          <w:tcPr>
            <w:tcW w:w="9357" w:type="dxa"/>
            <w:gridSpan w:val="4"/>
            <w:vAlign w:val="center"/>
          </w:tcPr>
          <w:p w14:paraId="6045170C">
            <w:pPr>
              <w:spacing w:before="156" w:beforeLines="50" w:after="156" w:afterLines="50"/>
              <w:jc w:val="center"/>
              <w:rPr>
                <w:rFonts w:ascii="宋体"/>
                <w:b/>
                <w:sz w:val="18"/>
                <w:szCs w:val="18"/>
              </w:rPr>
            </w:pPr>
            <w:r>
              <w:rPr>
                <w:rFonts w:hint="eastAsia" w:ascii="宋体"/>
                <w:b/>
                <w:sz w:val="18"/>
                <w:szCs w:val="18"/>
              </w:rPr>
              <w:t>处罚基准</w:t>
            </w:r>
          </w:p>
        </w:tc>
        <w:tc>
          <w:tcPr>
            <w:tcW w:w="5527" w:type="dxa"/>
            <w:gridSpan w:val="3"/>
            <w:vAlign w:val="center"/>
          </w:tcPr>
          <w:p w14:paraId="73F40538">
            <w:pPr>
              <w:spacing w:before="156" w:beforeLines="50" w:after="156" w:afterLines="50"/>
              <w:jc w:val="center"/>
              <w:rPr>
                <w:rFonts w:ascii="宋体"/>
                <w:b/>
                <w:sz w:val="18"/>
                <w:szCs w:val="18"/>
              </w:rPr>
            </w:pPr>
            <w:r>
              <w:rPr>
                <w:rFonts w:hint="eastAsia" w:ascii="宋体"/>
                <w:b/>
                <w:sz w:val="18"/>
                <w:szCs w:val="18"/>
              </w:rPr>
              <w:t>减轻处罚基准</w:t>
            </w:r>
          </w:p>
        </w:tc>
      </w:tr>
      <w:tr w14:paraId="13274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63" w:type="dxa"/>
            <w:vMerge w:val="continue"/>
            <w:vAlign w:val="center"/>
          </w:tcPr>
          <w:p w14:paraId="5F0845A8">
            <w:pPr>
              <w:spacing w:before="156" w:beforeLines="50" w:after="156" w:afterLines="50"/>
              <w:jc w:val="left"/>
              <w:rPr>
                <w:rFonts w:ascii="宋体"/>
                <w:b/>
                <w:sz w:val="18"/>
                <w:szCs w:val="18"/>
              </w:rPr>
            </w:pPr>
          </w:p>
        </w:tc>
        <w:tc>
          <w:tcPr>
            <w:tcW w:w="914" w:type="dxa"/>
            <w:vMerge w:val="continue"/>
            <w:vAlign w:val="center"/>
          </w:tcPr>
          <w:p w14:paraId="05E5F444">
            <w:pPr>
              <w:spacing w:before="156" w:beforeLines="50" w:after="156" w:afterLines="50"/>
              <w:jc w:val="left"/>
              <w:rPr>
                <w:rFonts w:ascii="宋体"/>
                <w:b/>
                <w:sz w:val="18"/>
                <w:szCs w:val="18"/>
              </w:rPr>
            </w:pPr>
          </w:p>
        </w:tc>
        <w:tc>
          <w:tcPr>
            <w:tcW w:w="1899" w:type="dxa"/>
            <w:gridSpan w:val="2"/>
            <w:vMerge w:val="continue"/>
            <w:vAlign w:val="center"/>
          </w:tcPr>
          <w:p w14:paraId="44A6659D">
            <w:pPr>
              <w:spacing w:before="156" w:beforeLines="50" w:after="156" w:afterLines="50"/>
              <w:jc w:val="left"/>
              <w:rPr>
                <w:rFonts w:ascii="宋体"/>
                <w:b/>
                <w:sz w:val="18"/>
                <w:szCs w:val="18"/>
              </w:rPr>
            </w:pPr>
          </w:p>
        </w:tc>
        <w:tc>
          <w:tcPr>
            <w:tcW w:w="676" w:type="dxa"/>
            <w:vMerge w:val="continue"/>
            <w:vAlign w:val="center"/>
          </w:tcPr>
          <w:p w14:paraId="7EC07434">
            <w:pPr>
              <w:spacing w:before="156" w:beforeLines="50" w:after="156" w:afterLines="50"/>
              <w:jc w:val="left"/>
              <w:rPr>
                <w:rFonts w:ascii="宋体"/>
                <w:b/>
                <w:sz w:val="18"/>
                <w:szCs w:val="18"/>
              </w:rPr>
            </w:pPr>
          </w:p>
        </w:tc>
        <w:tc>
          <w:tcPr>
            <w:tcW w:w="1991" w:type="dxa"/>
            <w:vMerge w:val="continue"/>
            <w:vAlign w:val="center"/>
          </w:tcPr>
          <w:p w14:paraId="6468D278">
            <w:pPr>
              <w:spacing w:before="156" w:beforeLines="50" w:after="156" w:afterLines="50"/>
              <w:jc w:val="left"/>
              <w:rPr>
                <w:rFonts w:ascii="宋体"/>
                <w:b/>
                <w:sz w:val="18"/>
                <w:szCs w:val="18"/>
              </w:rPr>
            </w:pPr>
          </w:p>
        </w:tc>
        <w:tc>
          <w:tcPr>
            <w:tcW w:w="6945" w:type="dxa"/>
            <w:gridSpan w:val="3"/>
            <w:vAlign w:val="center"/>
          </w:tcPr>
          <w:p w14:paraId="0F376FA9">
            <w:pPr>
              <w:spacing w:before="156" w:beforeLines="50" w:after="156" w:afterLines="50"/>
              <w:jc w:val="center"/>
              <w:rPr>
                <w:rFonts w:ascii="宋体"/>
                <w:b/>
                <w:sz w:val="18"/>
                <w:szCs w:val="18"/>
              </w:rPr>
            </w:pPr>
            <w:r>
              <w:rPr>
                <w:rFonts w:hint="eastAsia" w:ascii="宋体"/>
                <w:b/>
                <w:sz w:val="18"/>
                <w:szCs w:val="18"/>
              </w:rPr>
              <w:t>【对象】聘用单位</w:t>
            </w:r>
          </w:p>
        </w:tc>
        <w:tc>
          <w:tcPr>
            <w:tcW w:w="2412" w:type="dxa"/>
            <w:vMerge w:val="restart"/>
            <w:vAlign w:val="center"/>
          </w:tcPr>
          <w:p w14:paraId="2B43722C">
            <w:pPr>
              <w:spacing w:before="156" w:beforeLines="50" w:after="156" w:afterLines="50"/>
              <w:jc w:val="center"/>
              <w:rPr>
                <w:rFonts w:ascii="宋体"/>
                <w:b/>
                <w:sz w:val="18"/>
                <w:szCs w:val="18"/>
              </w:rPr>
            </w:pPr>
            <w:r>
              <w:rPr>
                <w:rFonts w:hint="eastAsia" w:ascii="宋体"/>
                <w:b/>
                <w:sz w:val="18"/>
                <w:szCs w:val="18"/>
              </w:rPr>
              <w:t>【对象】直接责任人员</w:t>
            </w:r>
          </w:p>
        </w:tc>
        <w:tc>
          <w:tcPr>
            <w:tcW w:w="3979" w:type="dxa"/>
            <w:gridSpan w:val="2"/>
            <w:vAlign w:val="center"/>
          </w:tcPr>
          <w:p w14:paraId="046FACFF">
            <w:pPr>
              <w:spacing w:before="156" w:beforeLines="50" w:after="156" w:afterLines="50"/>
              <w:jc w:val="center"/>
              <w:rPr>
                <w:rFonts w:ascii="宋体"/>
                <w:b/>
                <w:sz w:val="18"/>
                <w:szCs w:val="18"/>
              </w:rPr>
            </w:pPr>
            <w:r>
              <w:rPr>
                <w:rFonts w:hint="eastAsia" w:ascii="宋体"/>
                <w:b/>
                <w:sz w:val="18"/>
                <w:szCs w:val="18"/>
              </w:rPr>
              <w:t>【对象】聘用单位</w:t>
            </w:r>
          </w:p>
        </w:tc>
        <w:tc>
          <w:tcPr>
            <w:tcW w:w="1548" w:type="dxa"/>
            <w:vMerge w:val="restart"/>
            <w:vAlign w:val="center"/>
          </w:tcPr>
          <w:p w14:paraId="661F2CB9">
            <w:pPr>
              <w:spacing w:before="156" w:beforeLines="50" w:after="156" w:afterLines="50"/>
              <w:jc w:val="center"/>
              <w:rPr>
                <w:rFonts w:ascii="宋体"/>
                <w:b/>
                <w:sz w:val="18"/>
                <w:szCs w:val="18"/>
              </w:rPr>
            </w:pPr>
            <w:r>
              <w:rPr>
                <w:rFonts w:hint="eastAsia" w:ascii="宋体"/>
                <w:b/>
                <w:sz w:val="18"/>
                <w:szCs w:val="18"/>
              </w:rPr>
              <w:t>【对象】直接责任人员</w:t>
            </w:r>
          </w:p>
        </w:tc>
      </w:tr>
      <w:tr w14:paraId="371DF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663" w:type="dxa"/>
            <w:vMerge w:val="continue"/>
            <w:vAlign w:val="center"/>
          </w:tcPr>
          <w:p w14:paraId="7BB0F3B7">
            <w:pPr>
              <w:spacing w:before="156" w:beforeLines="50" w:after="156" w:afterLines="50"/>
              <w:jc w:val="left"/>
              <w:rPr>
                <w:rFonts w:ascii="宋体"/>
                <w:b/>
                <w:sz w:val="18"/>
                <w:szCs w:val="18"/>
              </w:rPr>
            </w:pPr>
          </w:p>
        </w:tc>
        <w:tc>
          <w:tcPr>
            <w:tcW w:w="914" w:type="dxa"/>
            <w:vMerge w:val="continue"/>
            <w:vAlign w:val="center"/>
          </w:tcPr>
          <w:p w14:paraId="77A08400">
            <w:pPr>
              <w:spacing w:before="156" w:beforeLines="50" w:after="156" w:afterLines="50"/>
              <w:jc w:val="left"/>
              <w:rPr>
                <w:rFonts w:ascii="宋体"/>
                <w:b/>
                <w:sz w:val="18"/>
                <w:szCs w:val="18"/>
              </w:rPr>
            </w:pPr>
          </w:p>
        </w:tc>
        <w:tc>
          <w:tcPr>
            <w:tcW w:w="643" w:type="dxa"/>
            <w:vAlign w:val="center"/>
          </w:tcPr>
          <w:p w14:paraId="6CBB9295">
            <w:pPr>
              <w:spacing w:before="156" w:beforeLines="50" w:after="156" w:afterLines="50"/>
              <w:jc w:val="center"/>
              <w:rPr>
                <w:rFonts w:ascii="宋体"/>
                <w:b/>
                <w:sz w:val="18"/>
                <w:szCs w:val="18"/>
              </w:rPr>
            </w:pPr>
            <w:r>
              <w:rPr>
                <w:rFonts w:hint="eastAsia" w:ascii="宋体"/>
                <w:b/>
                <w:sz w:val="18"/>
                <w:szCs w:val="18"/>
              </w:rPr>
              <w:t>违反</w:t>
            </w:r>
          </w:p>
          <w:p w14:paraId="6EF69E66">
            <w:pPr>
              <w:spacing w:before="156" w:beforeLines="50" w:after="156" w:afterLines="50"/>
              <w:jc w:val="center"/>
              <w:rPr>
                <w:rFonts w:ascii="宋体"/>
                <w:b/>
                <w:sz w:val="18"/>
                <w:szCs w:val="18"/>
              </w:rPr>
            </w:pPr>
            <w:r>
              <w:rPr>
                <w:rFonts w:hint="eastAsia" w:ascii="宋体"/>
                <w:b/>
                <w:sz w:val="18"/>
                <w:szCs w:val="18"/>
              </w:rPr>
              <w:t>条款</w:t>
            </w:r>
          </w:p>
        </w:tc>
        <w:tc>
          <w:tcPr>
            <w:tcW w:w="1256" w:type="dxa"/>
            <w:vAlign w:val="center"/>
          </w:tcPr>
          <w:p w14:paraId="4C3D0101">
            <w:pPr>
              <w:spacing w:before="156" w:beforeLines="50" w:after="156" w:afterLines="50"/>
              <w:jc w:val="center"/>
              <w:rPr>
                <w:rFonts w:ascii="宋体"/>
                <w:b/>
                <w:sz w:val="18"/>
                <w:szCs w:val="18"/>
              </w:rPr>
            </w:pPr>
            <w:r>
              <w:rPr>
                <w:rFonts w:hint="eastAsia" w:ascii="宋体"/>
                <w:b/>
                <w:sz w:val="18"/>
                <w:szCs w:val="18"/>
              </w:rPr>
              <w:t>处罚</w:t>
            </w:r>
          </w:p>
          <w:p w14:paraId="0BB230A1">
            <w:pPr>
              <w:spacing w:before="156" w:beforeLines="50" w:after="156" w:afterLines="50"/>
              <w:jc w:val="center"/>
              <w:rPr>
                <w:rFonts w:ascii="宋体"/>
                <w:b/>
                <w:sz w:val="18"/>
                <w:szCs w:val="18"/>
              </w:rPr>
            </w:pPr>
            <w:r>
              <w:rPr>
                <w:rFonts w:hint="eastAsia" w:ascii="宋体"/>
                <w:b/>
                <w:sz w:val="18"/>
                <w:szCs w:val="18"/>
              </w:rPr>
              <w:t>依据</w:t>
            </w:r>
          </w:p>
        </w:tc>
        <w:tc>
          <w:tcPr>
            <w:tcW w:w="676" w:type="dxa"/>
            <w:vMerge w:val="continue"/>
            <w:vAlign w:val="center"/>
          </w:tcPr>
          <w:p w14:paraId="44E64C6A">
            <w:pPr>
              <w:spacing w:before="156" w:beforeLines="50" w:after="156" w:afterLines="50"/>
              <w:jc w:val="left"/>
              <w:rPr>
                <w:rFonts w:ascii="宋体"/>
                <w:b/>
                <w:sz w:val="18"/>
                <w:szCs w:val="18"/>
              </w:rPr>
            </w:pPr>
          </w:p>
        </w:tc>
        <w:tc>
          <w:tcPr>
            <w:tcW w:w="1991" w:type="dxa"/>
            <w:vMerge w:val="continue"/>
            <w:vAlign w:val="center"/>
          </w:tcPr>
          <w:p w14:paraId="4464BAC4">
            <w:pPr>
              <w:spacing w:before="156" w:beforeLines="50" w:after="156" w:afterLines="50"/>
              <w:jc w:val="left"/>
              <w:rPr>
                <w:rFonts w:ascii="宋体"/>
                <w:b/>
                <w:sz w:val="18"/>
                <w:szCs w:val="18"/>
              </w:rPr>
            </w:pPr>
          </w:p>
        </w:tc>
        <w:tc>
          <w:tcPr>
            <w:tcW w:w="2126" w:type="dxa"/>
            <w:vAlign w:val="center"/>
          </w:tcPr>
          <w:p w14:paraId="10FCB56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26" w:type="dxa"/>
            <w:vAlign w:val="center"/>
          </w:tcPr>
          <w:p w14:paraId="6450F07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693" w:type="dxa"/>
            <w:vAlign w:val="center"/>
          </w:tcPr>
          <w:p w14:paraId="3F7DEA1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412" w:type="dxa"/>
            <w:vMerge w:val="continue"/>
            <w:vAlign w:val="center"/>
          </w:tcPr>
          <w:p w14:paraId="6F444309">
            <w:pPr>
              <w:spacing w:before="156" w:beforeLines="50" w:after="156" w:afterLines="50"/>
              <w:rPr>
                <w:rFonts w:ascii="宋体"/>
                <w:b/>
                <w:sz w:val="18"/>
                <w:szCs w:val="18"/>
              </w:rPr>
            </w:pPr>
          </w:p>
        </w:tc>
        <w:tc>
          <w:tcPr>
            <w:tcW w:w="2025" w:type="dxa"/>
            <w:vAlign w:val="center"/>
          </w:tcPr>
          <w:p w14:paraId="541B42FA">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1954" w:type="dxa"/>
            <w:vAlign w:val="center"/>
          </w:tcPr>
          <w:p w14:paraId="11E8472F">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c>
          <w:tcPr>
            <w:tcW w:w="1548" w:type="dxa"/>
            <w:vMerge w:val="continue"/>
            <w:vAlign w:val="center"/>
          </w:tcPr>
          <w:p w14:paraId="39DAC1A2">
            <w:pPr>
              <w:spacing w:before="156" w:beforeLines="50" w:after="156" w:afterLines="50"/>
              <w:jc w:val="left"/>
              <w:rPr>
                <w:rFonts w:ascii="宋体"/>
                <w:b/>
                <w:sz w:val="18"/>
                <w:szCs w:val="18"/>
              </w:rPr>
            </w:pPr>
          </w:p>
        </w:tc>
      </w:tr>
      <w:tr w14:paraId="5D937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663" w:type="dxa"/>
            <w:vMerge w:val="restart"/>
            <w:vAlign w:val="center"/>
          </w:tcPr>
          <w:p w14:paraId="474EAF44">
            <w:pPr>
              <w:spacing w:before="156" w:beforeLines="50" w:after="156" w:afterLines="50"/>
              <w:jc w:val="center"/>
              <w:rPr>
                <w:rFonts w:ascii="宋体"/>
                <w:sz w:val="18"/>
                <w:szCs w:val="18"/>
              </w:rPr>
            </w:pPr>
            <w:r>
              <w:rPr>
                <w:rFonts w:hint="eastAsia" w:ascii="宋体"/>
                <w:sz w:val="18"/>
                <w:szCs w:val="18"/>
              </w:rPr>
              <w:t>78</w:t>
            </w:r>
          </w:p>
        </w:tc>
        <w:tc>
          <w:tcPr>
            <w:tcW w:w="914" w:type="dxa"/>
            <w:vMerge w:val="restart"/>
            <w:vAlign w:val="center"/>
          </w:tcPr>
          <w:p w14:paraId="15C39C6C">
            <w:pPr>
              <w:spacing w:before="156" w:beforeLines="50" w:after="156" w:afterLines="50"/>
              <w:jc w:val="left"/>
              <w:rPr>
                <w:rFonts w:ascii="宋体"/>
                <w:sz w:val="18"/>
                <w:szCs w:val="18"/>
              </w:rPr>
            </w:pPr>
            <w:r>
              <w:rPr>
                <w:rFonts w:hint="eastAsia" w:ascii="宋体"/>
                <w:sz w:val="18"/>
                <w:szCs w:val="18"/>
              </w:rPr>
              <w:t>所服务的船舶的航区、种类和等级或者所任职务超越所持船员职务证书限定的范围</w:t>
            </w:r>
          </w:p>
        </w:tc>
        <w:tc>
          <w:tcPr>
            <w:tcW w:w="643" w:type="dxa"/>
            <w:vMerge w:val="restart"/>
            <w:vAlign w:val="center"/>
          </w:tcPr>
          <w:p w14:paraId="17DBED18">
            <w:pPr>
              <w:spacing w:before="156" w:beforeLines="50" w:after="156" w:afterLines="50"/>
              <w:jc w:val="left"/>
              <w:rPr>
                <w:rFonts w:ascii="宋体"/>
                <w:sz w:val="18"/>
                <w:szCs w:val="18"/>
              </w:rPr>
            </w:pPr>
            <w:r>
              <w:rPr>
                <w:rFonts w:hint="eastAsia" w:ascii="宋体"/>
                <w:sz w:val="18"/>
                <w:szCs w:val="18"/>
              </w:rPr>
              <w:t>《中华人民共和国内河交通安全管理条例》第九条</w:t>
            </w:r>
          </w:p>
          <w:p w14:paraId="3D63AE59">
            <w:pPr>
              <w:spacing w:before="156" w:beforeLines="50" w:after="156" w:afterLines="50"/>
              <w:jc w:val="left"/>
              <w:rPr>
                <w:rFonts w:ascii="宋体"/>
                <w:sz w:val="18"/>
                <w:szCs w:val="18"/>
              </w:rPr>
            </w:pPr>
          </w:p>
        </w:tc>
        <w:tc>
          <w:tcPr>
            <w:tcW w:w="1256" w:type="dxa"/>
            <w:vMerge w:val="restart"/>
            <w:vAlign w:val="center"/>
          </w:tcPr>
          <w:p w14:paraId="6D434BF8">
            <w:pPr>
              <w:widowControl/>
              <w:spacing w:before="156" w:beforeLines="50" w:after="156" w:afterLines="50"/>
              <w:jc w:val="left"/>
              <w:rPr>
                <w:rFonts w:ascii="宋体"/>
                <w:kern w:val="0"/>
                <w:sz w:val="18"/>
                <w:szCs w:val="18"/>
              </w:rPr>
            </w:pPr>
            <w:r>
              <w:rPr>
                <w:rFonts w:hint="eastAsia" w:ascii="宋体"/>
                <w:kern w:val="0"/>
                <w:sz w:val="18"/>
                <w:szCs w:val="18"/>
              </w:rPr>
              <w:t>1.《中华人民共和国内河交通安全管理条例》第六十六条；</w:t>
            </w:r>
          </w:p>
          <w:p w14:paraId="1AB4C8F5">
            <w:pPr>
              <w:widowControl/>
              <w:spacing w:before="156" w:beforeLines="50" w:after="156" w:afterLines="50"/>
              <w:jc w:val="left"/>
              <w:rPr>
                <w:rFonts w:ascii="宋体"/>
                <w:kern w:val="0"/>
                <w:sz w:val="18"/>
                <w:szCs w:val="18"/>
              </w:rPr>
            </w:pPr>
            <w:r>
              <w:rPr>
                <w:rFonts w:hint="eastAsia" w:ascii="宋体"/>
                <w:kern w:val="0"/>
                <w:sz w:val="18"/>
                <w:szCs w:val="18"/>
              </w:rPr>
              <w:t>2.《中华人民共和国内河海事行政处罚规定》第十条第一款和第二款第（六）项；</w:t>
            </w:r>
          </w:p>
          <w:p w14:paraId="52F44B9E">
            <w:pPr>
              <w:widowControl/>
              <w:spacing w:before="156" w:beforeLines="50" w:after="156" w:afterLines="50"/>
              <w:jc w:val="left"/>
              <w:rPr>
                <w:rFonts w:ascii="宋体"/>
                <w:sz w:val="18"/>
                <w:szCs w:val="18"/>
              </w:rPr>
            </w:pPr>
            <w:r>
              <w:rPr>
                <w:rFonts w:ascii="宋体"/>
                <w:kern w:val="0"/>
                <w:sz w:val="18"/>
                <w:szCs w:val="18"/>
              </w:rPr>
              <w:t>3.</w:t>
            </w:r>
            <w:r>
              <w:rPr>
                <w:rFonts w:hint="eastAsia" w:ascii="宋体"/>
                <w:kern w:val="0"/>
                <w:sz w:val="18"/>
                <w:szCs w:val="18"/>
              </w:rPr>
              <w:t>《中华人民共和国行政处罚法》第三十二条（从轻）。</w:t>
            </w:r>
          </w:p>
        </w:tc>
        <w:tc>
          <w:tcPr>
            <w:tcW w:w="676" w:type="dxa"/>
            <w:vAlign w:val="center"/>
          </w:tcPr>
          <w:p w14:paraId="5E659360">
            <w:pPr>
              <w:spacing w:before="156" w:beforeLines="50" w:after="156" w:afterLines="50"/>
              <w:jc w:val="left"/>
              <w:rPr>
                <w:rFonts w:ascii="宋体"/>
                <w:sz w:val="18"/>
                <w:szCs w:val="18"/>
              </w:rPr>
            </w:pPr>
            <w:r>
              <w:rPr>
                <w:rFonts w:hint="eastAsia" w:ascii="宋体"/>
                <w:sz w:val="18"/>
                <w:szCs w:val="18"/>
              </w:rPr>
              <w:t>从轻</w:t>
            </w:r>
          </w:p>
        </w:tc>
        <w:tc>
          <w:tcPr>
            <w:tcW w:w="1991" w:type="dxa"/>
            <w:vAlign w:val="center"/>
          </w:tcPr>
          <w:p w14:paraId="5ACAFCE5">
            <w:pPr>
              <w:spacing w:before="156" w:beforeLines="50" w:after="156" w:afterLines="50"/>
              <w:jc w:val="left"/>
              <w:rPr>
                <w:rFonts w:ascii="宋体"/>
                <w:sz w:val="18"/>
                <w:szCs w:val="18"/>
              </w:rPr>
            </w:pPr>
            <w:r>
              <w:rPr>
                <w:rFonts w:hint="eastAsia" w:ascii="宋体"/>
                <w:kern w:val="0"/>
                <w:sz w:val="18"/>
                <w:szCs w:val="18"/>
              </w:rPr>
              <w:t>具有法定从轻情节的</w:t>
            </w:r>
          </w:p>
        </w:tc>
        <w:tc>
          <w:tcPr>
            <w:tcW w:w="2126" w:type="dxa"/>
            <w:vAlign w:val="center"/>
          </w:tcPr>
          <w:p w14:paraId="3BF824EB">
            <w:pPr>
              <w:spacing w:before="156" w:beforeLines="50" w:after="156" w:afterLines="50"/>
              <w:jc w:val="left"/>
              <w:rPr>
                <w:rFonts w:ascii="宋体"/>
                <w:sz w:val="18"/>
                <w:szCs w:val="18"/>
              </w:rPr>
            </w:pPr>
            <w:r>
              <w:rPr>
                <w:rFonts w:hint="eastAsia" w:ascii="宋体"/>
                <w:sz w:val="18"/>
                <w:szCs w:val="18"/>
              </w:rPr>
              <w:t>3万元及以上4万元以下</w:t>
            </w:r>
          </w:p>
        </w:tc>
        <w:tc>
          <w:tcPr>
            <w:tcW w:w="2126" w:type="dxa"/>
            <w:vAlign w:val="center"/>
          </w:tcPr>
          <w:p w14:paraId="174F5C2E">
            <w:pPr>
              <w:spacing w:before="156" w:beforeLines="50" w:after="156" w:afterLines="50"/>
              <w:jc w:val="left"/>
              <w:rPr>
                <w:rFonts w:ascii="宋体"/>
                <w:sz w:val="18"/>
                <w:szCs w:val="18"/>
              </w:rPr>
            </w:pPr>
            <w:r>
              <w:rPr>
                <w:rFonts w:hint="eastAsia" w:ascii="宋体"/>
                <w:sz w:val="18"/>
                <w:szCs w:val="18"/>
              </w:rPr>
              <w:t>3万元及以上4万元以下</w:t>
            </w:r>
          </w:p>
        </w:tc>
        <w:tc>
          <w:tcPr>
            <w:tcW w:w="2693" w:type="dxa"/>
            <w:vAlign w:val="center"/>
          </w:tcPr>
          <w:p w14:paraId="4B98954B">
            <w:pPr>
              <w:spacing w:before="156" w:beforeLines="50" w:after="156" w:afterLines="50"/>
              <w:jc w:val="left"/>
              <w:rPr>
                <w:rFonts w:ascii="宋体"/>
                <w:sz w:val="18"/>
                <w:szCs w:val="18"/>
              </w:rPr>
            </w:pPr>
            <w:r>
              <w:rPr>
                <w:rFonts w:hint="eastAsia" w:ascii="宋体"/>
                <w:sz w:val="18"/>
                <w:szCs w:val="18"/>
              </w:rPr>
              <w:t>3万元及以上4万元以下</w:t>
            </w:r>
          </w:p>
        </w:tc>
        <w:tc>
          <w:tcPr>
            <w:tcW w:w="2412" w:type="dxa"/>
            <w:vAlign w:val="center"/>
          </w:tcPr>
          <w:p w14:paraId="408FE16B">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c>
          <w:tcPr>
            <w:tcW w:w="2025" w:type="dxa"/>
            <w:vMerge w:val="restart"/>
            <w:vAlign w:val="center"/>
          </w:tcPr>
          <w:p w14:paraId="5965C78D">
            <w:pPr>
              <w:spacing w:before="156" w:beforeLines="50" w:after="156" w:afterLines="50"/>
              <w:rPr>
                <w:rFonts w:ascii="宋体"/>
                <w:sz w:val="18"/>
                <w:szCs w:val="18"/>
              </w:rPr>
            </w:pPr>
            <w:r>
              <w:rPr>
                <w:rFonts w:hint="eastAsia" w:ascii="宋体"/>
                <w:kern w:val="0"/>
                <w:sz w:val="18"/>
                <w:szCs w:val="18"/>
              </w:rPr>
              <w:t>1.</w:t>
            </w: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r>
              <w:rPr>
                <w:rFonts w:ascii="宋体"/>
                <w:kern w:val="0"/>
                <w:sz w:val="18"/>
                <w:szCs w:val="18"/>
              </w:rPr>
              <w:t>:</w:t>
            </w:r>
            <w:r>
              <w:rPr>
                <w:rFonts w:hint="eastAsia" w:ascii="宋体"/>
                <w:kern w:val="0"/>
                <w:sz w:val="18"/>
                <w:szCs w:val="18"/>
              </w:rPr>
              <w:t>6000元及以上1.3万元以下；</w:t>
            </w:r>
          </w:p>
          <w:p w14:paraId="6E7A2407">
            <w:pPr>
              <w:spacing w:before="156" w:beforeLines="50" w:after="156" w:afterLines="50"/>
              <w:rPr>
                <w:rFonts w:ascii="宋体"/>
                <w:sz w:val="18"/>
                <w:szCs w:val="18"/>
              </w:rPr>
            </w:pPr>
            <w:r>
              <w:rPr>
                <w:rFonts w:hint="eastAsia" w:ascii="宋体"/>
                <w:bCs/>
                <w:kern w:val="0"/>
                <w:sz w:val="18"/>
                <w:szCs w:val="18"/>
              </w:rPr>
              <w:t>2.</w:t>
            </w:r>
            <w:r>
              <w:rPr>
                <w:rFonts w:hint="eastAsia" w:ascii="宋体"/>
                <w:kern w:val="0"/>
                <w:sz w:val="18"/>
                <w:szCs w:val="18"/>
              </w:rPr>
              <w:t>船长（驾驶员）</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：1.3万元及以上1.8万元以下；</w:t>
            </w:r>
          </w:p>
          <w:p w14:paraId="1F5A52A2">
            <w:pPr>
              <w:spacing w:before="156" w:beforeLines="50" w:after="156" w:afterLines="50"/>
              <w:rPr>
                <w:rFonts w:ascii="宋体"/>
                <w:bCs/>
                <w:kern w:val="0"/>
                <w:sz w:val="18"/>
                <w:szCs w:val="18"/>
              </w:rPr>
            </w:pPr>
            <w:r>
              <w:rPr>
                <w:rFonts w:hint="eastAsia" w:ascii="宋体"/>
                <w:sz w:val="18"/>
                <w:szCs w:val="18"/>
              </w:rPr>
              <w:t>3.</w:t>
            </w: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名及以上</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：1.8万元及以上2.5元以下。</w:t>
            </w:r>
          </w:p>
        </w:tc>
        <w:tc>
          <w:tcPr>
            <w:tcW w:w="1954" w:type="dxa"/>
            <w:vMerge w:val="restart"/>
            <w:vAlign w:val="center"/>
          </w:tcPr>
          <w:p w14:paraId="1A530417">
            <w:pPr>
              <w:spacing w:before="156" w:beforeLines="50" w:after="156" w:afterLines="50"/>
              <w:rPr>
                <w:rFonts w:ascii="宋体"/>
                <w:sz w:val="18"/>
                <w:szCs w:val="18"/>
              </w:rPr>
            </w:pPr>
            <w:r>
              <w:rPr>
                <w:rFonts w:hint="eastAsia" w:ascii="宋体"/>
                <w:kern w:val="0"/>
                <w:sz w:val="18"/>
                <w:szCs w:val="18"/>
              </w:rPr>
              <w:t>1.</w:t>
            </w: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r>
              <w:rPr>
                <w:rFonts w:ascii="宋体"/>
                <w:kern w:val="0"/>
                <w:sz w:val="18"/>
                <w:szCs w:val="18"/>
              </w:rPr>
              <w:t>:</w:t>
            </w:r>
            <w:r>
              <w:rPr>
                <w:rFonts w:hint="eastAsia" w:ascii="宋体"/>
                <w:kern w:val="0"/>
                <w:sz w:val="18"/>
                <w:szCs w:val="18"/>
              </w:rPr>
              <w:t>8000元及以上2万元元以下；</w:t>
            </w:r>
          </w:p>
          <w:p w14:paraId="3B50183C">
            <w:pPr>
              <w:spacing w:before="156" w:beforeLines="50" w:after="156" w:afterLines="50"/>
              <w:rPr>
                <w:rFonts w:ascii="宋体"/>
                <w:sz w:val="18"/>
                <w:szCs w:val="18"/>
              </w:rPr>
            </w:pPr>
            <w:r>
              <w:rPr>
                <w:rFonts w:hint="eastAsia" w:ascii="宋体"/>
                <w:bCs/>
                <w:kern w:val="0"/>
                <w:sz w:val="18"/>
                <w:szCs w:val="18"/>
              </w:rPr>
              <w:t>2.</w:t>
            </w:r>
            <w:r>
              <w:rPr>
                <w:rFonts w:hint="eastAsia" w:ascii="宋体"/>
                <w:kern w:val="0"/>
                <w:sz w:val="18"/>
                <w:szCs w:val="18"/>
              </w:rPr>
              <w:t>船长（驾驶员）</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：2万元及以上2.5万元以下；</w:t>
            </w:r>
          </w:p>
          <w:p w14:paraId="1DAC8F72">
            <w:pPr>
              <w:spacing w:before="156" w:beforeLines="50" w:after="156" w:afterLines="50"/>
              <w:rPr>
                <w:rFonts w:ascii="宋体"/>
                <w:bCs/>
                <w:kern w:val="0"/>
                <w:sz w:val="18"/>
                <w:szCs w:val="18"/>
              </w:rPr>
            </w:pPr>
            <w:r>
              <w:rPr>
                <w:rFonts w:hint="eastAsia" w:ascii="宋体"/>
                <w:sz w:val="18"/>
                <w:szCs w:val="18"/>
              </w:rPr>
              <w:t>3.</w:t>
            </w: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名及以上</w:t>
            </w:r>
            <w:r>
              <w:rPr>
                <w:rFonts w:hint="eastAsia" w:ascii="宋体"/>
                <w:sz w:val="18"/>
                <w:szCs w:val="18"/>
              </w:rPr>
              <w:t>所服务的船舶的航区、种类和等级或者所任职务超越所持船员职务证书限定的范围</w:t>
            </w:r>
            <w:r>
              <w:rPr>
                <w:rFonts w:hint="eastAsia" w:ascii="宋体"/>
                <w:kern w:val="0"/>
                <w:sz w:val="18"/>
                <w:szCs w:val="18"/>
              </w:rPr>
              <w:t>，且未发生事故的</w:t>
            </w:r>
            <w:r>
              <w:rPr>
                <w:rFonts w:hint="eastAsia" w:ascii="宋体"/>
                <w:bCs/>
                <w:kern w:val="0"/>
                <w:sz w:val="18"/>
                <w:szCs w:val="18"/>
              </w:rPr>
              <w:t>：2.5万元及以上3万元以下。</w:t>
            </w:r>
          </w:p>
        </w:tc>
        <w:tc>
          <w:tcPr>
            <w:tcW w:w="1548" w:type="dxa"/>
            <w:vMerge w:val="restart"/>
            <w:vAlign w:val="center"/>
          </w:tcPr>
          <w:p w14:paraId="7EA84CF0">
            <w:pPr>
              <w:spacing w:before="156" w:beforeLines="50" w:after="156" w:afterLines="50"/>
              <w:rPr>
                <w:rFonts w:ascii="宋体"/>
                <w:sz w:val="18"/>
                <w:szCs w:val="18"/>
              </w:rPr>
            </w:pPr>
            <w:r>
              <w:rPr>
                <w:rFonts w:hint="eastAsia" w:ascii="宋体"/>
                <w:sz w:val="18"/>
                <w:szCs w:val="18"/>
              </w:rPr>
              <w:t>1.</w:t>
            </w:r>
            <w:r>
              <w:rPr>
                <w:rFonts w:hint="eastAsia" w:ascii="宋体"/>
                <w:kern w:val="0"/>
                <w:sz w:val="18"/>
                <w:szCs w:val="18"/>
              </w:rPr>
              <w:t>高级船员</w:t>
            </w:r>
            <w:r>
              <w:rPr>
                <w:rFonts w:hint="eastAsia" w:ascii="宋体"/>
                <w:sz w:val="18"/>
                <w:szCs w:val="18"/>
              </w:rPr>
              <w:t>所服务的船舶的航区、种类和等级或者所任职务超越所持船员职务证书限定的范围：</w:t>
            </w:r>
            <w:r>
              <w:rPr>
                <w:rFonts w:ascii="宋体"/>
                <w:sz w:val="18"/>
                <w:szCs w:val="18"/>
              </w:rPr>
              <w:t>500</w:t>
            </w:r>
            <w:r>
              <w:rPr>
                <w:rFonts w:hint="eastAsia" w:ascii="宋体"/>
                <w:sz w:val="18"/>
                <w:szCs w:val="18"/>
              </w:rPr>
              <w:t>元及以上</w:t>
            </w:r>
            <w:r>
              <w:rPr>
                <w:rFonts w:ascii="宋体"/>
                <w:sz w:val="18"/>
                <w:szCs w:val="18"/>
              </w:rPr>
              <w:t>800</w:t>
            </w:r>
            <w:r>
              <w:rPr>
                <w:rFonts w:hint="eastAsia" w:ascii="宋体"/>
                <w:sz w:val="18"/>
                <w:szCs w:val="18"/>
              </w:rPr>
              <w:t>元以下；</w:t>
            </w:r>
          </w:p>
          <w:p w14:paraId="3CE05B92">
            <w:pPr>
              <w:spacing w:before="156" w:beforeLines="50" w:after="156" w:afterLines="50"/>
              <w:rPr>
                <w:rFonts w:ascii="宋体"/>
                <w:kern w:val="0"/>
                <w:sz w:val="18"/>
                <w:szCs w:val="18"/>
              </w:rPr>
            </w:pPr>
            <w:r>
              <w:rPr>
                <w:rFonts w:hint="eastAsia" w:ascii="宋体"/>
                <w:sz w:val="18"/>
                <w:szCs w:val="18"/>
              </w:rPr>
              <w:t>2.</w:t>
            </w:r>
            <w:r>
              <w:rPr>
                <w:rFonts w:hint="eastAsia" w:ascii="宋体"/>
                <w:kern w:val="0"/>
                <w:sz w:val="18"/>
                <w:szCs w:val="18"/>
              </w:rPr>
              <w:t>船长（驾驶员）或高级船员</w:t>
            </w:r>
            <w:r>
              <w:rPr>
                <w:rFonts w:hint="eastAsia" w:ascii="宋体"/>
                <w:sz w:val="18"/>
                <w:szCs w:val="18"/>
              </w:rPr>
              <w:t>所服务的船舶的航区、种类和等级或者所任职务超越所持船员职务证书限定的范围：</w:t>
            </w:r>
            <w:r>
              <w:rPr>
                <w:rFonts w:ascii="宋体"/>
                <w:sz w:val="18"/>
                <w:szCs w:val="18"/>
              </w:rPr>
              <w:t>800</w:t>
            </w:r>
            <w:r>
              <w:rPr>
                <w:rFonts w:hint="eastAsia" w:ascii="宋体"/>
                <w:sz w:val="18"/>
                <w:szCs w:val="18"/>
              </w:rPr>
              <w:t>元及以上</w:t>
            </w:r>
            <w:r>
              <w:rPr>
                <w:rFonts w:ascii="宋体"/>
                <w:sz w:val="18"/>
                <w:szCs w:val="18"/>
              </w:rPr>
              <w:t>2000</w:t>
            </w:r>
            <w:r>
              <w:rPr>
                <w:rFonts w:hint="eastAsia" w:ascii="宋体"/>
                <w:sz w:val="18"/>
                <w:szCs w:val="18"/>
              </w:rPr>
              <w:t>元以下。</w:t>
            </w:r>
          </w:p>
        </w:tc>
      </w:tr>
      <w:tr w14:paraId="2B779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9" w:hRule="atLeast"/>
          <w:jc w:val="center"/>
        </w:trPr>
        <w:tc>
          <w:tcPr>
            <w:tcW w:w="663" w:type="dxa"/>
            <w:vMerge w:val="continue"/>
          </w:tcPr>
          <w:p w14:paraId="7F1929A8">
            <w:pPr>
              <w:spacing w:before="156" w:beforeLines="50" w:after="156" w:afterLines="50"/>
              <w:jc w:val="left"/>
              <w:rPr>
                <w:rFonts w:ascii="宋体"/>
                <w:sz w:val="18"/>
                <w:szCs w:val="18"/>
              </w:rPr>
            </w:pPr>
          </w:p>
        </w:tc>
        <w:tc>
          <w:tcPr>
            <w:tcW w:w="914" w:type="dxa"/>
            <w:vMerge w:val="continue"/>
            <w:vAlign w:val="center"/>
          </w:tcPr>
          <w:p w14:paraId="1099851B">
            <w:pPr>
              <w:spacing w:before="156" w:beforeLines="50" w:after="156" w:afterLines="50"/>
              <w:jc w:val="left"/>
              <w:rPr>
                <w:rFonts w:ascii="宋体"/>
                <w:sz w:val="18"/>
                <w:szCs w:val="18"/>
              </w:rPr>
            </w:pPr>
          </w:p>
        </w:tc>
        <w:tc>
          <w:tcPr>
            <w:tcW w:w="643" w:type="dxa"/>
            <w:vMerge w:val="continue"/>
            <w:vAlign w:val="center"/>
          </w:tcPr>
          <w:p w14:paraId="525F1AB9">
            <w:pPr>
              <w:spacing w:before="156" w:beforeLines="50" w:after="156" w:afterLines="50"/>
              <w:jc w:val="left"/>
              <w:rPr>
                <w:rFonts w:ascii="宋体"/>
                <w:sz w:val="18"/>
                <w:szCs w:val="18"/>
              </w:rPr>
            </w:pPr>
          </w:p>
        </w:tc>
        <w:tc>
          <w:tcPr>
            <w:tcW w:w="1256" w:type="dxa"/>
            <w:vMerge w:val="continue"/>
            <w:vAlign w:val="center"/>
          </w:tcPr>
          <w:p w14:paraId="6AA4A9F8">
            <w:pPr>
              <w:spacing w:before="156" w:beforeLines="50" w:after="156" w:afterLines="50"/>
              <w:jc w:val="left"/>
              <w:rPr>
                <w:rFonts w:ascii="宋体"/>
                <w:sz w:val="18"/>
                <w:szCs w:val="18"/>
              </w:rPr>
            </w:pPr>
          </w:p>
        </w:tc>
        <w:tc>
          <w:tcPr>
            <w:tcW w:w="676" w:type="dxa"/>
            <w:vMerge w:val="restart"/>
            <w:vAlign w:val="center"/>
          </w:tcPr>
          <w:p w14:paraId="6B42447A">
            <w:pPr>
              <w:spacing w:before="156" w:beforeLines="50" w:after="156" w:afterLines="50"/>
              <w:jc w:val="left"/>
              <w:rPr>
                <w:rFonts w:ascii="宋体"/>
                <w:sz w:val="18"/>
                <w:szCs w:val="18"/>
              </w:rPr>
            </w:pPr>
            <w:r>
              <w:rPr>
                <w:rFonts w:hint="eastAsia" w:ascii="宋体"/>
                <w:sz w:val="18"/>
                <w:szCs w:val="18"/>
              </w:rPr>
              <w:t>一般</w:t>
            </w:r>
          </w:p>
        </w:tc>
        <w:tc>
          <w:tcPr>
            <w:tcW w:w="1991" w:type="dxa"/>
            <w:vAlign w:val="center"/>
          </w:tcPr>
          <w:p w14:paraId="6AC3BBBA">
            <w:pPr>
              <w:spacing w:before="156" w:beforeLines="50" w:after="156" w:afterLines="50"/>
              <w:jc w:val="left"/>
              <w:rPr>
                <w:rFonts w:ascii="宋体"/>
                <w:kern w:val="0"/>
                <w:sz w:val="18"/>
                <w:szCs w:val="18"/>
              </w:rPr>
            </w:pPr>
            <w:r>
              <w:rPr>
                <w:rFonts w:ascii="宋体"/>
                <w:kern w:val="0"/>
                <w:sz w:val="18"/>
                <w:szCs w:val="18"/>
              </w:rPr>
              <w:t>1</w:t>
            </w:r>
            <w:r>
              <w:rPr>
                <w:rFonts w:hint="eastAsia" w:ascii="宋体"/>
                <w:kern w:val="0"/>
                <w:sz w:val="18"/>
                <w:szCs w:val="18"/>
              </w:rPr>
              <w:t>名高级船员</w:t>
            </w:r>
            <w:r>
              <w:rPr>
                <w:rFonts w:hint="eastAsia" w:ascii="宋体"/>
                <w:sz w:val="18"/>
                <w:szCs w:val="18"/>
              </w:rPr>
              <w:t>所服务的船舶的航区、种类和等级或者所任职务超越所持船员职务证书限定的范围。</w:t>
            </w:r>
          </w:p>
        </w:tc>
        <w:tc>
          <w:tcPr>
            <w:tcW w:w="2126" w:type="dxa"/>
            <w:vAlign w:val="center"/>
          </w:tcPr>
          <w:p w14:paraId="536BDFEC">
            <w:pPr>
              <w:spacing w:before="156" w:beforeLines="50" w:after="156" w:afterLines="50"/>
              <w:jc w:val="left"/>
              <w:rPr>
                <w:rFonts w:ascii="宋体"/>
                <w:sz w:val="18"/>
                <w:szCs w:val="18"/>
              </w:rPr>
            </w:pPr>
            <w:r>
              <w:rPr>
                <w:rFonts w:hint="eastAsia" w:ascii="宋体"/>
                <w:sz w:val="18"/>
                <w:szCs w:val="18"/>
              </w:rPr>
              <w:t>4.万元及以上5万元以下</w:t>
            </w:r>
          </w:p>
        </w:tc>
        <w:tc>
          <w:tcPr>
            <w:tcW w:w="2126" w:type="dxa"/>
            <w:vAlign w:val="center"/>
          </w:tcPr>
          <w:p w14:paraId="39B3A664">
            <w:pPr>
              <w:spacing w:before="156" w:beforeLines="50" w:after="156" w:afterLines="50"/>
              <w:jc w:val="left"/>
              <w:rPr>
                <w:rFonts w:ascii="宋体"/>
                <w:bCs/>
                <w:kern w:val="0"/>
                <w:sz w:val="18"/>
                <w:szCs w:val="18"/>
              </w:rPr>
            </w:pPr>
            <w:r>
              <w:rPr>
                <w:rFonts w:hint="eastAsia" w:ascii="宋体"/>
                <w:bCs/>
                <w:kern w:val="0"/>
                <w:sz w:val="18"/>
                <w:szCs w:val="18"/>
              </w:rPr>
              <w:t>4万元及以上6万元以下</w:t>
            </w:r>
          </w:p>
        </w:tc>
        <w:tc>
          <w:tcPr>
            <w:tcW w:w="2693" w:type="dxa"/>
            <w:vAlign w:val="center"/>
          </w:tcPr>
          <w:p w14:paraId="3E8DD65C">
            <w:pPr>
              <w:spacing w:before="156" w:beforeLines="50" w:after="156" w:afterLines="50"/>
              <w:jc w:val="left"/>
              <w:rPr>
                <w:rFonts w:ascii="宋体"/>
                <w:bCs/>
                <w:kern w:val="0"/>
                <w:sz w:val="18"/>
                <w:szCs w:val="18"/>
              </w:rPr>
            </w:pPr>
            <w:r>
              <w:rPr>
                <w:rFonts w:hint="eastAsia" w:ascii="宋体"/>
                <w:bCs/>
                <w:kern w:val="0"/>
                <w:sz w:val="18"/>
                <w:szCs w:val="18"/>
              </w:rPr>
              <w:t>4万元及以上7万元以下</w:t>
            </w:r>
          </w:p>
        </w:tc>
        <w:tc>
          <w:tcPr>
            <w:tcW w:w="2412" w:type="dxa"/>
            <w:vAlign w:val="center"/>
          </w:tcPr>
          <w:p w14:paraId="031992B2">
            <w:pPr>
              <w:spacing w:before="156" w:beforeLines="50" w:after="156" w:afterLines="50"/>
              <w:jc w:val="left"/>
              <w:rPr>
                <w:rFonts w:ascii="宋体"/>
                <w:sz w:val="18"/>
                <w:szCs w:val="18"/>
              </w:rPr>
            </w:pPr>
            <w:r>
              <w:rPr>
                <w:rFonts w:ascii="宋体"/>
                <w:sz w:val="18"/>
                <w:szCs w:val="18"/>
              </w:rPr>
              <w:t>5000</w:t>
            </w:r>
            <w:r>
              <w:rPr>
                <w:rFonts w:hint="eastAsia" w:ascii="宋体"/>
                <w:sz w:val="18"/>
                <w:szCs w:val="18"/>
              </w:rPr>
              <w:t>元及以下</w:t>
            </w:r>
            <w:r>
              <w:rPr>
                <w:rFonts w:ascii="宋体"/>
                <w:sz w:val="18"/>
                <w:szCs w:val="18"/>
              </w:rPr>
              <w:t>8000</w:t>
            </w:r>
            <w:r>
              <w:rPr>
                <w:rFonts w:hint="eastAsia" w:ascii="宋体"/>
                <w:sz w:val="18"/>
                <w:szCs w:val="18"/>
              </w:rPr>
              <w:t>元以下</w:t>
            </w:r>
          </w:p>
        </w:tc>
        <w:tc>
          <w:tcPr>
            <w:tcW w:w="2025" w:type="dxa"/>
            <w:vMerge w:val="continue"/>
            <w:vAlign w:val="center"/>
          </w:tcPr>
          <w:p w14:paraId="5BA8B036">
            <w:pPr>
              <w:spacing w:before="156" w:beforeLines="50" w:after="156" w:afterLines="50"/>
              <w:jc w:val="left"/>
              <w:rPr>
                <w:rFonts w:ascii="宋体"/>
                <w:sz w:val="18"/>
                <w:szCs w:val="18"/>
              </w:rPr>
            </w:pPr>
          </w:p>
        </w:tc>
        <w:tc>
          <w:tcPr>
            <w:tcW w:w="1954" w:type="dxa"/>
            <w:vMerge w:val="continue"/>
            <w:vAlign w:val="center"/>
          </w:tcPr>
          <w:p w14:paraId="49BE1ECD">
            <w:pPr>
              <w:spacing w:before="156" w:beforeLines="50" w:after="156" w:afterLines="50"/>
              <w:jc w:val="left"/>
              <w:rPr>
                <w:rFonts w:ascii="宋体"/>
                <w:sz w:val="18"/>
                <w:szCs w:val="18"/>
              </w:rPr>
            </w:pPr>
          </w:p>
        </w:tc>
        <w:tc>
          <w:tcPr>
            <w:tcW w:w="1548" w:type="dxa"/>
            <w:vMerge w:val="continue"/>
            <w:vAlign w:val="center"/>
          </w:tcPr>
          <w:p w14:paraId="2CD6938F">
            <w:pPr>
              <w:spacing w:before="156" w:beforeLines="50" w:after="156" w:afterLines="50"/>
              <w:jc w:val="left"/>
              <w:rPr>
                <w:rFonts w:ascii="宋体"/>
                <w:sz w:val="18"/>
                <w:szCs w:val="18"/>
              </w:rPr>
            </w:pPr>
          </w:p>
        </w:tc>
      </w:tr>
      <w:tr w14:paraId="2D1BA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94" w:hRule="atLeast"/>
          <w:jc w:val="center"/>
        </w:trPr>
        <w:tc>
          <w:tcPr>
            <w:tcW w:w="663" w:type="dxa"/>
            <w:vMerge w:val="continue"/>
          </w:tcPr>
          <w:p w14:paraId="3190EF17">
            <w:pPr>
              <w:spacing w:before="156" w:beforeLines="50" w:after="156" w:afterLines="50"/>
              <w:jc w:val="left"/>
              <w:rPr>
                <w:rFonts w:ascii="宋体"/>
                <w:sz w:val="18"/>
                <w:szCs w:val="18"/>
              </w:rPr>
            </w:pPr>
          </w:p>
        </w:tc>
        <w:tc>
          <w:tcPr>
            <w:tcW w:w="914" w:type="dxa"/>
            <w:vMerge w:val="continue"/>
            <w:vAlign w:val="center"/>
          </w:tcPr>
          <w:p w14:paraId="0BD8FD28">
            <w:pPr>
              <w:spacing w:before="156" w:beforeLines="50" w:after="156" w:afterLines="50"/>
              <w:jc w:val="left"/>
              <w:rPr>
                <w:rFonts w:ascii="宋体"/>
                <w:sz w:val="18"/>
                <w:szCs w:val="18"/>
              </w:rPr>
            </w:pPr>
          </w:p>
        </w:tc>
        <w:tc>
          <w:tcPr>
            <w:tcW w:w="643" w:type="dxa"/>
            <w:vMerge w:val="continue"/>
            <w:vAlign w:val="center"/>
          </w:tcPr>
          <w:p w14:paraId="7324AA98">
            <w:pPr>
              <w:spacing w:before="156" w:beforeLines="50" w:after="156" w:afterLines="50"/>
              <w:jc w:val="left"/>
              <w:rPr>
                <w:rFonts w:ascii="宋体"/>
                <w:sz w:val="18"/>
                <w:szCs w:val="18"/>
              </w:rPr>
            </w:pPr>
          </w:p>
        </w:tc>
        <w:tc>
          <w:tcPr>
            <w:tcW w:w="1256" w:type="dxa"/>
            <w:vMerge w:val="continue"/>
            <w:vAlign w:val="center"/>
          </w:tcPr>
          <w:p w14:paraId="31E817E2">
            <w:pPr>
              <w:spacing w:before="156" w:beforeLines="50" w:after="156" w:afterLines="50"/>
              <w:jc w:val="left"/>
              <w:rPr>
                <w:rFonts w:ascii="宋体"/>
                <w:sz w:val="18"/>
                <w:szCs w:val="18"/>
              </w:rPr>
            </w:pPr>
          </w:p>
        </w:tc>
        <w:tc>
          <w:tcPr>
            <w:tcW w:w="676" w:type="dxa"/>
            <w:vMerge w:val="continue"/>
            <w:vAlign w:val="center"/>
          </w:tcPr>
          <w:p w14:paraId="4C816D9F">
            <w:pPr>
              <w:spacing w:before="156" w:beforeLines="50" w:after="156" w:afterLines="50"/>
              <w:jc w:val="left"/>
              <w:rPr>
                <w:rFonts w:ascii="宋体"/>
                <w:sz w:val="18"/>
                <w:szCs w:val="18"/>
              </w:rPr>
            </w:pPr>
          </w:p>
        </w:tc>
        <w:tc>
          <w:tcPr>
            <w:tcW w:w="1991" w:type="dxa"/>
            <w:vAlign w:val="center"/>
          </w:tcPr>
          <w:p w14:paraId="686011E6">
            <w:pPr>
              <w:widowControl/>
              <w:spacing w:before="156" w:beforeLines="50" w:after="156" w:afterLines="50"/>
              <w:jc w:val="left"/>
              <w:rPr>
                <w:rFonts w:ascii="宋体"/>
                <w:kern w:val="0"/>
                <w:sz w:val="18"/>
                <w:szCs w:val="18"/>
              </w:rPr>
            </w:pPr>
            <w:r>
              <w:rPr>
                <w:rFonts w:hint="eastAsia" w:ascii="宋体"/>
                <w:kern w:val="0"/>
                <w:sz w:val="18"/>
                <w:szCs w:val="18"/>
              </w:rPr>
              <w:t>船长（驾驶员）、高级船员</w:t>
            </w:r>
            <w:r>
              <w:rPr>
                <w:rFonts w:ascii="宋体"/>
                <w:kern w:val="0"/>
                <w:sz w:val="18"/>
                <w:szCs w:val="18"/>
              </w:rPr>
              <w:t>2</w:t>
            </w:r>
            <w:r>
              <w:rPr>
                <w:rFonts w:hint="eastAsia" w:ascii="宋体"/>
                <w:kern w:val="0"/>
                <w:sz w:val="18"/>
                <w:szCs w:val="18"/>
              </w:rPr>
              <w:t>名及以下</w:t>
            </w:r>
            <w:r>
              <w:rPr>
                <w:rFonts w:hint="eastAsia" w:ascii="宋体"/>
                <w:sz w:val="18"/>
                <w:szCs w:val="18"/>
              </w:rPr>
              <w:t>所服务的船舶的航区、种类和等级或者所任职务超越所持船员职务证书限定的范围</w:t>
            </w:r>
            <w:r>
              <w:rPr>
                <w:rFonts w:hint="eastAsia" w:ascii="宋体"/>
                <w:kern w:val="0"/>
                <w:sz w:val="18"/>
                <w:szCs w:val="18"/>
              </w:rPr>
              <w:t>。</w:t>
            </w:r>
          </w:p>
        </w:tc>
        <w:tc>
          <w:tcPr>
            <w:tcW w:w="2126" w:type="dxa"/>
            <w:vAlign w:val="center"/>
          </w:tcPr>
          <w:p w14:paraId="01137E04">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：5万元及以上6万元以下；</w:t>
            </w:r>
          </w:p>
          <w:p w14:paraId="15462202">
            <w:pPr>
              <w:spacing w:before="156" w:beforeLines="50" w:after="156" w:afterLines="50"/>
              <w:jc w:val="left"/>
              <w:rPr>
                <w:rFonts w:ascii="宋体"/>
                <w:bCs/>
                <w:kern w:val="0"/>
                <w:sz w:val="18"/>
                <w:szCs w:val="18"/>
              </w:rPr>
            </w:pPr>
            <w:r>
              <w:rPr>
                <w:rFonts w:hint="eastAsia" w:ascii="宋体"/>
                <w:bCs/>
                <w:kern w:val="0"/>
                <w:sz w:val="18"/>
                <w:szCs w:val="18"/>
              </w:rPr>
              <w:t>2.船长（驾驶员）或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：6万元及以上7万元以下。</w:t>
            </w:r>
          </w:p>
        </w:tc>
        <w:tc>
          <w:tcPr>
            <w:tcW w:w="2126" w:type="dxa"/>
            <w:vAlign w:val="center"/>
          </w:tcPr>
          <w:p w14:paraId="182189EE">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：6万元及以上7万元以下；</w:t>
            </w:r>
          </w:p>
          <w:p w14:paraId="0872FE88">
            <w:pPr>
              <w:spacing w:before="156" w:beforeLines="50" w:after="156" w:afterLines="50"/>
              <w:jc w:val="left"/>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：7万元及以上8万元以下。</w:t>
            </w:r>
          </w:p>
        </w:tc>
        <w:tc>
          <w:tcPr>
            <w:tcW w:w="2693" w:type="dxa"/>
            <w:vAlign w:val="center"/>
          </w:tcPr>
          <w:p w14:paraId="72EFA0DB">
            <w:pPr>
              <w:spacing w:before="156" w:beforeLines="50" w:after="156" w:afterLines="50"/>
              <w:jc w:val="left"/>
              <w:rPr>
                <w:rFonts w:ascii="宋体"/>
                <w:bCs/>
                <w:kern w:val="0"/>
                <w:sz w:val="18"/>
                <w:szCs w:val="18"/>
              </w:rPr>
            </w:pPr>
            <w:r>
              <w:rPr>
                <w:rFonts w:hint="eastAsia" w:ascii="宋体"/>
                <w:bCs/>
                <w:kern w:val="0"/>
                <w:sz w:val="18"/>
                <w:szCs w:val="18"/>
              </w:rPr>
              <w:t>1.</w:t>
            </w:r>
            <w:r>
              <w:rPr>
                <w:rFonts w:ascii="宋体"/>
                <w:bCs/>
                <w:kern w:val="0"/>
                <w:sz w:val="18"/>
                <w:szCs w:val="18"/>
              </w:rPr>
              <w:t>1</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 xml:space="preserve"> 7万元及以上8万元以下；</w:t>
            </w:r>
          </w:p>
          <w:p w14:paraId="342F60DF">
            <w:pPr>
              <w:spacing w:before="156" w:beforeLines="50" w:after="156" w:afterLines="50"/>
              <w:jc w:val="left"/>
              <w:rPr>
                <w:rFonts w:ascii="宋体"/>
                <w:bCs/>
                <w:kern w:val="0"/>
                <w:sz w:val="18"/>
                <w:szCs w:val="18"/>
              </w:rPr>
            </w:pPr>
            <w:r>
              <w:rPr>
                <w:rFonts w:hint="eastAsia" w:ascii="宋体"/>
                <w:bCs/>
                <w:kern w:val="0"/>
                <w:sz w:val="18"/>
                <w:szCs w:val="18"/>
              </w:rPr>
              <w:t>2.船长或</w:t>
            </w:r>
            <w:r>
              <w:rPr>
                <w:rFonts w:ascii="宋体"/>
                <w:bCs/>
                <w:kern w:val="0"/>
                <w:sz w:val="18"/>
                <w:szCs w:val="18"/>
              </w:rPr>
              <w:t>2</w:t>
            </w:r>
            <w:r>
              <w:rPr>
                <w:rFonts w:hint="eastAsia" w:ascii="宋体"/>
                <w:bCs/>
                <w:kern w:val="0"/>
                <w:sz w:val="18"/>
                <w:szCs w:val="18"/>
              </w:rPr>
              <w:t>名高级船员</w:t>
            </w:r>
            <w:r>
              <w:rPr>
                <w:rFonts w:hint="eastAsia" w:ascii="宋体"/>
                <w:sz w:val="18"/>
                <w:szCs w:val="18"/>
              </w:rPr>
              <w:t>所服务的船舶的航区、种类和等级或者所任职务超越所持船员职务证书限定的范围</w:t>
            </w:r>
            <w:r>
              <w:rPr>
                <w:rFonts w:hint="eastAsia" w:ascii="宋体"/>
                <w:bCs/>
                <w:kern w:val="0"/>
                <w:sz w:val="18"/>
                <w:szCs w:val="18"/>
              </w:rPr>
              <w:t>：8万元及以上9万元以下。</w:t>
            </w:r>
          </w:p>
        </w:tc>
        <w:tc>
          <w:tcPr>
            <w:tcW w:w="2412" w:type="dxa"/>
            <w:vAlign w:val="center"/>
          </w:tcPr>
          <w:p w14:paraId="2A4180AD">
            <w:pPr>
              <w:spacing w:before="156" w:beforeLines="50" w:after="156" w:afterLines="50"/>
              <w:jc w:val="left"/>
              <w:rPr>
                <w:rFonts w:ascii="宋体"/>
                <w:sz w:val="18"/>
                <w:szCs w:val="18"/>
              </w:rPr>
            </w:pPr>
            <w:r>
              <w:rPr>
                <w:rFonts w:hint="eastAsia" w:ascii="宋体"/>
                <w:sz w:val="18"/>
                <w:szCs w:val="18"/>
              </w:rPr>
              <w:t>8</w:t>
            </w:r>
            <w:r>
              <w:rPr>
                <w:rFonts w:ascii="宋体"/>
                <w:sz w:val="18"/>
                <w:szCs w:val="18"/>
              </w:rPr>
              <w:t>000</w:t>
            </w:r>
            <w:r>
              <w:rPr>
                <w:rFonts w:hint="eastAsia" w:ascii="宋体"/>
                <w:sz w:val="18"/>
                <w:szCs w:val="18"/>
              </w:rPr>
              <w:t>元及以下1.2 万元以下</w:t>
            </w:r>
          </w:p>
        </w:tc>
        <w:tc>
          <w:tcPr>
            <w:tcW w:w="2025" w:type="dxa"/>
            <w:vMerge w:val="continue"/>
            <w:vAlign w:val="center"/>
          </w:tcPr>
          <w:p w14:paraId="40AE3BBD">
            <w:pPr>
              <w:spacing w:before="156" w:beforeLines="50" w:after="156" w:afterLines="50"/>
              <w:jc w:val="left"/>
              <w:rPr>
                <w:rFonts w:ascii="宋体"/>
                <w:sz w:val="18"/>
                <w:szCs w:val="18"/>
              </w:rPr>
            </w:pPr>
          </w:p>
        </w:tc>
        <w:tc>
          <w:tcPr>
            <w:tcW w:w="1954" w:type="dxa"/>
            <w:vMerge w:val="continue"/>
            <w:vAlign w:val="center"/>
          </w:tcPr>
          <w:p w14:paraId="641FF394">
            <w:pPr>
              <w:spacing w:before="156" w:beforeLines="50" w:after="156" w:afterLines="50"/>
              <w:jc w:val="left"/>
              <w:rPr>
                <w:rFonts w:ascii="宋体"/>
                <w:sz w:val="18"/>
                <w:szCs w:val="18"/>
              </w:rPr>
            </w:pPr>
          </w:p>
        </w:tc>
        <w:tc>
          <w:tcPr>
            <w:tcW w:w="1548" w:type="dxa"/>
            <w:vMerge w:val="continue"/>
          </w:tcPr>
          <w:p w14:paraId="6F0D5832">
            <w:pPr>
              <w:spacing w:before="156" w:beforeLines="50" w:after="156" w:afterLines="50"/>
              <w:jc w:val="left"/>
              <w:rPr>
                <w:rFonts w:ascii="宋体"/>
                <w:sz w:val="18"/>
                <w:szCs w:val="18"/>
              </w:rPr>
            </w:pPr>
          </w:p>
        </w:tc>
      </w:tr>
      <w:tr w14:paraId="4A269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663" w:type="dxa"/>
            <w:vMerge w:val="continue"/>
          </w:tcPr>
          <w:p w14:paraId="7A51A19C">
            <w:pPr>
              <w:spacing w:before="156" w:beforeLines="50" w:after="156" w:afterLines="50"/>
              <w:jc w:val="left"/>
              <w:rPr>
                <w:rFonts w:ascii="宋体"/>
                <w:sz w:val="18"/>
                <w:szCs w:val="18"/>
              </w:rPr>
            </w:pPr>
          </w:p>
        </w:tc>
        <w:tc>
          <w:tcPr>
            <w:tcW w:w="914" w:type="dxa"/>
            <w:vMerge w:val="continue"/>
            <w:vAlign w:val="center"/>
          </w:tcPr>
          <w:p w14:paraId="7C8183AD">
            <w:pPr>
              <w:spacing w:before="156" w:beforeLines="50" w:after="156" w:afterLines="50"/>
              <w:jc w:val="left"/>
              <w:rPr>
                <w:rFonts w:ascii="宋体"/>
                <w:sz w:val="18"/>
                <w:szCs w:val="18"/>
              </w:rPr>
            </w:pPr>
          </w:p>
        </w:tc>
        <w:tc>
          <w:tcPr>
            <w:tcW w:w="643" w:type="dxa"/>
            <w:vMerge w:val="continue"/>
            <w:vAlign w:val="center"/>
          </w:tcPr>
          <w:p w14:paraId="66F11572">
            <w:pPr>
              <w:spacing w:before="156" w:beforeLines="50" w:after="156" w:afterLines="50"/>
              <w:jc w:val="left"/>
              <w:rPr>
                <w:rFonts w:ascii="宋体"/>
                <w:sz w:val="18"/>
                <w:szCs w:val="18"/>
              </w:rPr>
            </w:pPr>
          </w:p>
        </w:tc>
        <w:tc>
          <w:tcPr>
            <w:tcW w:w="1256" w:type="dxa"/>
            <w:vMerge w:val="continue"/>
            <w:vAlign w:val="center"/>
          </w:tcPr>
          <w:p w14:paraId="1C1E7361">
            <w:pPr>
              <w:spacing w:before="156" w:beforeLines="50" w:after="156" w:afterLines="50"/>
              <w:jc w:val="left"/>
              <w:rPr>
                <w:rFonts w:ascii="宋体"/>
                <w:sz w:val="18"/>
                <w:szCs w:val="18"/>
              </w:rPr>
            </w:pPr>
          </w:p>
        </w:tc>
        <w:tc>
          <w:tcPr>
            <w:tcW w:w="676" w:type="dxa"/>
            <w:vMerge w:val="continue"/>
            <w:vAlign w:val="center"/>
          </w:tcPr>
          <w:p w14:paraId="3B512793">
            <w:pPr>
              <w:spacing w:before="156" w:beforeLines="50" w:after="156" w:afterLines="50"/>
              <w:jc w:val="left"/>
              <w:rPr>
                <w:rFonts w:ascii="宋体"/>
                <w:sz w:val="18"/>
                <w:szCs w:val="18"/>
              </w:rPr>
            </w:pPr>
          </w:p>
        </w:tc>
        <w:tc>
          <w:tcPr>
            <w:tcW w:w="1991" w:type="dxa"/>
            <w:vAlign w:val="center"/>
          </w:tcPr>
          <w:p w14:paraId="57F3B40A">
            <w:pPr>
              <w:spacing w:before="156" w:beforeLines="50" w:after="156" w:afterLines="50"/>
              <w:jc w:val="left"/>
              <w:rPr>
                <w:rFonts w:ascii="宋体"/>
                <w:kern w:val="0"/>
                <w:sz w:val="18"/>
                <w:szCs w:val="18"/>
              </w:rPr>
            </w:pPr>
            <w:r>
              <w:rPr>
                <w:rFonts w:hint="eastAsia" w:ascii="宋体"/>
                <w:kern w:val="0"/>
                <w:sz w:val="18"/>
                <w:szCs w:val="18"/>
              </w:rPr>
              <w:t>1.发生事故的；</w:t>
            </w:r>
          </w:p>
          <w:p w14:paraId="06EC5AE2">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2126" w:type="dxa"/>
            <w:vAlign w:val="center"/>
          </w:tcPr>
          <w:p w14:paraId="14D3043B">
            <w:pPr>
              <w:spacing w:before="156" w:beforeLines="50" w:after="156" w:afterLines="50"/>
              <w:jc w:val="left"/>
              <w:rPr>
                <w:rFonts w:ascii="宋体"/>
                <w:sz w:val="18"/>
                <w:szCs w:val="18"/>
              </w:rPr>
            </w:pPr>
            <w:r>
              <w:rPr>
                <w:rFonts w:hint="eastAsia" w:ascii="宋体"/>
                <w:sz w:val="18"/>
                <w:szCs w:val="18"/>
              </w:rPr>
              <w:t>7万元及以上至</w:t>
            </w:r>
            <w:r>
              <w:rPr>
                <w:rFonts w:ascii="宋体"/>
                <w:sz w:val="18"/>
                <w:szCs w:val="18"/>
              </w:rPr>
              <w:t>1</w:t>
            </w:r>
            <w:r>
              <w:rPr>
                <w:rFonts w:hint="eastAsia" w:ascii="宋体"/>
                <w:sz w:val="18"/>
                <w:szCs w:val="18"/>
              </w:rPr>
              <w:t>5万元</w:t>
            </w:r>
          </w:p>
        </w:tc>
        <w:tc>
          <w:tcPr>
            <w:tcW w:w="2126" w:type="dxa"/>
            <w:vAlign w:val="center"/>
          </w:tcPr>
          <w:p w14:paraId="275A4C54">
            <w:pPr>
              <w:spacing w:before="156" w:beforeLines="50" w:after="156" w:afterLines="50"/>
              <w:jc w:val="left"/>
              <w:rPr>
                <w:rFonts w:ascii="宋体"/>
                <w:sz w:val="18"/>
                <w:szCs w:val="18"/>
              </w:rPr>
            </w:pPr>
            <w:r>
              <w:rPr>
                <w:rFonts w:hint="eastAsia" w:ascii="宋体"/>
                <w:sz w:val="18"/>
                <w:szCs w:val="18"/>
              </w:rPr>
              <w:t>8万元及以上至</w:t>
            </w:r>
            <w:r>
              <w:rPr>
                <w:rFonts w:ascii="宋体"/>
                <w:sz w:val="18"/>
                <w:szCs w:val="18"/>
              </w:rPr>
              <w:t>1</w:t>
            </w:r>
            <w:r>
              <w:rPr>
                <w:rFonts w:hint="eastAsia" w:ascii="宋体"/>
                <w:sz w:val="18"/>
                <w:szCs w:val="18"/>
              </w:rPr>
              <w:t>5万元</w:t>
            </w:r>
          </w:p>
        </w:tc>
        <w:tc>
          <w:tcPr>
            <w:tcW w:w="2693" w:type="dxa"/>
            <w:vAlign w:val="center"/>
          </w:tcPr>
          <w:p w14:paraId="68B0F0ED">
            <w:pPr>
              <w:spacing w:before="156" w:beforeLines="50" w:after="156" w:afterLines="50"/>
              <w:jc w:val="left"/>
              <w:rPr>
                <w:rFonts w:ascii="宋体"/>
                <w:sz w:val="18"/>
                <w:szCs w:val="18"/>
              </w:rPr>
            </w:pPr>
            <w:r>
              <w:rPr>
                <w:rFonts w:hint="eastAsia" w:ascii="宋体"/>
                <w:sz w:val="18"/>
                <w:szCs w:val="18"/>
              </w:rPr>
              <w:t>9万元及以上至</w:t>
            </w:r>
            <w:r>
              <w:rPr>
                <w:rFonts w:ascii="宋体"/>
                <w:sz w:val="18"/>
                <w:szCs w:val="18"/>
              </w:rPr>
              <w:t>1</w:t>
            </w:r>
            <w:r>
              <w:rPr>
                <w:rFonts w:hint="eastAsia" w:ascii="宋体"/>
                <w:sz w:val="18"/>
                <w:szCs w:val="18"/>
              </w:rPr>
              <w:t>5万元</w:t>
            </w:r>
          </w:p>
        </w:tc>
        <w:tc>
          <w:tcPr>
            <w:tcW w:w="2412" w:type="dxa"/>
            <w:vAlign w:val="center"/>
          </w:tcPr>
          <w:p w14:paraId="47469A20">
            <w:pPr>
              <w:spacing w:before="156" w:beforeLines="50" w:after="156" w:afterLines="50"/>
              <w:jc w:val="left"/>
              <w:rPr>
                <w:rFonts w:ascii="宋体"/>
                <w:sz w:val="18"/>
                <w:szCs w:val="18"/>
              </w:rPr>
            </w:pPr>
            <w:r>
              <w:rPr>
                <w:rFonts w:ascii="宋体"/>
                <w:kern w:val="0"/>
                <w:sz w:val="18"/>
                <w:szCs w:val="18"/>
              </w:rPr>
              <w:t>1.2</w:t>
            </w:r>
            <w:r>
              <w:rPr>
                <w:rFonts w:hint="eastAsia" w:ascii="宋体"/>
                <w:kern w:val="0"/>
                <w:sz w:val="18"/>
                <w:szCs w:val="18"/>
              </w:rPr>
              <w:t>万元及以上至</w:t>
            </w:r>
            <w:r>
              <w:rPr>
                <w:rFonts w:ascii="宋体"/>
                <w:kern w:val="0"/>
                <w:sz w:val="18"/>
                <w:szCs w:val="18"/>
              </w:rPr>
              <w:t>2</w:t>
            </w:r>
            <w:r>
              <w:rPr>
                <w:rFonts w:hint="eastAsia" w:ascii="宋体"/>
                <w:kern w:val="0"/>
                <w:sz w:val="18"/>
                <w:szCs w:val="18"/>
              </w:rPr>
              <w:t>万元</w:t>
            </w:r>
          </w:p>
        </w:tc>
        <w:tc>
          <w:tcPr>
            <w:tcW w:w="2025" w:type="dxa"/>
            <w:vMerge w:val="continue"/>
          </w:tcPr>
          <w:p w14:paraId="1AF32FF5">
            <w:pPr>
              <w:spacing w:before="156" w:beforeLines="50" w:after="156" w:afterLines="50"/>
              <w:jc w:val="left"/>
              <w:rPr>
                <w:rFonts w:ascii="宋体"/>
                <w:sz w:val="18"/>
                <w:szCs w:val="18"/>
              </w:rPr>
            </w:pPr>
          </w:p>
        </w:tc>
        <w:tc>
          <w:tcPr>
            <w:tcW w:w="1954" w:type="dxa"/>
            <w:vMerge w:val="continue"/>
          </w:tcPr>
          <w:p w14:paraId="4EB25E5D">
            <w:pPr>
              <w:spacing w:before="156" w:beforeLines="50" w:after="156" w:afterLines="50"/>
              <w:jc w:val="left"/>
              <w:rPr>
                <w:rFonts w:ascii="宋体"/>
                <w:sz w:val="18"/>
                <w:szCs w:val="18"/>
              </w:rPr>
            </w:pPr>
          </w:p>
        </w:tc>
        <w:tc>
          <w:tcPr>
            <w:tcW w:w="1548" w:type="dxa"/>
            <w:vMerge w:val="continue"/>
          </w:tcPr>
          <w:p w14:paraId="6DF045D2">
            <w:pPr>
              <w:spacing w:before="156" w:beforeLines="50" w:after="156" w:afterLines="50"/>
              <w:jc w:val="left"/>
              <w:rPr>
                <w:rFonts w:ascii="宋体"/>
                <w:sz w:val="18"/>
                <w:szCs w:val="18"/>
              </w:rPr>
            </w:pPr>
          </w:p>
        </w:tc>
      </w:tr>
    </w:tbl>
    <w:p w14:paraId="51897FF0">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37"/>
        <w:gridCol w:w="1389"/>
        <w:gridCol w:w="2919"/>
        <w:gridCol w:w="718"/>
        <w:gridCol w:w="3584"/>
        <w:gridCol w:w="10345"/>
      </w:tblGrid>
      <w:tr w14:paraId="01F4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84" w:type="dxa"/>
            <w:vMerge w:val="restart"/>
            <w:vAlign w:val="center"/>
          </w:tcPr>
          <w:p w14:paraId="0E240A89">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37" w:type="dxa"/>
            <w:vMerge w:val="restart"/>
            <w:vAlign w:val="center"/>
          </w:tcPr>
          <w:p w14:paraId="77991528">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308" w:type="dxa"/>
            <w:gridSpan w:val="2"/>
            <w:vMerge w:val="restart"/>
            <w:vAlign w:val="center"/>
          </w:tcPr>
          <w:p w14:paraId="0355548F">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8" w:type="dxa"/>
            <w:vMerge w:val="restart"/>
            <w:vAlign w:val="center"/>
          </w:tcPr>
          <w:p w14:paraId="2D7E2614">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3584" w:type="dxa"/>
            <w:vMerge w:val="restart"/>
            <w:vAlign w:val="center"/>
          </w:tcPr>
          <w:p w14:paraId="748B506A">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345" w:type="dxa"/>
            <w:tcBorders>
              <w:bottom w:val="single" w:color="auto" w:sz="4" w:space="0"/>
              <w:right w:val="single" w:color="auto" w:sz="4" w:space="0"/>
            </w:tcBorders>
          </w:tcPr>
          <w:p w14:paraId="638ABFB3">
            <w:pPr>
              <w:spacing w:before="156" w:beforeLines="50" w:after="156" w:afterLines="50"/>
              <w:jc w:val="center"/>
              <w:rPr>
                <w:rFonts w:ascii="宋体"/>
                <w:b/>
                <w:kern w:val="0"/>
                <w:sz w:val="18"/>
                <w:szCs w:val="18"/>
              </w:rPr>
            </w:pPr>
            <w:r>
              <w:rPr>
                <w:rFonts w:hint="eastAsia" w:ascii="宋体"/>
                <w:b/>
                <w:kern w:val="0"/>
                <w:sz w:val="18"/>
                <w:szCs w:val="18"/>
              </w:rPr>
              <w:t>【法定幅度和种类】</w:t>
            </w:r>
            <w:r>
              <w:rPr>
                <w:rFonts w:hint="eastAsia"/>
                <w:b/>
                <w:sz w:val="18"/>
                <w:szCs w:val="18"/>
              </w:rPr>
              <w:t>吊销有关证件，并处</w:t>
            </w:r>
            <w:r>
              <w:rPr>
                <w:b/>
                <w:sz w:val="18"/>
                <w:szCs w:val="18"/>
              </w:rPr>
              <w:t>2000</w:t>
            </w:r>
            <w:r>
              <w:rPr>
                <w:rFonts w:hint="eastAsia"/>
                <w:b/>
                <w:sz w:val="18"/>
                <w:szCs w:val="18"/>
              </w:rPr>
              <w:t>元以上2万元以下罚款</w:t>
            </w:r>
          </w:p>
        </w:tc>
      </w:tr>
      <w:tr w14:paraId="1EFF8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14:paraId="5CDB8524">
            <w:pPr>
              <w:spacing w:before="156" w:beforeLines="50" w:after="156" w:afterLines="50"/>
              <w:jc w:val="center"/>
              <w:rPr>
                <w:rFonts w:ascii="宋体"/>
                <w:b/>
                <w:kern w:val="0"/>
                <w:sz w:val="18"/>
                <w:szCs w:val="18"/>
              </w:rPr>
            </w:pPr>
          </w:p>
        </w:tc>
        <w:tc>
          <w:tcPr>
            <w:tcW w:w="1437" w:type="dxa"/>
            <w:vMerge w:val="continue"/>
            <w:vAlign w:val="center"/>
          </w:tcPr>
          <w:p w14:paraId="56C16DF4">
            <w:pPr>
              <w:spacing w:before="156" w:beforeLines="50" w:after="156" w:afterLines="50"/>
              <w:jc w:val="center"/>
              <w:rPr>
                <w:rFonts w:ascii="宋体"/>
                <w:b/>
                <w:kern w:val="0"/>
                <w:sz w:val="18"/>
                <w:szCs w:val="18"/>
              </w:rPr>
            </w:pPr>
          </w:p>
        </w:tc>
        <w:tc>
          <w:tcPr>
            <w:tcW w:w="4308" w:type="dxa"/>
            <w:gridSpan w:val="2"/>
            <w:vMerge w:val="continue"/>
            <w:vAlign w:val="center"/>
          </w:tcPr>
          <w:p w14:paraId="7B1DDC75">
            <w:pPr>
              <w:spacing w:before="156" w:beforeLines="50" w:after="156" w:afterLines="50"/>
              <w:jc w:val="center"/>
              <w:rPr>
                <w:rFonts w:ascii="宋体"/>
                <w:b/>
                <w:kern w:val="0"/>
                <w:sz w:val="18"/>
                <w:szCs w:val="18"/>
              </w:rPr>
            </w:pPr>
          </w:p>
        </w:tc>
        <w:tc>
          <w:tcPr>
            <w:tcW w:w="718" w:type="dxa"/>
            <w:vMerge w:val="continue"/>
            <w:vAlign w:val="center"/>
          </w:tcPr>
          <w:p w14:paraId="27AB54F5">
            <w:pPr>
              <w:spacing w:before="156" w:beforeLines="50" w:after="156" w:afterLines="50"/>
              <w:jc w:val="left"/>
              <w:rPr>
                <w:rFonts w:ascii="宋体"/>
                <w:b/>
                <w:kern w:val="0"/>
                <w:sz w:val="18"/>
                <w:szCs w:val="18"/>
              </w:rPr>
            </w:pPr>
          </w:p>
        </w:tc>
        <w:tc>
          <w:tcPr>
            <w:tcW w:w="3584" w:type="dxa"/>
            <w:vMerge w:val="continue"/>
            <w:vAlign w:val="center"/>
          </w:tcPr>
          <w:p w14:paraId="32CBA4DB">
            <w:pPr>
              <w:spacing w:before="156" w:beforeLines="50" w:after="156" w:afterLines="50"/>
              <w:jc w:val="left"/>
              <w:rPr>
                <w:rFonts w:ascii="宋体"/>
                <w:b/>
                <w:kern w:val="0"/>
                <w:sz w:val="18"/>
                <w:szCs w:val="18"/>
              </w:rPr>
            </w:pPr>
          </w:p>
        </w:tc>
        <w:tc>
          <w:tcPr>
            <w:tcW w:w="10345" w:type="dxa"/>
            <w:tcBorders>
              <w:top w:val="single" w:color="auto" w:sz="4" w:space="0"/>
              <w:bottom w:val="single" w:color="auto" w:sz="4" w:space="0"/>
              <w:right w:val="single" w:color="auto" w:sz="4" w:space="0"/>
            </w:tcBorders>
            <w:vAlign w:val="center"/>
          </w:tcPr>
          <w:p w14:paraId="5FBC2F56">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437F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14:paraId="0F47E05F">
            <w:pPr>
              <w:spacing w:before="156" w:beforeLines="50" w:after="156" w:afterLines="50"/>
              <w:jc w:val="center"/>
              <w:rPr>
                <w:rFonts w:ascii="宋体"/>
                <w:b/>
                <w:kern w:val="0"/>
                <w:sz w:val="18"/>
                <w:szCs w:val="18"/>
              </w:rPr>
            </w:pPr>
          </w:p>
        </w:tc>
        <w:tc>
          <w:tcPr>
            <w:tcW w:w="1437" w:type="dxa"/>
            <w:vMerge w:val="continue"/>
            <w:vAlign w:val="center"/>
          </w:tcPr>
          <w:p w14:paraId="4A8CCF53">
            <w:pPr>
              <w:spacing w:before="156" w:beforeLines="50" w:after="156" w:afterLines="50"/>
              <w:jc w:val="center"/>
              <w:rPr>
                <w:rFonts w:ascii="宋体"/>
                <w:b/>
                <w:kern w:val="0"/>
                <w:sz w:val="18"/>
                <w:szCs w:val="18"/>
              </w:rPr>
            </w:pPr>
          </w:p>
        </w:tc>
        <w:tc>
          <w:tcPr>
            <w:tcW w:w="1389" w:type="dxa"/>
            <w:vAlign w:val="center"/>
          </w:tcPr>
          <w:p w14:paraId="32C7F9A5">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919" w:type="dxa"/>
            <w:vAlign w:val="center"/>
          </w:tcPr>
          <w:p w14:paraId="4CA08B7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18" w:type="dxa"/>
            <w:vMerge w:val="continue"/>
            <w:vAlign w:val="center"/>
          </w:tcPr>
          <w:p w14:paraId="4D443B47">
            <w:pPr>
              <w:spacing w:before="156" w:beforeLines="50" w:after="156" w:afterLines="50"/>
              <w:jc w:val="left"/>
              <w:rPr>
                <w:rFonts w:ascii="宋体"/>
                <w:b/>
                <w:kern w:val="0"/>
                <w:sz w:val="18"/>
                <w:szCs w:val="18"/>
              </w:rPr>
            </w:pPr>
          </w:p>
        </w:tc>
        <w:tc>
          <w:tcPr>
            <w:tcW w:w="3584" w:type="dxa"/>
            <w:vMerge w:val="continue"/>
            <w:vAlign w:val="center"/>
          </w:tcPr>
          <w:p w14:paraId="23C686F7">
            <w:pPr>
              <w:spacing w:before="156" w:beforeLines="50" w:after="156" w:afterLines="50"/>
              <w:jc w:val="left"/>
              <w:rPr>
                <w:rFonts w:ascii="宋体"/>
                <w:b/>
                <w:kern w:val="0"/>
                <w:sz w:val="18"/>
                <w:szCs w:val="18"/>
              </w:rPr>
            </w:pPr>
          </w:p>
        </w:tc>
        <w:tc>
          <w:tcPr>
            <w:tcW w:w="10345" w:type="dxa"/>
            <w:tcBorders>
              <w:top w:val="single" w:color="auto" w:sz="4" w:space="0"/>
              <w:bottom w:val="single" w:color="auto" w:sz="4" w:space="0"/>
              <w:right w:val="single" w:color="auto" w:sz="4" w:space="0"/>
            </w:tcBorders>
            <w:vAlign w:val="center"/>
          </w:tcPr>
          <w:p w14:paraId="371295B2">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46ED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vAlign w:val="center"/>
          </w:tcPr>
          <w:p w14:paraId="44F6016D">
            <w:pPr>
              <w:spacing w:before="156" w:beforeLines="50" w:after="156" w:afterLines="50"/>
              <w:jc w:val="center"/>
              <w:rPr>
                <w:rFonts w:ascii="宋体"/>
                <w:kern w:val="0"/>
                <w:sz w:val="18"/>
                <w:szCs w:val="18"/>
              </w:rPr>
            </w:pPr>
            <w:r>
              <w:rPr>
                <w:rFonts w:hint="eastAsia" w:ascii="宋体"/>
                <w:kern w:val="0"/>
                <w:sz w:val="18"/>
                <w:szCs w:val="18"/>
              </w:rPr>
              <w:t>79</w:t>
            </w:r>
          </w:p>
        </w:tc>
        <w:tc>
          <w:tcPr>
            <w:tcW w:w="1437" w:type="dxa"/>
            <w:vMerge w:val="restart"/>
            <w:vAlign w:val="center"/>
          </w:tcPr>
          <w:p w14:paraId="46A11AE8">
            <w:pPr>
              <w:spacing w:before="156" w:beforeLines="50" w:after="156" w:afterLines="50"/>
              <w:rPr>
                <w:sz w:val="18"/>
                <w:szCs w:val="18"/>
              </w:rPr>
            </w:pPr>
            <w:r>
              <w:rPr>
                <w:rFonts w:hint="eastAsia"/>
                <w:sz w:val="18"/>
                <w:szCs w:val="18"/>
              </w:rPr>
              <w:t>以欺骗、贿赂等不正当手段取得船员适任证书、船员培训合格证书、中华人民共和国海员证</w:t>
            </w:r>
          </w:p>
        </w:tc>
        <w:tc>
          <w:tcPr>
            <w:tcW w:w="1389" w:type="dxa"/>
            <w:vMerge w:val="restart"/>
            <w:vAlign w:val="center"/>
          </w:tcPr>
          <w:p w14:paraId="4FF09267">
            <w:pPr>
              <w:widowControl/>
              <w:spacing w:before="156" w:beforeLines="50" w:after="156" w:afterLines="50"/>
              <w:jc w:val="left"/>
              <w:rPr>
                <w:rFonts w:ascii="宋体"/>
                <w:kern w:val="0"/>
                <w:sz w:val="18"/>
                <w:szCs w:val="18"/>
              </w:rPr>
            </w:pPr>
            <w:r>
              <w:rPr>
                <w:rFonts w:hint="eastAsia" w:ascii="宋体"/>
                <w:kern w:val="0"/>
                <w:sz w:val="18"/>
                <w:szCs w:val="18"/>
              </w:rPr>
              <w:t>1.《中华人民共和国船员条例》第五条、第六条、第十一条；</w:t>
            </w:r>
          </w:p>
          <w:p w14:paraId="6DC00A7B"/>
          <w:p w14:paraId="01F2D156">
            <w:pPr>
              <w:widowControl/>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.《中华人民共和国内河船舶船员适任考试和发证规则》第十条、第十一条、第十二条、第十三条；</w:t>
            </w:r>
          </w:p>
          <w:p w14:paraId="7067EF83">
            <w:pPr>
              <w:widowControl/>
              <w:spacing w:before="156" w:beforeLines="50" w:after="156" w:afterLines="50"/>
              <w:jc w:val="left"/>
              <w:rPr>
                <w:rFonts w:ascii="宋体"/>
                <w:kern w:val="0"/>
                <w:sz w:val="18"/>
                <w:szCs w:val="18"/>
              </w:rPr>
            </w:pPr>
            <w:r>
              <w:rPr>
                <w:rFonts w:ascii="宋体"/>
                <w:kern w:val="0"/>
                <w:sz w:val="18"/>
                <w:szCs w:val="18"/>
              </w:rPr>
              <w:t>3</w:t>
            </w:r>
            <w:r>
              <w:rPr>
                <w:rFonts w:hint="eastAsia" w:ascii="宋体"/>
                <w:kern w:val="0"/>
                <w:sz w:val="18"/>
                <w:szCs w:val="18"/>
              </w:rPr>
              <w:t>.《游艇安全管理规定》第七条。</w:t>
            </w:r>
          </w:p>
        </w:tc>
        <w:tc>
          <w:tcPr>
            <w:tcW w:w="2919" w:type="dxa"/>
            <w:vMerge w:val="restart"/>
            <w:vAlign w:val="center"/>
          </w:tcPr>
          <w:p w14:paraId="60036060">
            <w:pPr>
              <w:spacing w:before="156" w:beforeLines="50" w:after="156" w:afterLines="50"/>
              <w:jc w:val="left"/>
            </w:pPr>
            <w:r>
              <w:rPr>
                <w:rFonts w:hint="eastAsia" w:ascii="宋体"/>
                <w:kern w:val="0"/>
                <w:sz w:val="18"/>
                <w:szCs w:val="18"/>
              </w:rPr>
              <w:t>1.《中华人民共和国船员条例》第四十八条；</w:t>
            </w:r>
          </w:p>
          <w:p w14:paraId="1489603C">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.《游艇安全管理规定》第三十九条；</w:t>
            </w:r>
          </w:p>
          <w:p w14:paraId="0CCE76E4">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w:t>
            </w:r>
            <w:r>
              <w:rPr>
                <w:rFonts w:hint="eastAsia" w:ascii="宋体"/>
                <w:kern w:val="0"/>
                <w:sz w:val="18"/>
                <w:szCs w:val="18"/>
              </w:rPr>
              <w:t>《中华人民共和国行政处罚法》第三十二条（从轻）。</w:t>
            </w:r>
          </w:p>
        </w:tc>
        <w:tc>
          <w:tcPr>
            <w:tcW w:w="718" w:type="dxa"/>
            <w:vAlign w:val="center"/>
          </w:tcPr>
          <w:p w14:paraId="6B3E482C">
            <w:pPr>
              <w:spacing w:before="156" w:beforeLines="50" w:after="156" w:afterLines="50"/>
              <w:jc w:val="left"/>
              <w:rPr>
                <w:rFonts w:ascii="宋体"/>
                <w:kern w:val="0"/>
                <w:sz w:val="18"/>
                <w:szCs w:val="18"/>
              </w:rPr>
            </w:pPr>
            <w:r>
              <w:rPr>
                <w:rFonts w:hint="eastAsia" w:ascii="宋体"/>
                <w:kern w:val="0"/>
                <w:sz w:val="18"/>
                <w:szCs w:val="18"/>
              </w:rPr>
              <w:t>从轻</w:t>
            </w:r>
          </w:p>
        </w:tc>
        <w:tc>
          <w:tcPr>
            <w:tcW w:w="3584" w:type="dxa"/>
            <w:vAlign w:val="center"/>
          </w:tcPr>
          <w:p w14:paraId="69A1BB61">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10345" w:type="dxa"/>
            <w:tcBorders>
              <w:right w:val="single" w:color="auto" w:sz="4" w:space="0"/>
            </w:tcBorders>
            <w:vAlign w:val="center"/>
          </w:tcPr>
          <w:p w14:paraId="5935689D">
            <w:pPr>
              <w:spacing w:before="156" w:beforeLines="50" w:after="156" w:afterLines="50"/>
              <w:jc w:val="left"/>
              <w:rPr>
                <w:rFonts w:ascii="宋体"/>
                <w:kern w:val="0"/>
                <w:sz w:val="18"/>
                <w:szCs w:val="18"/>
              </w:rPr>
            </w:pPr>
            <w:r>
              <w:rPr>
                <w:rFonts w:hint="eastAsia" w:ascii="宋体"/>
                <w:kern w:val="0"/>
                <w:sz w:val="18"/>
                <w:szCs w:val="18"/>
              </w:rPr>
              <w:t>吊销有关证件，并处2000元及以上4000元以下罚款</w:t>
            </w:r>
          </w:p>
        </w:tc>
      </w:tr>
      <w:tr w14:paraId="1546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vAlign w:val="center"/>
          </w:tcPr>
          <w:p w14:paraId="6AC6A022">
            <w:pPr>
              <w:spacing w:before="156" w:beforeLines="50" w:after="156" w:afterLines="50"/>
              <w:jc w:val="left"/>
              <w:rPr>
                <w:rFonts w:ascii="宋体"/>
                <w:kern w:val="0"/>
                <w:sz w:val="18"/>
                <w:szCs w:val="18"/>
              </w:rPr>
            </w:pPr>
          </w:p>
        </w:tc>
        <w:tc>
          <w:tcPr>
            <w:tcW w:w="1437" w:type="dxa"/>
            <w:vMerge w:val="continue"/>
            <w:vAlign w:val="center"/>
          </w:tcPr>
          <w:p w14:paraId="4A35FCAC">
            <w:pPr>
              <w:spacing w:before="156" w:beforeLines="50" w:after="156" w:afterLines="50"/>
              <w:jc w:val="left"/>
              <w:rPr>
                <w:rFonts w:ascii="宋体"/>
                <w:kern w:val="0"/>
                <w:sz w:val="18"/>
                <w:szCs w:val="18"/>
              </w:rPr>
            </w:pPr>
          </w:p>
        </w:tc>
        <w:tc>
          <w:tcPr>
            <w:tcW w:w="1389" w:type="dxa"/>
            <w:vMerge w:val="continue"/>
            <w:vAlign w:val="center"/>
          </w:tcPr>
          <w:p w14:paraId="18ABA9FB">
            <w:pPr>
              <w:widowControl/>
              <w:spacing w:before="156" w:beforeLines="50" w:after="156" w:afterLines="50"/>
              <w:jc w:val="left"/>
              <w:rPr>
                <w:rFonts w:ascii="宋体"/>
                <w:kern w:val="0"/>
                <w:sz w:val="18"/>
                <w:szCs w:val="18"/>
              </w:rPr>
            </w:pPr>
          </w:p>
        </w:tc>
        <w:tc>
          <w:tcPr>
            <w:tcW w:w="2919" w:type="dxa"/>
            <w:vMerge w:val="continue"/>
            <w:vAlign w:val="center"/>
          </w:tcPr>
          <w:p w14:paraId="1B09FCE9">
            <w:pPr>
              <w:spacing w:before="156" w:beforeLines="50" w:after="156" w:afterLines="50"/>
              <w:jc w:val="left"/>
              <w:rPr>
                <w:rFonts w:ascii="宋体"/>
                <w:kern w:val="0"/>
                <w:sz w:val="18"/>
                <w:szCs w:val="18"/>
              </w:rPr>
            </w:pPr>
          </w:p>
        </w:tc>
        <w:tc>
          <w:tcPr>
            <w:tcW w:w="718" w:type="dxa"/>
            <w:vMerge w:val="restart"/>
            <w:vAlign w:val="center"/>
          </w:tcPr>
          <w:p w14:paraId="74BD6F06">
            <w:pPr>
              <w:spacing w:before="156" w:beforeLines="50" w:after="156" w:afterLines="50"/>
              <w:jc w:val="left"/>
              <w:rPr>
                <w:rFonts w:ascii="宋体"/>
                <w:kern w:val="0"/>
                <w:sz w:val="18"/>
                <w:szCs w:val="18"/>
              </w:rPr>
            </w:pPr>
            <w:r>
              <w:rPr>
                <w:rFonts w:hint="eastAsia" w:ascii="宋体"/>
                <w:kern w:val="0"/>
                <w:sz w:val="18"/>
                <w:szCs w:val="18"/>
              </w:rPr>
              <w:t>一般</w:t>
            </w:r>
          </w:p>
        </w:tc>
        <w:tc>
          <w:tcPr>
            <w:tcW w:w="3584" w:type="dxa"/>
            <w:vAlign w:val="center"/>
          </w:tcPr>
          <w:p w14:paraId="3394E827">
            <w:pPr>
              <w:spacing w:before="156" w:beforeLines="50" w:after="156" w:afterLines="50"/>
              <w:jc w:val="left"/>
              <w:rPr>
                <w:sz w:val="18"/>
                <w:szCs w:val="18"/>
              </w:rPr>
            </w:pPr>
            <w:r>
              <w:rPr>
                <w:rFonts w:hint="eastAsia"/>
                <w:sz w:val="18"/>
                <w:szCs w:val="18"/>
              </w:rPr>
              <w:t>以欺骗、贿赂等不正当手段取得船员服务簿；或者以欺骗、贿赂等不正当手段取得船员基本安全培训合格证的。</w:t>
            </w:r>
          </w:p>
        </w:tc>
        <w:tc>
          <w:tcPr>
            <w:tcW w:w="10345" w:type="dxa"/>
            <w:tcBorders>
              <w:right w:val="single" w:color="auto" w:sz="4" w:space="0"/>
            </w:tcBorders>
            <w:vAlign w:val="center"/>
          </w:tcPr>
          <w:p w14:paraId="37FFFF89">
            <w:pPr>
              <w:spacing w:before="156" w:beforeLines="50" w:after="156" w:afterLines="50"/>
              <w:jc w:val="left"/>
              <w:rPr>
                <w:rFonts w:ascii="宋体"/>
                <w:kern w:val="0"/>
                <w:sz w:val="18"/>
                <w:szCs w:val="18"/>
              </w:rPr>
            </w:pPr>
            <w:r>
              <w:rPr>
                <w:rFonts w:hint="eastAsia" w:ascii="宋体"/>
                <w:kern w:val="0"/>
                <w:sz w:val="18"/>
                <w:szCs w:val="18"/>
              </w:rPr>
              <w:t>吊销有关证件，并处40</w:t>
            </w:r>
            <w:r>
              <w:rPr>
                <w:rFonts w:ascii="宋体"/>
                <w:kern w:val="0"/>
                <w:sz w:val="18"/>
                <w:szCs w:val="18"/>
              </w:rPr>
              <w:t>00</w:t>
            </w:r>
            <w:r>
              <w:rPr>
                <w:rFonts w:hint="eastAsia" w:ascii="宋体"/>
                <w:kern w:val="0"/>
                <w:sz w:val="18"/>
                <w:szCs w:val="18"/>
              </w:rPr>
              <w:t>元及以上80</w:t>
            </w:r>
            <w:r>
              <w:rPr>
                <w:rFonts w:ascii="宋体"/>
                <w:kern w:val="0"/>
                <w:sz w:val="18"/>
                <w:szCs w:val="18"/>
              </w:rPr>
              <w:t>00</w:t>
            </w:r>
            <w:r>
              <w:rPr>
                <w:rFonts w:hint="eastAsia" w:ascii="宋体"/>
                <w:kern w:val="0"/>
                <w:sz w:val="18"/>
                <w:szCs w:val="18"/>
              </w:rPr>
              <w:t>元以下罚款</w:t>
            </w:r>
          </w:p>
        </w:tc>
      </w:tr>
      <w:tr w14:paraId="5CEB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684" w:type="dxa"/>
            <w:vMerge w:val="continue"/>
            <w:vAlign w:val="center"/>
          </w:tcPr>
          <w:p w14:paraId="7FB7D7B0">
            <w:pPr>
              <w:spacing w:before="156" w:beforeLines="50" w:after="156" w:afterLines="50"/>
              <w:jc w:val="left"/>
              <w:rPr>
                <w:rFonts w:ascii="宋体"/>
                <w:kern w:val="0"/>
                <w:sz w:val="18"/>
                <w:szCs w:val="18"/>
              </w:rPr>
            </w:pPr>
          </w:p>
        </w:tc>
        <w:tc>
          <w:tcPr>
            <w:tcW w:w="1437" w:type="dxa"/>
            <w:vMerge w:val="continue"/>
            <w:vAlign w:val="center"/>
          </w:tcPr>
          <w:p w14:paraId="5FBA5E33">
            <w:pPr>
              <w:spacing w:before="156" w:beforeLines="50" w:after="156" w:afterLines="50"/>
              <w:jc w:val="left"/>
              <w:rPr>
                <w:rFonts w:ascii="宋体"/>
                <w:kern w:val="0"/>
                <w:sz w:val="18"/>
                <w:szCs w:val="18"/>
              </w:rPr>
            </w:pPr>
          </w:p>
        </w:tc>
        <w:tc>
          <w:tcPr>
            <w:tcW w:w="1389" w:type="dxa"/>
            <w:vMerge w:val="continue"/>
            <w:vAlign w:val="center"/>
          </w:tcPr>
          <w:p w14:paraId="3DCC64A7">
            <w:pPr>
              <w:spacing w:before="156" w:beforeLines="50" w:after="156" w:afterLines="50"/>
              <w:jc w:val="left"/>
              <w:rPr>
                <w:rFonts w:ascii="宋体"/>
                <w:kern w:val="0"/>
                <w:sz w:val="18"/>
                <w:szCs w:val="18"/>
              </w:rPr>
            </w:pPr>
          </w:p>
        </w:tc>
        <w:tc>
          <w:tcPr>
            <w:tcW w:w="2919" w:type="dxa"/>
            <w:vMerge w:val="continue"/>
            <w:vAlign w:val="center"/>
          </w:tcPr>
          <w:p w14:paraId="5095E030">
            <w:pPr>
              <w:spacing w:before="156" w:beforeLines="50" w:after="156" w:afterLines="50"/>
              <w:jc w:val="left"/>
              <w:rPr>
                <w:rFonts w:ascii="宋体"/>
                <w:kern w:val="0"/>
                <w:sz w:val="18"/>
                <w:szCs w:val="18"/>
              </w:rPr>
            </w:pPr>
          </w:p>
        </w:tc>
        <w:tc>
          <w:tcPr>
            <w:tcW w:w="718" w:type="dxa"/>
            <w:vMerge w:val="continue"/>
            <w:vAlign w:val="center"/>
          </w:tcPr>
          <w:p w14:paraId="63F09D64">
            <w:pPr>
              <w:spacing w:before="156" w:beforeLines="50" w:after="156" w:afterLines="50"/>
              <w:jc w:val="left"/>
              <w:rPr>
                <w:rFonts w:ascii="宋体"/>
                <w:kern w:val="0"/>
                <w:sz w:val="18"/>
                <w:szCs w:val="18"/>
              </w:rPr>
            </w:pPr>
          </w:p>
        </w:tc>
        <w:tc>
          <w:tcPr>
            <w:tcW w:w="3584" w:type="dxa"/>
            <w:tcBorders>
              <w:top w:val="single" w:color="auto" w:sz="4" w:space="0"/>
            </w:tcBorders>
            <w:vAlign w:val="center"/>
          </w:tcPr>
          <w:p w14:paraId="7CE2D7A8">
            <w:pPr>
              <w:spacing w:before="156" w:beforeLines="50" w:after="156" w:afterLines="50"/>
              <w:jc w:val="left"/>
              <w:rPr>
                <w:sz w:val="18"/>
                <w:szCs w:val="18"/>
              </w:rPr>
            </w:pPr>
            <w:r>
              <w:rPr>
                <w:rFonts w:hint="eastAsia"/>
                <w:sz w:val="18"/>
                <w:szCs w:val="18"/>
              </w:rPr>
              <w:t>1.在客船、危险品船等特殊船舶上工作的船员，以欺骗、贿赂等不正当手段取得特殊培训合格证明的；</w:t>
            </w:r>
          </w:p>
          <w:p w14:paraId="6CBD2C94">
            <w:pPr>
              <w:spacing w:before="156" w:beforeLines="50" w:after="156" w:afterLines="50"/>
              <w:jc w:val="left"/>
              <w:rPr>
                <w:sz w:val="18"/>
                <w:szCs w:val="18"/>
              </w:rPr>
            </w:pPr>
            <w:r>
              <w:rPr>
                <w:rFonts w:hint="eastAsia"/>
                <w:sz w:val="18"/>
                <w:szCs w:val="18"/>
              </w:rPr>
              <w:t>2. 以欺骗、贿赂等不正当手段取得船员适任证书的；或者以欺骗、贿赂等不正当手段取得中华人民共和国海员证的。</w:t>
            </w:r>
          </w:p>
        </w:tc>
        <w:tc>
          <w:tcPr>
            <w:tcW w:w="10345" w:type="dxa"/>
            <w:tcBorders>
              <w:top w:val="single" w:color="auto" w:sz="4" w:space="0"/>
              <w:right w:val="single" w:color="auto" w:sz="4" w:space="0"/>
            </w:tcBorders>
            <w:vAlign w:val="center"/>
          </w:tcPr>
          <w:p w14:paraId="71428EC9">
            <w:pPr>
              <w:spacing w:before="156" w:beforeLines="50" w:after="156" w:afterLines="50"/>
              <w:jc w:val="left"/>
              <w:rPr>
                <w:rFonts w:ascii="宋体"/>
                <w:kern w:val="0"/>
                <w:sz w:val="18"/>
                <w:szCs w:val="18"/>
              </w:rPr>
            </w:pPr>
            <w:r>
              <w:rPr>
                <w:rFonts w:hint="eastAsia" w:ascii="宋体"/>
                <w:kern w:val="0"/>
                <w:sz w:val="18"/>
                <w:szCs w:val="18"/>
              </w:rPr>
              <w:t>吊销有关证件，并处</w:t>
            </w:r>
            <w:r>
              <w:rPr>
                <w:rFonts w:ascii="宋体"/>
                <w:kern w:val="0"/>
                <w:sz w:val="18"/>
                <w:szCs w:val="18"/>
              </w:rPr>
              <w:t>800</w:t>
            </w:r>
            <w:r>
              <w:rPr>
                <w:rFonts w:hint="eastAsia" w:ascii="宋体"/>
                <w:kern w:val="0"/>
                <w:sz w:val="18"/>
                <w:szCs w:val="18"/>
              </w:rPr>
              <w:t>0元及以上</w:t>
            </w:r>
            <w:r>
              <w:rPr>
                <w:rFonts w:ascii="宋体"/>
                <w:kern w:val="0"/>
                <w:sz w:val="18"/>
                <w:szCs w:val="18"/>
              </w:rPr>
              <w:t>1</w:t>
            </w:r>
            <w:r>
              <w:rPr>
                <w:rFonts w:hint="eastAsia" w:ascii="宋体"/>
                <w:kern w:val="0"/>
                <w:sz w:val="18"/>
                <w:szCs w:val="18"/>
              </w:rPr>
              <w:t>.5万元以下罚款</w:t>
            </w:r>
          </w:p>
        </w:tc>
      </w:tr>
      <w:tr w14:paraId="65AD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trPr>
        <w:tc>
          <w:tcPr>
            <w:tcW w:w="684" w:type="dxa"/>
            <w:vMerge w:val="continue"/>
            <w:vAlign w:val="center"/>
          </w:tcPr>
          <w:p w14:paraId="68F6DA5F">
            <w:pPr>
              <w:spacing w:before="156" w:beforeLines="50" w:after="156" w:afterLines="50"/>
              <w:jc w:val="left"/>
              <w:rPr>
                <w:rFonts w:ascii="宋体"/>
                <w:kern w:val="0"/>
                <w:sz w:val="18"/>
                <w:szCs w:val="18"/>
              </w:rPr>
            </w:pPr>
          </w:p>
        </w:tc>
        <w:tc>
          <w:tcPr>
            <w:tcW w:w="1437" w:type="dxa"/>
            <w:vMerge w:val="continue"/>
            <w:vAlign w:val="center"/>
          </w:tcPr>
          <w:p w14:paraId="6955E5AE">
            <w:pPr>
              <w:spacing w:before="156" w:beforeLines="50" w:after="156" w:afterLines="50"/>
              <w:jc w:val="left"/>
              <w:rPr>
                <w:rFonts w:ascii="宋体"/>
                <w:kern w:val="0"/>
                <w:sz w:val="18"/>
                <w:szCs w:val="18"/>
              </w:rPr>
            </w:pPr>
          </w:p>
        </w:tc>
        <w:tc>
          <w:tcPr>
            <w:tcW w:w="1389" w:type="dxa"/>
            <w:vMerge w:val="continue"/>
            <w:vAlign w:val="center"/>
          </w:tcPr>
          <w:p w14:paraId="1A9EC68F">
            <w:pPr>
              <w:spacing w:before="156" w:beforeLines="50" w:after="156" w:afterLines="50"/>
              <w:jc w:val="left"/>
              <w:rPr>
                <w:rFonts w:ascii="宋体"/>
                <w:kern w:val="0"/>
                <w:sz w:val="18"/>
                <w:szCs w:val="18"/>
              </w:rPr>
            </w:pPr>
          </w:p>
        </w:tc>
        <w:tc>
          <w:tcPr>
            <w:tcW w:w="2919" w:type="dxa"/>
            <w:vMerge w:val="continue"/>
            <w:vAlign w:val="center"/>
          </w:tcPr>
          <w:p w14:paraId="47441AE5">
            <w:pPr>
              <w:spacing w:before="156" w:beforeLines="50" w:after="156" w:afterLines="50"/>
              <w:jc w:val="left"/>
              <w:rPr>
                <w:rFonts w:ascii="宋体"/>
                <w:kern w:val="0"/>
                <w:sz w:val="18"/>
                <w:szCs w:val="18"/>
              </w:rPr>
            </w:pPr>
          </w:p>
        </w:tc>
        <w:tc>
          <w:tcPr>
            <w:tcW w:w="718" w:type="dxa"/>
            <w:vMerge w:val="continue"/>
            <w:vAlign w:val="center"/>
          </w:tcPr>
          <w:p w14:paraId="43BDC2EE">
            <w:pPr>
              <w:spacing w:before="156" w:beforeLines="50" w:after="156" w:afterLines="50"/>
              <w:jc w:val="left"/>
              <w:rPr>
                <w:rFonts w:ascii="宋体"/>
                <w:kern w:val="0"/>
                <w:sz w:val="18"/>
                <w:szCs w:val="18"/>
              </w:rPr>
            </w:pPr>
          </w:p>
        </w:tc>
        <w:tc>
          <w:tcPr>
            <w:tcW w:w="3584" w:type="dxa"/>
            <w:tcBorders>
              <w:top w:val="single" w:color="auto" w:sz="4" w:space="0"/>
            </w:tcBorders>
            <w:vAlign w:val="center"/>
          </w:tcPr>
          <w:p w14:paraId="6C24D2A6">
            <w:pPr>
              <w:spacing w:before="156" w:beforeLines="50" w:after="156" w:afterLines="50"/>
              <w:jc w:val="left"/>
              <w:rPr>
                <w:sz w:val="18"/>
                <w:szCs w:val="18"/>
              </w:rPr>
            </w:pPr>
            <w:r>
              <w:rPr>
                <w:rFonts w:hint="eastAsia"/>
                <w:sz w:val="18"/>
                <w:szCs w:val="18"/>
              </w:rPr>
              <w:t>1. 以欺骗、贿赂等不正当手段取得船员服务簿、船员适任证书、船员培训合格证书、中华人民共和国海员证而导致一般及以上等级的水上交通事故事故、船舶事故或不良影响；</w:t>
            </w:r>
          </w:p>
          <w:p w14:paraId="1A0DD77C">
            <w:pPr>
              <w:spacing w:before="156" w:beforeLines="50" w:after="156" w:afterLines="50"/>
              <w:jc w:val="left"/>
              <w:rPr>
                <w:rFonts w:ascii="宋体"/>
                <w:kern w:val="0"/>
                <w:sz w:val="18"/>
                <w:szCs w:val="18"/>
              </w:rPr>
            </w:pPr>
            <w:r>
              <w:rPr>
                <w:rFonts w:hint="eastAsia" w:ascii="宋体"/>
                <w:kern w:val="0"/>
                <w:sz w:val="18"/>
                <w:szCs w:val="18"/>
              </w:rPr>
              <w:t>2.具有其他严重情节的。</w:t>
            </w:r>
          </w:p>
        </w:tc>
        <w:tc>
          <w:tcPr>
            <w:tcW w:w="10345" w:type="dxa"/>
            <w:tcBorders>
              <w:top w:val="single" w:color="auto" w:sz="4" w:space="0"/>
              <w:right w:val="single" w:color="auto" w:sz="4" w:space="0"/>
            </w:tcBorders>
            <w:vAlign w:val="center"/>
          </w:tcPr>
          <w:p w14:paraId="521EF046">
            <w:pPr>
              <w:spacing w:before="156" w:beforeLines="50" w:after="156" w:afterLines="50"/>
              <w:jc w:val="left"/>
              <w:rPr>
                <w:rFonts w:ascii="宋体"/>
                <w:kern w:val="0"/>
                <w:sz w:val="18"/>
                <w:szCs w:val="18"/>
              </w:rPr>
            </w:pPr>
            <w:r>
              <w:rPr>
                <w:rFonts w:hint="eastAsia" w:ascii="宋体"/>
                <w:kern w:val="0"/>
                <w:sz w:val="18"/>
                <w:szCs w:val="18"/>
              </w:rPr>
              <w:t>吊销有关证件，并处</w:t>
            </w:r>
            <w:r>
              <w:rPr>
                <w:rFonts w:ascii="宋体"/>
                <w:kern w:val="0"/>
                <w:sz w:val="18"/>
                <w:szCs w:val="18"/>
              </w:rPr>
              <w:t>1</w:t>
            </w:r>
            <w:r>
              <w:rPr>
                <w:rFonts w:hint="eastAsia" w:ascii="宋体"/>
                <w:kern w:val="0"/>
                <w:sz w:val="18"/>
                <w:szCs w:val="18"/>
              </w:rPr>
              <w:t>.5万元及以上2万元以下罚款</w:t>
            </w:r>
          </w:p>
        </w:tc>
      </w:tr>
    </w:tbl>
    <w:p w14:paraId="4C634FA9">
      <w:pPr>
        <w:spacing w:before="156" w:beforeLines="50" w:after="156" w:afterLines="50"/>
        <w:jc w:val="left"/>
        <w:rPr>
          <w:rFonts w:ascii="宋体"/>
          <w:b/>
          <w:sz w:val="18"/>
          <w:szCs w:val="18"/>
        </w:rPr>
      </w:pPr>
      <w:r>
        <w:rPr>
          <w:rFonts w:hint="eastAsia"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869"/>
        <w:gridCol w:w="1598"/>
        <w:gridCol w:w="2066"/>
        <w:gridCol w:w="684"/>
        <w:gridCol w:w="5113"/>
        <w:gridCol w:w="10226"/>
      </w:tblGrid>
      <w:tr w14:paraId="73B23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vMerge w:val="restart"/>
            <w:vAlign w:val="center"/>
          </w:tcPr>
          <w:p w14:paraId="42DADDD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869" w:type="dxa"/>
            <w:vMerge w:val="restart"/>
            <w:vAlign w:val="center"/>
          </w:tcPr>
          <w:p w14:paraId="45E0E21B">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664" w:type="dxa"/>
            <w:gridSpan w:val="2"/>
            <w:vMerge w:val="restart"/>
            <w:vAlign w:val="center"/>
          </w:tcPr>
          <w:p w14:paraId="3F9B6E6F">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84" w:type="dxa"/>
            <w:vMerge w:val="restart"/>
            <w:vAlign w:val="center"/>
          </w:tcPr>
          <w:p w14:paraId="6985D180">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5113" w:type="dxa"/>
            <w:vMerge w:val="restart"/>
            <w:vAlign w:val="center"/>
          </w:tcPr>
          <w:p w14:paraId="420704E4">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226" w:type="dxa"/>
            <w:tcBorders>
              <w:bottom w:val="single" w:color="auto" w:sz="4" w:space="0"/>
              <w:right w:val="single" w:color="auto" w:sz="4" w:space="0"/>
            </w:tcBorders>
            <w:vAlign w:val="center"/>
          </w:tcPr>
          <w:p w14:paraId="0EA90ACE">
            <w:pPr>
              <w:spacing w:before="156" w:beforeLines="50" w:after="156" w:afterLines="50"/>
              <w:jc w:val="left"/>
              <w:rPr>
                <w:rFonts w:ascii="宋体"/>
                <w:b/>
                <w:kern w:val="0"/>
                <w:sz w:val="18"/>
                <w:szCs w:val="18"/>
              </w:rPr>
            </w:pPr>
            <w:r>
              <w:rPr>
                <w:rFonts w:hint="eastAsia" w:ascii="宋体"/>
                <w:b/>
                <w:kern w:val="0"/>
                <w:sz w:val="18"/>
                <w:szCs w:val="18"/>
              </w:rPr>
              <w:t>【法定幅度和种类】处</w:t>
            </w:r>
            <w:r>
              <w:rPr>
                <w:rFonts w:ascii="宋体"/>
                <w:b/>
                <w:kern w:val="0"/>
                <w:sz w:val="18"/>
                <w:szCs w:val="18"/>
              </w:rPr>
              <w:t>1000</w:t>
            </w:r>
            <w:r>
              <w:rPr>
                <w:rFonts w:hint="eastAsia" w:ascii="宋体"/>
                <w:b/>
                <w:kern w:val="0"/>
                <w:sz w:val="18"/>
                <w:szCs w:val="18"/>
              </w:rPr>
              <w:t>元及以上</w:t>
            </w:r>
            <w:r>
              <w:rPr>
                <w:rFonts w:ascii="宋体"/>
                <w:b/>
                <w:kern w:val="0"/>
                <w:sz w:val="18"/>
                <w:szCs w:val="18"/>
              </w:rPr>
              <w:t>1</w:t>
            </w:r>
            <w:r>
              <w:rPr>
                <w:rFonts w:hint="eastAsia" w:ascii="宋体"/>
                <w:b/>
                <w:kern w:val="0"/>
                <w:sz w:val="18"/>
                <w:szCs w:val="18"/>
              </w:rPr>
              <w:t>万元以下罚款；情节严重的，并给予暂扣船员服务簿、船员适任证书</w:t>
            </w:r>
            <w:r>
              <w:rPr>
                <w:rFonts w:ascii="宋体"/>
                <w:b/>
                <w:kern w:val="0"/>
                <w:sz w:val="18"/>
                <w:szCs w:val="18"/>
              </w:rPr>
              <w:t>6</w:t>
            </w:r>
            <w:r>
              <w:rPr>
                <w:rFonts w:hint="eastAsia" w:ascii="宋体"/>
                <w:b/>
                <w:kern w:val="0"/>
                <w:sz w:val="18"/>
                <w:szCs w:val="18"/>
              </w:rPr>
              <w:t>个月以上</w:t>
            </w:r>
            <w:r>
              <w:rPr>
                <w:rFonts w:ascii="宋体"/>
                <w:b/>
                <w:kern w:val="0"/>
                <w:sz w:val="18"/>
                <w:szCs w:val="18"/>
              </w:rPr>
              <w:t>2</w:t>
            </w:r>
            <w:r>
              <w:rPr>
                <w:rFonts w:hint="eastAsia" w:ascii="宋体"/>
                <w:b/>
                <w:kern w:val="0"/>
                <w:sz w:val="18"/>
                <w:szCs w:val="18"/>
              </w:rPr>
              <w:t>年以下直至吊销船员服务簿、船员适任证书的处罚。</w:t>
            </w:r>
          </w:p>
        </w:tc>
      </w:tr>
      <w:tr w14:paraId="77B63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537" w:type="dxa"/>
            <w:vMerge w:val="continue"/>
            <w:vAlign w:val="center"/>
          </w:tcPr>
          <w:p w14:paraId="1352F230">
            <w:pPr>
              <w:spacing w:before="156" w:beforeLines="50" w:after="156" w:afterLines="50"/>
              <w:jc w:val="center"/>
              <w:rPr>
                <w:rFonts w:ascii="宋体"/>
                <w:b/>
                <w:kern w:val="0"/>
                <w:sz w:val="18"/>
                <w:szCs w:val="18"/>
              </w:rPr>
            </w:pPr>
          </w:p>
        </w:tc>
        <w:tc>
          <w:tcPr>
            <w:tcW w:w="869" w:type="dxa"/>
            <w:vMerge w:val="continue"/>
            <w:vAlign w:val="center"/>
          </w:tcPr>
          <w:p w14:paraId="67DA4ACF">
            <w:pPr>
              <w:spacing w:before="156" w:beforeLines="50" w:after="156" w:afterLines="50"/>
              <w:jc w:val="center"/>
              <w:rPr>
                <w:rFonts w:ascii="宋体"/>
                <w:b/>
                <w:kern w:val="0"/>
                <w:sz w:val="18"/>
                <w:szCs w:val="18"/>
              </w:rPr>
            </w:pPr>
          </w:p>
        </w:tc>
        <w:tc>
          <w:tcPr>
            <w:tcW w:w="3664" w:type="dxa"/>
            <w:gridSpan w:val="2"/>
            <w:vMerge w:val="continue"/>
            <w:vAlign w:val="center"/>
          </w:tcPr>
          <w:p w14:paraId="32AA80A6">
            <w:pPr>
              <w:spacing w:before="156" w:beforeLines="50" w:after="156" w:afterLines="50"/>
              <w:jc w:val="center"/>
              <w:rPr>
                <w:rFonts w:ascii="宋体"/>
                <w:b/>
                <w:kern w:val="0"/>
                <w:sz w:val="18"/>
                <w:szCs w:val="18"/>
              </w:rPr>
            </w:pPr>
          </w:p>
        </w:tc>
        <w:tc>
          <w:tcPr>
            <w:tcW w:w="684" w:type="dxa"/>
            <w:vMerge w:val="continue"/>
            <w:vAlign w:val="center"/>
          </w:tcPr>
          <w:p w14:paraId="27AB5AB5">
            <w:pPr>
              <w:spacing w:before="156" w:beforeLines="50" w:after="156" w:afterLines="50"/>
              <w:jc w:val="left"/>
              <w:rPr>
                <w:rFonts w:ascii="宋体"/>
                <w:b/>
                <w:kern w:val="0"/>
                <w:sz w:val="18"/>
                <w:szCs w:val="18"/>
              </w:rPr>
            </w:pPr>
          </w:p>
        </w:tc>
        <w:tc>
          <w:tcPr>
            <w:tcW w:w="5113" w:type="dxa"/>
            <w:vMerge w:val="continue"/>
            <w:vAlign w:val="center"/>
          </w:tcPr>
          <w:p w14:paraId="3E143E03">
            <w:pPr>
              <w:spacing w:before="156" w:beforeLines="50" w:after="156" w:afterLines="50"/>
              <w:jc w:val="left"/>
              <w:rPr>
                <w:rFonts w:ascii="宋体"/>
                <w:b/>
                <w:kern w:val="0"/>
                <w:sz w:val="18"/>
                <w:szCs w:val="18"/>
              </w:rPr>
            </w:pPr>
          </w:p>
        </w:tc>
        <w:tc>
          <w:tcPr>
            <w:tcW w:w="10226" w:type="dxa"/>
            <w:tcBorders>
              <w:top w:val="single" w:color="auto" w:sz="4" w:space="0"/>
              <w:bottom w:val="single" w:color="auto" w:sz="4" w:space="0"/>
              <w:right w:val="single" w:color="auto" w:sz="4" w:space="0"/>
            </w:tcBorders>
            <w:vAlign w:val="center"/>
          </w:tcPr>
          <w:p w14:paraId="32E7455E">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60DA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14:paraId="26BF1231">
            <w:pPr>
              <w:spacing w:before="156" w:beforeLines="50" w:after="156" w:afterLines="50"/>
              <w:jc w:val="center"/>
              <w:rPr>
                <w:rFonts w:ascii="宋体"/>
                <w:b/>
                <w:kern w:val="0"/>
                <w:sz w:val="18"/>
                <w:szCs w:val="18"/>
              </w:rPr>
            </w:pPr>
          </w:p>
        </w:tc>
        <w:tc>
          <w:tcPr>
            <w:tcW w:w="869" w:type="dxa"/>
            <w:vMerge w:val="continue"/>
            <w:vAlign w:val="center"/>
          </w:tcPr>
          <w:p w14:paraId="6816324D">
            <w:pPr>
              <w:spacing w:before="156" w:beforeLines="50" w:after="156" w:afterLines="50"/>
              <w:jc w:val="center"/>
              <w:rPr>
                <w:rFonts w:ascii="宋体"/>
                <w:b/>
                <w:kern w:val="0"/>
                <w:sz w:val="18"/>
                <w:szCs w:val="18"/>
              </w:rPr>
            </w:pPr>
          </w:p>
        </w:tc>
        <w:tc>
          <w:tcPr>
            <w:tcW w:w="1598" w:type="dxa"/>
            <w:vAlign w:val="center"/>
          </w:tcPr>
          <w:p w14:paraId="405F2D23">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066" w:type="dxa"/>
            <w:vAlign w:val="center"/>
          </w:tcPr>
          <w:p w14:paraId="4289DB78">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84" w:type="dxa"/>
            <w:vMerge w:val="continue"/>
            <w:vAlign w:val="center"/>
          </w:tcPr>
          <w:p w14:paraId="55EFFDC0">
            <w:pPr>
              <w:spacing w:before="156" w:beforeLines="50" w:after="156" w:afterLines="50"/>
              <w:jc w:val="left"/>
              <w:rPr>
                <w:rFonts w:ascii="宋体"/>
                <w:b/>
                <w:kern w:val="0"/>
                <w:sz w:val="18"/>
                <w:szCs w:val="18"/>
              </w:rPr>
            </w:pPr>
          </w:p>
        </w:tc>
        <w:tc>
          <w:tcPr>
            <w:tcW w:w="5113" w:type="dxa"/>
            <w:vMerge w:val="continue"/>
            <w:vAlign w:val="center"/>
          </w:tcPr>
          <w:p w14:paraId="3AEDCA92">
            <w:pPr>
              <w:spacing w:before="156" w:beforeLines="50" w:after="156" w:afterLines="50"/>
              <w:jc w:val="left"/>
              <w:rPr>
                <w:rFonts w:ascii="宋体"/>
                <w:b/>
                <w:kern w:val="0"/>
                <w:sz w:val="18"/>
                <w:szCs w:val="18"/>
              </w:rPr>
            </w:pPr>
          </w:p>
        </w:tc>
        <w:tc>
          <w:tcPr>
            <w:tcW w:w="10226" w:type="dxa"/>
            <w:tcBorders>
              <w:top w:val="single" w:color="auto" w:sz="4" w:space="0"/>
              <w:bottom w:val="single" w:color="auto" w:sz="4" w:space="0"/>
              <w:right w:val="single" w:color="auto" w:sz="4" w:space="0"/>
            </w:tcBorders>
            <w:vAlign w:val="center"/>
          </w:tcPr>
          <w:p w14:paraId="797A9241">
            <w:pPr>
              <w:spacing w:before="156" w:beforeLines="50" w:after="156" w:afterLines="50"/>
              <w:jc w:val="center"/>
              <w:rPr>
                <w:rFonts w:ascii="宋体"/>
                <w:b/>
                <w:kern w:val="0"/>
                <w:sz w:val="18"/>
                <w:szCs w:val="18"/>
              </w:rPr>
            </w:pPr>
            <w:r>
              <w:rPr>
                <w:rFonts w:hint="eastAsia" w:ascii="宋体"/>
                <w:b/>
                <w:kern w:val="0"/>
                <w:sz w:val="18"/>
                <w:szCs w:val="18"/>
              </w:rPr>
              <w:t>【对象】船员</w:t>
            </w:r>
          </w:p>
        </w:tc>
      </w:tr>
      <w:tr w14:paraId="2459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restart"/>
            <w:vAlign w:val="center"/>
          </w:tcPr>
          <w:p w14:paraId="31B2EAF6">
            <w:pPr>
              <w:spacing w:before="156" w:beforeLines="50" w:after="156" w:afterLines="50"/>
              <w:jc w:val="center"/>
              <w:rPr>
                <w:rFonts w:ascii="宋体"/>
                <w:kern w:val="0"/>
                <w:sz w:val="18"/>
                <w:szCs w:val="18"/>
              </w:rPr>
            </w:pPr>
            <w:r>
              <w:rPr>
                <w:rFonts w:hint="eastAsia" w:ascii="宋体"/>
                <w:kern w:val="0"/>
                <w:sz w:val="18"/>
                <w:szCs w:val="18"/>
              </w:rPr>
              <w:t>80</w:t>
            </w:r>
          </w:p>
        </w:tc>
        <w:tc>
          <w:tcPr>
            <w:tcW w:w="869" w:type="dxa"/>
            <w:vMerge w:val="restart"/>
            <w:vAlign w:val="center"/>
          </w:tcPr>
          <w:p w14:paraId="05A42442">
            <w:pPr>
              <w:spacing w:before="156" w:beforeLines="50" w:after="156" w:afterLines="50"/>
              <w:rPr>
                <w:sz w:val="18"/>
                <w:szCs w:val="18"/>
              </w:rPr>
            </w:pPr>
            <w:r>
              <w:rPr>
                <w:rFonts w:hint="eastAsia"/>
                <w:sz w:val="18"/>
                <w:szCs w:val="18"/>
              </w:rPr>
              <w:t>船员隐匿、篡改或者销毁有关船舶法定证书、文书</w:t>
            </w:r>
          </w:p>
        </w:tc>
        <w:tc>
          <w:tcPr>
            <w:tcW w:w="1598" w:type="dxa"/>
            <w:vMerge w:val="restart"/>
            <w:vAlign w:val="center"/>
          </w:tcPr>
          <w:p w14:paraId="714620DC">
            <w:pPr>
              <w:spacing w:before="156" w:beforeLines="50" w:after="156" w:afterLines="50"/>
              <w:jc w:val="left"/>
              <w:rPr>
                <w:rFonts w:ascii="宋体"/>
                <w:kern w:val="0"/>
                <w:sz w:val="18"/>
                <w:szCs w:val="18"/>
              </w:rPr>
            </w:pPr>
            <w:r>
              <w:rPr>
                <w:rFonts w:hint="eastAsia" w:ascii="宋体"/>
                <w:kern w:val="0"/>
                <w:sz w:val="18"/>
                <w:szCs w:val="18"/>
              </w:rPr>
              <w:t>《中华人民共和国船员条例》第十六条第（三）项</w:t>
            </w:r>
          </w:p>
        </w:tc>
        <w:tc>
          <w:tcPr>
            <w:tcW w:w="2066" w:type="dxa"/>
            <w:vMerge w:val="restart"/>
            <w:vAlign w:val="center"/>
          </w:tcPr>
          <w:p w14:paraId="1F720109">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《中华人民共和国船员条例》第五十二条第（五）项；</w:t>
            </w:r>
          </w:p>
          <w:p w14:paraId="1797C43B">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84" w:type="dxa"/>
            <w:vAlign w:val="center"/>
          </w:tcPr>
          <w:p w14:paraId="13B778DD">
            <w:pPr>
              <w:spacing w:before="156" w:beforeLines="50" w:after="156" w:afterLines="50"/>
              <w:jc w:val="left"/>
              <w:rPr>
                <w:rFonts w:ascii="宋体"/>
                <w:kern w:val="0"/>
                <w:sz w:val="18"/>
                <w:szCs w:val="18"/>
              </w:rPr>
            </w:pPr>
            <w:r>
              <w:rPr>
                <w:rFonts w:hint="eastAsia" w:ascii="宋体"/>
                <w:kern w:val="0"/>
                <w:sz w:val="18"/>
                <w:szCs w:val="18"/>
              </w:rPr>
              <w:t>从轻</w:t>
            </w:r>
          </w:p>
        </w:tc>
        <w:tc>
          <w:tcPr>
            <w:tcW w:w="5113" w:type="dxa"/>
            <w:vAlign w:val="center"/>
          </w:tcPr>
          <w:p w14:paraId="2BC65B4B">
            <w:pPr>
              <w:spacing w:before="156" w:beforeLines="50" w:after="156" w:afterLines="50"/>
              <w:jc w:val="left"/>
              <w:rPr>
                <w:rFonts w:ascii="宋体"/>
                <w:kern w:val="0"/>
                <w:sz w:val="18"/>
                <w:szCs w:val="18"/>
              </w:rPr>
            </w:pPr>
            <w:r>
              <w:rPr>
                <w:rFonts w:hint="eastAsia"/>
                <w:sz w:val="18"/>
                <w:szCs w:val="18"/>
              </w:rPr>
              <w:t>具有法定从轻情节的。</w:t>
            </w:r>
          </w:p>
        </w:tc>
        <w:tc>
          <w:tcPr>
            <w:tcW w:w="10226" w:type="dxa"/>
            <w:tcBorders>
              <w:top w:val="single" w:color="auto" w:sz="4" w:space="0"/>
              <w:bottom w:val="single" w:color="auto" w:sz="4" w:space="0"/>
              <w:right w:val="single" w:color="auto" w:sz="4" w:space="0"/>
            </w:tcBorders>
            <w:vAlign w:val="center"/>
          </w:tcPr>
          <w:p w14:paraId="59250563">
            <w:pPr>
              <w:spacing w:before="156" w:beforeLines="50" w:after="156" w:afterLines="50"/>
              <w:jc w:val="left"/>
              <w:rPr>
                <w:rFonts w:ascii="宋体"/>
                <w:kern w:val="0"/>
                <w:sz w:val="18"/>
                <w:szCs w:val="18"/>
              </w:rPr>
            </w:pPr>
            <w:r>
              <w:rPr>
                <w:rFonts w:ascii="宋体"/>
                <w:kern w:val="0"/>
                <w:sz w:val="18"/>
                <w:szCs w:val="18"/>
              </w:rPr>
              <w:t>1000</w:t>
            </w:r>
            <w:r>
              <w:rPr>
                <w:rFonts w:hint="eastAsia" w:ascii="宋体"/>
                <w:kern w:val="0"/>
                <w:sz w:val="18"/>
                <w:szCs w:val="18"/>
              </w:rPr>
              <w:t>元及以上</w:t>
            </w:r>
            <w:r>
              <w:rPr>
                <w:rFonts w:ascii="宋体"/>
                <w:kern w:val="0"/>
                <w:sz w:val="18"/>
                <w:szCs w:val="18"/>
              </w:rPr>
              <w:t>2000</w:t>
            </w:r>
            <w:r>
              <w:rPr>
                <w:rFonts w:hint="eastAsia" w:ascii="宋体"/>
                <w:kern w:val="0"/>
                <w:sz w:val="18"/>
                <w:szCs w:val="18"/>
              </w:rPr>
              <w:t>元以下</w:t>
            </w:r>
          </w:p>
        </w:tc>
      </w:tr>
      <w:tr w14:paraId="79AA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14:paraId="1DD0E909">
            <w:pPr>
              <w:spacing w:before="156" w:beforeLines="50" w:after="156" w:afterLines="50"/>
              <w:jc w:val="left"/>
              <w:rPr>
                <w:rFonts w:ascii="宋体"/>
                <w:kern w:val="0"/>
                <w:sz w:val="18"/>
                <w:szCs w:val="18"/>
              </w:rPr>
            </w:pPr>
          </w:p>
        </w:tc>
        <w:tc>
          <w:tcPr>
            <w:tcW w:w="869" w:type="dxa"/>
            <w:vMerge w:val="continue"/>
            <w:vAlign w:val="center"/>
          </w:tcPr>
          <w:p w14:paraId="797913D1">
            <w:pPr>
              <w:spacing w:before="156" w:beforeLines="50" w:after="156" w:afterLines="50"/>
              <w:jc w:val="left"/>
              <w:rPr>
                <w:rFonts w:ascii="宋体"/>
                <w:kern w:val="0"/>
                <w:sz w:val="18"/>
                <w:szCs w:val="18"/>
              </w:rPr>
            </w:pPr>
          </w:p>
        </w:tc>
        <w:tc>
          <w:tcPr>
            <w:tcW w:w="1598" w:type="dxa"/>
            <w:vMerge w:val="continue"/>
            <w:vAlign w:val="center"/>
          </w:tcPr>
          <w:p w14:paraId="2CA1D512">
            <w:pPr>
              <w:widowControl/>
              <w:spacing w:before="156" w:beforeLines="50" w:after="156" w:afterLines="50"/>
              <w:jc w:val="left"/>
              <w:rPr>
                <w:rFonts w:ascii="宋体"/>
                <w:kern w:val="0"/>
                <w:sz w:val="18"/>
                <w:szCs w:val="18"/>
              </w:rPr>
            </w:pPr>
          </w:p>
        </w:tc>
        <w:tc>
          <w:tcPr>
            <w:tcW w:w="2066" w:type="dxa"/>
            <w:vMerge w:val="continue"/>
            <w:vAlign w:val="center"/>
          </w:tcPr>
          <w:p w14:paraId="74C796A6">
            <w:pPr>
              <w:spacing w:before="156" w:beforeLines="50" w:after="156" w:afterLines="50"/>
              <w:jc w:val="left"/>
              <w:rPr>
                <w:rFonts w:ascii="宋体"/>
                <w:kern w:val="0"/>
                <w:sz w:val="18"/>
                <w:szCs w:val="18"/>
              </w:rPr>
            </w:pPr>
          </w:p>
        </w:tc>
        <w:tc>
          <w:tcPr>
            <w:tcW w:w="684" w:type="dxa"/>
            <w:vMerge w:val="restart"/>
            <w:vAlign w:val="center"/>
          </w:tcPr>
          <w:p w14:paraId="566B8F57">
            <w:pPr>
              <w:spacing w:before="156" w:beforeLines="50" w:after="156" w:afterLines="50"/>
              <w:jc w:val="left"/>
              <w:rPr>
                <w:rFonts w:ascii="宋体"/>
                <w:kern w:val="0"/>
                <w:sz w:val="18"/>
                <w:szCs w:val="18"/>
              </w:rPr>
            </w:pPr>
            <w:r>
              <w:rPr>
                <w:rFonts w:hint="eastAsia" w:ascii="宋体"/>
                <w:kern w:val="0"/>
                <w:sz w:val="18"/>
                <w:szCs w:val="18"/>
              </w:rPr>
              <w:t>一般</w:t>
            </w:r>
          </w:p>
        </w:tc>
        <w:tc>
          <w:tcPr>
            <w:tcW w:w="5113" w:type="dxa"/>
            <w:vAlign w:val="center"/>
          </w:tcPr>
          <w:p w14:paraId="1999C9DB">
            <w:pPr>
              <w:widowControl/>
              <w:spacing w:before="156" w:beforeLines="50" w:after="156" w:afterLines="50"/>
              <w:jc w:val="left"/>
              <w:rPr>
                <w:rFonts w:ascii="宋体"/>
                <w:kern w:val="0"/>
                <w:sz w:val="18"/>
                <w:szCs w:val="18"/>
              </w:rPr>
            </w:pPr>
            <w:r>
              <w:rPr>
                <w:rFonts w:hint="eastAsia"/>
                <w:sz w:val="18"/>
                <w:szCs w:val="18"/>
              </w:rPr>
              <w:t>隐匿、篡改或者销毁有关船舶法定证书、文书，影响海事现场检查的。</w:t>
            </w:r>
          </w:p>
        </w:tc>
        <w:tc>
          <w:tcPr>
            <w:tcW w:w="10226" w:type="dxa"/>
            <w:tcBorders>
              <w:bottom w:val="single" w:color="auto" w:sz="4" w:space="0"/>
              <w:right w:val="single" w:color="auto" w:sz="4" w:space="0"/>
            </w:tcBorders>
            <w:vAlign w:val="center"/>
          </w:tcPr>
          <w:p w14:paraId="0F08F7F7">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14:paraId="4D3DA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537" w:type="dxa"/>
            <w:vMerge w:val="continue"/>
            <w:vAlign w:val="center"/>
          </w:tcPr>
          <w:p w14:paraId="14EE4CAD">
            <w:pPr>
              <w:spacing w:before="156" w:beforeLines="50" w:after="156" w:afterLines="50"/>
              <w:jc w:val="left"/>
              <w:rPr>
                <w:rFonts w:ascii="宋体"/>
                <w:kern w:val="0"/>
                <w:sz w:val="18"/>
                <w:szCs w:val="18"/>
              </w:rPr>
            </w:pPr>
          </w:p>
        </w:tc>
        <w:tc>
          <w:tcPr>
            <w:tcW w:w="869" w:type="dxa"/>
            <w:vMerge w:val="continue"/>
            <w:vAlign w:val="center"/>
          </w:tcPr>
          <w:p w14:paraId="2FEC7E13">
            <w:pPr>
              <w:spacing w:before="156" w:beforeLines="50" w:after="156" w:afterLines="50"/>
              <w:jc w:val="left"/>
              <w:rPr>
                <w:rFonts w:ascii="宋体"/>
                <w:kern w:val="0"/>
                <w:sz w:val="18"/>
                <w:szCs w:val="18"/>
              </w:rPr>
            </w:pPr>
          </w:p>
        </w:tc>
        <w:tc>
          <w:tcPr>
            <w:tcW w:w="1598" w:type="dxa"/>
            <w:vMerge w:val="continue"/>
            <w:vAlign w:val="center"/>
          </w:tcPr>
          <w:p w14:paraId="256DAAC4">
            <w:pPr>
              <w:spacing w:before="156" w:beforeLines="50" w:after="156" w:afterLines="50"/>
              <w:jc w:val="left"/>
              <w:rPr>
                <w:rFonts w:ascii="宋体"/>
                <w:kern w:val="0"/>
                <w:sz w:val="18"/>
                <w:szCs w:val="18"/>
              </w:rPr>
            </w:pPr>
          </w:p>
        </w:tc>
        <w:tc>
          <w:tcPr>
            <w:tcW w:w="2066" w:type="dxa"/>
            <w:vMerge w:val="continue"/>
            <w:vAlign w:val="center"/>
          </w:tcPr>
          <w:p w14:paraId="32490961">
            <w:pPr>
              <w:spacing w:before="156" w:beforeLines="50" w:after="156" w:afterLines="50"/>
              <w:jc w:val="left"/>
              <w:rPr>
                <w:rFonts w:ascii="宋体"/>
                <w:kern w:val="0"/>
                <w:sz w:val="18"/>
                <w:szCs w:val="18"/>
              </w:rPr>
            </w:pPr>
          </w:p>
        </w:tc>
        <w:tc>
          <w:tcPr>
            <w:tcW w:w="684" w:type="dxa"/>
            <w:vMerge w:val="continue"/>
            <w:vAlign w:val="center"/>
          </w:tcPr>
          <w:p w14:paraId="2B7F4B68">
            <w:pPr>
              <w:spacing w:before="156" w:beforeLines="50" w:after="156" w:afterLines="50"/>
              <w:jc w:val="left"/>
              <w:rPr>
                <w:rFonts w:ascii="宋体"/>
                <w:kern w:val="0"/>
                <w:sz w:val="18"/>
                <w:szCs w:val="18"/>
              </w:rPr>
            </w:pPr>
          </w:p>
        </w:tc>
        <w:tc>
          <w:tcPr>
            <w:tcW w:w="5113" w:type="dxa"/>
            <w:tcBorders>
              <w:top w:val="single" w:color="auto" w:sz="4" w:space="0"/>
              <w:bottom w:val="single" w:color="auto" w:sz="4" w:space="0"/>
            </w:tcBorders>
            <w:vAlign w:val="center"/>
          </w:tcPr>
          <w:p w14:paraId="2C2EB383">
            <w:pPr>
              <w:widowControl/>
              <w:spacing w:before="156" w:beforeLines="50" w:after="156" w:afterLines="50"/>
              <w:jc w:val="left"/>
              <w:rPr>
                <w:sz w:val="18"/>
                <w:szCs w:val="18"/>
              </w:rPr>
            </w:pPr>
            <w:r>
              <w:rPr>
                <w:rFonts w:hint="eastAsia"/>
                <w:sz w:val="18"/>
                <w:szCs w:val="18"/>
              </w:rPr>
              <w:t>隐匿、篡改或者销毁有关船舶法定证书、文书，影响海事行政违法行为调查取证的。</w:t>
            </w:r>
          </w:p>
        </w:tc>
        <w:tc>
          <w:tcPr>
            <w:tcW w:w="10226" w:type="dxa"/>
            <w:tcBorders>
              <w:top w:val="single" w:color="auto" w:sz="4" w:space="0"/>
              <w:bottom w:val="single" w:color="auto" w:sz="4" w:space="0"/>
              <w:right w:val="single" w:color="auto" w:sz="4" w:space="0"/>
            </w:tcBorders>
            <w:vAlign w:val="center"/>
          </w:tcPr>
          <w:p w14:paraId="78E07FB6">
            <w:pPr>
              <w:spacing w:before="156" w:beforeLines="50" w:after="156" w:afterLines="50"/>
              <w:jc w:val="left"/>
              <w:rPr>
                <w:rFonts w:ascii="宋体"/>
                <w:kern w:val="0"/>
                <w:sz w:val="18"/>
                <w:szCs w:val="18"/>
              </w:rPr>
            </w:pPr>
            <w:r>
              <w:rPr>
                <w:rFonts w:hint="eastAsia" w:ascii="宋体"/>
                <w:kern w:val="0"/>
                <w:sz w:val="18"/>
                <w:szCs w:val="18"/>
              </w:rPr>
              <w:t>3000元及以上5000元以下</w:t>
            </w:r>
          </w:p>
        </w:tc>
      </w:tr>
      <w:tr w14:paraId="5D48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7" w:type="dxa"/>
            <w:vMerge w:val="continue"/>
            <w:vAlign w:val="center"/>
          </w:tcPr>
          <w:p w14:paraId="42171018">
            <w:pPr>
              <w:spacing w:before="156" w:beforeLines="50" w:after="156" w:afterLines="50"/>
              <w:jc w:val="left"/>
              <w:rPr>
                <w:rFonts w:ascii="宋体"/>
                <w:kern w:val="0"/>
                <w:sz w:val="18"/>
                <w:szCs w:val="18"/>
              </w:rPr>
            </w:pPr>
          </w:p>
        </w:tc>
        <w:tc>
          <w:tcPr>
            <w:tcW w:w="869" w:type="dxa"/>
            <w:vMerge w:val="continue"/>
            <w:vAlign w:val="center"/>
          </w:tcPr>
          <w:p w14:paraId="7ECB5162">
            <w:pPr>
              <w:spacing w:before="156" w:beforeLines="50" w:after="156" w:afterLines="50"/>
              <w:jc w:val="left"/>
              <w:rPr>
                <w:rFonts w:ascii="宋体"/>
                <w:kern w:val="0"/>
                <w:sz w:val="18"/>
                <w:szCs w:val="18"/>
              </w:rPr>
            </w:pPr>
          </w:p>
        </w:tc>
        <w:tc>
          <w:tcPr>
            <w:tcW w:w="1598" w:type="dxa"/>
            <w:vMerge w:val="continue"/>
            <w:vAlign w:val="center"/>
          </w:tcPr>
          <w:p w14:paraId="73B0BF57">
            <w:pPr>
              <w:spacing w:before="156" w:beforeLines="50" w:after="156" w:afterLines="50"/>
              <w:jc w:val="left"/>
              <w:rPr>
                <w:rFonts w:ascii="宋体"/>
                <w:kern w:val="0"/>
                <w:sz w:val="18"/>
                <w:szCs w:val="18"/>
              </w:rPr>
            </w:pPr>
          </w:p>
        </w:tc>
        <w:tc>
          <w:tcPr>
            <w:tcW w:w="2066" w:type="dxa"/>
            <w:vMerge w:val="continue"/>
            <w:vAlign w:val="center"/>
          </w:tcPr>
          <w:p w14:paraId="1B2B91BB">
            <w:pPr>
              <w:spacing w:before="156" w:beforeLines="50" w:after="156" w:afterLines="50"/>
              <w:jc w:val="left"/>
              <w:rPr>
                <w:rFonts w:ascii="宋体"/>
                <w:kern w:val="0"/>
                <w:sz w:val="18"/>
                <w:szCs w:val="18"/>
              </w:rPr>
            </w:pPr>
          </w:p>
        </w:tc>
        <w:tc>
          <w:tcPr>
            <w:tcW w:w="684" w:type="dxa"/>
            <w:tcBorders>
              <w:top w:val="single" w:color="auto" w:sz="4" w:space="0"/>
              <w:right w:val="single" w:color="auto" w:sz="4" w:space="0"/>
            </w:tcBorders>
            <w:vAlign w:val="center"/>
          </w:tcPr>
          <w:p w14:paraId="58C507DF">
            <w:pPr>
              <w:spacing w:before="156" w:beforeLines="50" w:after="156" w:afterLines="50"/>
              <w:jc w:val="left"/>
              <w:rPr>
                <w:rFonts w:ascii="宋体"/>
                <w:kern w:val="0"/>
                <w:sz w:val="18"/>
                <w:szCs w:val="18"/>
              </w:rPr>
            </w:pPr>
            <w:r>
              <w:rPr>
                <w:rFonts w:hint="eastAsia" w:ascii="宋体"/>
                <w:kern w:val="0"/>
                <w:sz w:val="18"/>
                <w:szCs w:val="18"/>
              </w:rPr>
              <w:t>情节严重</w:t>
            </w:r>
          </w:p>
        </w:tc>
        <w:tc>
          <w:tcPr>
            <w:tcW w:w="5113" w:type="dxa"/>
            <w:tcBorders>
              <w:top w:val="single" w:color="auto" w:sz="4" w:space="0"/>
              <w:left w:val="single" w:color="auto" w:sz="4" w:space="0"/>
            </w:tcBorders>
            <w:vAlign w:val="center"/>
          </w:tcPr>
          <w:p w14:paraId="04E0E045">
            <w:pPr>
              <w:widowControl/>
              <w:spacing w:before="156" w:beforeLines="50" w:after="156" w:afterLines="50"/>
              <w:jc w:val="left"/>
              <w:rPr>
                <w:sz w:val="18"/>
                <w:szCs w:val="18"/>
              </w:rPr>
            </w:pPr>
            <w:r>
              <w:rPr>
                <w:rFonts w:hint="eastAsia"/>
                <w:sz w:val="18"/>
                <w:szCs w:val="18"/>
              </w:rPr>
              <w:t>1.隐匿、篡改或者销毁有关船舶法定证书、文书，影响水上交通事故和船舶污染事故等海事调查的；</w:t>
            </w:r>
          </w:p>
          <w:p w14:paraId="25713FF5">
            <w:pPr>
              <w:widowControl/>
              <w:spacing w:before="156" w:beforeLines="50" w:after="156" w:afterLines="50"/>
              <w:jc w:val="left"/>
              <w:rPr>
                <w:rFonts w:ascii="宋体"/>
                <w:kern w:val="0"/>
                <w:sz w:val="18"/>
                <w:szCs w:val="18"/>
              </w:rPr>
            </w:pPr>
            <w:r>
              <w:rPr>
                <w:rFonts w:hint="eastAsia"/>
                <w:sz w:val="18"/>
                <w:szCs w:val="18"/>
              </w:rPr>
              <w:t>2.具有其他</w:t>
            </w:r>
            <w:r>
              <w:rPr>
                <w:rFonts w:hint="eastAsia" w:ascii="宋体"/>
                <w:kern w:val="0"/>
                <w:sz w:val="18"/>
                <w:szCs w:val="18"/>
              </w:rPr>
              <w:t>严重</w:t>
            </w:r>
            <w:r>
              <w:rPr>
                <w:rFonts w:hint="eastAsia"/>
                <w:sz w:val="18"/>
                <w:szCs w:val="18"/>
              </w:rPr>
              <w:t>情节的。</w:t>
            </w:r>
          </w:p>
        </w:tc>
        <w:tc>
          <w:tcPr>
            <w:tcW w:w="10226" w:type="dxa"/>
            <w:tcBorders>
              <w:top w:val="single" w:color="auto" w:sz="4" w:space="0"/>
              <w:bottom w:val="single" w:color="auto" w:sz="4" w:space="0"/>
              <w:right w:val="single" w:color="auto" w:sz="4" w:space="0"/>
            </w:tcBorders>
            <w:vAlign w:val="center"/>
          </w:tcPr>
          <w:p w14:paraId="0B13AD97">
            <w:pPr>
              <w:spacing w:before="156" w:beforeLines="50" w:after="156" w:afterLines="50"/>
              <w:jc w:val="left"/>
              <w:rPr>
                <w:rFonts w:ascii="宋体"/>
                <w:kern w:val="0"/>
                <w:sz w:val="18"/>
                <w:szCs w:val="18"/>
              </w:rPr>
            </w:pPr>
            <w:r>
              <w:rPr>
                <w:rFonts w:hint="eastAsia" w:ascii="宋体"/>
                <w:kern w:val="0"/>
                <w:sz w:val="18"/>
                <w:szCs w:val="18"/>
              </w:rPr>
              <w:t>7000元及以上1万元及以下罚款，并暂扣船员服务簿、船员适任证书6个月及以上2年以下直至吊销船员服务簿、船员适任证书。</w:t>
            </w:r>
          </w:p>
        </w:tc>
      </w:tr>
    </w:tbl>
    <w:p w14:paraId="7B3D990C">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18"/>
        <w:gridCol w:w="1117"/>
        <w:gridCol w:w="1283"/>
        <w:gridCol w:w="991"/>
        <w:gridCol w:w="2738"/>
        <w:gridCol w:w="3203"/>
        <w:gridCol w:w="3500"/>
        <w:gridCol w:w="6371"/>
      </w:tblGrid>
      <w:tr w14:paraId="3EAD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55" w:type="dxa"/>
            <w:vMerge w:val="restart"/>
            <w:vAlign w:val="center"/>
          </w:tcPr>
          <w:p w14:paraId="6A52AC72">
            <w:pPr>
              <w:spacing w:before="156" w:beforeLines="50" w:after="156" w:afterLines="50"/>
              <w:jc w:val="center"/>
              <w:rPr>
                <w:b/>
                <w:sz w:val="18"/>
                <w:szCs w:val="18"/>
              </w:rPr>
            </w:pPr>
            <w:r>
              <w:rPr>
                <w:rFonts w:hint="eastAsia"/>
                <w:b/>
                <w:sz w:val="18"/>
                <w:szCs w:val="18"/>
              </w:rPr>
              <w:t>序号</w:t>
            </w:r>
          </w:p>
        </w:tc>
        <w:tc>
          <w:tcPr>
            <w:tcW w:w="1218" w:type="dxa"/>
            <w:vMerge w:val="restart"/>
            <w:vAlign w:val="center"/>
          </w:tcPr>
          <w:p w14:paraId="1D72FC63">
            <w:pPr>
              <w:spacing w:before="156" w:beforeLines="50" w:after="156" w:afterLines="50"/>
              <w:jc w:val="center"/>
              <w:rPr>
                <w:b/>
                <w:sz w:val="18"/>
                <w:szCs w:val="18"/>
              </w:rPr>
            </w:pPr>
            <w:r>
              <w:rPr>
                <w:rFonts w:hint="eastAsia"/>
                <w:b/>
                <w:sz w:val="18"/>
                <w:szCs w:val="18"/>
              </w:rPr>
              <w:t>案由</w:t>
            </w:r>
          </w:p>
        </w:tc>
        <w:tc>
          <w:tcPr>
            <w:tcW w:w="2400" w:type="dxa"/>
            <w:gridSpan w:val="2"/>
            <w:vMerge w:val="restart"/>
            <w:vAlign w:val="center"/>
          </w:tcPr>
          <w:p w14:paraId="53E9EFC7">
            <w:pPr>
              <w:spacing w:before="156" w:beforeLines="50" w:after="156" w:afterLines="50"/>
              <w:jc w:val="center"/>
              <w:rPr>
                <w:b/>
                <w:sz w:val="18"/>
                <w:szCs w:val="18"/>
              </w:rPr>
            </w:pPr>
            <w:r>
              <w:rPr>
                <w:rFonts w:hint="eastAsia"/>
                <w:b/>
                <w:sz w:val="18"/>
                <w:szCs w:val="18"/>
              </w:rPr>
              <w:t>法律依据</w:t>
            </w:r>
          </w:p>
        </w:tc>
        <w:tc>
          <w:tcPr>
            <w:tcW w:w="991" w:type="dxa"/>
            <w:vMerge w:val="restart"/>
            <w:vAlign w:val="center"/>
          </w:tcPr>
          <w:p w14:paraId="321D5B3C">
            <w:pPr>
              <w:spacing w:before="156" w:beforeLines="50" w:after="156" w:afterLines="50"/>
              <w:jc w:val="left"/>
              <w:rPr>
                <w:b/>
                <w:sz w:val="18"/>
                <w:szCs w:val="18"/>
              </w:rPr>
            </w:pPr>
            <w:r>
              <w:rPr>
                <w:rFonts w:hint="eastAsia"/>
                <w:b/>
                <w:sz w:val="18"/>
                <w:szCs w:val="18"/>
              </w:rPr>
              <w:t>违法行为情节</w:t>
            </w:r>
          </w:p>
        </w:tc>
        <w:tc>
          <w:tcPr>
            <w:tcW w:w="2738" w:type="dxa"/>
            <w:vMerge w:val="restart"/>
            <w:vAlign w:val="center"/>
          </w:tcPr>
          <w:p w14:paraId="7F334325">
            <w:pPr>
              <w:spacing w:before="156" w:beforeLines="50" w:after="156" w:afterLines="50"/>
              <w:jc w:val="left"/>
              <w:rPr>
                <w:b/>
                <w:sz w:val="18"/>
                <w:szCs w:val="18"/>
              </w:rPr>
            </w:pPr>
            <w:r>
              <w:rPr>
                <w:rFonts w:hint="eastAsia" w:ascii="宋体"/>
                <w:b/>
                <w:sz w:val="18"/>
                <w:szCs w:val="18"/>
              </w:rPr>
              <w:t>主要考虑因素（事实、性质、情节、危害程度和实际后果等）</w:t>
            </w:r>
          </w:p>
        </w:tc>
        <w:tc>
          <w:tcPr>
            <w:tcW w:w="13074" w:type="dxa"/>
            <w:gridSpan w:val="3"/>
            <w:vAlign w:val="center"/>
          </w:tcPr>
          <w:p w14:paraId="293C9AB0">
            <w:pPr>
              <w:spacing w:before="156" w:beforeLines="50" w:after="156" w:afterLines="50"/>
              <w:jc w:val="left"/>
              <w:rPr>
                <w:b/>
                <w:sz w:val="18"/>
                <w:szCs w:val="18"/>
              </w:rPr>
            </w:pPr>
            <w:r>
              <w:rPr>
                <w:rFonts w:hint="eastAsia"/>
                <w:b/>
                <w:sz w:val="18"/>
                <w:szCs w:val="18"/>
              </w:rPr>
              <w:t>【法定幅度和种类】</w:t>
            </w:r>
            <w:r>
              <w:rPr>
                <w:rFonts w:hint="eastAsia" w:ascii="宋体"/>
                <w:b/>
                <w:sz w:val="18"/>
                <w:szCs w:val="18"/>
              </w:rPr>
              <w:t>处1000元以上</w:t>
            </w:r>
            <w:r>
              <w:rPr>
                <w:rFonts w:ascii="宋体"/>
                <w:b/>
                <w:sz w:val="18"/>
                <w:szCs w:val="18"/>
              </w:rPr>
              <w:t>1</w:t>
            </w:r>
            <w:r>
              <w:rPr>
                <w:rFonts w:hint="eastAsia" w:ascii="宋体"/>
                <w:b/>
                <w:sz w:val="18"/>
                <w:szCs w:val="18"/>
              </w:rPr>
              <w:t>万元以下罚款；情节严重的，并给予暂扣船员服务簿、船员适任证书</w:t>
            </w:r>
            <w:r>
              <w:rPr>
                <w:rFonts w:ascii="宋体"/>
                <w:b/>
                <w:sz w:val="18"/>
                <w:szCs w:val="18"/>
              </w:rPr>
              <w:t>6</w:t>
            </w:r>
            <w:r>
              <w:rPr>
                <w:rFonts w:hint="eastAsia" w:ascii="宋体"/>
                <w:b/>
                <w:sz w:val="18"/>
                <w:szCs w:val="18"/>
              </w:rPr>
              <w:t>个月以上2年以下直至吊销船员服务簿、船员适任证书的处罚。</w:t>
            </w:r>
          </w:p>
        </w:tc>
      </w:tr>
      <w:tr w14:paraId="57BA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6FE17D48">
            <w:pPr>
              <w:spacing w:before="156" w:beforeLines="50" w:after="156" w:afterLines="50"/>
              <w:jc w:val="left"/>
              <w:rPr>
                <w:b/>
                <w:sz w:val="18"/>
                <w:szCs w:val="18"/>
              </w:rPr>
            </w:pPr>
          </w:p>
        </w:tc>
        <w:tc>
          <w:tcPr>
            <w:tcW w:w="1218" w:type="dxa"/>
            <w:vMerge w:val="continue"/>
            <w:vAlign w:val="center"/>
          </w:tcPr>
          <w:p w14:paraId="6E861D33">
            <w:pPr>
              <w:spacing w:before="156" w:beforeLines="50" w:after="156" w:afterLines="50"/>
              <w:jc w:val="left"/>
              <w:rPr>
                <w:b/>
                <w:sz w:val="18"/>
                <w:szCs w:val="18"/>
              </w:rPr>
            </w:pPr>
          </w:p>
        </w:tc>
        <w:tc>
          <w:tcPr>
            <w:tcW w:w="2400" w:type="dxa"/>
            <w:gridSpan w:val="2"/>
            <w:vMerge w:val="continue"/>
            <w:vAlign w:val="center"/>
          </w:tcPr>
          <w:p w14:paraId="48EBB3E8">
            <w:pPr>
              <w:spacing w:before="156" w:beforeLines="50" w:after="156" w:afterLines="50"/>
              <w:jc w:val="left"/>
              <w:rPr>
                <w:b/>
                <w:sz w:val="18"/>
                <w:szCs w:val="18"/>
              </w:rPr>
            </w:pPr>
          </w:p>
        </w:tc>
        <w:tc>
          <w:tcPr>
            <w:tcW w:w="991" w:type="dxa"/>
            <w:vMerge w:val="continue"/>
            <w:vAlign w:val="center"/>
          </w:tcPr>
          <w:p w14:paraId="0312E0D9">
            <w:pPr>
              <w:spacing w:before="156" w:beforeLines="50" w:after="156" w:afterLines="50"/>
              <w:jc w:val="left"/>
              <w:rPr>
                <w:b/>
                <w:sz w:val="18"/>
                <w:szCs w:val="18"/>
              </w:rPr>
            </w:pPr>
          </w:p>
        </w:tc>
        <w:tc>
          <w:tcPr>
            <w:tcW w:w="2738" w:type="dxa"/>
            <w:vMerge w:val="continue"/>
            <w:vAlign w:val="center"/>
          </w:tcPr>
          <w:p w14:paraId="4F5B4D83">
            <w:pPr>
              <w:spacing w:before="156" w:beforeLines="50" w:after="156" w:afterLines="50"/>
              <w:jc w:val="left"/>
              <w:rPr>
                <w:rFonts w:ascii="宋体"/>
                <w:b/>
                <w:sz w:val="18"/>
                <w:szCs w:val="18"/>
              </w:rPr>
            </w:pPr>
          </w:p>
        </w:tc>
        <w:tc>
          <w:tcPr>
            <w:tcW w:w="13074" w:type="dxa"/>
            <w:gridSpan w:val="3"/>
            <w:vAlign w:val="center"/>
          </w:tcPr>
          <w:p w14:paraId="60E25520">
            <w:pPr>
              <w:spacing w:before="156" w:beforeLines="50" w:after="156" w:afterLines="50"/>
              <w:jc w:val="center"/>
              <w:rPr>
                <w:b/>
                <w:sz w:val="18"/>
                <w:szCs w:val="18"/>
              </w:rPr>
            </w:pPr>
            <w:r>
              <w:rPr>
                <w:rFonts w:hint="eastAsia"/>
                <w:b/>
                <w:sz w:val="18"/>
                <w:szCs w:val="18"/>
              </w:rPr>
              <w:t>处罚基准</w:t>
            </w:r>
          </w:p>
        </w:tc>
      </w:tr>
      <w:tr w14:paraId="3225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55" w:type="dxa"/>
            <w:vMerge w:val="continue"/>
            <w:vAlign w:val="center"/>
          </w:tcPr>
          <w:p w14:paraId="5A7265EC">
            <w:pPr>
              <w:spacing w:before="156" w:beforeLines="50" w:after="156" w:afterLines="50"/>
              <w:jc w:val="left"/>
              <w:rPr>
                <w:b/>
                <w:sz w:val="18"/>
                <w:szCs w:val="18"/>
              </w:rPr>
            </w:pPr>
          </w:p>
        </w:tc>
        <w:tc>
          <w:tcPr>
            <w:tcW w:w="1218" w:type="dxa"/>
            <w:vMerge w:val="continue"/>
            <w:vAlign w:val="center"/>
          </w:tcPr>
          <w:p w14:paraId="39D694BB">
            <w:pPr>
              <w:spacing w:before="156" w:beforeLines="50" w:after="156" w:afterLines="50"/>
              <w:jc w:val="left"/>
              <w:rPr>
                <w:b/>
                <w:sz w:val="18"/>
                <w:szCs w:val="18"/>
              </w:rPr>
            </w:pPr>
          </w:p>
        </w:tc>
        <w:tc>
          <w:tcPr>
            <w:tcW w:w="2400" w:type="dxa"/>
            <w:gridSpan w:val="2"/>
            <w:vMerge w:val="continue"/>
            <w:vAlign w:val="center"/>
          </w:tcPr>
          <w:p w14:paraId="014CF8C0">
            <w:pPr>
              <w:spacing w:before="156" w:beforeLines="50" w:after="156" w:afterLines="50"/>
              <w:jc w:val="left"/>
              <w:rPr>
                <w:b/>
                <w:sz w:val="18"/>
                <w:szCs w:val="18"/>
              </w:rPr>
            </w:pPr>
          </w:p>
        </w:tc>
        <w:tc>
          <w:tcPr>
            <w:tcW w:w="991" w:type="dxa"/>
            <w:vMerge w:val="continue"/>
            <w:vAlign w:val="center"/>
          </w:tcPr>
          <w:p w14:paraId="328DEB8C">
            <w:pPr>
              <w:spacing w:before="156" w:beforeLines="50" w:after="156" w:afterLines="50"/>
              <w:jc w:val="left"/>
              <w:rPr>
                <w:b/>
                <w:sz w:val="18"/>
                <w:szCs w:val="18"/>
              </w:rPr>
            </w:pPr>
          </w:p>
        </w:tc>
        <w:tc>
          <w:tcPr>
            <w:tcW w:w="2738" w:type="dxa"/>
            <w:vMerge w:val="continue"/>
            <w:vAlign w:val="center"/>
          </w:tcPr>
          <w:p w14:paraId="420A4D03">
            <w:pPr>
              <w:spacing w:before="156" w:beforeLines="50" w:after="156" w:afterLines="50"/>
              <w:jc w:val="left"/>
              <w:rPr>
                <w:rFonts w:ascii="宋体"/>
                <w:b/>
                <w:sz w:val="18"/>
                <w:szCs w:val="18"/>
              </w:rPr>
            </w:pPr>
          </w:p>
        </w:tc>
        <w:tc>
          <w:tcPr>
            <w:tcW w:w="13074" w:type="dxa"/>
            <w:gridSpan w:val="3"/>
            <w:vAlign w:val="center"/>
          </w:tcPr>
          <w:p w14:paraId="3CF5F839">
            <w:pPr>
              <w:spacing w:before="156" w:beforeLines="50" w:after="156" w:afterLines="50"/>
              <w:jc w:val="center"/>
              <w:rPr>
                <w:b/>
                <w:sz w:val="18"/>
                <w:szCs w:val="18"/>
              </w:rPr>
            </w:pPr>
            <w:r>
              <w:rPr>
                <w:rFonts w:hint="eastAsia"/>
                <w:b/>
                <w:sz w:val="18"/>
                <w:szCs w:val="18"/>
              </w:rPr>
              <w:t>【对象】船员</w:t>
            </w:r>
          </w:p>
        </w:tc>
      </w:tr>
      <w:tr w14:paraId="53A4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655" w:type="dxa"/>
            <w:vMerge w:val="continue"/>
            <w:vAlign w:val="center"/>
          </w:tcPr>
          <w:p w14:paraId="2492D155">
            <w:pPr>
              <w:spacing w:before="156" w:beforeLines="50" w:after="156" w:afterLines="50"/>
              <w:jc w:val="left"/>
              <w:rPr>
                <w:b/>
                <w:sz w:val="18"/>
                <w:szCs w:val="18"/>
              </w:rPr>
            </w:pPr>
          </w:p>
        </w:tc>
        <w:tc>
          <w:tcPr>
            <w:tcW w:w="1218" w:type="dxa"/>
            <w:vMerge w:val="continue"/>
            <w:vAlign w:val="center"/>
          </w:tcPr>
          <w:p w14:paraId="7E139DD5">
            <w:pPr>
              <w:spacing w:before="156" w:beforeLines="50" w:after="156" w:afterLines="50"/>
              <w:jc w:val="left"/>
              <w:rPr>
                <w:b/>
                <w:sz w:val="18"/>
                <w:szCs w:val="18"/>
              </w:rPr>
            </w:pPr>
          </w:p>
        </w:tc>
        <w:tc>
          <w:tcPr>
            <w:tcW w:w="1117" w:type="dxa"/>
            <w:vAlign w:val="center"/>
          </w:tcPr>
          <w:p w14:paraId="73FD4F04">
            <w:pPr>
              <w:spacing w:before="156" w:beforeLines="50" w:after="156" w:afterLines="50"/>
              <w:jc w:val="center"/>
              <w:rPr>
                <w:b/>
                <w:sz w:val="18"/>
                <w:szCs w:val="18"/>
              </w:rPr>
            </w:pPr>
            <w:r>
              <w:rPr>
                <w:rFonts w:hint="eastAsia"/>
                <w:b/>
                <w:sz w:val="18"/>
                <w:szCs w:val="18"/>
              </w:rPr>
              <w:t>违反条款</w:t>
            </w:r>
          </w:p>
        </w:tc>
        <w:tc>
          <w:tcPr>
            <w:tcW w:w="1283" w:type="dxa"/>
            <w:vAlign w:val="center"/>
          </w:tcPr>
          <w:p w14:paraId="59A77F77">
            <w:pPr>
              <w:spacing w:before="156" w:beforeLines="50" w:after="156" w:afterLines="50"/>
              <w:jc w:val="center"/>
              <w:rPr>
                <w:b/>
                <w:sz w:val="18"/>
                <w:szCs w:val="18"/>
              </w:rPr>
            </w:pPr>
            <w:r>
              <w:rPr>
                <w:rFonts w:hint="eastAsia"/>
                <w:b/>
                <w:sz w:val="18"/>
                <w:szCs w:val="18"/>
              </w:rPr>
              <w:t>处罚依据</w:t>
            </w:r>
          </w:p>
        </w:tc>
        <w:tc>
          <w:tcPr>
            <w:tcW w:w="991" w:type="dxa"/>
            <w:vMerge w:val="continue"/>
            <w:vAlign w:val="center"/>
          </w:tcPr>
          <w:p w14:paraId="77962CA7">
            <w:pPr>
              <w:spacing w:before="156" w:beforeLines="50" w:after="156" w:afterLines="50"/>
              <w:jc w:val="left"/>
              <w:rPr>
                <w:b/>
                <w:sz w:val="18"/>
                <w:szCs w:val="18"/>
              </w:rPr>
            </w:pPr>
          </w:p>
        </w:tc>
        <w:tc>
          <w:tcPr>
            <w:tcW w:w="2738" w:type="dxa"/>
            <w:vMerge w:val="continue"/>
            <w:vAlign w:val="center"/>
          </w:tcPr>
          <w:p w14:paraId="2776E047">
            <w:pPr>
              <w:spacing w:before="156" w:beforeLines="50" w:after="156" w:afterLines="50"/>
              <w:jc w:val="left"/>
              <w:rPr>
                <w:b/>
                <w:sz w:val="18"/>
                <w:szCs w:val="18"/>
              </w:rPr>
            </w:pPr>
          </w:p>
        </w:tc>
        <w:tc>
          <w:tcPr>
            <w:tcW w:w="3203" w:type="dxa"/>
            <w:vAlign w:val="center"/>
          </w:tcPr>
          <w:p w14:paraId="72E40DC9">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500" w:type="dxa"/>
            <w:vAlign w:val="center"/>
          </w:tcPr>
          <w:p w14:paraId="7A7195E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6371" w:type="dxa"/>
            <w:vAlign w:val="center"/>
          </w:tcPr>
          <w:p w14:paraId="3980B923">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55B7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5" w:type="dxa"/>
            <w:vMerge w:val="restart"/>
            <w:vAlign w:val="center"/>
          </w:tcPr>
          <w:p w14:paraId="18D3D6CC">
            <w:pPr>
              <w:spacing w:before="156" w:beforeLines="50" w:after="156" w:afterLines="50"/>
              <w:jc w:val="center"/>
              <w:rPr>
                <w:sz w:val="18"/>
                <w:szCs w:val="18"/>
              </w:rPr>
            </w:pPr>
            <w:r>
              <w:rPr>
                <w:rFonts w:hint="eastAsia"/>
                <w:sz w:val="18"/>
                <w:szCs w:val="18"/>
              </w:rPr>
              <w:t>81</w:t>
            </w:r>
          </w:p>
        </w:tc>
        <w:tc>
          <w:tcPr>
            <w:tcW w:w="1218" w:type="dxa"/>
            <w:vMerge w:val="restart"/>
            <w:vAlign w:val="center"/>
          </w:tcPr>
          <w:p w14:paraId="6000A9F3">
            <w:pPr>
              <w:spacing w:before="156" w:beforeLines="50" w:after="156" w:afterLines="50"/>
              <w:rPr>
                <w:sz w:val="18"/>
                <w:szCs w:val="18"/>
              </w:rPr>
            </w:pPr>
            <w:r>
              <w:rPr>
                <w:rFonts w:hint="eastAsia"/>
                <w:sz w:val="18"/>
                <w:szCs w:val="18"/>
              </w:rPr>
              <w:t>未按照水上交通安全和防治船舶污染操作规则操纵、控制和管理船舶</w:t>
            </w:r>
          </w:p>
        </w:tc>
        <w:tc>
          <w:tcPr>
            <w:tcW w:w="1117" w:type="dxa"/>
            <w:vMerge w:val="restart"/>
            <w:vAlign w:val="center"/>
          </w:tcPr>
          <w:p w14:paraId="498192F9">
            <w:pPr>
              <w:spacing w:before="156" w:beforeLines="50" w:after="156" w:afterLines="50"/>
              <w:rPr>
                <w:sz w:val="18"/>
                <w:szCs w:val="18"/>
              </w:rPr>
            </w:pPr>
            <w:r>
              <w:rPr>
                <w:rFonts w:hint="eastAsia"/>
                <w:sz w:val="18"/>
                <w:szCs w:val="18"/>
              </w:rPr>
              <w:t>《中华人民共和国船员条例》第十六条第（三）项</w:t>
            </w:r>
          </w:p>
        </w:tc>
        <w:tc>
          <w:tcPr>
            <w:tcW w:w="1283" w:type="dxa"/>
            <w:vMerge w:val="restart"/>
            <w:vAlign w:val="center"/>
          </w:tcPr>
          <w:p w14:paraId="1CDBFD8C">
            <w:pP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《中华人民共和国船员条例》第五十二条第（二）项；</w:t>
            </w:r>
          </w:p>
          <w:p w14:paraId="42745A21">
            <w:pPr>
              <w:spacing w:before="156" w:beforeLines="50" w:after="156" w:afterLines="50"/>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991" w:type="dxa"/>
            <w:vAlign w:val="center"/>
          </w:tcPr>
          <w:p w14:paraId="4D31A384">
            <w:pPr>
              <w:spacing w:before="156" w:beforeLines="50" w:after="156" w:afterLines="50"/>
              <w:jc w:val="center"/>
              <w:rPr>
                <w:rFonts w:ascii="宋体"/>
                <w:sz w:val="18"/>
                <w:szCs w:val="18"/>
              </w:rPr>
            </w:pPr>
            <w:r>
              <w:rPr>
                <w:rFonts w:hint="eastAsia"/>
                <w:sz w:val="18"/>
                <w:szCs w:val="18"/>
              </w:rPr>
              <w:t>从轻</w:t>
            </w:r>
          </w:p>
        </w:tc>
        <w:tc>
          <w:tcPr>
            <w:tcW w:w="2738" w:type="dxa"/>
            <w:vAlign w:val="center"/>
          </w:tcPr>
          <w:p w14:paraId="580F2E13">
            <w:pPr>
              <w:widowControl/>
              <w:spacing w:before="156" w:beforeLines="50" w:after="156" w:afterLines="50"/>
              <w:jc w:val="left"/>
              <w:rPr>
                <w:sz w:val="18"/>
                <w:szCs w:val="18"/>
              </w:rPr>
            </w:pPr>
            <w:r>
              <w:rPr>
                <w:rFonts w:hint="eastAsia"/>
                <w:sz w:val="18"/>
                <w:szCs w:val="18"/>
              </w:rPr>
              <w:t>具有法定从轻情节的。</w:t>
            </w:r>
          </w:p>
        </w:tc>
        <w:tc>
          <w:tcPr>
            <w:tcW w:w="3203" w:type="dxa"/>
            <w:vAlign w:val="center"/>
          </w:tcPr>
          <w:p w14:paraId="44FD4C03">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3500" w:type="dxa"/>
            <w:vAlign w:val="center"/>
          </w:tcPr>
          <w:p w14:paraId="08156D73">
            <w:pPr>
              <w:spacing w:before="156" w:beforeLines="50" w:after="156" w:afterLines="50"/>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c>
          <w:tcPr>
            <w:tcW w:w="6371" w:type="dxa"/>
            <w:vAlign w:val="center"/>
          </w:tcPr>
          <w:p w14:paraId="69F07DA6">
            <w:pPr>
              <w:spacing w:before="156" w:beforeLines="50" w:after="156" w:afterLines="50"/>
              <w:jc w:val="left"/>
              <w:rPr>
                <w:sz w:val="18"/>
                <w:szCs w:val="18"/>
              </w:rPr>
            </w:pPr>
            <w:r>
              <w:rPr>
                <w:sz w:val="18"/>
                <w:szCs w:val="18"/>
              </w:rPr>
              <w:t>1000</w:t>
            </w:r>
            <w:r>
              <w:rPr>
                <w:rFonts w:hint="eastAsia"/>
                <w:sz w:val="18"/>
                <w:szCs w:val="18"/>
              </w:rPr>
              <w:t>元及以上20</w:t>
            </w:r>
            <w:r>
              <w:rPr>
                <w:sz w:val="18"/>
                <w:szCs w:val="18"/>
              </w:rPr>
              <w:t>00</w:t>
            </w:r>
            <w:r>
              <w:rPr>
                <w:rFonts w:hint="eastAsia"/>
                <w:sz w:val="18"/>
                <w:szCs w:val="18"/>
              </w:rPr>
              <w:t>元以下</w:t>
            </w:r>
          </w:p>
        </w:tc>
      </w:tr>
      <w:tr w14:paraId="09FF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5" w:type="dxa"/>
            <w:vMerge w:val="continue"/>
          </w:tcPr>
          <w:p w14:paraId="7CB2C805">
            <w:pPr>
              <w:spacing w:before="156" w:beforeLines="50" w:after="156" w:afterLines="50"/>
              <w:jc w:val="left"/>
              <w:rPr>
                <w:sz w:val="18"/>
                <w:szCs w:val="18"/>
              </w:rPr>
            </w:pPr>
          </w:p>
        </w:tc>
        <w:tc>
          <w:tcPr>
            <w:tcW w:w="1218" w:type="dxa"/>
            <w:vMerge w:val="continue"/>
            <w:vAlign w:val="center"/>
          </w:tcPr>
          <w:p w14:paraId="5223A9F2">
            <w:pPr>
              <w:spacing w:before="156" w:beforeLines="50" w:after="156" w:afterLines="50"/>
              <w:jc w:val="left"/>
              <w:rPr>
                <w:sz w:val="18"/>
                <w:szCs w:val="18"/>
              </w:rPr>
            </w:pPr>
          </w:p>
        </w:tc>
        <w:tc>
          <w:tcPr>
            <w:tcW w:w="1117" w:type="dxa"/>
            <w:vMerge w:val="continue"/>
            <w:vAlign w:val="center"/>
          </w:tcPr>
          <w:p w14:paraId="5B46C7F8">
            <w:pPr>
              <w:spacing w:before="156" w:beforeLines="50" w:after="156" w:afterLines="50"/>
              <w:jc w:val="left"/>
              <w:rPr>
                <w:sz w:val="18"/>
                <w:szCs w:val="18"/>
              </w:rPr>
            </w:pPr>
          </w:p>
        </w:tc>
        <w:tc>
          <w:tcPr>
            <w:tcW w:w="1283" w:type="dxa"/>
            <w:vMerge w:val="continue"/>
            <w:vAlign w:val="center"/>
          </w:tcPr>
          <w:p w14:paraId="6AAE426C">
            <w:pPr>
              <w:spacing w:before="156" w:beforeLines="50" w:after="156" w:afterLines="50"/>
              <w:jc w:val="left"/>
              <w:rPr>
                <w:sz w:val="18"/>
                <w:szCs w:val="18"/>
              </w:rPr>
            </w:pPr>
          </w:p>
        </w:tc>
        <w:tc>
          <w:tcPr>
            <w:tcW w:w="991" w:type="dxa"/>
            <w:vMerge w:val="restart"/>
            <w:vAlign w:val="center"/>
          </w:tcPr>
          <w:p w14:paraId="31AB5925">
            <w:pPr>
              <w:spacing w:before="156" w:beforeLines="50" w:after="156" w:afterLines="50"/>
              <w:jc w:val="center"/>
              <w:rPr>
                <w:sz w:val="18"/>
                <w:szCs w:val="18"/>
              </w:rPr>
            </w:pPr>
            <w:r>
              <w:rPr>
                <w:rFonts w:hint="eastAsia"/>
                <w:sz w:val="18"/>
                <w:szCs w:val="18"/>
              </w:rPr>
              <w:t>一般</w:t>
            </w:r>
          </w:p>
        </w:tc>
        <w:tc>
          <w:tcPr>
            <w:tcW w:w="2738" w:type="dxa"/>
            <w:vAlign w:val="center"/>
          </w:tcPr>
          <w:p w14:paraId="5CB477F2">
            <w:pPr>
              <w:widowControl/>
              <w:spacing w:before="156" w:beforeLines="50" w:after="156" w:afterLines="50"/>
              <w:jc w:val="left"/>
              <w:rPr>
                <w:sz w:val="18"/>
                <w:szCs w:val="18"/>
              </w:rPr>
            </w:pPr>
            <w:r>
              <w:rPr>
                <w:rFonts w:hint="eastAsia"/>
                <w:sz w:val="18"/>
                <w:szCs w:val="18"/>
              </w:rPr>
              <w:t>未按照水上交通安全和防治船舶污染操作规则操纵、控制和管理船舶的。</w:t>
            </w:r>
          </w:p>
        </w:tc>
        <w:tc>
          <w:tcPr>
            <w:tcW w:w="3203" w:type="dxa"/>
            <w:vAlign w:val="center"/>
          </w:tcPr>
          <w:p w14:paraId="165155DD">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元及以上30</w:t>
            </w:r>
            <w:r>
              <w:rPr>
                <w:sz w:val="18"/>
                <w:szCs w:val="18"/>
              </w:rPr>
              <w:t>00</w:t>
            </w:r>
            <w:r>
              <w:rPr>
                <w:rFonts w:hint="eastAsia"/>
                <w:sz w:val="18"/>
                <w:szCs w:val="18"/>
              </w:rPr>
              <w:t>元以下</w:t>
            </w:r>
          </w:p>
        </w:tc>
        <w:tc>
          <w:tcPr>
            <w:tcW w:w="3500" w:type="dxa"/>
            <w:vAlign w:val="center"/>
          </w:tcPr>
          <w:p w14:paraId="3F9E0A42">
            <w:pPr>
              <w:spacing w:before="156" w:beforeLines="50" w:after="156" w:afterLines="50"/>
              <w:rPr>
                <w:sz w:val="18"/>
                <w:szCs w:val="18"/>
              </w:rPr>
            </w:pPr>
            <w:r>
              <w:rPr>
                <w:rFonts w:hint="eastAsia"/>
                <w:sz w:val="18"/>
                <w:szCs w:val="18"/>
              </w:rPr>
              <w:t>20</w:t>
            </w:r>
            <w:r>
              <w:rPr>
                <w:sz w:val="18"/>
                <w:szCs w:val="18"/>
              </w:rPr>
              <w:t>00</w:t>
            </w:r>
            <w:r>
              <w:rPr>
                <w:rFonts w:hint="eastAsia"/>
                <w:sz w:val="18"/>
                <w:szCs w:val="18"/>
              </w:rPr>
              <w:t>元及以上40</w:t>
            </w:r>
            <w:r>
              <w:rPr>
                <w:sz w:val="18"/>
                <w:szCs w:val="18"/>
              </w:rPr>
              <w:t>00</w:t>
            </w:r>
            <w:r>
              <w:rPr>
                <w:rFonts w:hint="eastAsia"/>
                <w:sz w:val="18"/>
                <w:szCs w:val="18"/>
              </w:rPr>
              <w:t>元以下</w:t>
            </w:r>
          </w:p>
        </w:tc>
        <w:tc>
          <w:tcPr>
            <w:tcW w:w="6371" w:type="dxa"/>
            <w:vAlign w:val="center"/>
          </w:tcPr>
          <w:p w14:paraId="7A117B9F">
            <w:pPr>
              <w:spacing w:before="156" w:beforeLines="50" w:after="156" w:afterLines="50"/>
              <w:jc w:val="left"/>
              <w:rPr>
                <w:sz w:val="18"/>
                <w:szCs w:val="18"/>
              </w:rPr>
            </w:pPr>
            <w:r>
              <w:rPr>
                <w:rFonts w:hint="eastAsia"/>
                <w:sz w:val="18"/>
                <w:szCs w:val="18"/>
              </w:rPr>
              <w:t>20</w:t>
            </w:r>
            <w:r>
              <w:rPr>
                <w:sz w:val="18"/>
                <w:szCs w:val="18"/>
              </w:rPr>
              <w:t>00</w:t>
            </w:r>
            <w:r>
              <w:rPr>
                <w:rFonts w:hint="eastAsia"/>
                <w:sz w:val="18"/>
                <w:szCs w:val="18"/>
              </w:rPr>
              <w:t>元及以上50</w:t>
            </w:r>
            <w:r>
              <w:rPr>
                <w:sz w:val="18"/>
                <w:szCs w:val="18"/>
              </w:rPr>
              <w:t>00</w:t>
            </w:r>
            <w:r>
              <w:rPr>
                <w:rFonts w:hint="eastAsia"/>
                <w:sz w:val="18"/>
                <w:szCs w:val="18"/>
              </w:rPr>
              <w:t>元以下</w:t>
            </w:r>
          </w:p>
        </w:tc>
      </w:tr>
      <w:tr w14:paraId="556E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55" w:type="dxa"/>
            <w:vMerge w:val="continue"/>
          </w:tcPr>
          <w:p w14:paraId="03D22836">
            <w:pPr>
              <w:spacing w:before="156" w:beforeLines="50" w:after="156" w:afterLines="50"/>
              <w:jc w:val="left"/>
              <w:rPr>
                <w:sz w:val="18"/>
                <w:szCs w:val="18"/>
              </w:rPr>
            </w:pPr>
          </w:p>
        </w:tc>
        <w:tc>
          <w:tcPr>
            <w:tcW w:w="1218" w:type="dxa"/>
            <w:vMerge w:val="continue"/>
            <w:vAlign w:val="center"/>
          </w:tcPr>
          <w:p w14:paraId="77D19469">
            <w:pPr>
              <w:spacing w:before="156" w:beforeLines="50" w:after="156" w:afterLines="50"/>
              <w:jc w:val="left"/>
              <w:rPr>
                <w:sz w:val="18"/>
                <w:szCs w:val="18"/>
              </w:rPr>
            </w:pPr>
          </w:p>
        </w:tc>
        <w:tc>
          <w:tcPr>
            <w:tcW w:w="1117" w:type="dxa"/>
            <w:vMerge w:val="continue"/>
            <w:vAlign w:val="center"/>
          </w:tcPr>
          <w:p w14:paraId="2E4009A8">
            <w:pPr>
              <w:spacing w:before="156" w:beforeLines="50" w:after="156" w:afterLines="50"/>
              <w:jc w:val="left"/>
              <w:rPr>
                <w:sz w:val="18"/>
                <w:szCs w:val="18"/>
              </w:rPr>
            </w:pPr>
          </w:p>
        </w:tc>
        <w:tc>
          <w:tcPr>
            <w:tcW w:w="1283" w:type="dxa"/>
            <w:vMerge w:val="continue"/>
            <w:vAlign w:val="center"/>
          </w:tcPr>
          <w:p w14:paraId="5066E917">
            <w:pPr>
              <w:spacing w:before="156" w:beforeLines="50" w:after="156" w:afterLines="50"/>
              <w:jc w:val="left"/>
              <w:rPr>
                <w:sz w:val="18"/>
                <w:szCs w:val="18"/>
              </w:rPr>
            </w:pPr>
          </w:p>
        </w:tc>
        <w:tc>
          <w:tcPr>
            <w:tcW w:w="991" w:type="dxa"/>
            <w:vMerge w:val="continue"/>
            <w:vAlign w:val="center"/>
          </w:tcPr>
          <w:p w14:paraId="4F5F9182">
            <w:pPr>
              <w:spacing w:before="156" w:beforeLines="50" w:after="156" w:afterLines="50"/>
              <w:jc w:val="center"/>
              <w:rPr>
                <w:sz w:val="18"/>
                <w:szCs w:val="18"/>
              </w:rPr>
            </w:pPr>
          </w:p>
        </w:tc>
        <w:tc>
          <w:tcPr>
            <w:tcW w:w="2738" w:type="dxa"/>
            <w:vAlign w:val="center"/>
          </w:tcPr>
          <w:p w14:paraId="55C97CCC">
            <w:pPr>
              <w:widowControl/>
              <w:spacing w:before="156" w:beforeLines="50" w:after="156" w:afterLines="50"/>
              <w:jc w:val="left"/>
              <w:rPr>
                <w:sz w:val="18"/>
                <w:szCs w:val="18"/>
              </w:rPr>
            </w:pPr>
            <w:r>
              <w:rPr>
                <w:rFonts w:hint="eastAsia"/>
                <w:sz w:val="18"/>
                <w:szCs w:val="18"/>
              </w:rPr>
              <w:t>未按照水上交通安全和防治船舶污染操作规则操纵、控制和管理船舶，导致一般以下等级水上交通事故的。</w:t>
            </w:r>
          </w:p>
        </w:tc>
        <w:tc>
          <w:tcPr>
            <w:tcW w:w="3203" w:type="dxa"/>
            <w:vAlign w:val="center"/>
          </w:tcPr>
          <w:p w14:paraId="61D19598">
            <w:pPr>
              <w:spacing w:before="156" w:beforeLines="50" w:after="156" w:afterLines="50"/>
              <w:rPr>
                <w:sz w:val="18"/>
                <w:szCs w:val="18"/>
              </w:rPr>
            </w:pPr>
            <w:r>
              <w:rPr>
                <w:rFonts w:hint="eastAsia"/>
                <w:sz w:val="18"/>
                <w:szCs w:val="18"/>
              </w:rPr>
              <w:t>30</w:t>
            </w:r>
            <w:r>
              <w:rPr>
                <w:sz w:val="18"/>
                <w:szCs w:val="18"/>
              </w:rPr>
              <w:t>00</w:t>
            </w:r>
            <w:r>
              <w:rPr>
                <w:rFonts w:hint="eastAsia"/>
                <w:sz w:val="18"/>
                <w:szCs w:val="18"/>
              </w:rPr>
              <w:t>元及以上50</w:t>
            </w:r>
            <w:r>
              <w:rPr>
                <w:sz w:val="18"/>
                <w:szCs w:val="18"/>
              </w:rPr>
              <w:t>00</w:t>
            </w:r>
            <w:r>
              <w:rPr>
                <w:rFonts w:hint="eastAsia"/>
                <w:sz w:val="18"/>
                <w:szCs w:val="18"/>
              </w:rPr>
              <w:t>元以下</w:t>
            </w:r>
          </w:p>
        </w:tc>
        <w:tc>
          <w:tcPr>
            <w:tcW w:w="3500" w:type="dxa"/>
            <w:vAlign w:val="center"/>
          </w:tcPr>
          <w:p w14:paraId="730BA06B">
            <w:pPr>
              <w:spacing w:before="156" w:beforeLines="50" w:after="156" w:afterLines="50"/>
              <w:rPr>
                <w:sz w:val="18"/>
                <w:szCs w:val="18"/>
              </w:rPr>
            </w:pPr>
            <w:r>
              <w:rPr>
                <w:sz w:val="18"/>
                <w:szCs w:val="18"/>
              </w:rPr>
              <w:t>4</w:t>
            </w:r>
            <w:r>
              <w:rPr>
                <w:rFonts w:hint="eastAsia"/>
                <w:sz w:val="18"/>
                <w:szCs w:val="18"/>
              </w:rPr>
              <w:t>0</w:t>
            </w:r>
            <w:r>
              <w:rPr>
                <w:sz w:val="18"/>
                <w:szCs w:val="18"/>
              </w:rPr>
              <w:t>00</w:t>
            </w:r>
            <w:r>
              <w:rPr>
                <w:rFonts w:hint="eastAsia"/>
                <w:sz w:val="18"/>
                <w:szCs w:val="18"/>
              </w:rPr>
              <w:t>元及以上</w:t>
            </w:r>
            <w:r>
              <w:rPr>
                <w:sz w:val="18"/>
                <w:szCs w:val="18"/>
              </w:rPr>
              <w:t>6</w:t>
            </w:r>
            <w:r>
              <w:rPr>
                <w:rFonts w:hint="eastAsia"/>
                <w:sz w:val="18"/>
                <w:szCs w:val="18"/>
              </w:rPr>
              <w:t>0</w:t>
            </w:r>
            <w:r>
              <w:rPr>
                <w:sz w:val="18"/>
                <w:szCs w:val="18"/>
              </w:rPr>
              <w:t>00</w:t>
            </w:r>
            <w:r>
              <w:rPr>
                <w:rFonts w:hint="eastAsia"/>
                <w:sz w:val="18"/>
                <w:szCs w:val="18"/>
              </w:rPr>
              <w:t>元以下</w:t>
            </w:r>
          </w:p>
        </w:tc>
        <w:tc>
          <w:tcPr>
            <w:tcW w:w="6371" w:type="dxa"/>
            <w:vAlign w:val="center"/>
          </w:tcPr>
          <w:p w14:paraId="48BB4AE5">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元及以上70</w:t>
            </w:r>
            <w:r>
              <w:rPr>
                <w:sz w:val="18"/>
                <w:szCs w:val="18"/>
              </w:rPr>
              <w:t>00</w:t>
            </w:r>
            <w:r>
              <w:rPr>
                <w:rFonts w:hint="eastAsia"/>
                <w:sz w:val="18"/>
                <w:szCs w:val="18"/>
              </w:rPr>
              <w:t>元以下</w:t>
            </w:r>
          </w:p>
        </w:tc>
      </w:tr>
      <w:tr w14:paraId="666D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55" w:type="dxa"/>
            <w:vMerge w:val="continue"/>
          </w:tcPr>
          <w:p w14:paraId="2022530C">
            <w:pPr>
              <w:spacing w:before="156" w:beforeLines="50" w:after="156" w:afterLines="50"/>
              <w:jc w:val="left"/>
              <w:rPr>
                <w:sz w:val="18"/>
                <w:szCs w:val="18"/>
              </w:rPr>
            </w:pPr>
          </w:p>
        </w:tc>
        <w:tc>
          <w:tcPr>
            <w:tcW w:w="1218" w:type="dxa"/>
            <w:vMerge w:val="continue"/>
            <w:vAlign w:val="center"/>
          </w:tcPr>
          <w:p w14:paraId="39EE543B">
            <w:pPr>
              <w:spacing w:before="156" w:beforeLines="50" w:after="156" w:afterLines="50"/>
              <w:jc w:val="left"/>
              <w:rPr>
                <w:sz w:val="18"/>
                <w:szCs w:val="18"/>
              </w:rPr>
            </w:pPr>
          </w:p>
        </w:tc>
        <w:tc>
          <w:tcPr>
            <w:tcW w:w="1117" w:type="dxa"/>
            <w:vMerge w:val="continue"/>
            <w:vAlign w:val="center"/>
          </w:tcPr>
          <w:p w14:paraId="12F08306">
            <w:pPr>
              <w:spacing w:before="156" w:beforeLines="50" w:after="156" w:afterLines="50"/>
              <w:jc w:val="left"/>
              <w:rPr>
                <w:sz w:val="18"/>
                <w:szCs w:val="18"/>
              </w:rPr>
            </w:pPr>
          </w:p>
        </w:tc>
        <w:tc>
          <w:tcPr>
            <w:tcW w:w="1283" w:type="dxa"/>
            <w:vMerge w:val="continue"/>
            <w:vAlign w:val="center"/>
          </w:tcPr>
          <w:p w14:paraId="7BA3653D">
            <w:pPr>
              <w:spacing w:before="156" w:beforeLines="50" w:after="156" w:afterLines="50"/>
              <w:jc w:val="left"/>
              <w:rPr>
                <w:sz w:val="18"/>
                <w:szCs w:val="18"/>
              </w:rPr>
            </w:pPr>
          </w:p>
        </w:tc>
        <w:tc>
          <w:tcPr>
            <w:tcW w:w="991" w:type="dxa"/>
            <w:vMerge w:val="restart"/>
            <w:vAlign w:val="center"/>
          </w:tcPr>
          <w:p w14:paraId="47EEFF08">
            <w:pPr>
              <w:spacing w:before="156" w:beforeLines="50" w:after="156" w:afterLines="50"/>
              <w:jc w:val="center"/>
              <w:rPr>
                <w:sz w:val="18"/>
                <w:szCs w:val="18"/>
              </w:rPr>
            </w:pPr>
            <w:r>
              <w:rPr>
                <w:rFonts w:hint="eastAsia"/>
                <w:sz w:val="18"/>
                <w:szCs w:val="18"/>
              </w:rPr>
              <w:t>情节严重</w:t>
            </w:r>
          </w:p>
        </w:tc>
        <w:tc>
          <w:tcPr>
            <w:tcW w:w="2738" w:type="dxa"/>
            <w:vAlign w:val="center"/>
          </w:tcPr>
          <w:p w14:paraId="4B717939">
            <w:pPr>
              <w:widowControl/>
              <w:spacing w:before="156" w:beforeLines="50" w:after="156" w:afterLines="50"/>
              <w:jc w:val="left"/>
              <w:rPr>
                <w:sz w:val="18"/>
                <w:szCs w:val="18"/>
              </w:rPr>
            </w:pPr>
            <w:r>
              <w:rPr>
                <w:rFonts w:hint="eastAsia"/>
                <w:sz w:val="18"/>
                <w:szCs w:val="18"/>
              </w:rPr>
              <w:t>未按照水上交通安全和防治船舶污染操作规则操纵、控制和管理船舶，导致一般及以上等级水上交通事故的。</w:t>
            </w:r>
          </w:p>
        </w:tc>
        <w:tc>
          <w:tcPr>
            <w:tcW w:w="3203" w:type="dxa"/>
            <w:vAlign w:val="center"/>
          </w:tcPr>
          <w:p w14:paraId="5C0EA661">
            <w:pPr>
              <w:spacing w:before="156" w:beforeLines="50" w:after="156" w:afterLines="50"/>
              <w:rPr>
                <w:sz w:val="18"/>
                <w:szCs w:val="18"/>
              </w:rPr>
            </w:pPr>
            <w:r>
              <w:rPr>
                <w:sz w:val="18"/>
                <w:szCs w:val="18"/>
              </w:rPr>
              <w:t>6</w:t>
            </w:r>
            <w:r>
              <w:rPr>
                <w:rFonts w:hint="eastAsia"/>
                <w:sz w:val="18"/>
                <w:szCs w:val="18"/>
              </w:rPr>
              <w:t>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c>
          <w:tcPr>
            <w:tcW w:w="3500" w:type="dxa"/>
            <w:vAlign w:val="center"/>
          </w:tcPr>
          <w:p w14:paraId="6324AD60">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c>
          <w:tcPr>
            <w:tcW w:w="6371" w:type="dxa"/>
            <w:vAlign w:val="center"/>
          </w:tcPr>
          <w:p w14:paraId="00EF16E7">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r>
      <w:tr w14:paraId="0B86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5" w:type="dxa"/>
            <w:vMerge w:val="continue"/>
          </w:tcPr>
          <w:p w14:paraId="659E86E4">
            <w:pPr>
              <w:spacing w:before="156" w:beforeLines="50" w:after="156" w:afterLines="50"/>
              <w:jc w:val="left"/>
              <w:rPr>
                <w:sz w:val="18"/>
                <w:szCs w:val="18"/>
              </w:rPr>
            </w:pPr>
          </w:p>
        </w:tc>
        <w:tc>
          <w:tcPr>
            <w:tcW w:w="1218" w:type="dxa"/>
            <w:vMerge w:val="continue"/>
            <w:vAlign w:val="center"/>
          </w:tcPr>
          <w:p w14:paraId="6DC3BDC7">
            <w:pPr>
              <w:spacing w:before="156" w:beforeLines="50" w:after="156" w:afterLines="50"/>
              <w:jc w:val="left"/>
              <w:rPr>
                <w:sz w:val="18"/>
                <w:szCs w:val="18"/>
              </w:rPr>
            </w:pPr>
          </w:p>
        </w:tc>
        <w:tc>
          <w:tcPr>
            <w:tcW w:w="1117" w:type="dxa"/>
            <w:vMerge w:val="continue"/>
            <w:vAlign w:val="center"/>
          </w:tcPr>
          <w:p w14:paraId="02280A96">
            <w:pPr>
              <w:spacing w:before="156" w:beforeLines="50" w:after="156" w:afterLines="50"/>
              <w:jc w:val="left"/>
              <w:rPr>
                <w:sz w:val="18"/>
                <w:szCs w:val="18"/>
              </w:rPr>
            </w:pPr>
          </w:p>
        </w:tc>
        <w:tc>
          <w:tcPr>
            <w:tcW w:w="1283" w:type="dxa"/>
            <w:vMerge w:val="continue"/>
            <w:vAlign w:val="center"/>
          </w:tcPr>
          <w:p w14:paraId="39E06505">
            <w:pPr>
              <w:spacing w:before="156" w:beforeLines="50" w:after="156" w:afterLines="50"/>
              <w:jc w:val="left"/>
              <w:rPr>
                <w:sz w:val="18"/>
                <w:szCs w:val="18"/>
              </w:rPr>
            </w:pPr>
          </w:p>
        </w:tc>
        <w:tc>
          <w:tcPr>
            <w:tcW w:w="991" w:type="dxa"/>
            <w:vMerge w:val="continue"/>
            <w:vAlign w:val="center"/>
          </w:tcPr>
          <w:p w14:paraId="04EC584A">
            <w:pPr>
              <w:spacing w:before="156" w:beforeLines="50" w:after="156" w:afterLines="50"/>
              <w:jc w:val="center"/>
              <w:rPr>
                <w:sz w:val="18"/>
                <w:szCs w:val="18"/>
              </w:rPr>
            </w:pPr>
          </w:p>
        </w:tc>
        <w:tc>
          <w:tcPr>
            <w:tcW w:w="2738" w:type="dxa"/>
            <w:vAlign w:val="center"/>
          </w:tcPr>
          <w:p w14:paraId="700D2E10">
            <w:pPr>
              <w:spacing w:before="156" w:beforeLines="50" w:after="156" w:afterLines="50"/>
              <w:jc w:val="left"/>
              <w:rPr>
                <w:sz w:val="18"/>
                <w:szCs w:val="18"/>
              </w:rPr>
            </w:pPr>
            <w:r>
              <w:rPr>
                <w:rFonts w:hint="eastAsia"/>
                <w:sz w:val="18"/>
                <w:szCs w:val="18"/>
              </w:rPr>
              <w:t>具有其他</w:t>
            </w:r>
            <w:r>
              <w:rPr>
                <w:rFonts w:hint="eastAsia" w:ascii="宋体"/>
                <w:kern w:val="0"/>
                <w:sz w:val="18"/>
                <w:szCs w:val="18"/>
              </w:rPr>
              <w:t>严重</w:t>
            </w:r>
            <w:r>
              <w:rPr>
                <w:rFonts w:hint="eastAsia"/>
                <w:sz w:val="18"/>
                <w:szCs w:val="18"/>
              </w:rPr>
              <w:t>情节的。</w:t>
            </w:r>
          </w:p>
        </w:tc>
        <w:tc>
          <w:tcPr>
            <w:tcW w:w="3203" w:type="dxa"/>
            <w:vAlign w:val="center"/>
          </w:tcPr>
          <w:p w14:paraId="7CBA1B3C">
            <w:pPr>
              <w:spacing w:before="156" w:beforeLines="50" w:after="156" w:afterLines="50"/>
              <w:rPr>
                <w:sz w:val="18"/>
                <w:szCs w:val="18"/>
              </w:rPr>
            </w:pPr>
            <w:r>
              <w:rPr>
                <w:rFonts w:hint="eastAsia"/>
                <w:sz w:val="18"/>
                <w:szCs w:val="18"/>
              </w:rPr>
              <w:t>50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3500" w:type="dxa"/>
            <w:vAlign w:val="center"/>
          </w:tcPr>
          <w:p w14:paraId="7DA960C0">
            <w:pPr>
              <w:spacing w:before="156" w:beforeLines="50" w:after="156" w:afterLines="50"/>
              <w:rPr>
                <w:sz w:val="18"/>
                <w:szCs w:val="18"/>
              </w:rPr>
            </w:pPr>
            <w:r>
              <w:rPr>
                <w:rFonts w:hint="eastAsia"/>
                <w:sz w:val="18"/>
                <w:szCs w:val="18"/>
              </w:rPr>
              <w:t>60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c>
          <w:tcPr>
            <w:tcW w:w="6371" w:type="dxa"/>
            <w:vAlign w:val="center"/>
          </w:tcPr>
          <w:p w14:paraId="74EF68E2">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w:t>
            </w:r>
            <w:r>
              <w:rPr>
                <w:sz w:val="18"/>
                <w:szCs w:val="18"/>
              </w:rPr>
              <w:t>1</w:t>
            </w:r>
            <w:r>
              <w:rPr>
                <w:rFonts w:hint="eastAsia"/>
                <w:sz w:val="18"/>
                <w:szCs w:val="18"/>
              </w:rPr>
              <w:t>万元以下，</w:t>
            </w:r>
            <w:r>
              <w:rPr>
                <w:rFonts w:hint="eastAsia" w:ascii="宋体"/>
                <w:kern w:val="0"/>
                <w:sz w:val="18"/>
                <w:szCs w:val="18"/>
              </w:rPr>
              <w:t>情节严重的，并给予暂扣船员服务簿、船员适任证书6个月以上2年以下直至吊销船员服务簿、船员适任证书的处罚。</w:t>
            </w:r>
          </w:p>
        </w:tc>
      </w:tr>
    </w:tbl>
    <w:p w14:paraId="3597CEB1">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43"/>
        <w:gridCol w:w="1366"/>
        <w:gridCol w:w="161"/>
        <w:gridCol w:w="1476"/>
        <w:gridCol w:w="114"/>
        <w:gridCol w:w="2145"/>
        <w:gridCol w:w="73"/>
        <w:gridCol w:w="567"/>
        <w:gridCol w:w="89"/>
        <w:gridCol w:w="3666"/>
        <w:gridCol w:w="781"/>
        <w:gridCol w:w="2835"/>
        <w:gridCol w:w="3118"/>
        <w:gridCol w:w="3958"/>
        <w:gridCol w:w="17"/>
      </w:tblGrid>
      <w:tr w14:paraId="4B8D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27" w:type="dxa"/>
            <w:gridSpan w:val="2"/>
            <w:vMerge w:val="restart"/>
            <w:vAlign w:val="center"/>
          </w:tcPr>
          <w:p w14:paraId="7BD63506">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527" w:type="dxa"/>
            <w:gridSpan w:val="2"/>
            <w:vMerge w:val="restart"/>
            <w:vAlign w:val="center"/>
          </w:tcPr>
          <w:p w14:paraId="2D99A485">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735" w:type="dxa"/>
            <w:gridSpan w:val="3"/>
            <w:vMerge w:val="restart"/>
            <w:vAlign w:val="center"/>
          </w:tcPr>
          <w:p w14:paraId="02E0D872">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40" w:type="dxa"/>
            <w:gridSpan w:val="2"/>
            <w:vMerge w:val="restart"/>
            <w:vAlign w:val="center"/>
          </w:tcPr>
          <w:p w14:paraId="609B7495">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4536" w:type="dxa"/>
            <w:gridSpan w:val="3"/>
            <w:vMerge w:val="restart"/>
            <w:vAlign w:val="center"/>
          </w:tcPr>
          <w:p w14:paraId="4053D1B7">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4C2FDE73">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9928" w:type="dxa"/>
            <w:gridSpan w:val="4"/>
            <w:tcBorders>
              <w:bottom w:val="single" w:color="auto" w:sz="4" w:space="0"/>
              <w:right w:val="single" w:color="auto" w:sz="4" w:space="0"/>
            </w:tcBorders>
            <w:vAlign w:val="center"/>
          </w:tcPr>
          <w:p w14:paraId="3D74EB5F">
            <w:pPr>
              <w:jc w:val="left"/>
              <w:rPr>
                <w:b/>
                <w:sz w:val="18"/>
                <w:szCs w:val="18"/>
              </w:rPr>
            </w:pPr>
            <w:r>
              <w:rPr>
                <w:rFonts w:hint="eastAsia" w:ascii="宋体"/>
                <w:b/>
                <w:kern w:val="0"/>
                <w:sz w:val="18"/>
                <w:szCs w:val="18"/>
              </w:rPr>
              <w:t>【法定幅度和种类】</w:t>
            </w:r>
            <w:r>
              <w:rPr>
                <w:rFonts w:hint="eastAsia"/>
                <w:b/>
                <w:sz w:val="18"/>
                <w:szCs w:val="18"/>
              </w:rPr>
              <w:t>处2000元以上2万元以下罚款；情节严重的，并给予暂扣船员适任证书6个月以上2年以下直至吊销船员适任证书的处罚</w:t>
            </w:r>
          </w:p>
        </w:tc>
      </w:tr>
      <w:tr w14:paraId="73FE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27" w:type="dxa"/>
            <w:gridSpan w:val="2"/>
            <w:vMerge w:val="continue"/>
            <w:vAlign w:val="center"/>
          </w:tcPr>
          <w:p w14:paraId="2982E501">
            <w:pPr>
              <w:spacing w:before="156" w:beforeLines="50" w:after="156" w:afterLines="50"/>
              <w:jc w:val="center"/>
              <w:rPr>
                <w:rFonts w:ascii="宋体"/>
                <w:b/>
                <w:kern w:val="0"/>
                <w:sz w:val="18"/>
                <w:szCs w:val="18"/>
              </w:rPr>
            </w:pPr>
          </w:p>
        </w:tc>
        <w:tc>
          <w:tcPr>
            <w:tcW w:w="1527" w:type="dxa"/>
            <w:gridSpan w:val="2"/>
            <w:vMerge w:val="continue"/>
            <w:vAlign w:val="center"/>
          </w:tcPr>
          <w:p w14:paraId="59F56DD8">
            <w:pPr>
              <w:spacing w:before="156" w:beforeLines="50" w:after="156" w:afterLines="50"/>
              <w:jc w:val="center"/>
              <w:rPr>
                <w:rFonts w:ascii="宋体"/>
                <w:b/>
                <w:kern w:val="0"/>
                <w:sz w:val="18"/>
                <w:szCs w:val="18"/>
              </w:rPr>
            </w:pPr>
          </w:p>
        </w:tc>
        <w:tc>
          <w:tcPr>
            <w:tcW w:w="3735" w:type="dxa"/>
            <w:gridSpan w:val="3"/>
            <w:vMerge w:val="continue"/>
            <w:vAlign w:val="center"/>
          </w:tcPr>
          <w:p w14:paraId="37EAAD4B">
            <w:pPr>
              <w:spacing w:before="156" w:beforeLines="50" w:after="156" w:afterLines="50"/>
              <w:jc w:val="center"/>
              <w:rPr>
                <w:rFonts w:ascii="宋体"/>
                <w:b/>
                <w:kern w:val="0"/>
                <w:sz w:val="18"/>
                <w:szCs w:val="18"/>
              </w:rPr>
            </w:pPr>
          </w:p>
        </w:tc>
        <w:tc>
          <w:tcPr>
            <w:tcW w:w="640" w:type="dxa"/>
            <w:gridSpan w:val="2"/>
            <w:vMerge w:val="continue"/>
            <w:vAlign w:val="center"/>
          </w:tcPr>
          <w:p w14:paraId="3F04C4BB">
            <w:pPr>
              <w:spacing w:before="156" w:beforeLines="50" w:after="156" w:afterLines="50"/>
              <w:jc w:val="left"/>
              <w:rPr>
                <w:rFonts w:ascii="宋体"/>
                <w:b/>
                <w:kern w:val="0"/>
                <w:sz w:val="18"/>
                <w:szCs w:val="18"/>
              </w:rPr>
            </w:pPr>
          </w:p>
        </w:tc>
        <w:tc>
          <w:tcPr>
            <w:tcW w:w="4536" w:type="dxa"/>
            <w:gridSpan w:val="3"/>
            <w:vMerge w:val="continue"/>
            <w:vAlign w:val="center"/>
          </w:tcPr>
          <w:p w14:paraId="0FBEB9F2">
            <w:pPr>
              <w:spacing w:before="156" w:beforeLines="50" w:after="156" w:afterLines="50"/>
              <w:jc w:val="left"/>
              <w:rPr>
                <w:rFonts w:ascii="宋体"/>
                <w:b/>
                <w:kern w:val="0"/>
                <w:sz w:val="18"/>
                <w:szCs w:val="18"/>
              </w:rPr>
            </w:pPr>
          </w:p>
        </w:tc>
        <w:tc>
          <w:tcPr>
            <w:tcW w:w="9928" w:type="dxa"/>
            <w:gridSpan w:val="4"/>
            <w:tcBorders>
              <w:top w:val="single" w:color="auto" w:sz="4" w:space="0"/>
              <w:bottom w:val="single" w:color="auto" w:sz="4" w:space="0"/>
              <w:right w:val="single" w:color="auto" w:sz="4" w:space="0"/>
            </w:tcBorders>
            <w:vAlign w:val="center"/>
          </w:tcPr>
          <w:p w14:paraId="567FDA3F">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790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727" w:type="dxa"/>
            <w:gridSpan w:val="2"/>
            <w:vMerge w:val="continue"/>
            <w:vAlign w:val="center"/>
          </w:tcPr>
          <w:p w14:paraId="6545EC17">
            <w:pPr>
              <w:spacing w:before="156" w:beforeLines="50" w:after="156" w:afterLines="50"/>
              <w:jc w:val="center"/>
              <w:rPr>
                <w:rFonts w:ascii="宋体"/>
                <w:b/>
                <w:kern w:val="0"/>
                <w:sz w:val="18"/>
                <w:szCs w:val="18"/>
              </w:rPr>
            </w:pPr>
          </w:p>
        </w:tc>
        <w:tc>
          <w:tcPr>
            <w:tcW w:w="1527" w:type="dxa"/>
            <w:gridSpan w:val="2"/>
            <w:vMerge w:val="continue"/>
            <w:vAlign w:val="center"/>
          </w:tcPr>
          <w:p w14:paraId="5E2F7782">
            <w:pPr>
              <w:spacing w:before="156" w:beforeLines="50" w:after="156" w:afterLines="50"/>
              <w:jc w:val="center"/>
              <w:rPr>
                <w:rFonts w:ascii="宋体"/>
                <w:b/>
                <w:kern w:val="0"/>
                <w:sz w:val="18"/>
                <w:szCs w:val="18"/>
              </w:rPr>
            </w:pPr>
          </w:p>
        </w:tc>
        <w:tc>
          <w:tcPr>
            <w:tcW w:w="1476" w:type="dxa"/>
            <w:vMerge w:val="restart"/>
            <w:vAlign w:val="center"/>
          </w:tcPr>
          <w:p w14:paraId="560F6AFF">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59" w:type="dxa"/>
            <w:gridSpan w:val="2"/>
            <w:vMerge w:val="restart"/>
            <w:vAlign w:val="center"/>
          </w:tcPr>
          <w:p w14:paraId="48BA3C6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40" w:type="dxa"/>
            <w:gridSpan w:val="2"/>
            <w:vMerge w:val="continue"/>
            <w:vAlign w:val="center"/>
          </w:tcPr>
          <w:p w14:paraId="28BC83C5">
            <w:pPr>
              <w:spacing w:before="156" w:beforeLines="50" w:after="156" w:afterLines="50"/>
              <w:jc w:val="left"/>
              <w:rPr>
                <w:rFonts w:ascii="宋体"/>
                <w:b/>
                <w:kern w:val="0"/>
                <w:sz w:val="18"/>
                <w:szCs w:val="18"/>
              </w:rPr>
            </w:pPr>
          </w:p>
        </w:tc>
        <w:tc>
          <w:tcPr>
            <w:tcW w:w="4536" w:type="dxa"/>
            <w:gridSpan w:val="3"/>
            <w:vMerge w:val="continue"/>
            <w:vAlign w:val="center"/>
          </w:tcPr>
          <w:p w14:paraId="6432F68A">
            <w:pPr>
              <w:spacing w:before="156" w:beforeLines="50" w:after="156" w:afterLines="50"/>
              <w:jc w:val="left"/>
              <w:rPr>
                <w:rFonts w:ascii="宋体"/>
                <w:b/>
                <w:kern w:val="0"/>
                <w:sz w:val="18"/>
                <w:szCs w:val="18"/>
              </w:rPr>
            </w:pPr>
          </w:p>
        </w:tc>
        <w:tc>
          <w:tcPr>
            <w:tcW w:w="9928" w:type="dxa"/>
            <w:gridSpan w:val="4"/>
            <w:tcBorders>
              <w:top w:val="single" w:color="auto" w:sz="4" w:space="0"/>
              <w:bottom w:val="single" w:color="auto" w:sz="4" w:space="0"/>
              <w:right w:val="single" w:color="auto" w:sz="4" w:space="0"/>
            </w:tcBorders>
            <w:vAlign w:val="center"/>
          </w:tcPr>
          <w:p w14:paraId="701DCE67">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b/>
                <w:sz w:val="18"/>
                <w:szCs w:val="18"/>
              </w:rPr>
              <w:t>船长</w:t>
            </w:r>
          </w:p>
        </w:tc>
      </w:tr>
      <w:tr w14:paraId="7B53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727" w:type="dxa"/>
            <w:gridSpan w:val="2"/>
            <w:vMerge w:val="continue"/>
            <w:vAlign w:val="center"/>
          </w:tcPr>
          <w:p w14:paraId="340BE045">
            <w:pPr>
              <w:spacing w:before="156" w:beforeLines="50" w:after="156" w:afterLines="50"/>
              <w:jc w:val="center"/>
              <w:rPr>
                <w:rFonts w:ascii="宋体"/>
                <w:b/>
                <w:kern w:val="0"/>
                <w:sz w:val="18"/>
                <w:szCs w:val="18"/>
              </w:rPr>
            </w:pPr>
          </w:p>
        </w:tc>
        <w:tc>
          <w:tcPr>
            <w:tcW w:w="1527" w:type="dxa"/>
            <w:gridSpan w:val="2"/>
            <w:vMerge w:val="continue"/>
            <w:vAlign w:val="center"/>
          </w:tcPr>
          <w:p w14:paraId="6A0A4BFA">
            <w:pPr>
              <w:spacing w:before="156" w:beforeLines="50" w:after="156" w:afterLines="50"/>
              <w:jc w:val="center"/>
              <w:rPr>
                <w:rFonts w:ascii="宋体"/>
                <w:b/>
                <w:kern w:val="0"/>
                <w:sz w:val="18"/>
                <w:szCs w:val="18"/>
              </w:rPr>
            </w:pPr>
          </w:p>
        </w:tc>
        <w:tc>
          <w:tcPr>
            <w:tcW w:w="1476" w:type="dxa"/>
            <w:vMerge w:val="continue"/>
            <w:vAlign w:val="center"/>
          </w:tcPr>
          <w:p w14:paraId="53CC0566">
            <w:pPr>
              <w:spacing w:before="156" w:beforeLines="50" w:after="156" w:afterLines="50"/>
              <w:jc w:val="center"/>
              <w:rPr>
                <w:rFonts w:ascii="宋体"/>
                <w:b/>
                <w:kern w:val="0"/>
                <w:sz w:val="18"/>
                <w:szCs w:val="18"/>
              </w:rPr>
            </w:pPr>
          </w:p>
        </w:tc>
        <w:tc>
          <w:tcPr>
            <w:tcW w:w="2259" w:type="dxa"/>
            <w:gridSpan w:val="2"/>
            <w:vMerge w:val="continue"/>
            <w:vAlign w:val="center"/>
          </w:tcPr>
          <w:p w14:paraId="5801FD00">
            <w:pPr>
              <w:spacing w:before="156" w:beforeLines="50" w:after="156" w:afterLines="50"/>
              <w:jc w:val="center"/>
              <w:rPr>
                <w:rFonts w:ascii="宋体"/>
                <w:b/>
                <w:kern w:val="0"/>
                <w:sz w:val="18"/>
                <w:szCs w:val="18"/>
              </w:rPr>
            </w:pPr>
          </w:p>
        </w:tc>
        <w:tc>
          <w:tcPr>
            <w:tcW w:w="640" w:type="dxa"/>
            <w:gridSpan w:val="2"/>
            <w:vMerge w:val="continue"/>
            <w:vAlign w:val="center"/>
          </w:tcPr>
          <w:p w14:paraId="56E55BBD">
            <w:pPr>
              <w:spacing w:before="156" w:beforeLines="50" w:after="156" w:afterLines="50"/>
              <w:jc w:val="left"/>
              <w:rPr>
                <w:rFonts w:ascii="宋体"/>
                <w:b/>
                <w:kern w:val="0"/>
                <w:sz w:val="18"/>
                <w:szCs w:val="18"/>
              </w:rPr>
            </w:pPr>
          </w:p>
        </w:tc>
        <w:tc>
          <w:tcPr>
            <w:tcW w:w="4536" w:type="dxa"/>
            <w:gridSpan w:val="3"/>
            <w:vMerge w:val="continue"/>
            <w:vAlign w:val="center"/>
          </w:tcPr>
          <w:p w14:paraId="7947DECF">
            <w:pPr>
              <w:spacing w:before="156" w:beforeLines="50" w:after="156" w:afterLines="50"/>
              <w:jc w:val="left"/>
              <w:rPr>
                <w:rFonts w:ascii="宋体"/>
                <w:b/>
                <w:kern w:val="0"/>
                <w:sz w:val="18"/>
                <w:szCs w:val="18"/>
              </w:rPr>
            </w:pPr>
          </w:p>
        </w:tc>
        <w:tc>
          <w:tcPr>
            <w:tcW w:w="2835" w:type="dxa"/>
            <w:tcBorders>
              <w:top w:val="single" w:color="auto" w:sz="4" w:space="0"/>
              <w:bottom w:val="single" w:color="auto" w:sz="4" w:space="0"/>
              <w:right w:val="single" w:color="auto" w:sz="4" w:space="0"/>
            </w:tcBorders>
            <w:vAlign w:val="center"/>
          </w:tcPr>
          <w:p w14:paraId="5089DDE1">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118" w:type="dxa"/>
            <w:tcBorders>
              <w:top w:val="single" w:color="auto" w:sz="4" w:space="0"/>
              <w:bottom w:val="single" w:color="auto" w:sz="4" w:space="0"/>
              <w:right w:val="single" w:color="auto" w:sz="4" w:space="0"/>
            </w:tcBorders>
            <w:vAlign w:val="center"/>
          </w:tcPr>
          <w:p w14:paraId="7F6254A7">
            <w:pPr>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3975" w:type="dxa"/>
            <w:gridSpan w:val="2"/>
            <w:tcBorders>
              <w:top w:val="single" w:color="auto" w:sz="4" w:space="0"/>
              <w:bottom w:val="single" w:color="auto" w:sz="4" w:space="0"/>
              <w:right w:val="single" w:color="auto" w:sz="4" w:space="0"/>
            </w:tcBorders>
            <w:vAlign w:val="center"/>
          </w:tcPr>
          <w:p w14:paraId="2150D7C2">
            <w:pPr>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0287F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727" w:type="dxa"/>
            <w:gridSpan w:val="2"/>
            <w:vMerge w:val="restart"/>
            <w:vAlign w:val="center"/>
          </w:tcPr>
          <w:p w14:paraId="39942EC9">
            <w:pPr>
              <w:spacing w:before="156" w:beforeLines="50" w:after="156" w:afterLines="50"/>
              <w:jc w:val="center"/>
              <w:rPr>
                <w:rFonts w:ascii="宋体"/>
                <w:kern w:val="0"/>
                <w:sz w:val="18"/>
                <w:szCs w:val="18"/>
              </w:rPr>
            </w:pPr>
            <w:r>
              <w:rPr>
                <w:rFonts w:hint="eastAsia" w:ascii="宋体"/>
                <w:kern w:val="0"/>
                <w:sz w:val="18"/>
                <w:szCs w:val="18"/>
              </w:rPr>
              <w:t>82</w:t>
            </w:r>
          </w:p>
        </w:tc>
        <w:tc>
          <w:tcPr>
            <w:tcW w:w="1527" w:type="dxa"/>
            <w:gridSpan w:val="2"/>
            <w:vMerge w:val="restart"/>
            <w:vAlign w:val="center"/>
          </w:tcPr>
          <w:p w14:paraId="6A22CDCF">
            <w:pPr>
              <w:spacing w:before="156" w:beforeLines="50" w:after="156" w:afterLines="50"/>
              <w:rPr>
                <w:sz w:val="18"/>
                <w:szCs w:val="18"/>
              </w:rPr>
            </w:pPr>
            <w:r>
              <w:rPr>
                <w:rFonts w:hint="eastAsia"/>
                <w:sz w:val="18"/>
                <w:szCs w:val="18"/>
              </w:rPr>
              <w:t>未保证船舶和船员在开航时处于适航、适任状态，或者未按照规定保障船舶的最低安全配员，或者未保证船舶的正常值班</w:t>
            </w:r>
          </w:p>
        </w:tc>
        <w:tc>
          <w:tcPr>
            <w:tcW w:w="1476" w:type="dxa"/>
            <w:vMerge w:val="restart"/>
            <w:vAlign w:val="center"/>
          </w:tcPr>
          <w:p w14:paraId="5E3274EA">
            <w:pPr>
              <w:widowControl/>
              <w:spacing w:before="156" w:beforeLines="50" w:after="156" w:afterLines="50"/>
              <w:rPr>
                <w:rFonts w:ascii="宋体"/>
                <w:kern w:val="0"/>
                <w:sz w:val="18"/>
                <w:szCs w:val="18"/>
              </w:rPr>
            </w:pPr>
            <w:r>
              <w:rPr>
                <w:rFonts w:hint="eastAsia" w:ascii="宋体"/>
                <w:kern w:val="0"/>
                <w:sz w:val="18"/>
                <w:szCs w:val="18"/>
              </w:rPr>
              <w:t>《中华人民共和国船员条例》第十八条第（三）项</w:t>
            </w:r>
          </w:p>
        </w:tc>
        <w:tc>
          <w:tcPr>
            <w:tcW w:w="2259" w:type="dxa"/>
            <w:gridSpan w:val="2"/>
            <w:vMerge w:val="restart"/>
            <w:vAlign w:val="center"/>
          </w:tcPr>
          <w:p w14:paraId="50072A70">
            <w:pPr>
              <w:spacing w:before="156" w:beforeLines="50" w:after="156" w:afterLines="50"/>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《中华人民共和国船员条例》第五十三条第（二）项；</w:t>
            </w:r>
          </w:p>
          <w:p w14:paraId="6E579E16">
            <w:pPr>
              <w:spacing w:before="156" w:beforeLines="50" w:after="156" w:afterLines="50"/>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40" w:type="dxa"/>
            <w:gridSpan w:val="2"/>
            <w:vAlign w:val="center"/>
          </w:tcPr>
          <w:p w14:paraId="11DEE2F2">
            <w:pPr>
              <w:spacing w:before="156" w:beforeLines="50" w:after="156" w:afterLines="50"/>
              <w:jc w:val="left"/>
              <w:rPr>
                <w:rFonts w:ascii="宋体"/>
                <w:kern w:val="0"/>
                <w:sz w:val="18"/>
                <w:szCs w:val="18"/>
              </w:rPr>
            </w:pPr>
            <w:r>
              <w:rPr>
                <w:rFonts w:hint="eastAsia" w:ascii="宋体"/>
                <w:kern w:val="0"/>
                <w:sz w:val="18"/>
                <w:szCs w:val="18"/>
              </w:rPr>
              <w:t>从轻</w:t>
            </w:r>
          </w:p>
        </w:tc>
        <w:tc>
          <w:tcPr>
            <w:tcW w:w="4536" w:type="dxa"/>
            <w:gridSpan w:val="3"/>
            <w:vAlign w:val="center"/>
          </w:tcPr>
          <w:p w14:paraId="5F13483C">
            <w:pPr>
              <w:widowControl/>
              <w:spacing w:before="156" w:beforeLines="50" w:after="156" w:afterLines="50"/>
              <w:jc w:val="left"/>
              <w:rPr>
                <w:sz w:val="18"/>
                <w:szCs w:val="18"/>
              </w:rPr>
            </w:pPr>
            <w:r>
              <w:rPr>
                <w:rFonts w:hint="eastAsia"/>
                <w:sz w:val="18"/>
                <w:szCs w:val="18"/>
              </w:rPr>
              <w:t>具有法定从轻情节的。</w:t>
            </w:r>
          </w:p>
        </w:tc>
        <w:tc>
          <w:tcPr>
            <w:tcW w:w="2835" w:type="dxa"/>
            <w:tcBorders>
              <w:right w:val="single" w:color="auto" w:sz="4" w:space="0"/>
            </w:tcBorders>
            <w:vAlign w:val="center"/>
          </w:tcPr>
          <w:p w14:paraId="6A6E3A27">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c>
          <w:tcPr>
            <w:tcW w:w="3118" w:type="dxa"/>
            <w:tcBorders>
              <w:right w:val="single" w:color="auto" w:sz="4" w:space="0"/>
            </w:tcBorders>
            <w:vAlign w:val="center"/>
          </w:tcPr>
          <w:p w14:paraId="2EB0C858">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c>
          <w:tcPr>
            <w:tcW w:w="3975" w:type="dxa"/>
            <w:gridSpan w:val="2"/>
            <w:tcBorders>
              <w:right w:val="single" w:color="auto" w:sz="4" w:space="0"/>
            </w:tcBorders>
            <w:vAlign w:val="center"/>
          </w:tcPr>
          <w:p w14:paraId="61C38507">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14:paraId="66741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727" w:type="dxa"/>
            <w:gridSpan w:val="2"/>
            <w:vMerge w:val="continue"/>
            <w:vAlign w:val="center"/>
          </w:tcPr>
          <w:p w14:paraId="3D30D888">
            <w:pPr>
              <w:spacing w:before="156" w:beforeLines="50" w:after="156" w:afterLines="50"/>
              <w:jc w:val="left"/>
              <w:rPr>
                <w:rFonts w:ascii="宋体"/>
                <w:kern w:val="0"/>
                <w:sz w:val="18"/>
                <w:szCs w:val="18"/>
              </w:rPr>
            </w:pPr>
          </w:p>
        </w:tc>
        <w:tc>
          <w:tcPr>
            <w:tcW w:w="1527" w:type="dxa"/>
            <w:gridSpan w:val="2"/>
            <w:vMerge w:val="continue"/>
            <w:vAlign w:val="center"/>
          </w:tcPr>
          <w:p w14:paraId="71A27881">
            <w:pPr>
              <w:spacing w:before="156" w:beforeLines="50" w:after="156" w:afterLines="50"/>
              <w:jc w:val="left"/>
              <w:rPr>
                <w:rFonts w:ascii="宋体"/>
                <w:kern w:val="0"/>
                <w:sz w:val="18"/>
                <w:szCs w:val="18"/>
              </w:rPr>
            </w:pPr>
          </w:p>
        </w:tc>
        <w:tc>
          <w:tcPr>
            <w:tcW w:w="1476" w:type="dxa"/>
            <w:vMerge w:val="continue"/>
            <w:vAlign w:val="center"/>
          </w:tcPr>
          <w:p w14:paraId="3AF9431C">
            <w:pPr>
              <w:widowControl/>
              <w:spacing w:before="156" w:beforeLines="50" w:after="156" w:afterLines="50"/>
              <w:jc w:val="left"/>
              <w:rPr>
                <w:rFonts w:ascii="宋体"/>
                <w:kern w:val="0"/>
                <w:sz w:val="18"/>
                <w:szCs w:val="18"/>
              </w:rPr>
            </w:pPr>
          </w:p>
        </w:tc>
        <w:tc>
          <w:tcPr>
            <w:tcW w:w="2259" w:type="dxa"/>
            <w:gridSpan w:val="2"/>
            <w:vMerge w:val="continue"/>
            <w:vAlign w:val="center"/>
          </w:tcPr>
          <w:p w14:paraId="2B585386">
            <w:pPr>
              <w:spacing w:before="156" w:beforeLines="50" w:after="156" w:afterLines="50"/>
              <w:jc w:val="left"/>
              <w:rPr>
                <w:rFonts w:ascii="宋体"/>
                <w:kern w:val="0"/>
                <w:sz w:val="18"/>
                <w:szCs w:val="18"/>
              </w:rPr>
            </w:pPr>
          </w:p>
        </w:tc>
        <w:tc>
          <w:tcPr>
            <w:tcW w:w="640" w:type="dxa"/>
            <w:gridSpan w:val="2"/>
            <w:vMerge w:val="restart"/>
            <w:vAlign w:val="center"/>
          </w:tcPr>
          <w:p w14:paraId="2E268C3D">
            <w:pPr>
              <w:spacing w:before="156" w:beforeLines="50" w:after="156" w:afterLines="50"/>
              <w:jc w:val="left"/>
              <w:rPr>
                <w:rFonts w:ascii="宋体"/>
                <w:kern w:val="0"/>
                <w:sz w:val="18"/>
                <w:szCs w:val="18"/>
              </w:rPr>
            </w:pPr>
            <w:r>
              <w:rPr>
                <w:rFonts w:hint="eastAsia" w:ascii="宋体"/>
                <w:kern w:val="0"/>
                <w:sz w:val="18"/>
                <w:szCs w:val="18"/>
              </w:rPr>
              <w:t>一般</w:t>
            </w:r>
          </w:p>
        </w:tc>
        <w:tc>
          <w:tcPr>
            <w:tcW w:w="4536" w:type="dxa"/>
            <w:gridSpan w:val="3"/>
            <w:vAlign w:val="center"/>
          </w:tcPr>
          <w:p w14:paraId="786212E9">
            <w:pPr>
              <w:widowControl/>
              <w:spacing w:line="320" w:lineRule="exact"/>
              <w:jc w:val="left"/>
              <w:rPr>
                <w:sz w:val="18"/>
                <w:szCs w:val="18"/>
              </w:rPr>
            </w:pPr>
            <w:r>
              <w:rPr>
                <w:rFonts w:hint="eastAsia"/>
                <w:sz w:val="18"/>
                <w:szCs w:val="18"/>
              </w:rPr>
              <w:t>具有下列情形之一的：</w:t>
            </w:r>
          </w:p>
          <w:p w14:paraId="2EB37CBD">
            <w:pPr>
              <w:widowControl/>
              <w:spacing w:line="320" w:lineRule="exact"/>
              <w:jc w:val="left"/>
              <w:rPr>
                <w:sz w:val="18"/>
                <w:szCs w:val="18"/>
              </w:rPr>
            </w:pPr>
            <w:r>
              <w:rPr>
                <w:sz w:val="18"/>
                <w:szCs w:val="18"/>
              </w:rPr>
              <w:t>1</w:t>
            </w:r>
            <w:r>
              <w:rPr>
                <w:rFonts w:hint="eastAsia"/>
                <w:sz w:val="18"/>
                <w:szCs w:val="18"/>
              </w:rPr>
              <w:t>.未保证在开航时船舶处于适航状态；</w:t>
            </w:r>
          </w:p>
          <w:p w14:paraId="4CDB6042">
            <w:pPr>
              <w:widowControl/>
              <w:spacing w:line="320" w:lineRule="exact"/>
              <w:jc w:val="left"/>
              <w:rPr>
                <w:sz w:val="18"/>
                <w:szCs w:val="18"/>
              </w:rPr>
            </w:pPr>
            <w:r>
              <w:rPr>
                <w:sz w:val="18"/>
                <w:szCs w:val="18"/>
              </w:rPr>
              <w:t>2</w:t>
            </w:r>
            <w:r>
              <w:rPr>
                <w:rFonts w:hint="eastAsia"/>
                <w:sz w:val="18"/>
                <w:szCs w:val="18"/>
              </w:rPr>
              <w:t>.未保证在开航时船员处于适任状态；</w:t>
            </w:r>
          </w:p>
          <w:p w14:paraId="0A29D815">
            <w:pPr>
              <w:widowControl/>
              <w:spacing w:line="320" w:lineRule="exact"/>
              <w:jc w:val="left"/>
              <w:rPr>
                <w:sz w:val="18"/>
                <w:szCs w:val="18"/>
              </w:rPr>
            </w:pPr>
            <w:r>
              <w:rPr>
                <w:sz w:val="18"/>
                <w:szCs w:val="18"/>
              </w:rPr>
              <w:t>3</w:t>
            </w:r>
            <w:r>
              <w:rPr>
                <w:rFonts w:hint="eastAsia"/>
                <w:sz w:val="18"/>
                <w:szCs w:val="18"/>
              </w:rPr>
              <w:t>.未按照规定保障船舶的最低安全配员；</w:t>
            </w:r>
          </w:p>
          <w:p w14:paraId="7F1929CC">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right w:val="single" w:color="auto" w:sz="4" w:space="0"/>
            </w:tcBorders>
            <w:vAlign w:val="center"/>
          </w:tcPr>
          <w:p w14:paraId="5E60344D">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c>
          <w:tcPr>
            <w:tcW w:w="3118" w:type="dxa"/>
            <w:tcBorders>
              <w:right w:val="single" w:color="auto" w:sz="4" w:space="0"/>
            </w:tcBorders>
            <w:vAlign w:val="center"/>
          </w:tcPr>
          <w:p w14:paraId="3083D9F0">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c>
          <w:tcPr>
            <w:tcW w:w="3975" w:type="dxa"/>
            <w:gridSpan w:val="2"/>
            <w:tcBorders>
              <w:right w:val="single" w:color="auto" w:sz="4" w:space="0"/>
            </w:tcBorders>
            <w:vAlign w:val="center"/>
          </w:tcPr>
          <w:p w14:paraId="5866F8EC">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r>
      <w:tr w14:paraId="6E43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trPr>
        <w:tc>
          <w:tcPr>
            <w:tcW w:w="727" w:type="dxa"/>
            <w:gridSpan w:val="2"/>
            <w:vMerge w:val="continue"/>
            <w:vAlign w:val="center"/>
          </w:tcPr>
          <w:p w14:paraId="53195BE8">
            <w:pPr>
              <w:spacing w:before="156" w:beforeLines="50" w:after="156" w:afterLines="50"/>
              <w:jc w:val="left"/>
              <w:rPr>
                <w:rFonts w:ascii="宋体"/>
                <w:kern w:val="0"/>
                <w:sz w:val="18"/>
                <w:szCs w:val="18"/>
              </w:rPr>
            </w:pPr>
          </w:p>
        </w:tc>
        <w:tc>
          <w:tcPr>
            <w:tcW w:w="1527" w:type="dxa"/>
            <w:gridSpan w:val="2"/>
            <w:vMerge w:val="continue"/>
            <w:vAlign w:val="center"/>
          </w:tcPr>
          <w:p w14:paraId="30A28A37">
            <w:pPr>
              <w:spacing w:before="156" w:beforeLines="50" w:after="156" w:afterLines="50"/>
              <w:jc w:val="left"/>
              <w:rPr>
                <w:rFonts w:ascii="宋体"/>
                <w:kern w:val="0"/>
                <w:sz w:val="18"/>
                <w:szCs w:val="18"/>
              </w:rPr>
            </w:pPr>
          </w:p>
        </w:tc>
        <w:tc>
          <w:tcPr>
            <w:tcW w:w="1476" w:type="dxa"/>
            <w:vMerge w:val="continue"/>
            <w:vAlign w:val="center"/>
          </w:tcPr>
          <w:p w14:paraId="79380877">
            <w:pPr>
              <w:spacing w:before="156" w:beforeLines="50" w:after="156" w:afterLines="50"/>
              <w:jc w:val="left"/>
              <w:rPr>
                <w:rFonts w:ascii="宋体"/>
                <w:kern w:val="0"/>
                <w:sz w:val="18"/>
                <w:szCs w:val="18"/>
              </w:rPr>
            </w:pPr>
          </w:p>
        </w:tc>
        <w:tc>
          <w:tcPr>
            <w:tcW w:w="2259" w:type="dxa"/>
            <w:gridSpan w:val="2"/>
            <w:vMerge w:val="continue"/>
            <w:vAlign w:val="center"/>
          </w:tcPr>
          <w:p w14:paraId="5CC8E5B2">
            <w:pPr>
              <w:spacing w:before="156" w:beforeLines="50" w:after="156" w:afterLines="50"/>
              <w:jc w:val="left"/>
              <w:rPr>
                <w:rFonts w:ascii="宋体"/>
                <w:kern w:val="0"/>
                <w:sz w:val="18"/>
                <w:szCs w:val="18"/>
              </w:rPr>
            </w:pPr>
          </w:p>
        </w:tc>
        <w:tc>
          <w:tcPr>
            <w:tcW w:w="640" w:type="dxa"/>
            <w:gridSpan w:val="2"/>
            <w:vMerge w:val="continue"/>
            <w:vAlign w:val="center"/>
          </w:tcPr>
          <w:p w14:paraId="461014CF">
            <w:pPr>
              <w:spacing w:before="156" w:beforeLines="50" w:after="156" w:afterLines="50"/>
              <w:jc w:val="left"/>
              <w:rPr>
                <w:rFonts w:ascii="宋体"/>
                <w:kern w:val="0"/>
                <w:sz w:val="18"/>
                <w:szCs w:val="18"/>
              </w:rPr>
            </w:pPr>
          </w:p>
        </w:tc>
        <w:tc>
          <w:tcPr>
            <w:tcW w:w="4536" w:type="dxa"/>
            <w:gridSpan w:val="3"/>
            <w:tcBorders>
              <w:top w:val="single" w:color="auto" w:sz="4" w:space="0"/>
              <w:bottom w:val="single" w:color="auto" w:sz="4" w:space="0"/>
            </w:tcBorders>
            <w:vAlign w:val="center"/>
          </w:tcPr>
          <w:p w14:paraId="366209C1">
            <w:pPr>
              <w:widowControl/>
              <w:spacing w:line="320" w:lineRule="exact"/>
              <w:jc w:val="left"/>
              <w:rPr>
                <w:sz w:val="18"/>
                <w:szCs w:val="18"/>
              </w:rPr>
            </w:pPr>
            <w:r>
              <w:rPr>
                <w:rFonts w:hint="eastAsia"/>
                <w:sz w:val="18"/>
                <w:szCs w:val="18"/>
              </w:rPr>
              <w:t>具有下列情形之二的：</w:t>
            </w:r>
          </w:p>
          <w:p w14:paraId="7B2B1261">
            <w:pPr>
              <w:widowControl/>
              <w:spacing w:line="320" w:lineRule="exact"/>
              <w:jc w:val="left"/>
              <w:rPr>
                <w:sz w:val="18"/>
                <w:szCs w:val="18"/>
              </w:rPr>
            </w:pPr>
            <w:r>
              <w:rPr>
                <w:sz w:val="18"/>
                <w:szCs w:val="18"/>
              </w:rPr>
              <w:t>1</w:t>
            </w:r>
            <w:r>
              <w:rPr>
                <w:rFonts w:hint="eastAsia"/>
                <w:sz w:val="18"/>
                <w:szCs w:val="18"/>
              </w:rPr>
              <w:t>.未保证在开航时船舶处于适航状态；</w:t>
            </w:r>
          </w:p>
          <w:p w14:paraId="17200CC0">
            <w:pPr>
              <w:widowControl/>
              <w:spacing w:line="320" w:lineRule="exact"/>
              <w:jc w:val="left"/>
              <w:rPr>
                <w:sz w:val="18"/>
                <w:szCs w:val="18"/>
              </w:rPr>
            </w:pPr>
            <w:r>
              <w:rPr>
                <w:sz w:val="18"/>
                <w:szCs w:val="18"/>
              </w:rPr>
              <w:t>2</w:t>
            </w:r>
            <w:r>
              <w:rPr>
                <w:rFonts w:hint="eastAsia"/>
                <w:sz w:val="18"/>
                <w:szCs w:val="18"/>
              </w:rPr>
              <w:t>.未保证在开航时船员处于适任状态；</w:t>
            </w:r>
          </w:p>
          <w:p w14:paraId="0FA85952">
            <w:pPr>
              <w:widowControl/>
              <w:spacing w:line="320" w:lineRule="exact"/>
              <w:jc w:val="left"/>
              <w:rPr>
                <w:sz w:val="18"/>
                <w:szCs w:val="18"/>
              </w:rPr>
            </w:pPr>
            <w:r>
              <w:rPr>
                <w:sz w:val="18"/>
                <w:szCs w:val="18"/>
              </w:rPr>
              <w:t>3</w:t>
            </w:r>
            <w:r>
              <w:rPr>
                <w:rFonts w:hint="eastAsia"/>
                <w:sz w:val="18"/>
                <w:szCs w:val="18"/>
              </w:rPr>
              <w:t>.未按照规定保障船舶的最低安全配员；</w:t>
            </w:r>
          </w:p>
          <w:p w14:paraId="339F74B9">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top w:val="single" w:color="auto" w:sz="4" w:space="0"/>
              <w:bottom w:val="single" w:color="auto" w:sz="4" w:space="0"/>
              <w:right w:val="single" w:color="auto" w:sz="4" w:space="0"/>
            </w:tcBorders>
            <w:vAlign w:val="center"/>
          </w:tcPr>
          <w:p w14:paraId="73074223">
            <w:pPr>
              <w:spacing w:before="156" w:beforeLines="50" w:after="156" w:afterLines="50"/>
              <w:rPr>
                <w:sz w:val="18"/>
                <w:szCs w:val="18"/>
              </w:rPr>
            </w:pPr>
            <w:r>
              <w:rPr>
                <w:rFonts w:hint="eastAsia"/>
                <w:sz w:val="18"/>
                <w:szCs w:val="18"/>
              </w:rPr>
              <w:t>5000元及以上70</w:t>
            </w:r>
            <w:r>
              <w:rPr>
                <w:sz w:val="18"/>
                <w:szCs w:val="18"/>
              </w:rPr>
              <w:t>00</w:t>
            </w:r>
            <w:r>
              <w:rPr>
                <w:rFonts w:hint="eastAsia"/>
                <w:sz w:val="18"/>
                <w:szCs w:val="18"/>
              </w:rPr>
              <w:t>元以下</w:t>
            </w:r>
          </w:p>
        </w:tc>
        <w:tc>
          <w:tcPr>
            <w:tcW w:w="3118" w:type="dxa"/>
            <w:tcBorders>
              <w:top w:val="single" w:color="auto" w:sz="4" w:space="0"/>
              <w:bottom w:val="single" w:color="auto" w:sz="4" w:space="0"/>
              <w:right w:val="single" w:color="auto" w:sz="4" w:space="0"/>
            </w:tcBorders>
            <w:vAlign w:val="center"/>
          </w:tcPr>
          <w:p w14:paraId="1C3D6536">
            <w:pPr>
              <w:spacing w:before="156" w:beforeLines="50" w:after="156" w:afterLines="50"/>
              <w:rPr>
                <w:sz w:val="18"/>
                <w:szCs w:val="18"/>
              </w:rPr>
            </w:pPr>
            <w:r>
              <w:rPr>
                <w:rFonts w:hint="eastAsia"/>
                <w:sz w:val="18"/>
                <w:szCs w:val="18"/>
              </w:rPr>
              <w:t>5000元及以上80</w:t>
            </w:r>
            <w:r>
              <w:rPr>
                <w:sz w:val="18"/>
                <w:szCs w:val="18"/>
              </w:rPr>
              <w:t>00</w:t>
            </w:r>
            <w:r>
              <w:rPr>
                <w:rFonts w:hint="eastAsia"/>
                <w:sz w:val="18"/>
                <w:szCs w:val="18"/>
              </w:rPr>
              <w:t>元以下</w:t>
            </w:r>
          </w:p>
        </w:tc>
        <w:tc>
          <w:tcPr>
            <w:tcW w:w="3975" w:type="dxa"/>
            <w:gridSpan w:val="2"/>
            <w:tcBorders>
              <w:top w:val="single" w:color="auto" w:sz="4" w:space="0"/>
              <w:bottom w:val="single" w:color="auto" w:sz="4" w:space="0"/>
              <w:right w:val="single" w:color="auto" w:sz="4" w:space="0"/>
            </w:tcBorders>
            <w:vAlign w:val="center"/>
          </w:tcPr>
          <w:p w14:paraId="34C022E3">
            <w:pPr>
              <w:spacing w:before="156" w:beforeLines="50" w:after="156" w:afterLines="50"/>
              <w:rPr>
                <w:sz w:val="18"/>
                <w:szCs w:val="18"/>
              </w:rPr>
            </w:pPr>
            <w:r>
              <w:rPr>
                <w:rFonts w:hint="eastAsia"/>
                <w:sz w:val="18"/>
                <w:szCs w:val="18"/>
              </w:rPr>
              <w:t>5000元及以上90</w:t>
            </w:r>
            <w:r>
              <w:rPr>
                <w:sz w:val="18"/>
                <w:szCs w:val="18"/>
              </w:rPr>
              <w:t>00</w:t>
            </w:r>
            <w:r>
              <w:rPr>
                <w:rFonts w:hint="eastAsia"/>
                <w:sz w:val="18"/>
                <w:szCs w:val="18"/>
              </w:rPr>
              <w:t>元以下</w:t>
            </w:r>
          </w:p>
        </w:tc>
      </w:tr>
      <w:tr w14:paraId="129D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2" w:hRule="atLeast"/>
        </w:trPr>
        <w:tc>
          <w:tcPr>
            <w:tcW w:w="727" w:type="dxa"/>
            <w:gridSpan w:val="2"/>
            <w:vMerge w:val="continue"/>
            <w:vAlign w:val="center"/>
          </w:tcPr>
          <w:p w14:paraId="28A4E668">
            <w:pPr>
              <w:spacing w:before="156" w:beforeLines="50" w:after="156" w:afterLines="50"/>
              <w:jc w:val="left"/>
              <w:rPr>
                <w:rFonts w:ascii="宋体"/>
                <w:kern w:val="0"/>
                <w:sz w:val="18"/>
                <w:szCs w:val="18"/>
              </w:rPr>
            </w:pPr>
          </w:p>
        </w:tc>
        <w:tc>
          <w:tcPr>
            <w:tcW w:w="1527" w:type="dxa"/>
            <w:gridSpan w:val="2"/>
            <w:vMerge w:val="continue"/>
            <w:vAlign w:val="center"/>
          </w:tcPr>
          <w:p w14:paraId="016AD6F5">
            <w:pPr>
              <w:spacing w:before="156" w:beforeLines="50" w:after="156" w:afterLines="50"/>
              <w:jc w:val="left"/>
              <w:rPr>
                <w:rFonts w:ascii="宋体"/>
                <w:kern w:val="0"/>
                <w:sz w:val="18"/>
                <w:szCs w:val="18"/>
              </w:rPr>
            </w:pPr>
          </w:p>
        </w:tc>
        <w:tc>
          <w:tcPr>
            <w:tcW w:w="1476" w:type="dxa"/>
            <w:vMerge w:val="continue"/>
            <w:vAlign w:val="center"/>
          </w:tcPr>
          <w:p w14:paraId="2BEDE49D">
            <w:pPr>
              <w:spacing w:before="156" w:beforeLines="50" w:after="156" w:afterLines="50"/>
              <w:jc w:val="left"/>
              <w:rPr>
                <w:rFonts w:ascii="宋体"/>
                <w:kern w:val="0"/>
                <w:sz w:val="18"/>
                <w:szCs w:val="18"/>
              </w:rPr>
            </w:pPr>
          </w:p>
        </w:tc>
        <w:tc>
          <w:tcPr>
            <w:tcW w:w="2259" w:type="dxa"/>
            <w:gridSpan w:val="2"/>
            <w:vMerge w:val="continue"/>
            <w:vAlign w:val="center"/>
          </w:tcPr>
          <w:p w14:paraId="6980C49C">
            <w:pPr>
              <w:spacing w:before="156" w:beforeLines="50" w:after="156" w:afterLines="50"/>
              <w:jc w:val="left"/>
              <w:rPr>
                <w:rFonts w:ascii="宋体"/>
                <w:kern w:val="0"/>
                <w:sz w:val="18"/>
                <w:szCs w:val="18"/>
              </w:rPr>
            </w:pPr>
          </w:p>
        </w:tc>
        <w:tc>
          <w:tcPr>
            <w:tcW w:w="640" w:type="dxa"/>
            <w:gridSpan w:val="2"/>
            <w:vMerge w:val="continue"/>
            <w:vAlign w:val="center"/>
          </w:tcPr>
          <w:p w14:paraId="329685E5">
            <w:pPr>
              <w:spacing w:before="156" w:beforeLines="50" w:after="156" w:afterLines="50"/>
              <w:jc w:val="left"/>
              <w:rPr>
                <w:rFonts w:ascii="宋体"/>
                <w:kern w:val="0"/>
                <w:sz w:val="18"/>
                <w:szCs w:val="18"/>
              </w:rPr>
            </w:pPr>
          </w:p>
        </w:tc>
        <w:tc>
          <w:tcPr>
            <w:tcW w:w="4536" w:type="dxa"/>
            <w:gridSpan w:val="3"/>
            <w:tcBorders>
              <w:top w:val="single" w:color="auto" w:sz="4" w:space="0"/>
            </w:tcBorders>
            <w:vAlign w:val="center"/>
          </w:tcPr>
          <w:p w14:paraId="6B05B424">
            <w:pPr>
              <w:widowControl/>
              <w:spacing w:line="320" w:lineRule="exact"/>
              <w:jc w:val="left"/>
              <w:rPr>
                <w:sz w:val="18"/>
                <w:szCs w:val="18"/>
              </w:rPr>
            </w:pPr>
            <w:r>
              <w:rPr>
                <w:rFonts w:hint="eastAsia"/>
                <w:sz w:val="18"/>
                <w:szCs w:val="18"/>
              </w:rPr>
              <w:t>具有下列情形之三的：</w:t>
            </w:r>
          </w:p>
          <w:p w14:paraId="24D443EE">
            <w:pPr>
              <w:widowControl/>
              <w:spacing w:line="320" w:lineRule="exact"/>
              <w:jc w:val="left"/>
              <w:rPr>
                <w:sz w:val="18"/>
                <w:szCs w:val="18"/>
              </w:rPr>
            </w:pPr>
            <w:r>
              <w:rPr>
                <w:sz w:val="18"/>
                <w:szCs w:val="18"/>
              </w:rPr>
              <w:t>1</w:t>
            </w:r>
            <w:r>
              <w:rPr>
                <w:rFonts w:hint="eastAsia"/>
                <w:sz w:val="18"/>
                <w:szCs w:val="18"/>
              </w:rPr>
              <w:t>.未保证在开航时船舶处于适航状态；</w:t>
            </w:r>
          </w:p>
          <w:p w14:paraId="183F54BE">
            <w:pPr>
              <w:widowControl/>
              <w:spacing w:line="320" w:lineRule="exact"/>
              <w:jc w:val="left"/>
              <w:rPr>
                <w:sz w:val="18"/>
                <w:szCs w:val="18"/>
              </w:rPr>
            </w:pPr>
            <w:r>
              <w:rPr>
                <w:sz w:val="18"/>
                <w:szCs w:val="18"/>
              </w:rPr>
              <w:t>2</w:t>
            </w:r>
            <w:r>
              <w:rPr>
                <w:rFonts w:hint="eastAsia"/>
                <w:sz w:val="18"/>
                <w:szCs w:val="18"/>
              </w:rPr>
              <w:t>.未保证在开航时船员处于适任状态；</w:t>
            </w:r>
          </w:p>
          <w:p w14:paraId="6DD9C1E7">
            <w:pPr>
              <w:widowControl/>
              <w:spacing w:line="320" w:lineRule="exact"/>
              <w:jc w:val="left"/>
              <w:rPr>
                <w:sz w:val="18"/>
                <w:szCs w:val="18"/>
              </w:rPr>
            </w:pPr>
            <w:r>
              <w:rPr>
                <w:sz w:val="18"/>
                <w:szCs w:val="18"/>
              </w:rPr>
              <w:t>3</w:t>
            </w:r>
            <w:r>
              <w:rPr>
                <w:rFonts w:hint="eastAsia"/>
                <w:sz w:val="18"/>
                <w:szCs w:val="18"/>
              </w:rPr>
              <w:t>.未按照规定保障船舶的最低安全配员；</w:t>
            </w:r>
          </w:p>
          <w:p w14:paraId="4D6F491E">
            <w:pPr>
              <w:widowControl/>
              <w:spacing w:line="320" w:lineRule="exact"/>
              <w:jc w:val="left"/>
              <w:rPr>
                <w:sz w:val="18"/>
                <w:szCs w:val="18"/>
              </w:rPr>
            </w:pPr>
            <w:r>
              <w:rPr>
                <w:sz w:val="18"/>
                <w:szCs w:val="18"/>
              </w:rPr>
              <w:t>4</w:t>
            </w:r>
            <w:r>
              <w:rPr>
                <w:rFonts w:hint="eastAsia"/>
                <w:sz w:val="18"/>
                <w:szCs w:val="18"/>
              </w:rPr>
              <w:t>.未保证船舶的正常值班。</w:t>
            </w:r>
          </w:p>
        </w:tc>
        <w:tc>
          <w:tcPr>
            <w:tcW w:w="2835" w:type="dxa"/>
            <w:tcBorders>
              <w:top w:val="single" w:color="auto" w:sz="4" w:space="0"/>
              <w:right w:val="single" w:color="auto" w:sz="4" w:space="0"/>
            </w:tcBorders>
            <w:vAlign w:val="center"/>
          </w:tcPr>
          <w:p w14:paraId="36D368C0">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元及以上1.1万元以下</w:t>
            </w:r>
          </w:p>
        </w:tc>
        <w:tc>
          <w:tcPr>
            <w:tcW w:w="3118" w:type="dxa"/>
            <w:tcBorders>
              <w:top w:val="single" w:color="auto" w:sz="4" w:space="0"/>
              <w:right w:val="single" w:color="auto" w:sz="4" w:space="0"/>
            </w:tcBorders>
            <w:vAlign w:val="center"/>
          </w:tcPr>
          <w:p w14:paraId="175B9C0C">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元及以上1.2万元以下</w:t>
            </w:r>
          </w:p>
        </w:tc>
        <w:tc>
          <w:tcPr>
            <w:tcW w:w="3975" w:type="dxa"/>
            <w:gridSpan w:val="2"/>
            <w:tcBorders>
              <w:top w:val="single" w:color="auto" w:sz="4" w:space="0"/>
              <w:right w:val="single" w:color="auto" w:sz="4" w:space="0"/>
            </w:tcBorders>
            <w:vAlign w:val="center"/>
          </w:tcPr>
          <w:p w14:paraId="121ED0A8">
            <w:pPr>
              <w:spacing w:before="156" w:beforeLines="50" w:after="156" w:afterLines="50"/>
              <w:rPr>
                <w:sz w:val="18"/>
                <w:szCs w:val="18"/>
              </w:rPr>
            </w:pPr>
            <w:r>
              <w:rPr>
                <w:rFonts w:hint="eastAsia"/>
                <w:sz w:val="18"/>
                <w:szCs w:val="18"/>
              </w:rPr>
              <w:t>90</w:t>
            </w:r>
            <w:r>
              <w:rPr>
                <w:sz w:val="18"/>
                <w:szCs w:val="18"/>
              </w:rPr>
              <w:t>00</w:t>
            </w:r>
            <w:r>
              <w:rPr>
                <w:rFonts w:hint="eastAsia"/>
                <w:sz w:val="18"/>
                <w:szCs w:val="18"/>
              </w:rPr>
              <w:t>元及以上1.3万元以下</w:t>
            </w:r>
          </w:p>
        </w:tc>
      </w:tr>
      <w:tr w14:paraId="49C8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trPr>
        <w:tc>
          <w:tcPr>
            <w:tcW w:w="727" w:type="dxa"/>
            <w:gridSpan w:val="2"/>
            <w:vMerge w:val="continue"/>
            <w:vAlign w:val="center"/>
          </w:tcPr>
          <w:p w14:paraId="37C0435F">
            <w:pPr>
              <w:spacing w:before="156" w:beforeLines="50" w:after="156" w:afterLines="50"/>
              <w:jc w:val="left"/>
              <w:rPr>
                <w:rFonts w:ascii="宋体"/>
                <w:kern w:val="0"/>
                <w:sz w:val="18"/>
                <w:szCs w:val="18"/>
              </w:rPr>
            </w:pPr>
          </w:p>
        </w:tc>
        <w:tc>
          <w:tcPr>
            <w:tcW w:w="1527" w:type="dxa"/>
            <w:gridSpan w:val="2"/>
            <w:vMerge w:val="continue"/>
            <w:vAlign w:val="center"/>
          </w:tcPr>
          <w:p w14:paraId="1BB86140">
            <w:pPr>
              <w:spacing w:before="156" w:beforeLines="50" w:after="156" w:afterLines="50"/>
              <w:jc w:val="left"/>
              <w:rPr>
                <w:rFonts w:ascii="宋体"/>
                <w:kern w:val="0"/>
                <w:sz w:val="18"/>
                <w:szCs w:val="18"/>
              </w:rPr>
            </w:pPr>
          </w:p>
        </w:tc>
        <w:tc>
          <w:tcPr>
            <w:tcW w:w="1476" w:type="dxa"/>
            <w:vMerge w:val="continue"/>
            <w:vAlign w:val="center"/>
          </w:tcPr>
          <w:p w14:paraId="168E3A72">
            <w:pPr>
              <w:spacing w:before="156" w:beforeLines="50" w:after="156" w:afterLines="50"/>
              <w:jc w:val="left"/>
              <w:rPr>
                <w:rFonts w:ascii="宋体"/>
                <w:kern w:val="0"/>
                <w:sz w:val="18"/>
                <w:szCs w:val="18"/>
              </w:rPr>
            </w:pPr>
          </w:p>
        </w:tc>
        <w:tc>
          <w:tcPr>
            <w:tcW w:w="2259" w:type="dxa"/>
            <w:gridSpan w:val="2"/>
            <w:vMerge w:val="continue"/>
            <w:vAlign w:val="center"/>
          </w:tcPr>
          <w:p w14:paraId="611F7E56">
            <w:pPr>
              <w:spacing w:before="156" w:beforeLines="50" w:after="156" w:afterLines="50"/>
              <w:jc w:val="left"/>
              <w:rPr>
                <w:rFonts w:ascii="宋体"/>
                <w:kern w:val="0"/>
                <w:sz w:val="18"/>
                <w:szCs w:val="18"/>
              </w:rPr>
            </w:pPr>
          </w:p>
        </w:tc>
        <w:tc>
          <w:tcPr>
            <w:tcW w:w="640" w:type="dxa"/>
            <w:gridSpan w:val="2"/>
            <w:vMerge w:val="restart"/>
            <w:tcBorders>
              <w:top w:val="single" w:color="auto" w:sz="4" w:space="0"/>
              <w:right w:val="single" w:color="auto" w:sz="4" w:space="0"/>
            </w:tcBorders>
            <w:vAlign w:val="center"/>
          </w:tcPr>
          <w:p w14:paraId="5F968464">
            <w:pPr>
              <w:spacing w:before="156" w:beforeLines="50" w:after="156" w:afterLines="50"/>
              <w:jc w:val="left"/>
              <w:rPr>
                <w:rFonts w:ascii="宋体"/>
                <w:kern w:val="0"/>
                <w:sz w:val="18"/>
                <w:szCs w:val="18"/>
              </w:rPr>
            </w:pPr>
            <w:r>
              <w:rPr>
                <w:rFonts w:hint="eastAsia" w:ascii="宋体"/>
                <w:kern w:val="0"/>
                <w:sz w:val="18"/>
                <w:szCs w:val="18"/>
              </w:rPr>
              <w:t>情节严重</w:t>
            </w:r>
          </w:p>
        </w:tc>
        <w:tc>
          <w:tcPr>
            <w:tcW w:w="4536" w:type="dxa"/>
            <w:gridSpan w:val="3"/>
            <w:tcBorders>
              <w:top w:val="single" w:color="auto" w:sz="4" w:space="0"/>
              <w:left w:val="single" w:color="auto" w:sz="4" w:space="0"/>
              <w:bottom w:val="single" w:color="auto" w:sz="4" w:space="0"/>
            </w:tcBorders>
            <w:vAlign w:val="center"/>
          </w:tcPr>
          <w:p w14:paraId="7CC776F3">
            <w:pPr>
              <w:widowControl/>
              <w:spacing w:line="320" w:lineRule="exact"/>
              <w:jc w:val="left"/>
              <w:rPr>
                <w:sz w:val="18"/>
                <w:szCs w:val="18"/>
              </w:rPr>
            </w:pPr>
            <w:r>
              <w:rPr>
                <w:rFonts w:hint="eastAsia"/>
                <w:sz w:val="18"/>
                <w:szCs w:val="18"/>
              </w:rPr>
              <w:t>同时具有下列四种情形的：</w:t>
            </w:r>
          </w:p>
          <w:p w14:paraId="2920F6F3">
            <w:pPr>
              <w:widowControl/>
              <w:spacing w:line="320" w:lineRule="exact"/>
              <w:jc w:val="left"/>
              <w:rPr>
                <w:sz w:val="18"/>
                <w:szCs w:val="18"/>
              </w:rPr>
            </w:pPr>
            <w:r>
              <w:rPr>
                <w:sz w:val="18"/>
                <w:szCs w:val="18"/>
              </w:rPr>
              <w:t>1</w:t>
            </w:r>
            <w:r>
              <w:rPr>
                <w:rFonts w:hint="eastAsia"/>
                <w:sz w:val="18"/>
                <w:szCs w:val="18"/>
              </w:rPr>
              <w:t>.未保证在开航时船舶处于适航状态；</w:t>
            </w:r>
          </w:p>
          <w:p w14:paraId="3C473605">
            <w:pPr>
              <w:widowControl/>
              <w:spacing w:line="320" w:lineRule="exact"/>
              <w:jc w:val="left"/>
              <w:rPr>
                <w:sz w:val="18"/>
                <w:szCs w:val="18"/>
              </w:rPr>
            </w:pPr>
            <w:r>
              <w:rPr>
                <w:sz w:val="18"/>
                <w:szCs w:val="18"/>
              </w:rPr>
              <w:t>2</w:t>
            </w:r>
            <w:r>
              <w:rPr>
                <w:rFonts w:hint="eastAsia"/>
                <w:sz w:val="18"/>
                <w:szCs w:val="18"/>
              </w:rPr>
              <w:t>.未保证在开航时船员处于适任状态；</w:t>
            </w:r>
          </w:p>
          <w:p w14:paraId="5F2EC027">
            <w:pPr>
              <w:widowControl/>
              <w:spacing w:line="320" w:lineRule="exact"/>
              <w:jc w:val="left"/>
              <w:rPr>
                <w:sz w:val="18"/>
                <w:szCs w:val="18"/>
              </w:rPr>
            </w:pPr>
            <w:r>
              <w:rPr>
                <w:sz w:val="18"/>
                <w:szCs w:val="18"/>
              </w:rPr>
              <w:t>3</w:t>
            </w:r>
            <w:r>
              <w:rPr>
                <w:rFonts w:hint="eastAsia"/>
                <w:sz w:val="18"/>
                <w:szCs w:val="18"/>
              </w:rPr>
              <w:t>.未按照规定保障船舶的最低安全配员；</w:t>
            </w:r>
          </w:p>
          <w:p w14:paraId="4793A0D9">
            <w:pPr>
              <w:widowControl/>
              <w:spacing w:line="320" w:lineRule="exact"/>
              <w:jc w:val="left"/>
              <w:rPr>
                <w:sz w:val="18"/>
                <w:szCs w:val="18"/>
              </w:rPr>
            </w:pPr>
            <w:r>
              <w:rPr>
                <w:sz w:val="18"/>
                <w:szCs w:val="18"/>
              </w:rPr>
              <w:t>4</w:t>
            </w:r>
            <w:r>
              <w:rPr>
                <w:rFonts w:hint="eastAsia"/>
                <w:sz w:val="18"/>
                <w:szCs w:val="18"/>
              </w:rPr>
              <w:t>.未保证船舶的正常值班，或者具有其他</w:t>
            </w:r>
            <w:r>
              <w:rPr>
                <w:rFonts w:hint="eastAsia" w:ascii="宋体"/>
                <w:kern w:val="0"/>
                <w:sz w:val="18"/>
                <w:szCs w:val="18"/>
              </w:rPr>
              <w:t>严重</w:t>
            </w:r>
            <w:r>
              <w:rPr>
                <w:rFonts w:hint="eastAsia"/>
                <w:sz w:val="18"/>
                <w:szCs w:val="18"/>
              </w:rPr>
              <w:t>情节的。</w:t>
            </w:r>
          </w:p>
        </w:tc>
        <w:tc>
          <w:tcPr>
            <w:tcW w:w="2835" w:type="dxa"/>
            <w:tcBorders>
              <w:top w:val="single" w:color="auto" w:sz="4" w:space="0"/>
              <w:bottom w:val="single" w:color="auto" w:sz="4" w:space="0"/>
              <w:right w:val="single" w:color="auto" w:sz="4" w:space="0"/>
            </w:tcBorders>
            <w:vAlign w:val="center"/>
          </w:tcPr>
          <w:p w14:paraId="32C9C303">
            <w:pPr>
              <w:spacing w:before="156" w:beforeLines="50" w:after="156" w:afterLines="50"/>
              <w:rPr>
                <w:sz w:val="18"/>
                <w:szCs w:val="18"/>
              </w:rPr>
            </w:pPr>
            <w:r>
              <w:rPr>
                <w:rFonts w:hint="eastAsia"/>
                <w:sz w:val="18"/>
                <w:szCs w:val="18"/>
              </w:rPr>
              <w:t>1.1万元及以上2万元以下，并暂扣船员适任证书6个月及以上24个月以下直至吊销。</w:t>
            </w:r>
          </w:p>
        </w:tc>
        <w:tc>
          <w:tcPr>
            <w:tcW w:w="3118" w:type="dxa"/>
            <w:tcBorders>
              <w:top w:val="single" w:color="auto" w:sz="4" w:space="0"/>
              <w:bottom w:val="single" w:color="auto" w:sz="4" w:space="0"/>
              <w:right w:val="single" w:color="auto" w:sz="4" w:space="0"/>
            </w:tcBorders>
            <w:vAlign w:val="center"/>
          </w:tcPr>
          <w:p w14:paraId="14C05E6F">
            <w:pPr>
              <w:spacing w:before="156" w:beforeLines="50" w:after="156" w:afterLines="50"/>
              <w:rPr>
                <w:sz w:val="18"/>
                <w:szCs w:val="18"/>
              </w:rPr>
            </w:pPr>
            <w:r>
              <w:rPr>
                <w:rFonts w:hint="eastAsia"/>
                <w:sz w:val="18"/>
                <w:szCs w:val="18"/>
              </w:rPr>
              <w:t>1.2万元及以上2万元以下，并暂扣船员适任证书6个月及以上24个月以下直至吊销。</w:t>
            </w:r>
          </w:p>
        </w:tc>
        <w:tc>
          <w:tcPr>
            <w:tcW w:w="3975" w:type="dxa"/>
            <w:gridSpan w:val="2"/>
            <w:tcBorders>
              <w:top w:val="single" w:color="auto" w:sz="4" w:space="0"/>
              <w:bottom w:val="single" w:color="auto" w:sz="4" w:space="0"/>
              <w:right w:val="single" w:color="auto" w:sz="4" w:space="0"/>
            </w:tcBorders>
            <w:vAlign w:val="center"/>
          </w:tcPr>
          <w:p w14:paraId="3070348B">
            <w:pPr>
              <w:spacing w:before="156" w:beforeLines="50" w:after="156" w:afterLines="50"/>
              <w:rPr>
                <w:sz w:val="18"/>
                <w:szCs w:val="18"/>
              </w:rPr>
            </w:pPr>
            <w:r>
              <w:rPr>
                <w:rFonts w:hint="eastAsia"/>
                <w:sz w:val="18"/>
                <w:szCs w:val="18"/>
              </w:rPr>
              <w:t>1.3万元及以上2万元以下，并暂扣船员适任证书6个月及以上24个月以下直至吊销。</w:t>
            </w:r>
          </w:p>
        </w:tc>
      </w:tr>
      <w:tr w14:paraId="189A9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727" w:type="dxa"/>
            <w:gridSpan w:val="2"/>
            <w:vMerge w:val="continue"/>
            <w:vAlign w:val="center"/>
          </w:tcPr>
          <w:p w14:paraId="3700BDD3">
            <w:pPr>
              <w:spacing w:before="156" w:beforeLines="50" w:after="156" w:afterLines="50"/>
              <w:jc w:val="left"/>
              <w:rPr>
                <w:rFonts w:ascii="宋体"/>
                <w:kern w:val="0"/>
                <w:sz w:val="18"/>
                <w:szCs w:val="18"/>
              </w:rPr>
            </w:pPr>
          </w:p>
        </w:tc>
        <w:tc>
          <w:tcPr>
            <w:tcW w:w="1527" w:type="dxa"/>
            <w:gridSpan w:val="2"/>
            <w:vMerge w:val="continue"/>
            <w:vAlign w:val="center"/>
          </w:tcPr>
          <w:p w14:paraId="1DCD1ED5">
            <w:pPr>
              <w:spacing w:before="156" w:beforeLines="50" w:after="156" w:afterLines="50"/>
              <w:jc w:val="left"/>
              <w:rPr>
                <w:rFonts w:ascii="宋体"/>
                <w:kern w:val="0"/>
                <w:sz w:val="18"/>
                <w:szCs w:val="18"/>
              </w:rPr>
            </w:pPr>
          </w:p>
        </w:tc>
        <w:tc>
          <w:tcPr>
            <w:tcW w:w="1476" w:type="dxa"/>
            <w:vMerge w:val="continue"/>
            <w:vAlign w:val="center"/>
          </w:tcPr>
          <w:p w14:paraId="252A73D3">
            <w:pPr>
              <w:spacing w:before="156" w:beforeLines="50" w:after="156" w:afterLines="50"/>
              <w:jc w:val="left"/>
              <w:rPr>
                <w:rFonts w:ascii="宋体"/>
                <w:kern w:val="0"/>
                <w:sz w:val="18"/>
                <w:szCs w:val="18"/>
              </w:rPr>
            </w:pPr>
          </w:p>
        </w:tc>
        <w:tc>
          <w:tcPr>
            <w:tcW w:w="2259" w:type="dxa"/>
            <w:gridSpan w:val="2"/>
            <w:vMerge w:val="continue"/>
            <w:vAlign w:val="center"/>
          </w:tcPr>
          <w:p w14:paraId="3DE4032B">
            <w:pPr>
              <w:spacing w:before="156" w:beforeLines="50" w:after="156" w:afterLines="50"/>
              <w:jc w:val="left"/>
              <w:rPr>
                <w:rFonts w:ascii="宋体"/>
                <w:kern w:val="0"/>
                <w:sz w:val="18"/>
                <w:szCs w:val="18"/>
              </w:rPr>
            </w:pPr>
          </w:p>
        </w:tc>
        <w:tc>
          <w:tcPr>
            <w:tcW w:w="640" w:type="dxa"/>
            <w:gridSpan w:val="2"/>
            <w:vMerge w:val="continue"/>
            <w:tcBorders>
              <w:right w:val="single" w:color="auto" w:sz="4" w:space="0"/>
            </w:tcBorders>
            <w:vAlign w:val="center"/>
          </w:tcPr>
          <w:p w14:paraId="1FE4DA39">
            <w:pPr>
              <w:spacing w:before="156" w:beforeLines="50" w:after="156" w:afterLines="50"/>
              <w:jc w:val="left"/>
              <w:rPr>
                <w:rFonts w:ascii="宋体"/>
                <w:kern w:val="0"/>
                <w:sz w:val="18"/>
                <w:szCs w:val="18"/>
              </w:rPr>
            </w:pPr>
          </w:p>
        </w:tc>
        <w:tc>
          <w:tcPr>
            <w:tcW w:w="4536" w:type="dxa"/>
            <w:gridSpan w:val="3"/>
            <w:tcBorders>
              <w:top w:val="single" w:color="auto" w:sz="4" w:space="0"/>
              <w:left w:val="single" w:color="auto" w:sz="4" w:space="0"/>
            </w:tcBorders>
            <w:vAlign w:val="center"/>
          </w:tcPr>
          <w:p w14:paraId="0932E1FD">
            <w:pPr>
              <w:jc w:val="left"/>
              <w:rPr>
                <w:sz w:val="18"/>
                <w:szCs w:val="18"/>
              </w:rPr>
            </w:pPr>
            <w:r>
              <w:rPr>
                <w:rFonts w:hint="eastAsia"/>
                <w:sz w:val="18"/>
                <w:szCs w:val="18"/>
              </w:rPr>
              <w:t xml:space="preserve">因未保证船舶和船员在开航时处于适航、适任状态，或者未按照规定保障船舶的最低安全配员，或者未保证船舶的正常值班而导致发生一般及以上等级水上事故的。 </w:t>
            </w:r>
          </w:p>
        </w:tc>
        <w:tc>
          <w:tcPr>
            <w:tcW w:w="2835" w:type="dxa"/>
            <w:tcBorders>
              <w:top w:val="single" w:color="auto" w:sz="4" w:space="0"/>
              <w:right w:val="single" w:color="auto" w:sz="4" w:space="0"/>
            </w:tcBorders>
            <w:vAlign w:val="center"/>
          </w:tcPr>
          <w:p w14:paraId="730C4342">
            <w:pPr>
              <w:spacing w:before="156" w:beforeLines="50" w:after="156" w:afterLines="50"/>
              <w:rPr>
                <w:sz w:val="18"/>
                <w:szCs w:val="18"/>
              </w:rPr>
            </w:pPr>
            <w:r>
              <w:rPr>
                <w:rFonts w:hint="eastAsia"/>
                <w:sz w:val="18"/>
                <w:szCs w:val="18"/>
              </w:rPr>
              <w:t>1.3万元及以上2万元以下，并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w:t>
            </w:r>
            <w:r>
              <w:rPr>
                <w:rFonts w:hint="eastAsia"/>
                <w:sz w:val="18"/>
                <w:szCs w:val="18"/>
              </w:rPr>
              <w:t>第三十二</w:t>
            </w:r>
            <w:r>
              <w:rPr>
                <w:sz w:val="18"/>
                <w:szCs w:val="18"/>
              </w:rPr>
              <w:t>条</w:t>
            </w:r>
            <w:r>
              <w:rPr>
                <w:rFonts w:hint="eastAsia"/>
                <w:sz w:val="18"/>
                <w:szCs w:val="18"/>
              </w:rPr>
              <w:t>实施。</w:t>
            </w:r>
          </w:p>
        </w:tc>
        <w:tc>
          <w:tcPr>
            <w:tcW w:w="3118" w:type="dxa"/>
            <w:tcBorders>
              <w:top w:val="single" w:color="auto" w:sz="4" w:space="0"/>
              <w:right w:val="single" w:color="auto" w:sz="4" w:space="0"/>
            </w:tcBorders>
            <w:vAlign w:val="center"/>
          </w:tcPr>
          <w:p w14:paraId="0126C0FD">
            <w:pPr>
              <w:spacing w:before="156" w:beforeLines="50" w:after="156" w:afterLines="50"/>
              <w:rPr>
                <w:sz w:val="18"/>
                <w:szCs w:val="18"/>
              </w:rPr>
            </w:pPr>
            <w:r>
              <w:rPr>
                <w:rFonts w:hint="eastAsia"/>
                <w:sz w:val="18"/>
                <w:szCs w:val="18"/>
              </w:rPr>
              <w:t>1.4万元及以上2万元以下，并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w:t>
            </w:r>
            <w:r>
              <w:rPr>
                <w:rFonts w:ascii="宋体"/>
                <w:kern w:val="0"/>
                <w:sz w:val="18"/>
                <w:szCs w:val="18"/>
              </w:rPr>
              <w:t>二条</w:t>
            </w:r>
            <w:r>
              <w:rPr>
                <w:rFonts w:hint="eastAsia" w:ascii="宋体"/>
                <w:kern w:val="0"/>
                <w:sz w:val="18"/>
                <w:szCs w:val="18"/>
              </w:rPr>
              <w:t>实施。</w:t>
            </w:r>
          </w:p>
        </w:tc>
        <w:tc>
          <w:tcPr>
            <w:tcW w:w="3975" w:type="dxa"/>
            <w:gridSpan w:val="2"/>
            <w:tcBorders>
              <w:top w:val="single" w:color="auto" w:sz="4" w:space="0"/>
              <w:right w:val="single" w:color="auto" w:sz="4" w:space="0"/>
            </w:tcBorders>
            <w:vAlign w:val="center"/>
          </w:tcPr>
          <w:p w14:paraId="45E647E0">
            <w:pPr>
              <w:spacing w:before="156" w:beforeLines="50" w:after="156" w:afterLines="50"/>
              <w:rPr>
                <w:sz w:val="18"/>
                <w:szCs w:val="18"/>
              </w:rPr>
            </w:pPr>
            <w:r>
              <w:rPr>
                <w:rFonts w:hint="eastAsia"/>
                <w:sz w:val="18"/>
                <w:szCs w:val="18"/>
              </w:rPr>
              <w:t>1.5万元及以上2万元以下，并</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内河海事行政处罚规定》第三十四条实施。</w:t>
            </w:r>
            <w:r>
              <w:rPr>
                <w:rFonts w:hint="eastAsia"/>
                <w:sz w:val="18"/>
                <w:szCs w:val="18"/>
              </w:rPr>
              <w:t>规定》第三十二</w:t>
            </w:r>
            <w:r>
              <w:rPr>
                <w:sz w:val="18"/>
                <w:szCs w:val="18"/>
              </w:rPr>
              <w:t>条</w:t>
            </w:r>
            <w:r>
              <w:rPr>
                <w:rFonts w:hint="eastAsia"/>
                <w:sz w:val="18"/>
                <w:szCs w:val="18"/>
              </w:rPr>
              <w:t>实施。</w:t>
            </w:r>
          </w:p>
        </w:tc>
      </w:tr>
      <w:tr w14:paraId="6BD95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333" w:hRule="atLeast"/>
        </w:trPr>
        <w:tc>
          <w:tcPr>
            <w:tcW w:w="684" w:type="dxa"/>
            <w:vMerge w:val="restart"/>
            <w:vAlign w:val="center"/>
          </w:tcPr>
          <w:p w14:paraId="5ED7E73E">
            <w:pPr>
              <w:spacing w:before="156" w:beforeLines="50" w:after="156" w:afterLines="50"/>
              <w:jc w:val="center"/>
              <w:rPr>
                <w:rFonts w:ascii="宋体"/>
                <w:b/>
                <w:kern w:val="0"/>
                <w:sz w:val="18"/>
                <w:szCs w:val="18"/>
              </w:rPr>
            </w:pPr>
            <w:r>
              <w:rPr>
                <w:rFonts w:ascii="宋体"/>
                <w:b/>
                <w:sz w:val="18"/>
                <w:szCs w:val="18"/>
              </w:rPr>
              <w:br w:type="page"/>
            </w:r>
            <w:r>
              <w:rPr>
                <w:rFonts w:hint="eastAsia" w:ascii="宋体"/>
                <w:b/>
                <w:kern w:val="0"/>
                <w:sz w:val="18"/>
                <w:szCs w:val="18"/>
              </w:rPr>
              <w:t>序号</w:t>
            </w:r>
          </w:p>
        </w:tc>
        <w:tc>
          <w:tcPr>
            <w:tcW w:w="1409" w:type="dxa"/>
            <w:gridSpan w:val="2"/>
            <w:vMerge w:val="restart"/>
            <w:vAlign w:val="center"/>
          </w:tcPr>
          <w:p w14:paraId="4AF6AF53">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69" w:type="dxa"/>
            <w:gridSpan w:val="5"/>
            <w:vMerge w:val="restart"/>
            <w:vAlign w:val="center"/>
          </w:tcPr>
          <w:p w14:paraId="493CF74D">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6" w:type="dxa"/>
            <w:gridSpan w:val="2"/>
            <w:vMerge w:val="restart"/>
            <w:vAlign w:val="center"/>
          </w:tcPr>
          <w:p w14:paraId="05E39D3A">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66" w:type="dxa"/>
            <w:vMerge w:val="restart"/>
            <w:vAlign w:val="center"/>
          </w:tcPr>
          <w:p w14:paraId="168823D8">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92" w:type="dxa"/>
            <w:gridSpan w:val="4"/>
            <w:tcBorders>
              <w:bottom w:val="single" w:color="auto" w:sz="4" w:space="0"/>
              <w:right w:val="single" w:color="auto" w:sz="4" w:space="0"/>
            </w:tcBorders>
            <w:vAlign w:val="center"/>
          </w:tcPr>
          <w:p w14:paraId="06EA4C2D">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由海事管理机构处1000元以上1万元以下罚款；情节严重的，并给予暂扣船员适任证书6个月以上2年以下直至吊销船员适任证书的处罚。</w:t>
            </w:r>
          </w:p>
        </w:tc>
      </w:tr>
      <w:tr w14:paraId="6F6E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206" w:hRule="atLeast"/>
        </w:trPr>
        <w:tc>
          <w:tcPr>
            <w:tcW w:w="684" w:type="dxa"/>
            <w:vMerge w:val="continue"/>
            <w:vAlign w:val="center"/>
          </w:tcPr>
          <w:p w14:paraId="54E9D3AF">
            <w:pPr>
              <w:spacing w:before="156" w:beforeLines="50" w:after="156" w:afterLines="50"/>
              <w:jc w:val="left"/>
              <w:rPr>
                <w:rFonts w:ascii="宋体"/>
                <w:b/>
                <w:kern w:val="0"/>
                <w:sz w:val="18"/>
                <w:szCs w:val="18"/>
              </w:rPr>
            </w:pPr>
          </w:p>
        </w:tc>
        <w:tc>
          <w:tcPr>
            <w:tcW w:w="1409" w:type="dxa"/>
            <w:gridSpan w:val="2"/>
            <w:vMerge w:val="continue"/>
            <w:vAlign w:val="center"/>
          </w:tcPr>
          <w:p w14:paraId="6DEC6426">
            <w:pPr>
              <w:spacing w:before="156" w:beforeLines="50" w:after="156" w:afterLines="50"/>
              <w:jc w:val="left"/>
              <w:rPr>
                <w:rFonts w:ascii="宋体"/>
                <w:b/>
                <w:kern w:val="0"/>
                <w:sz w:val="18"/>
                <w:szCs w:val="18"/>
              </w:rPr>
            </w:pPr>
          </w:p>
        </w:tc>
        <w:tc>
          <w:tcPr>
            <w:tcW w:w="3969" w:type="dxa"/>
            <w:gridSpan w:val="5"/>
            <w:vMerge w:val="continue"/>
            <w:vAlign w:val="center"/>
          </w:tcPr>
          <w:p w14:paraId="3111E166">
            <w:pPr>
              <w:spacing w:before="156" w:beforeLines="50" w:after="156" w:afterLines="50"/>
              <w:jc w:val="left"/>
              <w:rPr>
                <w:rFonts w:ascii="宋体"/>
                <w:b/>
                <w:kern w:val="0"/>
                <w:sz w:val="18"/>
                <w:szCs w:val="18"/>
              </w:rPr>
            </w:pPr>
          </w:p>
        </w:tc>
        <w:tc>
          <w:tcPr>
            <w:tcW w:w="656" w:type="dxa"/>
            <w:gridSpan w:val="2"/>
            <w:vMerge w:val="continue"/>
            <w:vAlign w:val="center"/>
          </w:tcPr>
          <w:p w14:paraId="0314B850">
            <w:pPr>
              <w:spacing w:before="156" w:beforeLines="50" w:after="156" w:afterLines="50"/>
              <w:jc w:val="left"/>
              <w:rPr>
                <w:rFonts w:ascii="宋体"/>
                <w:b/>
                <w:kern w:val="0"/>
                <w:sz w:val="18"/>
                <w:szCs w:val="18"/>
              </w:rPr>
            </w:pPr>
          </w:p>
        </w:tc>
        <w:tc>
          <w:tcPr>
            <w:tcW w:w="3666" w:type="dxa"/>
            <w:vMerge w:val="continue"/>
            <w:vAlign w:val="center"/>
          </w:tcPr>
          <w:p w14:paraId="2388FE9C">
            <w:pPr>
              <w:spacing w:before="156" w:beforeLines="50" w:after="156" w:afterLines="50"/>
              <w:jc w:val="left"/>
              <w:rPr>
                <w:rFonts w:ascii="宋体"/>
                <w:b/>
                <w:kern w:val="0"/>
                <w:sz w:val="18"/>
                <w:szCs w:val="18"/>
              </w:rPr>
            </w:pPr>
          </w:p>
        </w:tc>
        <w:tc>
          <w:tcPr>
            <w:tcW w:w="10692" w:type="dxa"/>
            <w:gridSpan w:val="4"/>
            <w:tcBorders>
              <w:top w:val="single" w:color="auto" w:sz="4" w:space="0"/>
              <w:bottom w:val="single" w:color="auto" w:sz="4" w:space="0"/>
              <w:right w:val="single" w:color="auto" w:sz="4" w:space="0"/>
            </w:tcBorders>
            <w:vAlign w:val="center"/>
          </w:tcPr>
          <w:p w14:paraId="7DD73773">
            <w:pPr>
              <w:spacing w:before="156" w:beforeLines="50" w:after="156" w:afterLines="50"/>
              <w:jc w:val="center"/>
              <w:rPr>
                <w:b/>
                <w:sz w:val="18"/>
                <w:szCs w:val="18"/>
              </w:rPr>
            </w:pPr>
            <w:r>
              <w:rPr>
                <w:rFonts w:hint="eastAsia" w:ascii="宋体"/>
                <w:b/>
                <w:kern w:val="0"/>
                <w:sz w:val="18"/>
                <w:szCs w:val="18"/>
              </w:rPr>
              <w:t>处罚基准</w:t>
            </w:r>
          </w:p>
        </w:tc>
      </w:tr>
      <w:tr w14:paraId="19C6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628781A7">
            <w:pPr>
              <w:spacing w:before="156" w:beforeLines="50" w:after="156" w:afterLines="50"/>
              <w:jc w:val="left"/>
              <w:rPr>
                <w:rFonts w:ascii="宋体"/>
                <w:b/>
                <w:kern w:val="0"/>
                <w:sz w:val="18"/>
                <w:szCs w:val="18"/>
              </w:rPr>
            </w:pPr>
          </w:p>
        </w:tc>
        <w:tc>
          <w:tcPr>
            <w:tcW w:w="1409" w:type="dxa"/>
            <w:gridSpan w:val="2"/>
            <w:vMerge w:val="continue"/>
            <w:vAlign w:val="center"/>
          </w:tcPr>
          <w:p w14:paraId="1B6E2766">
            <w:pPr>
              <w:spacing w:before="156" w:beforeLines="50" w:after="156" w:afterLines="50"/>
              <w:jc w:val="left"/>
              <w:rPr>
                <w:rFonts w:ascii="宋体"/>
                <w:b/>
                <w:kern w:val="0"/>
                <w:sz w:val="18"/>
                <w:szCs w:val="18"/>
              </w:rPr>
            </w:pPr>
          </w:p>
        </w:tc>
        <w:tc>
          <w:tcPr>
            <w:tcW w:w="1751" w:type="dxa"/>
            <w:gridSpan w:val="3"/>
            <w:vAlign w:val="center"/>
          </w:tcPr>
          <w:p w14:paraId="35F98FB0">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18" w:type="dxa"/>
            <w:gridSpan w:val="2"/>
            <w:vAlign w:val="center"/>
          </w:tcPr>
          <w:p w14:paraId="158F5C4B">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6" w:type="dxa"/>
            <w:gridSpan w:val="2"/>
            <w:vMerge w:val="continue"/>
            <w:vAlign w:val="center"/>
          </w:tcPr>
          <w:p w14:paraId="0D45F7DB">
            <w:pPr>
              <w:spacing w:before="156" w:beforeLines="50" w:after="156" w:afterLines="50"/>
              <w:jc w:val="left"/>
              <w:rPr>
                <w:rFonts w:ascii="宋体"/>
                <w:b/>
                <w:kern w:val="0"/>
                <w:sz w:val="18"/>
                <w:szCs w:val="18"/>
              </w:rPr>
            </w:pPr>
          </w:p>
        </w:tc>
        <w:tc>
          <w:tcPr>
            <w:tcW w:w="3666" w:type="dxa"/>
            <w:vMerge w:val="continue"/>
            <w:vAlign w:val="center"/>
          </w:tcPr>
          <w:p w14:paraId="054009BF">
            <w:pPr>
              <w:spacing w:before="156" w:beforeLines="50" w:after="156" w:afterLines="50"/>
              <w:jc w:val="left"/>
              <w:rPr>
                <w:rFonts w:ascii="宋体"/>
                <w:b/>
                <w:kern w:val="0"/>
                <w:sz w:val="18"/>
                <w:szCs w:val="18"/>
              </w:rPr>
            </w:pPr>
          </w:p>
        </w:tc>
        <w:tc>
          <w:tcPr>
            <w:tcW w:w="10692" w:type="dxa"/>
            <w:gridSpan w:val="4"/>
            <w:tcBorders>
              <w:top w:val="single" w:color="auto" w:sz="4" w:space="0"/>
              <w:right w:val="single" w:color="auto" w:sz="4" w:space="0"/>
            </w:tcBorders>
            <w:vAlign w:val="center"/>
          </w:tcPr>
          <w:p w14:paraId="43CA863F">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责任船员</w:t>
            </w:r>
          </w:p>
        </w:tc>
      </w:tr>
      <w:tr w14:paraId="405C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503" w:hRule="atLeast"/>
        </w:trPr>
        <w:tc>
          <w:tcPr>
            <w:tcW w:w="684" w:type="dxa"/>
            <w:vMerge w:val="restart"/>
            <w:vAlign w:val="center"/>
          </w:tcPr>
          <w:p w14:paraId="088B67E6">
            <w:pPr>
              <w:spacing w:before="156" w:beforeLines="50" w:after="156" w:afterLines="50"/>
              <w:jc w:val="center"/>
              <w:rPr>
                <w:rFonts w:ascii="宋体"/>
                <w:kern w:val="0"/>
                <w:sz w:val="18"/>
                <w:szCs w:val="18"/>
              </w:rPr>
            </w:pPr>
            <w:r>
              <w:rPr>
                <w:rFonts w:hint="eastAsia" w:ascii="宋体"/>
                <w:kern w:val="0"/>
                <w:sz w:val="18"/>
                <w:szCs w:val="18"/>
              </w:rPr>
              <w:t>83</w:t>
            </w:r>
          </w:p>
        </w:tc>
        <w:tc>
          <w:tcPr>
            <w:tcW w:w="1409" w:type="dxa"/>
            <w:gridSpan w:val="2"/>
            <w:vMerge w:val="restart"/>
            <w:vAlign w:val="center"/>
          </w:tcPr>
          <w:p w14:paraId="0E84C702">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在船在岗期间饮酒，体内酒精含量超过规定标准</w:t>
            </w:r>
          </w:p>
        </w:tc>
        <w:tc>
          <w:tcPr>
            <w:tcW w:w="1751" w:type="dxa"/>
            <w:gridSpan w:val="3"/>
            <w:vMerge w:val="restart"/>
            <w:vAlign w:val="center"/>
          </w:tcPr>
          <w:p w14:paraId="41E87890">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《中华人民共和国船员条例》第十六条第（三）项；</w:t>
            </w:r>
          </w:p>
          <w:p w14:paraId="44D7983B">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2</w:t>
            </w:r>
            <w:r>
              <w:rPr>
                <w:sz w:val="18"/>
                <w:szCs w:val="18"/>
              </w:rPr>
              <w:t>.</w:t>
            </w:r>
            <w:r>
              <w:rPr>
                <w:rFonts w:hint="eastAsia"/>
                <w:sz w:val="18"/>
                <w:szCs w:val="18"/>
              </w:rPr>
              <w:t>《内河船舶船员值班规则》第十五条第一款。</w:t>
            </w:r>
          </w:p>
        </w:tc>
        <w:tc>
          <w:tcPr>
            <w:tcW w:w="2218" w:type="dxa"/>
            <w:gridSpan w:val="2"/>
            <w:vMerge w:val="restart"/>
            <w:vAlign w:val="center"/>
          </w:tcPr>
          <w:p w14:paraId="65239AFE">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sz w:val="18"/>
                <w:szCs w:val="18"/>
              </w:rPr>
              <w:t>1</w:t>
            </w:r>
            <w:r>
              <w:rPr>
                <w:rFonts w:hint="eastAsia"/>
                <w:sz w:val="18"/>
                <w:szCs w:val="18"/>
              </w:rPr>
              <w:t>. 《中华</w:t>
            </w:r>
            <w:r>
              <w:rPr>
                <w:sz w:val="18"/>
                <w:szCs w:val="18"/>
              </w:rPr>
              <w:t>人民共和国</w:t>
            </w:r>
            <w:r>
              <w:rPr>
                <w:rFonts w:hint="eastAsia"/>
                <w:sz w:val="18"/>
                <w:szCs w:val="18"/>
              </w:rPr>
              <w:t>内河</w:t>
            </w:r>
            <w:r>
              <w:rPr>
                <w:sz w:val="18"/>
                <w:szCs w:val="18"/>
              </w:rPr>
              <w:t>海事处罚规定》</w:t>
            </w:r>
            <w:r>
              <w:rPr>
                <w:rFonts w:hint="eastAsia"/>
                <w:sz w:val="18"/>
                <w:szCs w:val="18"/>
              </w:rPr>
              <w:t>第十一条第</w:t>
            </w:r>
            <w:r>
              <w:rPr>
                <w:sz w:val="18"/>
                <w:szCs w:val="18"/>
              </w:rPr>
              <w:t>（</w:t>
            </w:r>
            <w:r>
              <w:rPr>
                <w:rFonts w:hint="eastAsia"/>
                <w:sz w:val="18"/>
                <w:szCs w:val="18"/>
              </w:rPr>
              <w:t>一</w:t>
            </w:r>
            <w:r>
              <w:rPr>
                <w:sz w:val="18"/>
                <w:szCs w:val="18"/>
              </w:rPr>
              <w:t>）项</w:t>
            </w:r>
            <w:r>
              <w:rPr>
                <w:rFonts w:hint="eastAsia"/>
                <w:sz w:val="18"/>
                <w:szCs w:val="18"/>
              </w:rPr>
              <w:t>；</w:t>
            </w:r>
          </w:p>
          <w:p w14:paraId="7F352D94">
            <w:pPr>
              <w:spacing w:before="156" w:beforeLines="50" w:after="156" w:afterLines="50"/>
              <w:jc w:val="left"/>
              <w:rPr>
                <w:sz w:val="18"/>
                <w:szCs w:val="18"/>
              </w:rPr>
            </w:pPr>
            <w:r>
              <w:rPr>
                <w:rFonts w:ascii="宋体"/>
                <w:kern w:val="0"/>
                <w:sz w:val="18"/>
                <w:szCs w:val="18"/>
              </w:rPr>
              <w:t>2.</w:t>
            </w:r>
            <w:r>
              <w:rPr>
                <w:rFonts w:hint="eastAsia" w:ascii="宋体"/>
                <w:kern w:val="0"/>
                <w:sz w:val="18"/>
                <w:szCs w:val="18"/>
              </w:rPr>
              <w:t>《中华人民共和国行政处罚法》第三十二条（从轻）。</w:t>
            </w:r>
          </w:p>
        </w:tc>
        <w:tc>
          <w:tcPr>
            <w:tcW w:w="656" w:type="dxa"/>
            <w:gridSpan w:val="2"/>
            <w:vAlign w:val="center"/>
          </w:tcPr>
          <w:p w14:paraId="3EDB23E1">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从轻</w:t>
            </w:r>
          </w:p>
        </w:tc>
        <w:tc>
          <w:tcPr>
            <w:tcW w:w="3666" w:type="dxa"/>
            <w:vAlign w:val="center"/>
          </w:tcPr>
          <w:p w14:paraId="0CAE7E39">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具有法定从轻情节的。</w:t>
            </w:r>
          </w:p>
        </w:tc>
        <w:tc>
          <w:tcPr>
            <w:tcW w:w="10692" w:type="dxa"/>
            <w:gridSpan w:val="4"/>
            <w:tcBorders>
              <w:bottom w:val="single" w:color="auto" w:sz="4" w:space="0"/>
              <w:right w:val="single" w:color="auto" w:sz="4" w:space="0"/>
            </w:tcBorders>
            <w:vAlign w:val="center"/>
          </w:tcPr>
          <w:p w14:paraId="6971F575">
            <w:pPr>
              <w:spacing w:before="156" w:beforeLines="50" w:after="156" w:afterLines="50"/>
              <w:jc w:val="left"/>
              <w:rPr>
                <w:sz w:val="18"/>
                <w:szCs w:val="18"/>
              </w:rPr>
            </w:pPr>
            <w:r>
              <w:rPr>
                <w:rFonts w:hint="eastAsia"/>
                <w:sz w:val="18"/>
                <w:szCs w:val="18"/>
              </w:rPr>
              <w:t>1000元及以上2000元以下</w:t>
            </w:r>
          </w:p>
        </w:tc>
      </w:tr>
      <w:tr w14:paraId="28F6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59AF9022">
            <w:pPr>
              <w:spacing w:before="156" w:beforeLines="50" w:after="156" w:afterLines="50"/>
              <w:jc w:val="left"/>
              <w:rPr>
                <w:rFonts w:ascii="宋体"/>
                <w:kern w:val="0"/>
                <w:sz w:val="18"/>
                <w:szCs w:val="18"/>
              </w:rPr>
            </w:pPr>
          </w:p>
        </w:tc>
        <w:tc>
          <w:tcPr>
            <w:tcW w:w="1409" w:type="dxa"/>
            <w:gridSpan w:val="2"/>
            <w:vMerge w:val="continue"/>
            <w:vAlign w:val="center"/>
          </w:tcPr>
          <w:p w14:paraId="293E16CC">
            <w:pPr>
              <w:pStyle w:val="13"/>
              <w:spacing w:before="156" w:beforeLines="50" w:after="156" w:afterLines="50"/>
              <w:rPr>
                <w:sz w:val="18"/>
                <w:szCs w:val="18"/>
              </w:rPr>
            </w:pPr>
          </w:p>
        </w:tc>
        <w:tc>
          <w:tcPr>
            <w:tcW w:w="1751" w:type="dxa"/>
            <w:gridSpan w:val="3"/>
            <w:vMerge w:val="continue"/>
            <w:vAlign w:val="center"/>
          </w:tcPr>
          <w:p w14:paraId="1ECD63B1">
            <w:pPr>
              <w:pStyle w:val="13"/>
              <w:spacing w:before="156" w:beforeLines="50" w:after="156" w:afterLines="50"/>
              <w:rPr>
                <w:sz w:val="18"/>
                <w:szCs w:val="18"/>
              </w:rPr>
            </w:pPr>
          </w:p>
        </w:tc>
        <w:tc>
          <w:tcPr>
            <w:tcW w:w="2218" w:type="dxa"/>
            <w:gridSpan w:val="2"/>
            <w:vMerge w:val="continue"/>
            <w:vAlign w:val="center"/>
          </w:tcPr>
          <w:p w14:paraId="56AA75E7">
            <w:pPr>
              <w:pStyle w:val="13"/>
              <w:spacing w:before="156" w:beforeLines="50" w:after="156" w:afterLines="50"/>
              <w:rPr>
                <w:sz w:val="18"/>
                <w:szCs w:val="18"/>
              </w:rPr>
            </w:pPr>
          </w:p>
        </w:tc>
        <w:tc>
          <w:tcPr>
            <w:tcW w:w="656" w:type="dxa"/>
            <w:gridSpan w:val="2"/>
            <w:vAlign w:val="center"/>
          </w:tcPr>
          <w:p w14:paraId="43444CD0">
            <w:pPr>
              <w:pStyle w:val="13"/>
              <w:spacing w:before="156" w:beforeLines="50" w:after="156" w:afterLines="50"/>
              <w:rPr>
                <w:sz w:val="18"/>
                <w:szCs w:val="18"/>
              </w:rPr>
            </w:pPr>
            <w:r>
              <w:rPr>
                <w:rFonts w:hint="eastAsia"/>
                <w:sz w:val="18"/>
                <w:szCs w:val="18"/>
              </w:rPr>
              <w:t>一般</w:t>
            </w:r>
          </w:p>
        </w:tc>
        <w:tc>
          <w:tcPr>
            <w:tcW w:w="3666" w:type="dxa"/>
            <w:tcBorders>
              <w:top w:val="single" w:color="auto" w:sz="4" w:space="0"/>
              <w:bottom w:val="single" w:color="auto" w:sz="4" w:space="0"/>
            </w:tcBorders>
            <w:vAlign w:val="center"/>
          </w:tcPr>
          <w:p w14:paraId="034313A9">
            <w:pPr>
              <w:pStyle w:val="13"/>
              <w:spacing w:before="156" w:beforeLines="50" w:after="156" w:afterLines="50"/>
              <w:rPr>
                <w:sz w:val="18"/>
                <w:szCs w:val="18"/>
              </w:rPr>
            </w:pPr>
            <w:r>
              <w:rPr>
                <w:rFonts w:hint="eastAsia"/>
                <w:sz w:val="18"/>
                <w:szCs w:val="18"/>
              </w:rPr>
              <w:t>在船在岗期间饮酒，体内酒精含量超过规定标准。</w:t>
            </w:r>
          </w:p>
        </w:tc>
        <w:tc>
          <w:tcPr>
            <w:tcW w:w="10692" w:type="dxa"/>
            <w:gridSpan w:val="4"/>
            <w:tcBorders>
              <w:right w:val="single" w:color="auto" w:sz="4" w:space="0"/>
            </w:tcBorders>
            <w:vAlign w:val="center"/>
          </w:tcPr>
          <w:p w14:paraId="67AA0DD5">
            <w:pPr>
              <w:spacing w:before="156" w:beforeLines="50" w:after="156" w:afterLines="50"/>
              <w:jc w:val="left"/>
              <w:rPr>
                <w:sz w:val="18"/>
                <w:szCs w:val="18"/>
              </w:rPr>
            </w:pPr>
            <w:r>
              <w:rPr>
                <w:rFonts w:hint="eastAsia"/>
                <w:sz w:val="18"/>
                <w:szCs w:val="18"/>
              </w:rPr>
              <w:t>2000元及以上4000元以下</w:t>
            </w:r>
          </w:p>
        </w:tc>
      </w:tr>
      <w:tr w14:paraId="7A5D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77" w:hRule="atLeast"/>
        </w:trPr>
        <w:tc>
          <w:tcPr>
            <w:tcW w:w="684" w:type="dxa"/>
            <w:vMerge w:val="continue"/>
            <w:vAlign w:val="center"/>
          </w:tcPr>
          <w:p w14:paraId="21913A81">
            <w:pPr>
              <w:spacing w:before="156" w:beforeLines="50" w:after="156" w:afterLines="50"/>
              <w:jc w:val="left"/>
              <w:rPr>
                <w:rFonts w:ascii="宋体"/>
                <w:kern w:val="0"/>
                <w:sz w:val="18"/>
                <w:szCs w:val="18"/>
              </w:rPr>
            </w:pPr>
          </w:p>
        </w:tc>
        <w:tc>
          <w:tcPr>
            <w:tcW w:w="1409" w:type="dxa"/>
            <w:gridSpan w:val="2"/>
            <w:vMerge w:val="continue"/>
            <w:vAlign w:val="center"/>
          </w:tcPr>
          <w:p w14:paraId="6DBDD090">
            <w:pPr>
              <w:pStyle w:val="13"/>
              <w:spacing w:before="156" w:beforeLines="50" w:after="156" w:afterLines="50"/>
              <w:rPr>
                <w:sz w:val="18"/>
                <w:szCs w:val="18"/>
              </w:rPr>
            </w:pPr>
          </w:p>
        </w:tc>
        <w:tc>
          <w:tcPr>
            <w:tcW w:w="1751" w:type="dxa"/>
            <w:gridSpan w:val="3"/>
            <w:vMerge w:val="continue"/>
            <w:vAlign w:val="center"/>
          </w:tcPr>
          <w:p w14:paraId="3BCD4F1A">
            <w:pPr>
              <w:pStyle w:val="13"/>
              <w:spacing w:before="156" w:beforeLines="50" w:after="156" w:afterLines="50"/>
              <w:rPr>
                <w:sz w:val="18"/>
                <w:szCs w:val="18"/>
              </w:rPr>
            </w:pPr>
          </w:p>
        </w:tc>
        <w:tc>
          <w:tcPr>
            <w:tcW w:w="2218" w:type="dxa"/>
            <w:gridSpan w:val="2"/>
            <w:vMerge w:val="continue"/>
            <w:vAlign w:val="center"/>
          </w:tcPr>
          <w:p w14:paraId="34DE2B70">
            <w:pPr>
              <w:pStyle w:val="13"/>
              <w:spacing w:before="156" w:beforeLines="50" w:after="156" w:afterLines="50"/>
              <w:rPr>
                <w:sz w:val="18"/>
                <w:szCs w:val="18"/>
              </w:rPr>
            </w:pPr>
          </w:p>
        </w:tc>
        <w:tc>
          <w:tcPr>
            <w:tcW w:w="656" w:type="dxa"/>
            <w:gridSpan w:val="2"/>
            <w:tcBorders>
              <w:top w:val="single" w:color="auto" w:sz="4" w:space="0"/>
            </w:tcBorders>
            <w:vAlign w:val="center"/>
          </w:tcPr>
          <w:p w14:paraId="3B52BF6D">
            <w:pPr>
              <w:pStyle w:val="13"/>
              <w:spacing w:before="156" w:beforeLines="50" w:after="156" w:afterLines="50"/>
              <w:rPr>
                <w:sz w:val="18"/>
                <w:szCs w:val="18"/>
              </w:rPr>
            </w:pPr>
            <w:r>
              <w:rPr>
                <w:rFonts w:hint="eastAsia"/>
                <w:sz w:val="18"/>
                <w:szCs w:val="18"/>
              </w:rPr>
              <w:t>较重</w:t>
            </w:r>
          </w:p>
        </w:tc>
        <w:tc>
          <w:tcPr>
            <w:tcW w:w="3666" w:type="dxa"/>
            <w:tcBorders>
              <w:top w:val="single" w:color="auto" w:sz="4" w:space="0"/>
            </w:tcBorders>
            <w:vAlign w:val="center"/>
          </w:tcPr>
          <w:p w14:paraId="188F37CF">
            <w:pPr>
              <w:pStyle w:val="13"/>
              <w:spacing w:before="156" w:beforeLines="50" w:after="156" w:afterLines="50"/>
              <w:rPr>
                <w:sz w:val="18"/>
                <w:szCs w:val="18"/>
              </w:rPr>
            </w:pPr>
            <w:r>
              <w:rPr>
                <w:rFonts w:hint="eastAsia"/>
                <w:sz w:val="18"/>
                <w:szCs w:val="18"/>
              </w:rPr>
              <w:t>在船在岗期间饮酒，体内酒精含量超过规定标准，造成一般以下等级水上交通事故。</w:t>
            </w:r>
          </w:p>
        </w:tc>
        <w:tc>
          <w:tcPr>
            <w:tcW w:w="10692" w:type="dxa"/>
            <w:gridSpan w:val="4"/>
            <w:tcBorders>
              <w:top w:val="single" w:color="auto" w:sz="4" w:space="0"/>
              <w:right w:val="single" w:color="auto" w:sz="4" w:space="0"/>
            </w:tcBorders>
            <w:vAlign w:val="center"/>
          </w:tcPr>
          <w:p w14:paraId="63718E20">
            <w:pPr>
              <w:spacing w:before="156" w:beforeLines="50" w:after="156" w:afterLines="50"/>
              <w:jc w:val="left"/>
              <w:rPr>
                <w:sz w:val="18"/>
                <w:szCs w:val="18"/>
              </w:rPr>
            </w:pPr>
            <w:r>
              <w:rPr>
                <w:rFonts w:hint="eastAsia"/>
                <w:sz w:val="18"/>
                <w:szCs w:val="18"/>
              </w:rPr>
              <w:t>4000元及以上5000元以下</w:t>
            </w:r>
          </w:p>
        </w:tc>
      </w:tr>
      <w:tr w14:paraId="6EFE3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825" w:hRule="atLeast"/>
        </w:trPr>
        <w:tc>
          <w:tcPr>
            <w:tcW w:w="684" w:type="dxa"/>
            <w:vMerge w:val="continue"/>
            <w:vAlign w:val="center"/>
          </w:tcPr>
          <w:p w14:paraId="1B9937B6">
            <w:pPr>
              <w:spacing w:before="156" w:beforeLines="50" w:after="156" w:afterLines="50"/>
              <w:jc w:val="left"/>
              <w:rPr>
                <w:rFonts w:ascii="宋体"/>
                <w:kern w:val="0"/>
                <w:sz w:val="18"/>
                <w:szCs w:val="18"/>
              </w:rPr>
            </w:pPr>
          </w:p>
        </w:tc>
        <w:tc>
          <w:tcPr>
            <w:tcW w:w="1409" w:type="dxa"/>
            <w:gridSpan w:val="2"/>
            <w:vMerge w:val="continue"/>
            <w:vAlign w:val="center"/>
          </w:tcPr>
          <w:p w14:paraId="796145D2">
            <w:pPr>
              <w:pStyle w:val="13"/>
              <w:spacing w:before="156" w:beforeLines="50" w:after="156" w:afterLines="50"/>
              <w:rPr>
                <w:sz w:val="18"/>
                <w:szCs w:val="18"/>
              </w:rPr>
            </w:pPr>
          </w:p>
        </w:tc>
        <w:tc>
          <w:tcPr>
            <w:tcW w:w="1751" w:type="dxa"/>
            <w:gridSpan w:val="3"/>
            <w:vMerge w:val="continue"/>
            <w:vAlign w:val="center"/>
          </w:tcPr>
          <w:p w14:paraId="511A3F6C">
            <w:pPr>
              <w:pStyle w:val="13"/>
              <w:spacing w:before="156" w:beforeLines="50" w:after="156" w:afterLines="50"/>
              <w:rPr>
                <w:sz w:val="18"/>
                <w:szCs w:val="18"/>
              </w:rPr>
            </w:pPr>
          </w:p>
        </w:tc>
        <w:tc>
          <w:tcPr>
            <w:tcW w:w="2218" w:type="dxa"/>
            <w:gridSpan w:val="2"/>
            <w:vMerge w:val="continue"/>
            <w:vAlign w:val="center"/>
          </w:tcPr>
          <w:p w14:paraId="6E1DF082">
            <w:pPr>
              <w:pStyle w:val="13"/>
              <w:spacing w:before="156" w:beforeLines="50" w:after="156" w:afterLines="50"/>
              <w:rPr>
                <w:sz w:val="18"/>
                <w:szCs w:val="18"/>
              </w:rPr>
            </w:pPr>
          </w:p>
        </w:tc>
        <w:tc>
          <w:tcPr>
            <w:tcW w:w="656" w:type="dxa"/>
            <w:gridSpan w:val="2"/>
            <w:vMerge w:val="restart"/>
            <w:tcBorders>
              <w:top w:val="single" w:color="auto" w:sz="4" w:space="0"/>
              <w:right w:val="single" w:color="auto" w:sz="4" w:space="0"/>
            </w:tcBorders>
            <w:vAlign w:val="center"/>
          </w:tcPr>
          <w:p w14:paraId="763501CF">
            <w:pPr>
              <w:pStyle w:val="13"/>
              <w:spacing w:before="156" w:beforeLines="50" w:after="156" w:afterLines="50"/>
              <w:rPr>
                <w:sz w:val="18"/>
                <w:szCs w:val="18"/>
              </w:rPr>
            </w:pPr>
            <w:r>
              <w:rPr>
                <w:rFonts w:hint="eastAsia"/>
                <w:sz w:val="18"/>
                <w:szCs w:val="18"/>
              </w:rPr>
              <w:t>严重</w:t>
            </w:r>
          </w:p>
        </w:tc>
        <w:tc>
          <w:tcPr>
            <w:tcW w:w="3666" w:type="dxa"/>
            <w:tcBorders>
              <w:top w:val="single" w:color="auto" w:sz="4" w:space="0"/>
              <w:left w:val="single" w:color="auto" w:sz="4" w:space="0"/>
              <w:bottom w:val="single" w:color="auto" w:sz="4" w:space="0"/>
            </w:tcBorders>
            <w:vAlign w:val="center"/>
          </w:tcPr>
          <w:p w14:paraId="7A05E0B3">
            <w:pPr>
              <w:pStyle w:val="13"/>
              <w:spacing w:before="156" w:beforeLines="50" w:after="156" w:afterLines="50"/>
              <w:rPr>
                <w:sz w:val="18"/>
                <w:szCs w:val="18"/>
              </w:rPr>
            </w:pPr>
            <w:r>
              <w:rPr>
                <w:rFonts w:hint="eastAsia"/>
                <w:sz w:val="18"/>
                <w:szCs w:val="18"/>
              </w:rPr>
              <w:t>在船在岗期间饮酒，体内酒精含量超过规定标准，造成一般及以上等级水上交通事故。</w:t>
            </w:r>
          </w:p>
        </w:tc>
        <w:tc>
          <w:tcPr>
            <w:tcW w:w="10692" w:type="dxa"/>
            <w:gridSpan w:val="4"/>
            <w:tcBorders>
              <w:top w:val="single" w:color="auto" w:sz="4" w:space="0"/>
              <w:bottom w:val="single" w:color="auto" w:sz="4" w:space="0"/>
              <w:right w:val="single" w:color="auto" w:sz="4" w:space="0"/>
            </w:tcBorders>
            <w:vAlign w:val="center"/>
          </w:tcPr>
          <w:p w14:paraId="7EF2EB71">
            <w:pPr>
              <w:spacing w:before="156" w:beforeLines="50" w:after="156" w:afterLines="50"/>
              <w:jc w:val="left"/>
              <w:rPr>
                <w:sz w:val="18"/>
                <w:szCs w:val="18"/>
              </w:rPr>
            </w:pPr>
            <w:r>
              <w:rPr>
                <w:rFonts w:hint="eastAsia"/>
                <w:sz w:val="18"/>
                <w:szCs w:val="18"/>
              </w:rPr>
              <w:t>6000元及以上</w:t>
            </w:r>
            <w:r>
              <w:rPr>
                <w:sz w:val="18"/>
                <w:szCs w:val="18"/>
              </w:rPr>
              <w:t>1</w:t>
            </w:r>
            <w:r>
              <w:rPr>
                <w:rFonts w:hint="eastAsia"/>
                <w:sz w:val="18"/>
                <w:szCs w:val="18"/>
              </w:rPr>
              <w:t>万元及以下，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w:t>
            </w:r>
            <w:r>
              <w:rPr>
                <w:rFonts w:ascii="宋体"/>
                <w:kern w:val="0"/>
                <w:sz w:val="18"/>
                <w:szCs w:val="18"/>
              </w:rPr>
              <w:t>条</w:t>
            </w:r>
            <w:r>
              <w:rPr>
                <w:rFonts w:hint="eastAsia" w:ascii="宋体"/>
                <w:kern w:val="0"/>
                <w:sz w:val="18"/>
                <w:szCs w:val="18"/>
              </w:rPr>
              <w:t>实施。</w:t>
            </w:r>
          </w:p>
        </w:tc>
      </w:tr>
      <w:tr w14:paraId="07EE7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trHeight w:val="438" w:hRule="atLeast"/>
        </w:trPr>
        <w:tc>
          <w:tcPr>
            <w:tcW w:w="684" w:type="dxa"/>
            <w:vMerge w:val="continue"/>
            <w:tcBorders>
              <w:bottom w:val="single" w:color="000000" w:sz="4" w:space="0"/>
            </w:tcBorders>
            <w:vAlign w:val="center"/>
          </w:tcPr>
          <w:p w14:paraId="6B4D44DD">
            <w:pPr>
              <w:spacing w:before="156" w:beforeLines="50" w:after="156" w:afterLines="50"/>
              <w:jc w:val="left"/>
              <w:rPr>
                <w:rFonts w:ascii="宋体"/>
                <w:kern w:val="0"/>
                <w:sz w:val="18"/>
                <w:szCs w:val="18"/>
              </w:rPr>
            </w:pPr>
          </w:p>
        </w:tc>
        <w:tc>
          <w:tcPr>
            <w:tcW w:w="1409" w:type="dxa"/>
            <w:gridSpan w:val="2"/>
            <w:vMerge w:val="continue"/>
            <w:tcBorders>
              <w:bottom w:val="single" w:color="000000" w:sz="4" w:space="0"/>
            </w:tcBorders>
            <w:vAlign w:val="center"/>
          </w:tcPr>
          <w:p w14:paraId="71F41F0B">
            <w:pPr>
              <w:pStyle w:val="13"/>
              <w:spacing w:before="156" w:beforeLines="50" w:after="156" w:afterLines="50"/>
              <w:rPr>
                <w:sz w:val="18"/>
                <w:szCs w:val="18"/>
              </w:rPr>
            </w:pPr>
          </w:p>
        </w:tc>
        <w:tc>
          <w:tcPr>
            <w:tcW w:w="1751" w:type="dxa"/>
            <w:gridSpan w:val="3"/>
            <w:vMerge w:val="continue"/>
            <w:tcBorders>
              <w:bottom w:val="single" w:color="000000" w:sz="4" w:space="0"/>
            </w:tcBorders>
            <w:vAlign w:val="center"/>
          </w:tcPr>
          <w:p w14:paraId="6E35E263">
            <w:pPr>
              <w:pStyle w:val="13"/>
              <w:spacing w:before="156" w:beforeLines="50" w:after="156" w:afterLines="50"/>
              <w:rPr>
                <w:sz w:val="18"/>
                <w:szCs w:val="18"/>
              </w:rPr>
            </w:pPr>
          </w:p>
        </w:tc>
        <w:tc>
          <w:tcPr>
            <w:tcW w:w="2218" w:type="dxa"/>
            <w:gridSpan w:val="2"/>
            <w:vMerge w:val="continue"/>
            <w:tcBorders>
              <w:bottom w:val="single" w:color="000000" w:sz="4" w:space="0"/>
            </w:tcBorders>
            <w:vAlign w:val="center"/>
          </w:tcPr>
          <w:p w14:paraId="01E666ED">
            <w:pPr>
              <w:pStyle w:val="13"/>
              <w:spacing w:before="156" w:beforeLines="50" w:after="156" w:afterLines="50"/>
              <w:rPr>
                <w:sz w:val="18"/>
                <w:szCs w:val="18"/>
              </w:rPr>
            </w:pPr>
          </w:p>
        </w:tc>
        <w:tc>
          <w:tcPr>
            <w:tcW w:w="656" w:type="dxa"/>
            <w:gridSpan w:val="2"/>
            <w:vMerge w:val="continue"/>
            <w:tcBorders>
              <w:bottom w:val="single" w:color="000000" w:sz="4" w:space="0"/>
              <w:right w:val="single" w:color="auto" w:sz="4" w:space="0"/>
            </w:tcBorders>
            <w:vAlign w:val="center"/>
          </w:tcPr>
          <w:p w14:paraId="4AF50F52">
            <w:pPr>
              <w:pStyle w:val="13"/>
              <w:spacing w:before="156" w:beforeLines="50" w:after="156" w:afterLines="50"/>
              <w:rPr>
                <w:sz w:val="18"/>
                <w:szCs w:val="18"/>
              </w:rPr>
            </w:pPr>
          </w:p>
        </w:tc>
        <w:tc>
          <w:tcPr>
            <w:tcW w:w="3666" w:type="dxa"/>
            <w:tcBorders>
              <w:top w:val="single" w:color="auto" w:sz="4" w:space="0"/>
              <w:left w:val="single" w:color="auto" w:sz="4" w:space="0"/>
              <w:bottom w:val="single" w:color="000000" w:sz="4" w:space="0"/>
            </w:tcBorders>
            <w:vAlign w:val="center"/>
          </w:tcPr>
          <w:p w14:paraId="421DA379">
            <w:pPr>
              <w:pStyle w:val="13"/>
              <w:spacing w:before="156" w:beforeLines="50" w:after="156" w:afterLines="50"/>
              <w:rPr>
                <w:sz w:val="18"/>
                <w:szCs w:val="18"/>
              </w:rPr>
            </w:pPr>
            <w:r>
              <w:rPr>
                <w:rFonts w:hint="eastAsia"/>
                <w:sz w:val="18"/>
                <w:szCs w:val="18"/>
              </w:rPr>
              <w:t>具有其他</w:t>
            </w:r>
            <w:r>
              <w:rPr>
                <w:rFonts w:hint="eastAsia" w:ascii="宋体"/>
                <w:sz w:val="18"/>
                <w:szCs w:val="18"/>
              </w:rPr>
              <w:t>严重</w:t>
            </w:r>
            <w:r>
              <w:rPr>
                <w:rFonts w:hint="eastAsia"/>
                <w:sz w:val="18"/>
                <w:szCs w:val="18"/>
              </w:rPr>
              <w:t>情节的。</w:t>
            </w:r>
          </w:p>
        </w:tc>
        <w:tc>
          <w:tcPr>
            <w:tcW w:w="10692" w:type="dxa"/>
            <w:gridSpan w:val="4"/>
            <w:tcBorders>
              <w:top w:val="single" w:color="auto" w:sz="4" w:space="0"/>
              <w:bottom w:val="single" w:color="000000" w:sz="4" w:space="0"/>
              <w:right w:val="single" w:color="auto" w:sz="4" w:space="0"/>
            </w:tcBorders>
            <w:vAlign w:val="center"/>
          </w:tcPr>
          <w:p w14:paraId="75B8F20D">
            <w:pPr>
              <w:spacing w:before="156" w:beforeLines="50" w:after="156" w:afterLines="50"/>
              <w:jc w:val="left"/>
              <w:rPr>
                <w:sz w:val="18"/>
                <w:szCs w:val="18"/>
              </w:rPr>
            </w:pPr>
            <w:r>
              <w:rPr>
                <w:rFonts w:hint="eastAsia"/>
                <w:sz w:val="18"/>
                <w:szCs w:val="18"/>
              </w:rPr>
              <w:t>5000元及以上</w:t>
            </w:r>
            <w:r>
              <w:rPr>
                <w:sz w:val="18"/>
                <w:szCs w:val="18"/>
              </w:rPr>
              <w:t>1</w:t>
            </w:r>
            <w:r>
              <w:rPr>
                <w:rFonts w:hint="eastAsia"/>
                <w:sz w:val="18"/>
                <w:szCs w:val="18"/>
              </w:rPr>
              <w:t>万元及以下，并给予暂扣船员适任证书6个月以上2年以下直至吊销船员服务簿、船员适任证书的处罚。</w:t>
            </w:r>
          </w:p>
        </w:tc>
      </w:tr>
    </w:tbl>
    <w:p w14:paraId="18CF15C0">
      <w:pPr>
        <w:spacing w:before="156" w:beforeLines="50" w:after="156" w:afterLines="50"/>
        <w:jc w:val="left"/>
        <w:rPr>
          <w:sz w:val="18"/>
          <w:szCs w:val="18"/>
        </w:rPr>
      </w:pPr>
      <w:r>
        <w:rPr>
          <w:rFonts w:hint="eastAsia"/>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1414"/>
        <w:gridCol w:w="1757"/>
        <w:gridCol w:w="2226"/>
        <w:gridCol w:w="658"/>
        <w:gridCol w:w="3678"/>
        <w:gridCol w:w="10640"/>
      </w:tblGrid>
      <w:tr w14:paraId="0AB01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686" w:type="dxa"/>
            <w:vMerge w:val="restart"/>
            <w:vAlign w:val="center"/>
          </w:tcPr>
          <w:p w14:paraId="7D11E854">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14" w:type="dxa"/>
            <w:vMerge w:val="restart"/>
            <w:vAlign w:val="center"/>
          </w:tcPr>
          <w:p w14:paraId="7C6AF259">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983" w:type="dxa"/>
            <w:gridSpan w:val="2"/>
            <w:vMerge w:val="restart"/>
            <w:vAlign w:val="center"/>
          </w:tcPr>
          <w:p w14:paraId="03D87939">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658" w:type="dxa"/>
            <w:vMerge w:val="restart"/>
            <w:vAlign w:val="center"/>
          </w:tcPr>
          <w:p w14:paraId="6AEF43EA">
            <w:pPr>
              <w:spacing w:before="156" w:beforeLines="50" w:after="156" w:afterLines="50"/>
              <w:jc w:val="center"/>
              <w:rPr>
                <w:rFonts w:ascii="宋体"/>
                <w:b/>
                <w:kern w:val="0"/>
                <w:sz w:val="18"/>
                <w:szCs w:val="18"/>
              </w:rPr>
            </w:pPr>
            <w:r>
              <w:rPr>
                <w:rFonts w:hint="eastAsia" w:ascii="宋体"/>
                <w:b/>
                <w:kern w:val="0"/>
                <w:sz w:val="18"/>
                <w:szCs w:val="18"/>
              </w:rPr>
              <w:t>违法行为情节</w:t>
            </w:r>
          </w:p>
        </w:tc>
        <w:tc>
          <w:tcPr>
            <w:tcW w:w="3678" w:type="dxa"/>
            <w:vMerge w:val="restart"/>
            <w:vAlign w:val="center"/>
          </w:tcPr>
          <w:p w14:paraId="1104B52C">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640" w:type="dxa"/>
            <w:tcBorders>
              <w:bottom w:val="single" w:color="auto" w:sz="4" w:space="0"/>
              <w:right w:val="single" w:color="auto" w:sz="4" w:space="0"/>
            </w:tcBorders>
            <w:vAlign w:val="center"/>
          </w:tcPr>
          <w:p w14:paraId="6A619C24">
            <w:pPr>
              <w:spacing w:before="156" w:beforeLines="50" w:after="156" w:afterLines="50"/>
              <w:jc w:val="left"/>
              <w:rPr>
                <w:rFonts w:ascii="宋体"/>
                <w:b/>
                <w:sz w:val="18"/>
                <w:szCs w:val="18"/>
              </w:rPr>
            </w:pPr>
            <w:r>
              <w:rPr>
                <w:rFonts w:hint="eastAsia"/>
                <w:b/>
                <w:sz w:val="18"/>
                <w:szCs w:val="18"/>
              </w:rPr>
              <w:t>【法定幅度和种类】</w:t>
            </w:r>
            <w:r>
              <w:rPr>
                <w:rFonts w:hint="eastAsia" w:ascii="宋体"/>
                <w:b/>
                <w:sz w:val="18"/>
                <w:szCs w:val="18"/>
              </w:rPr>
              <w:t>由海事管理机构处1000元以上1万元以下罚款；情节严重的，并给予暂扣船员适任证书6个月以上2年以下直至吊销船员适任证书的处罚。</w:t>
            </w:r>
          </w:p>
        </w:tc>
      </w:tr>
      <w:tr w14:paraId="22D5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686" w:type="dxa"/>
            <w:vMerge w:val="continue"/>
            <w:vAlign w:val="center"/>
          </w:tcPr>
          <w:p w14:paraId="3AA33505">
            <w:pPr>
              <w:spacing w:before="156" w:beforeLines="50" w:after="156" w:afterLines="50"/>
              <w:jc w:val="left"/>
              <w:rPr>
                <w:rFonts w:ascii="宋体"/>
                <w:b/>
                <w:kern w:val="0"/>
                <w:sz w:val="18"/>
                <w:szCs w:val="18"/>
              </w:rPr>
            </w:pPr>
          </w:p>
        </w:tc>
        <w:tc>
          <w:tcPr>
            <w:tcW w:w="1414" w:type="dxa"/>
            <w:vMerge w:val="continue"/>
            <w:vAlign w:val="center"/>
          </w:tcPr>
          <w:p w14:paraId="2E83BC7F">
            <w:pPr>
              <w:spacing w:before="156" w:beforeLines="50" w:after="156" w:afterLines="50"/>
              <w:jc w:val="left"/>
              <w:rPr>
                <w:rFonts w:ascii="宋体"/>
                <w:b/>
                <w:kern w:val="0"/>
                <w:sz w:val="18"/>
                <w:szCs w:val="18"/>
              </w:rPr>
            </w:pPr>
          </w:p>
        </w:tc>
        <w:tc>
          <w:tcPr>
            <w:tcW w:w="3983" w:type="dxa"/>
            <w:gridSpan w:val="2"/>
            <w:vMerge w:val="continue"/>
            <w:vAlign w:val="center"/>
          </w:tcPr>
          <w:p w14:paraId="3A2FF9F2">
            <w:pPr>
              <w:spacing w:before="156" w:beforeLines="50" w:after="156" w:afterLines="50"/>
              <w:jc w:val="left"/>
              <w:rPr>
                <w:rFonts w:ascii="宋体"/>
                <w:b/>
                <w:kern w:val="0"/>
                <w:sz w:val="18"/>
                <w:szCs w:val="18"/>
              </w:rPr>
            </w:pPr>
          </w:p>
        </w:tc>
        <w:tc>
          <w:tcPr>
            <w:tcW w:w="658" w:type="dxa"/>
            <w:vMerge w:val="continue"/>
            <w:vAlign w:val="center"/>
          </w:tcPr>
          <w:p w14:paraId="70348B17">
            <w:pPr>
              <w:spacing w:before="156" w:beforeLines="50" w:after="156" w:afterLines="50"/>
              <w:jc w:val="left"/>
              <w:rPr>
                <w:rFonts w:ascii="宋体"/>
                <w:b/>
                <w:kern w:val="0"/>
                <w:sz w:val="18"/>
                <w:szCs w:val="18"/>
              </w:rPr>
            </w:pPr>
          </w:p>
        </w:tc>
        <w:tc>
          <w:tcPr>
            <w:tcW w:w="3678" w:type="dxa"/>
            <w:vMerge w:val="continue"/>
            <w:vAlign w:val="center"/>
          </w:tcPr>
          <w:p w14:paraId="46808EC6">
            <w:pPr>
              <w:spacing w:before="156" w:beforeLines="50" w:after="156" w:afterLines="50"/>
              <w:jc w:val="left"/>
              <w:rPr>
                <w:rFonts w:ascii="宋体"/>
                <w:b/>
                <w:kern w:val="0"/>
                <w:sz w:val="18"/>
                <w:szCs w:val="18"/>
              </w:rPr>
            </w:pPr>
          </w:p>
        </w:tc>
        <w:tc>
          <w:tcPr>
            <w:tcW w:w="10640" w:type="dxa"/>
            <w:tcBorders>
              <w:top w:val="single" w:color="auto" w:sz="4" w:space="0"/>
              <w:bottom w:val="single" w:color="auto" w:sz="4" w:space="0"/>
              <w:right w:val="single" w:color="auto" w:sz="4" w:space="0"/>
            </w:tcBorders>
            <w:vAlign w:val="center"/>
          </w:tcPr>
          <w:p w14:paraId="48BF703D">
            <w:pPr>
              <w:spacing w:before="156" w:beforeLines="50" w:after="156" w:afterLines="50"/>
              <w:jc w:val="center"/>
              <w:rPr>
                <w:b/>
                <w:sz w:val="18"/>
                <w:szCs w:val="18"/>
              </w:rPr>
            </w:pPr>
            <w:r>
              <w:rPr>
                <w:rFonts w:hint="eastAsia" w:ascii="宋体"/>
                <w:b/>
                <w:kern w:val="0"/>
                <w:sz w:val="18"/>
                <w:szCs w:val="18"/>
              </w:rPr>
              <w:t>处罚基准</w:t>
            </w:r>
          </w:p>
        </w:tc>
      </w:tr>
      <w:tr w14:paraId="19E5F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6" w:type="dxa"/>
            <w:vMerge w:val="continue"/>
            <w:vAlign w:val="center"/>
          </w:tcPr>
          <w:p w14:paraId="0D7606B0">
            <w:pPr>
              <w:spacing w:before="156" w:beforeLines="50" w:after="156" w:afterLines="50"/>
              <w:jc w:val="left"/>
              <w:rPr>
                <w:rFonts w:ascii="宋体"/>
                <w:b/>
                <w:kern w:val="0"/>
                <w:sz w:val="18"/>
                <w:szCs w:val="18"/>
              </w:rPr>
            </w:pPr>
          </w:p>
        </w:tc>
        <w:tc>
          <w:tcPr>
            <w:tcW w:w="1414" w:type="dxa"/>
            <w:vMerge w:val="continue"/>
            <w:vAlign w:val="center"/>
          </w:tcPr>
          <w:p w14:paraId="2F8B4719">
            <w:pPr>
              <w:spacing w:before="156" w:beforeLines="50" w:after="156" w:afterLines="50"/>
              <w:jc w:val="left"/>
              <w:rPr>
                <w:rFonts w:ascii="宋体"/>
                <w:b/>
                <w:kern w:val="0"/>
                <w:sz w:val="18"/>
                <w:szCs w:val="18"/>
              </w:rPr>
            </w:pPr>
          </w:p>
        </w:tc>
        <w:tc>
          <w:tcPr>
            <w:tcW w:w="1757" w:type="dxa"/>
            <w:vAlign w:val="center"/>
          </w:tcPr>
          <w:p w14:paraId="2D94CEB2">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226" w:type="dxa"/>
            <w:vAlign w:val="center"/>
          </w:tcPr>
          <w:p w14:paraId="67D2F7BC">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658" w:type="dxa"/>
            <w:vMerge w:val="continue"/>
            <w:vAlign w:val="center"/>
          </w:tcPr>
          <w:p w14:paraId="7B4169A3">
            <w:pPr>
              <w:spacing w:before="156" w:beforeLines="50" w:after="156" w:afterLines="50"/>
              <w:jc w:val="left"/>
              <w:rPr>
                <w:rFonts w:ascii="宋体"/>
                <w:b/>
                <w:kern w:val="0"/>
                <w:sz w:val="18"/>
                <w:szCs w:val="18"/>
              </w:rPr>
            </w:pPr>
          </w:p>
        </w:tc>
        <w:tc>
          <w:tcPr>
            <w:tcW w:w="3678" w:type="dxa"/>
            <w:vMerge w:val="continue"/>
            <w:vAlign w:val="center"/>
          </w:tcPr>
          <w:p w14:paraId="7014AC3C">
            <w:pPr>
              <w:spacing w:before="156" w:beforeLines="50" w:after="156" w:afterLines="50"/>
              <w:jc w:val="left"/>
              <w:rPr>
                <w:rFonts w:ascii="宋体"/>
                <w:b/>
                <w:kern w:val="0"/>
                <w:sz w:val="18"/>
                <w:szCs w:val="18"/>
              </w:rPr>
            </w:pPr>
          </w:p>
        </w:tc>
        <w:tc>
          <w:tcPr>
            <w:tcW w:w="10640" w:type="dxa"/>
            <w:tcBorders>
              <w:top w:val="single" w:color="auto" w:sz="4" w:space="0"/>
              <w:right w:val="single" w:color="auto" w:sz="4" w:space="0"/>
            </w:tcBorders>
            <w:vAlign w:val="center"/>
          </w:tcPr>
          <w:p w14:paraId="7B2181E6">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责任船员</w:t>
            </w:r>
          </w:p>
        </w:tc>
      </w:tr>
      <w:tr w14:paraId="1D46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686" w:type="dxa"/>
            <w:vMerge w:val="restart"/>
            <w:vAlign w:val="center"/>
          </w:tcPr>
          <w:p w14:paraId="0C557E92">
            <w:pPr>
              <w:spacing w:before="156" w:beforeLines="50" w:after="156" w:afterLines="50"/>
              <w:jc w:val="center"/>
              <w:rPr>
                <w:rFonts w:ascii="宋体"/>
                <w:kern w:val="0"/>
                <w:sz w:val="18"/>
                <w:szCs w:val="18"/>
              </w:rPr>
            </w:pPr>
            <w:r>
              <w:rPr>
                <w:rFonts w:hint="eastAsia" w:ascii="宋体"/>
                <w:kern w:val="0"/>
                <w:sz w:val="18"/>
                <w:szCs w:val="18"/>
              </w:rPr>
              <w:t>84</w:t>
            </w:r>
          </w:p>
        </w:tc>
        <w:tc>
          <w:tcPr>
            <w:tcW w:w="1414" w:type="dxa"/>
            <w:vMerge w:val="restart"/>
            <w:vAlign w:val="center"/>
          </w:tcPr>
          <w:p w14:paraId="6616F062">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在船在岗期间，服用国家管制的麻醉药品或者精神药品</w:t>
            </w:r>
          </w:p>
        </w:tc>
        <w:tc>
          <w:tcPr>
            <w:tcW w:w="1757" w:type="dxa"/>
            <w:vMerge w:val="restart"/>
            <w:vAlign w:val="center"/>
          </w:tcPr>
          <w:p w14:paraId="3EC066AE">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1</w:t>
            </w:r>
            <w:r>
              <w:rPr>
                <w:sz w:val="18"/>
                <w:szCs w:val="18"/>
              </w:rPr>
              <w:t>.</w:t>
            </w:r>
            <w:r>
              <w:rPr>
                <w:rFonts w:hint="eastAsia"/>
                <w:sz w:val="18"/>
                <w:szCs w:val="18"/>
              </w:rPr>
              <w:t>《中华人民共和国船员条例》第十六条第（三）项；</w:t>
            </w:r>
          </w:p>
          <w:p w14:paraId="66FCDABC">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2</w:t>
            </w:r>
            <w:r>
              <w:rPr>
                <w:sz w:val="18"/>
                <w:szCs w:val="18"/>
              </w:rPr>
              <w:t>.</w:t>
            </w:r>
            <w:r>
              <w:rPr>
                <w:rFonts w:hint="eastAsia"/>
                <w:sz w:val="18"/>
                <w:szCs w:val="18"/>
              </w:rPr>
              <w:t>《内河船舶船员值班规则》第十五条第一款。</w:t>
            </w:r>
          </w:p>
        </w:tc>
        <w:tc>
          <w:tcPr>
            <w:tcW w:w="2226" w:type="dxa"/>
            <w:vMerge w:val="restart"/>
            <w:vAlign w:val="center"/>
          </w:tcPr>
          <w:p w14:paraId="3781EE49">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sz w:val="18"/>
                <w:szCs w:val="18"/>
              </w:rPr>
              <w:t>1</w:t>
            </w:r>
            <w:r>
              <w:rPr>
                <w:rFonts w:hint="eastAsia"/>
                <w:sz w:val="18"/>
                <w:szCs w:val="18"/>
              </w:rPr>
              <w:t>. 《中华</w:t>
            </w:r>
            <w:r>
              <w:rPr>
                <w:sz w:val="18"/>
                <w:szCs w:val="18"/>
              </w:rPr>
              <w:t>人民共和国</w:t>
            </w:r>
            <w:r>
              <w:rPr>
                <w:rFonts w:hint="eastAsia"/>
                <w:sz w:val="18"/>
                <w:szCs w:val="18"/>
              </w:rPr>
              <w:t>内河</w:t>
            </w:r>
            <w:r>
              <w:rPr>
                <w:sz w:val="18"/>
                <w:szCs w:val="18"/>
              </w:rPr>
              <w:t>海事处罚规定》</w:t>
            </w:r>
            <w:r>
              <w:rPr>
                <w:rFonts w:hint="eastAsia"/>
                <w:sz w:val="18"/>
                <w:szCs w:val="18"/>
              </w:rPr>
              <w:t>第十一条第</w:t>
            </w:r>
            <w:r>
              <w:rPr>
                <w:sz w:val="18"/>
                <w:szCs w:val="18"/>
              </w:rPr>
              <w:t>（</w:t>
            </w:r>
            <w:r>
              <w:rPr>
                <w:rFonts w:hint="eastAsia"/>
                <w:sz w:val="18"/>
                <w:szCs w:val="18"/>
              </w:rPr>
              <w:t>二</w:t>
            </w:r>
            <w:r>
              <w:rPr>
                <w:sz w:val="18"/>
                <w:szCs w:val="18"/>
              </w:rPr>
              <w:t>）项</w:t>
            </w:r>
            <w:r>
              <w:rPr>
                <w:rFonts w:hint="eastAsia"/>
                <w:sz w:val="18"/>
                <w:szCs w:val="18"/>
              </w:rPr>
              <w:t>；</w:t>
            </w:r>
          </w:p>
          <w:p w14:paraId="536F02FA">
            <w:pPr>
              <w:spacing w:before="156" w:beforeLines="50" w:after="156" w:afterLines="50"/>
              <w:jc w:val="left"/>
              <w:rPr>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658" w:type="dxa"/>
            <w:vAlign w:val="center"/>
          </w:tcPr>
          <w:p w14:paraId="0829D681">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从轻</w:t>
            </w:r>
          </w:p>
        </w:tc>
        <w:tc>
          <w:tcPr>
            <w:tcW w:w="3678" w:type="dxa"/>
            <w:vAlign w:val="center"/>
          </w:tcPr>
          <w:p w14:paraId="504A15CB">
            <w:pPr>
              <w:pStyle w:val="13"/>
              <w:pBdr>
                <w:top w:val="none" w:color="auto" w:sz="0" w:space="1"/>
                <w:left w:val="none" w:color="auto" w:sz="0" w:space="4"/>
                <w:bottom w:val="none" w:color="auto" w:sz="0" w:space="1"/>
                <w:right w:val="none" w:color="auto" w:sz="0" w:space="4"/>
              </w:pBdr>
              <w:spacing w:before="156" w:beforeLines="50" w:after="156" w:afterLines="50"/>
              <w:rPr>
                <w:sz w:val="18"/>
                <w:szCs w:val="18"/>
              </w:rPr>
            </w:pPr>
            <w:r>
              <w:rPr>
                <w:rFonts w:hint="eastAsia"/>
                <w:sz w:val="18"/>
                <w:szCs w:val="18"/>
              </w:rPr>
              <w:t>具有法定从轻情节的。</w:t>
            </w:r>
          </w:p>
        </w:tc>
        <w:tc>
          <w:tcPr>
            <w:tcW w:w="10640" w:type="dxa"/>
            <w:tcBorders>
              <w:bottom w:val="single" w:color="auto" w:sz="4" w:space="0"/>
              <w:right w:val="single" w:color="auto" w:sz="4" w:space="0"/>
            </w:tcBorders>
            <w:vAlign w:val="center"/>
          </w:tcPr>
          <w:p w14:paraId="7236A146">
            <w:pPr>
              <w:spacing w:before="156" w:beforeLines="50" w:after="156" w:afterLines="50"/>
              <w:jc w:val="left"/>
              <w:rPr>
                <w:sz w:val="18"/>
                <w:szCs w:val="18"/>
              </w:rPr>
            </w:pPr>
            <w:r>
              <w:rPr>
                <w:rFonts w:hint="eastAsia"/>
                <w:sz w:val="18"/>
                <w:szCs w:val="18"/>
              </w:rPr>
              <w:t>1000元及以上2000元以下</w:t>
            </w:r>
          </w:p>
        </w:tc>
      </w:tr>
      <w:tr w14:paraId="79B9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686" w:type="dxa"/>
            <w:vMerge w:val="continue"/>
            <w:vAlign w:val="center"/>
          </w:tcPr>
          <w:p w14:paraId="7CFCD3FC">
            <w:pPr>
              <w:spacing w:before="156" w:beforeLines="50" w:after="156" w:afterLines="50"/>
              <w:jc w:val="left"/>
              <w:rPr>
                <w:rFonts w:ascii="宋体"/>
                <w:kern w:val="0"/>
                <w:sz w:val="18"/>
                <w:szCs w:val="18"/>
              </w:rPr>
            </w:pPr>
          </w:p>
        </w:tc>
        <w:tc>
          <w:tcPr>
            <w:tcW w:w="1414" w:type="dxa"/>
            <w:vMerge w:val="continue"/>
            <w:vAlign w:val="center"/>
          </w:tcPr>
          <w:p w14:paraId="5BD9AB0A">
            <w:pPr>
              <w:pStyle w:val="13"/>
              <w:spacing w:before="156" w:beforeLines="50" w:after="156" w:afterLines="50"/>
              <w:rPr>
                <w:sz w:val="18"/>
                <w:szCs w:val="18"/>
              </w:rPr>
            </w:pPr>
          </w:p>
        </w:tc>
        <w:tc>
          <w:tcPr>
            <w:tcW w:w="1757" w:type="dxa"/>
            <w:vMerge w:val="continue"/>
            <w:vAlign w:val="center"/>
          </w:tcPr>
          <w:p w14:paraId="618004D6">
            <w:pPr>
              <w:pStyle w:val="13"/>
              <w:spacing w:before="156" w:beforeLines="50" w:after="156" w:afterLines="50"/>
              <w:rPr>
                <w:sz w:val="18"/>
                <w:szCs w:val="18"/>
              </w:rPr>
            </w:pPr>
          </w:p>
        </w:tc>
        <w:tc>
          <w:tcPr>
            <w:tcW w:w="2226" w:type="dxa"/>
            <w:vMerge w:val="continue"/>
            <w:vAlign w:val="center"/>
          </w:tcPr>
          <w:p w14:paraId="2DF6BAA5">
            <w:pPr>
              <w:pStyle w:val="13"/>
              <w:spacing w:before="156" w:beforeLines="50" w:after="156" w:afterLines="50"/>
              <w:rPr>
                <w:sz w:val="18"/>
                <w:szCs w:val="18"/>
              </w:rPr>
            </w:pPr>
          </w:p>
        </w:tc>
        <w:tc>
          <w:tcPr>
            <w:tcW w:w="658" w:type="dxa"/>
            <w:vAlign w:val="center"/>
          </w:tcPr>
          <w:p w14:paraId="4FECF0C4">
            <w:pPr>
              <w:pStyle w:val="13"/>
              <w:spacing w:before="156" w:beforeLines="50" w:after="156" w:afterLines="50"/>
              <w:rPr>
                <w:sz w:val="18"/>
                <w:szCs w:val="18"/>
              </w:rPr>
            </w:pPr>
            <w:r>
              <w:rPr>
                <w:rFonts w:hint="eastAsia"/>
                <w:sz w:val="18"/>
                <w:szCs w:val="18"/>
              </w:rPr>
              <w:t>一般</w:t>
            </w:r>
          </w:p>
        </w:tc>
        <w:tc>
          <w:tcPr>
            <w:tcW w:w="3678" w:type="dxa"/>
            <w:tcBorders>
              <w:top w:val="single" w:color="auto" w:sz="4" w:space="0"/>
              <w:bottom w:val="single" w:color="auto" w:sz="4" w:space="0"/>
            </w:tcBorders>
            <w:vAlign w:val="center"/>
          </w:tcPr>
          <w:p w14:paraId="61F21C35">
            <w:pPr>
              <w:pStyle w:val="13"/>
              <w:spacing w:before="156" w:beforeLines="50" w:after="156" w:afterLines="50"/>
              <w:rPr>
                <w:sz w:val="18"/>
                <w:szCs w:val="18"/>
              </w:rPr>
            </w:pPr>
            <w:r>
              <w:rPr>
                <w:rFonts w:hint="eastAsia"/>
                <w:sz w:val="18"/>
                <w:szCs w:val="18"/>
              </w:rPr>
              <w:t>在船在岗期间，服用国家管制的麻醉药品或者精神药品。</w:t>
            </w:r>
          </w:p>
        </w:tc>
        <w:tc>
          <w:tcPr>
            <w:tcW w:w="10640" w:type="dxa"/>
            <w:tcBorders>
              <w:right w:val="single" w:color="auto" w:sz="4" w:space="0"/>
            </w:tcBorders>
            <w:vAlign w:val="center"/>
          </w:tcPr>
          <w:p w14:paraId="5AA36BA3">
            <w:pPr>
              <w:spacing w:before="156" w:beforeLines="50" w:after="156" w:afterLines="50"/>
              <w:jc w:val="left"/>
              <w:rPr>
                <w:sz w:val="18"/>
                <w:szCs w:val="18"/>
              </w:rPr>
            </w:pPr>
            <w:r>
              <w:rPr>
                <w:rFonts w:hint="eastAsia"/>
                <w:sz w:val="18"/>
                <w:szCs w:val="18"/>
              </w:rPr>
              <w:t>2000元及以上4000元以下</w:t>
            </w:r>
          </w:p>
        </w:tc>
      </w:tr>
      <w:tr w14:paraId="1E2BC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rPr>
        <w:tc>
          <w:tcPr>
            <w:tcW w:w="686" w:type="dxa"/>
            <w:vMerge w:val="continue"/>
            <w:vAlign w:val="center"/>
          </w:tcPr>
          <w:p w14:paraId="089B53A3">
            <w:pPr>
              <w:spacing w:before="156" w:beforeLines="50" w:after="156" w:afterLines="50"/>
              <w:jc w:val="left"/>
              <w:rPr>
                <w:rFonts w:ascii="宋体"/>
                <w:kern w:val="0"/>
                <w:sz w:val="18"/>
                <w:szCs w:val="18"/>
              </w:rPr>
            </w:pPr>
          </w:p>
        </w:tc>
        <w:tc>
          <w:tcPr>
            <w:tcW w:w="1414" w:type="dxa"/>
            <w:vMerge w:val="continue"/>
            <w:vAlign w:val="center"/>
          </w:tcPr>
          <w:p w14:paraId="2C6BD336">
            <w:pPr>
              <w:pStyle w:val="13"/>
              <w:spacing w:before="156" w:beforeLines="50" w:after="156" w:afterLines="50"/>
              <w:rPr>
                <w:sz w:val="18"/>
                <w:szCs w:val="18"/>
              </w:rPr>
            </w:pPr>
          </w:p>
        </w:tc>
        <w:tc>
          <w:tcPr>
            <w:tcW w:w="1757" w:type="dxa"/>
            <w:vMerge w:val="continue"/>
            <w:vAlign w:val="center"/>
          </w:tcPr>
          <w:p w14:paraId="48906E69">
            <w:pPr>
              <w:pStyle w:val="13"/>
              <w:spacing w:before="156" w:beforeLines="50" w:after="156" w:afterLines="50"/>
              <w:rPr>
                <w:sz w:val="18"/>
                <w:szCs w:val="18"/>
              </w:rPr>
            </w:pPr>
          </w:p>
        </w:tc>
        <w:tc>
          <w:tcPr>
            <w:tcW w:w="2226" w:type="dxa"/>
            <w:vMerge w:val="continue"/>
            <w:vAlign w:val="center"/>
          </w:tcPr>
          <w:p w14:paraId="7E3EDD0E">
            <w:pPr>
              <w:pStyle w:val="13"/>
              <w:spacing w:before="156" w:beforeLines="50" w:after="156" w:afterLines="50"/>
              <w:rPr>
                <w:sz w:val="18"/>
                <w:szCs w:val="18"/>
              </w:rPr>
            </w:pPr>
          </w:p>
        </w:tc>
        <w:tc>
          <w:tcPr>
            <w:tcW w:w="658" w:type="dxa"/>
            <w:tcBorders>
              <w:top w:val="single" w:color="auto" w:sz="4" w:space="0"/>
            </w:tcBorders>
            <w:vAlign w:val="center"/>
          </w:tcPr>
          <w:p w14:paraId="1DAFB450">
            <w:pPr>
              <w:pStyle w:val="13"/>
              <w:spacing w:before="156" w:beforeLines="50" w:after="156" w:afterLines="50"/>
              <w:rPr>
                <w:sz w:val="18"/>
                <w:szCs w:val="18"/>
              </w:rPr>
            </w:pPr>
            <w:r>
              <w:rPr>
                <w:rFonts w:hint="eastAsia"/>
                <w:sz w:val="18"/>
                <w:szCs w:val="18"/>
              </w:rPr>
              <w:t>较重</w:t>
            </w:r>
          </w:p>
        </w:tc>
        <w:tc>
          <w:tcPr>
            <w:tcW w:w="3678" w:type="dxa"/>
            <w:tcBorders>
              <w:top w:val="single" w:color="auto" w:sz="4" w:space="0"/>
            </w:tcBorders>
            <w:vAlign w:val="center"/>
          </w:tcPr>
          <w:p w14:paraId="6B2AA2BE">
            <w:pPr>
              <w:pStyle w:val="13"/>
              <w:spacing w:before="156" w:beforeLines="50" w:after="156" w:afterLines="50"/>
              <w:rPr>
                <w:sz w:val="18"/>
                <w:szCs w:val="18"/>
              </w:rPr>
            </w:pPr>
            <w:r>
              <w:rPr>
                <w:rFonts w:hint="eastAsia"/>
                <w:sz w:val="18"/>
                <w:szCs w:val="18"/>
              </w:rPr>
              <w:t>在船在岗期间，服用国家管制的麻醉药品或者精神药品，造成一般以下等级水上交通事故。</w:t>
            </w:r>
          </w:p>
        </w:tc>
        <w:tc>
          <w:tcPr>
            <w:tcW w:w="10640" w:type="dxa"/>
            <w:tcBorders>
              <w:top w:val="single" w:color="auto" w:sz="4" w:space="0"/>
              <w:right w:val="single" w:color="auto" w:sz="4" w:space="0"/>
            </w:tcBorders>
            <w:vAlign w:val="center"/>
          </w:tcPr>
          <w:p w14:paraId="2A6046C9">
            <w:pPr>
              <w:spacing w:before="156" w:beforeLines="50" w:after="156" w:afterLines="50"/>
              <w:jc w:val="left"/>
              <w:rPr>
                <w:sz w:val="18"/>
                <w:szCs w:val="18"/>
              </w:rPr>
            </w:pPr>
            <w:r>
              <w:rPr>
                <w:rFonts w:hint="eastAsia"/>
                <w:sz w:val="18"/>
                <w:szCs w:val="18"/>
              </w:rPr>
              <w:t>4000元及以上5000元以下</w:t>
            </w:r>
          </w:p>
        </w:tc>
      </w:tr>
      <w:tr w14:paraId="6E17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686" w:type="dxa"/>
            <w:vMerge w:val="continue"/>
            <w:vAlign w:val="center"/>
          </w:tcPr>
          <w:p w14:paraId="6836B6DA">
            <w:pPr>
              <w:spacing w:before="156" w:beforeLines="50" w:after="156" w:afterLines="50"/>
              <w:jc w:val="left"/>
              <w:rPr>
                <w:rFonts w:ascii="宋体"/>
                <w:kern w:val="0"/>
                <w:sz w:val="18"/>
                <w:szCs w:val="18"/>
              </w:rPr>
            </w:pPr>
          </w:p>
        </w:tc>
        <w:tc>
          <w:tcPr>
            <w:tcW w:w="1414" w:type="dxa"/>
            <w:vMerge w:val="continue"/>
            <w:vAlign w:val="center"/>
          </w:tcPr>
          <w:p w14:paraId="4C23C665">
            <w:pPr>
              <w:pStyle w:val="13"/>
              <w:spacing w:before="156" w:beforeLines="50" w:after="156" w:afterLines="50"/>
              <w:rPr>
                <w:sz w:val="18"/>
                <w:szCs w:val="18"/>
              </w:rPr>
            </w:pPr>
          </w:p>
        </w:tc>
        <w:tc>
          <w:tcPr>
            <w:tcW w:w="1757" w:type="dxa"/>
            <w:vMerge w:val="continue"/>
            <w:vAlign w:val="center"/>
          </w:tcPr>
          <w:p w14:paraId="097F0708">
            <w:pPr>
              <w:pStyle w:val="13"/>
              <w:spacing w:before="156" w:beforeLines="50" w:after="156" w:afterLines="50"/>
              <w:rPr>
                <w:sz w:val="18"/>
                <w:szCs w:val="18"/>
              </w:rPr>
            </w:pPr>
          </w:p>
        </w:tc>
        <w:tc>
          <w:tcPr>
            <w:tcW w:w="2226" w:type="dxa"/>
            <w:vMerge w:val="continue"/>
            <w:vAlign w:val="center"/>
          </w:tcPr>
          <w:p w14:paraId="6ABE7F04">
            <w:pPr>
              <w:pStyle w:val="13"/>
              <w:spacing w:before="156" w:beforeLines="50" w:after="156" w:afterLines="50"/>
              <w:rPr>
                <w:sz w:val="18"/>
                <w:szCs w:val="18"/>
              </w:rPr>
            </w:pPr>
          </w:p>
        </w:tc>
        <w:tc>
          <w:tcPr>
            <w:tcW w:w="658" w:type="dxa"/>
            <w:vMerge w:val="restart"/>
            <w:tcBorders>
              <w:top w:val="single" w:color="auto" w:sz="4" w:space="0"/>
              <w:right w:val="single" w:color="auto" w:sz="4" w:space="0"/>
            </w:tcBorders>
            <w:vAlign w:val="center"/>
          </w:tcPr>
          <w:p w14:paraId="5E0B3993">
            <w:pPr>
              <w:pStyle w:val="13"/>
              <w:spacing w:before="156" w:beforeLines="50" w:after="156" w:afterLines="50"/>
              <w:rPr>
                <w:sz w:val="18"/>
                <w:szCs w:val="18"/>
              </w:rPr>
            </w:pPr>
            <w:r>
              <w:rPr>
                <w:rFonts w:hint="eastAsia"/>
                <w:sz w:val="18"/>
                <w:szCs w:val="18"/>
              </w:rPr>
              <w:t>严重</w:t>
            </w:r>
          </w:p>
        </w:tc>
        <w:tc>
          <w:tcPr>
            <w:tcW w:w="3678" w:type="dxa"/>
            <w:tcBorders>
              <w:top w:val="single" w:color="auto" w:sz="4" w:space="0"/>
              <w:left w:val="single" w:color="auto" w:sz="4" w:space="0"/>
              <w:bottom w:val="single" w:color="auto" w:sz="4" w:space="0"/>
            </w:tcBorders>
            <w:vAlign w:val="center"/>
          </w:tcPr>
          <w:p w14:paraId="7A470FCC">
            <w:pPr>
              <w:pStyle w:val="13"/>
              <w:spacing w:before="156" w:beforeLines="50" w:after="156" w:afterLines="50"/>
              <w:rPr>
                <w:sz w:val="18"/>
                <w:szCs w:val="18"/>
              </w:rPr>
            </w:pPr>
            <w:r>
              <w:rPr>
                <w:rFonts w:hint="eastAsia"/>
                <w:sz w:val="18"/>
                <w:szCs w:val="18"/>
              </w:rPr>
              <w:t>在船在岗期间，服用国家管制的麻醉药品或者精神药品，造成一般及以上等级水上交通事故。</w:t>
            </w:r>
          </w:p>
        </w:tc>
        <w:tc>
          <w:tcPr>
            <w:tcW w:w="10640" w:type="dxa"/>
            <w:tcBorders>
              <w:top w:val="single" w:color="auto" w:sz="4" w:space="0"/>
              <w:bottom w:val="single" w:color="auto" w:sz="4" w:space="0"/>
              <w:right w:val="single" w:color="auto" w:sz="4" w:space="0"/>
            </w:tcBorders>
            <w:vAlign w:val="center"/>
          </w:tcPr>
          <w:p w14:paraId="6A8671FD">
            <w:pPr>
              <w:spacing w:before="156" w:beforeLines="50" w:after="156" w:afterLines="50"/>
              <w:jc w:val="left"/>
              <w:rPr>
                <w:sz w:val="18"/>
                <w:szCs w:val="18"/>
              </w:rPr>
            </w:pPr>
            <w:r>
              <w:rPr>
                <w:rFonts w:hint="eastAsia"/>
                <w:sz w:val="18"/>
                <w:szCs w:val="18"/>
              </w:rPr>
              <w:t>6000元及以上</w:t>
            </w:r>
            <w:r>
              <w:rPr>
                <w:sz w:val="18"/>
                <w:szCs w:val="18"/>
              </w:rPr>
              <w:t>1</w:t>
            </w:r>
            <w:r>
              <w:rPr>
                <w:rFonts w:hint="eastAsia"/>
                <w:sz w:val="18"/>
                <w:szCs w:val="18"/>
              </w:rPr>
              <w:t>万元及以下，</w:t>
            </w:r>
            <w:r>
              <w:rPr>
                <w:rFonts w:hint="eastAsia" w:ascii="宋体"/>
                <w:kern w:val="0"/>
                <w:sz w:val="18"/>
                <w:szCs w:val="18"/>
              </w:rPr>
              <w:t>暂扣直至吊销证书处罚的裁量按照</w:t>
            </w:r>
            <w:r>
              <w:rPr>
                <w:rFonts w:ascii="宋体"/>
                <w:kern w:val="0"/>
                <w:sz w:val="18"/>
                <w:szCs w:val="18"/>
              </w:rPr>
              <w:t xml:space="preserve"> </w:t>
            </w: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内河海事行政处罚规定》第三十二条实施。</w:t>
            </w:r>
          </w:p>
        </w:tc>
      </w:tr>
      <w:tr w14:paraId="630F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686" w:type="dxa"/>
            <w:vMerge w:val="continue"/>
            <w:tcBorders>
              <w:bottom w:val="single" w:color="000000" w:sz="4" w:space="0"/>
            </w:tcBorders>
            <w:vAlign w:val="center"/>
          </w:tcPr>
          <w:p w14:paraId="43BD2A3C">
            <w:pPr>
              <w:spacing w:before="156" w:beforeLines="50" w:after="156" w:afterLines="50"/>
              <w:jc w:val="left"/>
              <w:rPr>
                <w:rFonts w:ascii="宋体"/>
                <w:kern w:val="0"/>
                <w:sz w:val="18"/>
                <w:szCs w:val="18"/>
              </w:rPr>
            </w:pPr>
          </w:p>
        </w:tc>
        <w:tc>
          <w:tcPr>
            <w:tcW w:w="1414" w:type="dxa"/>
            <w:vMerge w:val="continue"/>
            <w:tcBorders>
              <w:bottom w:val="single" w:color="000000" w:sz="4" w:space="0"/>
            </w:tcBorders>
            <w:vAlign w:val="center"/>
          </w:tcPr>
          <w:p w14:paraId="2054E48A">
            <w:pPr>
              <w:pStyle w:val="13"/>
              <w:spacing w:before="156" w:beforeLines="50" w:after="156" w:afterLines="50"/>
              <w:rPr>
                <w:sz w:val="18"/>
                <w:szCs w:val="18"/>
              </w:rPr>
            </w:pPr>
          </w:p>
        </w:tc>
        <w:tc>
          <w:tcPr>
            <w:tcW w:w="1757" w:type="dxa"/>
            <w:vMerge w:val="continue"/>
            <w:tcBorders>
              <w:bottom w:val="single" w:color="000000" w:sz="4" w:space="0"/>
            </w:tcBorders>
            <w:vAlign w:val="center"/>
          </w:tcPr>
          <w:p w14:paraId="3CD9EE40">
            <w:pPr>
              <w:pStyle w:val="13"/>
              <w:spacing w:before="156" w:beforeLines="50" w:after="156" w:afterLines="50"/>
              <w:rPr>
                <w:sz w:val="18"/>
                <w:szCs w:val="18"/>
              </w:rPr>
            </w:pPr>
          </w:p>
        </w:tc>
        <w:tc>
          <w:tcPr>
            <w:tcW w:w="2226" w:type="dxa"/>
            <w:vMerge w:val="continue"/>
            <w:tcBorders>
              <w:bottom w:val="single" w:color="000000" w:sz="4" w:space="0"/>
            </w:tcBorders>
            <w:vAlign w:val="center"/>
          </w:tcPr>
          <w:p w14:paraId="421E096F">
            <w:pPr>
              <w:pStyle w:val="13"/>
              <w:spacing w:before="156" w:beforeLines="50" w:after="156" w:afterLines="50"/>
              <w:rPr>
                <w:sz w:val="18"/>
                <w:szCs w:val="18"/>
              </w:rPr>
            </w:pPr>
          </w:p>
        </w:tc>
        <w:tc>
          <w:tcPr>
            <w:tcW w:w="658" w:type="dxa"/>
            <w:vMerge w:val="continue"/>
            <w:tcBorders>
              <w:bottom w:val="single" w:color="000000" w:sz="4" w:space="0"/>
              <w:right w:val="single" w:color="auto" w:sz="4" w:space="0"/>
            </w:tcBorders>
            <w:vAlign w:val="center"/>
          </w:tcPr>
          <w:p w14:paraId="0FFB3604">
            <w:pPr>
              <w:pStyle w:val="13"/>
              <w:spacing w:before="156" w:beforeLines="50" w:after="156" w:afterLines="50"/>
              <w:rPr>
                <w:sz w:val="18"/>
                <w:szCs w:val="18"/>
              </w:rPr>
            </w:pPr>
          </w:p>
        </w:tc>
        <w:tc>
          <w:tcPr>
            <w:tcW w:w="3678" w:type="dxa"/>
            <w:tcBorders>
              <w:top w:val="single" w:color="auto" w:sz="4" w:space="0"/>
              <w:left w:val="single" w:color="auto" w:sz="4" w:space="0"/>
              <w:bottom w:val="single" w:color="000000" w:sz="4" w:space="0"/>
            </w:tcBorders>
            <w:vAlign w:val="center"/>
          </w:tcPr>
          <w:p w14:paraId="0C8B51C4">
            <w:pPr>
              <w:pStyle w:val="13"/>
              <w:spacing w:before="156" w:beforeLines="50" w:after="156" w:afterLines="50"/>
              <w:rPr>
                <w:sz w:val="18"/>
                <w:szCs w:val="18"/>
              </w:rPr>
            </w:pPr>
            <w:r>
              <w:rPr>
                <w:rFonts w:hint="eastAsia"/>
                <w:sz w:val="18"/>
                <w:szCs w:val="18"/>
              </w:rPr>
              <w:t>具有其他</w:t>
            </w:r>
            <w:r>
              <w:rPr>
                <w:rFonts w:hint="eastAsia" w:ascii="宋体"/>
                <w:sz w:val="18"/>
                <w:szCs w:val="18"/>
              </w:rPr>
              <w:t>严重</w:t>
            </w:r>
            <w:r>
              <w:rPr>
                <w:rFonts w:hint="eastAsia"/>
                <w:sz w:val="18"/>
                <w:szCs w:val="18"/>
              </w:rPr>
              <w:t>情节的。</w:t>
            </w:r>
          </w:p>
        </w:tc>
        <w:tc>
          <w:tcPr>
            <w:tcW w:w="10640" w:type="dxa"/>
            <w:tcBorders>
              <w:top w:val="single" w:color="auto" w:sz="4" w:space="0"/>
              <w:bottom w:val="single" w:color="000000" w:sz="4" w:space="0"/>
              <w:right w:val="single" w:color="auto" w:sz="4" w:space="0"/>
            </w:tcBorders>
            <w:vAlign w:val="center"/>
          </w:tcPr>
          <w:p w14:paraId="77265832">
            <w:pPr>
              <w:spacing w:before="156" w:beforeLines="50" w:after="156" w:afterLines="50"/>
              <w:jc w:val="left"/>
              <w:rPr>
                <w:sz w:val="18"/>
                <w:szCs w:val="18"/>
              </w:rPr>
            </w:pPr>
            <w:r>
              <w:rPr>
                <w:rFonts w:hint="eastAsia"/>
                <w:sz w:val="18"/>
                <w:szCs w:val="18"/>
              </w:rPr>
              <w:t>5000元及以上</w:t>
            </w:r>
            <w:r>
              <w:rPr>
                <w:sz w:val="18"/>
                <w:szCs w:val="18"/>
              </w:rPr>
              <w:t>1</w:t>
            </w:r>
            <w:r>
              <w:rPr>
                <w:rFonts w:hint="eastAsia"/>
                <w:sz w:val="18"/>
                <w:szCs w:val="18"/>
              </w:rPr>
              <w:t>万元及以下，并给予暂扣船员适任证书6个月以上2年以下直至吊销船员适任证书的处罚。</w:t>
            </w:r>
          </w:p>
        </w:tc>
      </w:tr>
    </w:tbl>
    <w:p w14:paraId="5D21CEDD">
      <w:pPr>
        <w:spacing w:before="156" w:beforeLines="50" w:after="156" w:afterLines="50"/>
        <w:jc w:val="left"/>
        <w:rPr>
          <w:rFonts w:ascii="宋体"/>
          <w:b/>
          <w:sz w:val="18"/>
          <w:szCs w:val="18"/>
        </w:rPr>
      </w:pPr>
      <w:r>
        <w:rPr>
          <w:rFonts w:ascii="宋体"/>
          <w:b/>
          <w:sz w:val="18"/>
          <w:szCs w:val="18"/>
        </w:rPr>
        <w:br w:type="page"/>
      </w:r>
    </w:p>
    <w:tbl>
      <w:tblPr>
        <w:tblStyle w:val="6"/>
        <w:tblW w:w="21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31"/>
        <w:gridCol w:w="1231"/>
        <w:gridCol w:w="1395"/>
        <w:gridCol w:w="1635"/>
        <w:gridCol w:w="1410"/>
        <w:gridCol w:w="4080"/>
        <w:gridCol w:w="10293"/>
      </w:tblGrid>
      <w:tr w14:paraId="4D11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restart"/>
            <w:vAlign w:val="center"/>
          </w:tcPr>
          <w:p w14:paraId="53636FA6">
            <w:pPr>
              <w:spacing w:before="156" w:beforeLines="50" w:after="156" w:afterLines="50" w:line="240" w:lineRule="exact"/>
              <w:jc w:val="center"/>
              <w:rPr>
                <w:rFonts w:ascii="宋体"/>
                <w:b/>
                <w:kern w:val="0"/>
                <w:sz w:val="18"/>
                <w:szCs w:val="18"/>
              </w:rPr>
            </w:pPr>
            <w:r>
              <w:rPr>
                <w:rFonts w:hint="eastAsia" w:ascii="宋体"/>
                <w:b/>
                <w:kern w:val="0"/>
                <w:sz w:val="18"/>
                <w:szCs w:val="18"/>
              </w:rPr>
              <w:t>序号</w:t>
            </w:r>
          </w:p>
        </w:tc>
        <w:tc>
          <w:tcPr>
            <w:tcW w:w="1231" w:type="dxa"/>
            <w:vMerge w:val="restart"/>
            <w:vAlign w:val="center"/>
          </w:tcPr>
          <w:p w14:paraId="0435D51D">
            <w:pPr>
              <w:spacing w:before="156" w:beforeLines="50" w:after="156" w:afterLines="50" w:line="240" w:lineRule="exact"/>
              <w:jc w:val="center"/>
              <w:rPr>
                <w:rFonts w:ascii="宋体"/>
                <w:b/>
                <w:kern w:val="0"/>
                <w:sz w:val="18"/>
                <w:szCs w:val="18"/>
              </w:rPr>
            </w:pPr>
            <w:r>
              <w:rPr>
                <w:rFonts w:hint="eastAsia" w:ascii="宋体"/>
                <w:b/>
                <w:kern w:val="0"/>
                <w:sz w:val="18"/>
                <w:szCs w:val="18"/>
              </w:rPr>
              <w:t>案由</w:t>
            </w:r>
          </w:p>
        </w:tc>
        <w:tc>
          <w:tcPr>
            <w:tcW w:w="3030" w:type="dxa"/>
            <w:gridSpan w:val="2"/>
            <w:vAlign w:val="center"/>
          </w:tcPr>
          <w:p w14:paraId="5D8C8EF0">
            <w:pPr>
              <w:spacing w:before="156" w:beforeLines="50" w:after="156" w:afterLines="50" w:line="240" w:lineRule="exact"/>
              <w:jc w:val="center"/>
              <w:rPr>
                <w:rFonts w:ascii="宋体"/>
                <w:b/>
                <w:kern w:val="0"/>
                <w:sz w:val="18"/>
                <w:szCs w:val="18"/>
              </w:rPr>
            </w:pPr>
            <w:r>
              <w:rPr>
                <w:rFonts w:hint="eastAsia" w:ascii="宋体"/>
                <w:b/>
                <w:sz w:val="18"/>
                <w:szCs w:val="18"/>
              </w:rPr>
              <w:t>法律依据</w:t>
            </w:r>
          </w:p>
        </w:tc>
        <w:tc>
          <w:tcPr>
            <w:tcW w:w="1410" w:type="dxa"/>
            <w:vMerge w:val="restart"/>
            <w:vAlign w:val="center"/>
          </w:tcPr>
          <w:p w14:paraId="5FEB2A7E">
            <w:pPr>
              <w:spacing w:before="156" w:beforeLines="50" w:after="156" w:afterLines="50" w:line="240" w:lineRule="exact"/>
              <w:jc w:val="center"/>
              <w:rPr>
                <w:rFonts w:ascii="宋体"/>
                <w:b/>
                <w:kern w:val="0"/>
                <w:sz w:val="18"/>
                <w:szCs w:val="18"/>
              </w:rPr>
            </w:pPr>
            <w:r>
              <w:rPr>
                <w:rFonts w:hint="eastAsia" w:ascii="宋体"/>
                <w:b/>
                <w:sz w:val="18"/>
                <w:szCs w:val="18"/>
              </w:rPr>
              <w:t>违法情节</w:t>
            </w:r>
          </w:p>
        </w:tc>
        <w:tc>
          <w:tcPr>
            <w:tcW w:w="4080" w:type="dxa"/>
            <w:vMerge w:val="restart"/>
            <w:vAlign w:val="center"/>
          </w:tcPr>
          <w:p w14:paraId="467B1E7C">
            <w:pPr>
              <w:spacing w:before="156" w:beforeLines="50" w:after="156" w:afterLines="50" w:line="240" w:lineRule="exact"/>
              <w:jc w:val="center"/>
              <w:rPr>
                <w:rFonts w:ascii="宋体"/>
                <w:b/>
                <w:kern w:val="0"/>
                <w:sz w:val="18"/>
                <w:szCs w:val="18"/>
              </w:rPr>
            </w:pPr>
            <w:r>
              <w:rPr>
                <w:rFonts w:hint="eastAsia" w:ascii="宋体"/>
                <w:b/>
                <w:sz w:val="18"/>
                <w:szCs w:val="18"/>
              </w:rPr>
              <w:t>主要考虑因素（事实、性质、情节、危害程度和实际后果等）</w:t>
            </w:r>
          </w:p>
        </w:tc>
        <w:tc>
          <w:tcPr>
            <w:tcW w:w="10293" w:type="dxa"/>
            <w:vAlign w:val="center"/>
          </w:tcPr>
          <w:p w14:paraId="5BDE6AE8">
            <w:pPr>
              <w:spacing w:before="156" w:beforeLines="50" w:after="156" w:afterLines="50" w:line="240" w:lineRule="exact"/>
              <w:jc w:val="left"/>
              <w:rPr>
                <w:rFonts w:ascii="宋体"/>
                <w:b/>
                <w:kern w:val="0"/>
                <w:sz w:val="18"/>
                <w:szCs w:val="18"/>
              </w:rPr>
            </w:pPr>
            <w:r>
              <w:rPr>
                <w:rFonts w:hint="eastAsia" w:ascii="宋体"/>
                <w:b/>
                <w:sz w:val="18"/>
                <w:szCs w:val="18"/>
              </w:rPr>
              <w:t>【法定幅度和种类】</w:t>
            </w:r>
            <w:r>
              <w:rPr>
                <w:rFonts w:hint="eastAsia" w:ascii="宋体"/>
                <w:b/>
                <w:bCs/>
                <w:sz w:val="18"/>
                <w:szCs w:val="18"/>
              </w:rPr>
              <w:t>处2000元以上2万元以下罚款；情节严重的，并给予暂扣船员适任证书6个月以上2年以下直至吊销船员适任证书的处罚。</w:t>
            </w:r>
          </w:p>
        </w:tc>
      </w:tr>
      <w:tr w14:paraId="6C579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14:paraId="1026E61B">
            <w:pPr>
              <w:spacing w:before="156" w:beforeLines="50" w:after="156" w:afterLines="50" w:line="240" w:lineRule="exact"/>
              <w:jc w:val="center"/>
              <w:rPr>
                <w:rFonts w:ascii="宋体"/>
                <w:b/>
                <w:kern w:val="0"/>
                <w:sz w:val="18"/>
                <w:szCs w:val="18"/>
              </w:rPr>
            </w:pPr>
          </w:p>
        </w:tc>
        <w:tc>
          <w:tcPr>
            <w:tcW w:w="1231" w:type="dxa"/>
            <w:vMerge w:val="continue"/>
            <w:vAlign w:val="center"/>
          </w:tcPr>
          <w:p w14:paraId="177DCC04">
            <w:pPr>
              <w:spacing w:before="156" w:beforeLines="50" w:after="156" w:afterLines="50" w:line="240" w:lineRule="exact"/>
              <w:jc w:val="center"/>
              <w:rPr>
                <w:rFonts w:ascii="宋体"/>
                <w:b/>
                <w:kern w:val="0"/>
                <w:sz w:val="18"/>
                <w:szCs w:val="18"/>
              </w:rPr>
            </w:pPr>
          </w:p>
        </w:tc>
        <w:tc>
          <w:tcPr>
            <w:tcW w:w="1395" w:type="dxa"/>
            <w:vAlign w:val="center"/>
          </w:tcPr>
          <w:p w14:paraId="7A7B1781">
            <w:pPr>
              <w:spacing w:before="156" w:beforeLines="50" w:after="156" w:afterLines="50" w:line="240" w:lineRule="exact"/>
              <w:jc w:val="center"/>
              <w:rPr>
                <w:rFonts w:ascii="宋体"/>
                <w:b/>
                <w:kern w:val="0"/>
                <w:sz w:val="18"/>
                <w:szCs w:val="18"/>
              </w:rPr>
            </w:pPr>
            <w:r>
              <w:rPr>
                <w:rFonts w:hint="eastAsia" w:ascii="宋体"/>
                <w:b/>
                <w:sz w:val="18"/>
                <w:szCs w:val="18"/>
              </w:rPr>
              <w:t>违反条款</w:t>
            </w:r>
          </w:p>
        </w:tc>
        <w:tc>
          <w:tcPr>
            <w:tcW w:w="1635" w:type="dxa"/>
            <w:vAlign w:val="center"/>
          </w:tcPr>
          <w:p w14:paraId="06A672FC">
            <w:pPr>
              <w:spacing w:before="156" w:beforeLines="50" w:after="156" w:afterLines="50" w:line="240" w:lineRule="exact"/>
              <w:jc w:val="center"/>
              <w:rPr>
                <w:rFonts w:ascii="宋体"/>
                <w:b/>
                <w:kern w:val="0"/>
                <w:sz w:val="18"/>
                <w:szCs w:val="18"/>
              </w:rPr>
            </w:pPr>
            <w:r>
              <w:rPr>
                <w:rFonts w:hint="eastAsia" w:ascii="宋体"/>
                <w:b/>
                <w:sz w:val="18"/>
                <w:szCs w:val="18"/>
              </w:rPr>
              <w:t>处罚依据</w:t>
            </w:r>
          </w:p>
        </w:tc>
        <w:tc>
          <w:tcPr>
            <w:tcW w:w="1410" w:type="dxa"/>
            <w:vMerge w:val="continue"/>
            <w:vAlign w:val="center"/>
          </w:tcPr>
          <w:p w14:paraId="51752DCF">
            <w:pPr>
              <w:spacing w:before="156" w:beforeLines="50" w:after="156" w:afterLines="50" w:line="240" w:lineRule="exact"/>
              <w:jc w:val="center"/>
              <w:rPr>
                <w:rFonts w:ascii="宋体"/>
                <w:b/>
                <w:kern w:val="0"/>
                <w:sz w:val="18"/>
                <w:szCs w:val="18"/>
              </w:rPr>
            </w:pPr>
          </w:p>
        </w:tc>
        <w:tc>
          <w:tcPr>
            <w:tcW w:w="4080" w:type="dxa"/>
            <w:vMerge w:val="continue"/>
            <w:vAlign w:val="center"/>
          </w:tcPr>
          <w:p w14:paraId="5A506DA5">
            <w:pPr>
              <w:spacing w:before="156" w:beforeLines="50" w:after="156" w:afterLines="50" w:line="240" w:lineRule="exact"/>
              <w:jc w:val="center"/>
              <w:rPr>
                <w:rFonts w:ascii="宋体"/>
                <w:b/>
                <w:kern w:val="0"/>
                <w:sz w:val="18"/>
                <w:szCs w:val="18"/>
              </w:rPr>
            </w:pPr>
          </w:p>
        </w:tc>
        <w:tc>
          <w:tcPr>
            <w:tcW w:w="10293" w:type="dxa"/>
            <w:tcBorders>
              <w:top w:val="single" w:color="auto" w:sz="4" w:space="0"/>
              <w:right w:val="single" w:color="auto" w:sz="4" w:space="0"/>
            </w:tcBorders>
            <w:vAlign w:val="center"/>
          </w:tcPr>
          <w:p w14:paraId="21693770">
            <w:pPr>
              <w:spacing w:before="156" w:beforeLines="50" w:after="156" w:afterLines="50" w:line="240" w:lineRule="exact"/>
              <w:jc w:val="center"/>
              <w:rPr>
                <w:rFonts w:ascii="宋体"/>
                <w:b/>
                <w:kern w:val="0"/>
                <w:sz w:val="18"/>
                <w:szCs w:val="18"/>
              </w:rPr>
            </w:pPr>
            <w:r>
              <w:rPr>
                <w:rFonts w:hint="eastAsia" w:ascii="宋体"/>
                <w:b/>
                <w:sz w:val="18"/>
                <w:szCs w:val="18"/>
              </w:rPr>
              <w:t>【对象】船长</w:t>
            </w:r>
          </w:p>
        </w:tc>
      </w:tr>
      <w:tr w14:paraId="3DF2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restart"/>
            <w:vAlign w:val="center"/>
          </w:tcPr>
          <w:p w14:paraId="616A210C">
            <w:pPr>
              <w:spacing w:before="156" w:beforeLines="50" w:after="156" w:afterLines="50" w:line="240" w:lineRule="exact"/>
              <w:jc w:val="center"/>
              <w:rPr>
                <w:rFonts w:ascii="宋体"/>
                <w:kern w:val="0"/>
                <w:sz w:val="18"/>
                <w:szCs w:val="18"/>
              </w:rPr>
            </w:pPr>
            <w:r>
              <w:rPr>
                <w:rFonts w:hint="eastAsia" w:ascii="宋体"/>
                <w:kern w:val="0"/>
                <w:sz w:val="18"/>
                <w:szCs w:val="18"/>
              </w:rPr>
              <w:t>85</w:t>
            </w:r>
          </w:p>
        </w:tc>
        <w:tc>
          <w:tcPr>
            <w:tcW w:w="1231" w:type="dxa"/>
            <w:vMerge w:val="restart"/>
            <w:vAlign w:val="center"/>
          </w:tcPr>
          <w:p w14:paraId="00C4583C">
            <w:pPr>
              <w:spacing w:before="156" w:beforeLines="50" w:after="156" w:afterLines="50" w:line="240" w:lineRule="exact"/>
              <w:jc w:val="left"/>
              <w:rPr>
                <w:rFonts w:ascii="宋体"/>
                <w:kern w:val="0"/>
                <w:sz w:val="18"/>
                <w:szCs w:val="18"/>
              </w:rPr>
            </w:pPr>
            <w:r>
              <w:rPr>
                <w:rFonts w:hint="eastAsia" w:ascii="宋体"/>
                <w:kern w:val="0"/>
                <w:sz w:val="18"/>
                <w:szCs w:val="18"/>
              </w:rPr>
              <w:t>船长未在船员服务簿内如实记载船员的履职情况的</w:t>
            </w:r>
          </w:p>
        </w:tc>
        <w:tc>
          <w:tcPr>
            <w:tcW w:w="1395" w:type="dxa"/>
            <w:vMerge w:val="restart"/>
            <w:vAlign w:val="center"/>
          </w:tcPr>
          <w:p w14:paraId="3FF92175">
            <w:pPr>
              <w:widowControl/>
              <w:spacing w:before="156" w:beforeLines="50" w:after="156" w:afterLines="50" w:line="240" w:lineRule="exact"/>
              <w:jc w:val="left"/>
              <w:rPr>
                <w:rFonts w:ascii="宋体"/>
                <w:kern w:val="0"/>
                <w:sz w:val="18"/>
                <w:szCs w:val="18"/>
              </w:rPr>
            </w:pPr>
            <w:r>
              <w:rPr>
                <w:rFonts w:hint="eastAsia" w:ascii="宋体"/>
                <w:kern w:val="0"/>
                <w:sz w:val="18"/>
                <w:szCs w:val="18"/>
              </w:rPr>
              <w:t>《中华人民共和国船员条例》第十八条第（五）项</w:t>
            </w:r>
          </w:p>
        </w:tc>
        <w:tc>
          <w:tcPr>
            <w:tcW w:w="1635" w:type="dxa"/>
            <w:vMerge w:val="restart"/>
            <w:vAlign w:val="center"/>
          </w:tcPr>
          <w:p w14:paraId="4CA39D96">
            <w:pPr>
              <w:widowControl/>
              <w:spacing w:before="156" w:beforeLines="50" w:after="156" w:afterLines="50" w:line="240" w:lineRule="exact"/>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《中华人民共和国船员条例》第五十三条第（三）项；</w:t>
            </w:r>
          </w:p>
          <w:p w14:paraId="47E21BFF">
            <w:pPr>
              <w:widowControl/>
              <w:spacing w:before="156" w:beforeLines="50" w:after="156" w:afterLines="50" w:line="240" w:lineRule="exact"/>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《中华人民共和国行政处罚法》第三十二条（从轻）。</w:t>
            </w:r>
          </w:p>
        </w:tc>
        <w:tc>
          <w:tcPr>
            <w:tcW w:w="1410" w:type="dxa"/>
            <w:vAlign w:val="center"/>
          </w:tcPr>
          <w:p w14:paraId="1FF5224B">
            <w:pPr>
              <w:spacing w:before="156" w:beforeLines="50" w:after="156" w:afterLines="50" w:line="240" w:lineRule="exact"/>
              <w:jc w:val="center"/>
              <w:rPr>
                <w:rFonts w:ascii="宋体"/>
                <w:kern w:val="0"/>
                <w:sz w:val="18"/>
                <w:szCs w:val="18"/>
              </w:rPr>
            </w:pPr>
            <w:r>
              <w:rPr>
                <w:rFonts w:hint="eastAsia" w:ascii="宋体"/>
                <w:sz w:val="18"/>
                <w:szCs w:val="18"/>
              </w:rPr>
              <w:t>从轻</w:t>
            </w:r>
          </w:p>
        </w:tc>
        <w:tc>
          <w:tcPr>
            <w:tcW w:w="4080" w:type="dxa"/>
            <w:vAlign w:val="center"/>
          </w:tcPr>
          <w:p w14:paraId="34C074AB">
            <w:pPr>
              <w:widowControl/>
              <w:spacing w:before="156" w:beforeLines="50" w:after="156" w:afterLines="50" w:line="240" w:lineRule="exact"/>
              <w:jc w:val="left"/>
              <w:rPr>
                <w:rFonts w:ascii="宋体"/>
                <w:kern w:val="0"/>
                <w:sz w:val="18"/>
                <w:szCs w:val="18"/>
              </w:rPr>
            </w:pPr>
            <w:r>
              <w:rPr>
                <w:rFonts w:hint="eastAsia" w:ascii="宋体"/>
                <w:kern w:val="0"/>
                <w:sz w:val="18"/>
                <w:szCs w:val="18"/>
              </w:rPr>
              <w:t>具有法定从轻处罚情节的</w:t>
            </w:r>
          </w:p>
        </w:tc>
        <w:tc>
          <w:tcPr>
            <w:tcW w:w="10293" w:type="dxa"/>
            <w:tcBorders>
              <w:right w:val="single" w:color="auto" w:sz="4" w:space="0"/>
            </w:tcBorders>
            <w:vAlign w:val="center"/>
          </w:tcPr>
          <w:p w14:paraId="7BB3869A">
            <w:pPr>
              <w:widowControl/>
              <w:spacing w:before="156" w:beforeLines="50" w:after="156" w:afterLines="50" w:line="240" w:lineRule="exact"/>
              <w:jc w:val="center"/>
              <w:rPr>
                <w:rFonts w:ascii="宋体"/>
                <w:kern w:val="0"/>
                <w:sz w:val="18"/>
                <w:szCs w:val="18"/>
              </w:rPr>
            </w:pPr>
            <w:r>
              <w:rPr>
                <w:rFonts w:hint="eastAsia" w:ascii="宋体"/>
                <w:kern w:val="0"/>
                <w:sz w:val="18"/>
                <w:szCs w:val="18"/>
              </w:rPr>
              <w:t>2000元</w:t>
            </w:r>
          </w:p>
        </w:tc>
      </w:tr>
      <w:tr w14:paraId="3706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14:paraId="1E27DC92">
            <w:pPr>
              <w:spacing w:before="156" w:beforeLines="50" w:after="156" w:afterLines="50" w:line="240" w:lineRule="exact"/>
              <w:jc w:val="left"/>
              <w:rPr>
                <w:rFonts w:ascii="宋体"/>
                <w:kern w:val="0"/>
              </w:rPr>
            </w:pPr>
          </w:p>
        </w:tc>
        <w:tc>
          <w:tcPr>
            <w:tcW w:w="1231" w:type="dxa"/>
            <w:vMerge w:val="continue"/>
            <w:vAlign w:val="center"/>
          </w:tcPr>
          <w:p w14:paraId="1543B168">
            <w:pPr>
              <w:spacing w:before="156" w:beforeLines="50" w:after="156" w:afterLines="50" w:line="240" w:lineRule="exact"/>
              <w:jc w:val="left"/>
              <w:rPr>
                <w:rFonts w:ascii="宋体"/>
                <w:kern w:val="0"/>
                <w:sz w:val="18"/>
                <w:szCs w:val="18"/>
              </w:rPr>
            </w:pPr>
          </w:p>
        </w:tc>
        <w:tc>
          <w:tcPr>
            <w:tcW w:w="1395" w:type="dxa"/>
            <w:vMerge w:val="continue"/>
            <w:vAlign w:val="center"/>
          </w:tcPr>
          <w:p w14:paraId="425D906A">
            <w:pPr>
              <w:widowControl/>
              <w:spacing w:before="156" w:beforeLines="50" w:after="156" w:afterLines="50" w:line="240" w:lineRule="exact"/>
              <w:jc w:val="left"/>
              <w:rPr>
                <w:rFonts w:ascii="宋体"/>
                <w:kern w:val="0"/>
                <w:sz w:val="18"/>
                <w:szCs w:val="18"/>
              </w:rPr>
            </w:pPr>
          </w:p>
        </w:tc>
        <w:tc>
          <w:tcPr>
            <w:tcW w:w="1635" w:type="dxa"/>
            <w:vMerge w:val="continue"/>
            <w:vAlign w:val="center"/>
          </w:tcPr>
          <w:p w14:paraId="66A38F5D">
            <w:pPr>
              <w:spacing w:before="156" w:beforeLines="50" w:after="156" w:afterLines="50" w:line="240" w:lineRule="exact"/>
              <w:jc w:val="left"/>
              <w:rPr>
                <w:rFonts w:ascii="宋体"/>
                <w:kern w:val="0"/>
                <w:sz w:val="18"/>
                <w:szCs w:val="18"/>
              </w:rPr>
            </w:pPr>
          </w:p>
        </w:tc>
        <w:tc>
          <w:tcPr>
            <w:tcW w:w="1410" w:type="dxa"/>
            <w:vMerge w:val="restart"/>
            <w:vAlign w:val="center"/>
          </w:tcPr>
          <w:p w14:paraId="19910A9F">
            <w:pPr>
              <w:spacing w:before="156" w:beforeLines="50" w:after="156" w:afterLines="50" w:line="240" w:lineRule="exact"/>
              <w:jc w:val="center"/>
              <w:rPr>
                <w:rFonts w:ascii="宋体"/>
                <w:kern w:val="0"/>
                <w:sz w:val="18"/>
                <w:szCs w:val="18"/>
              </w:rPr>
            </w:pPr>
            <w:r>
              <w:rPr>
                <w:rFonts w:hint="eastAsia" w:ascii="宋体"/>
                <w:sz w:val="18"/>
                <w:szCs w:val="18"/>
              </w:rPr>
              <w:t>一般</w:t>
            </w:r>
          </w:p>
        </w:tc>
        <w:tc>
          <w:tcPr>
            <w:tcW w:w="4080" w:type="dxa"/>
            <w:vAlign w:val="center"/>
          </w:tcPr>
          <w:p w14:paraId="76C8D9C2">
            <w:pPr>
              <w:widowControl/>
              <w:spacing w:before="156" w:beforeLines="50" w:after="156" w:afterLines="50" w:line="240" w:lineRule="exact"/>
              <w:jc w:val="left"/>
              <w:rPr>
                <w:rFonts w:ascii="宋体"/>
                <w:kern w:val="0"/>
                <w:sz w:val="18"/>
                <w:szCs w:val="18"/>
              </w:rPr>
            </w:pPr>
            <w:r>
              <w:rPr>
                <w:rFonts w:hint="eastAsia" w:ascii="宋体"/>
                <w:kern w:val="0"/>
                <w:sz w:val="18"/>
                <w:szCs w:val="18"/>
              </w:rPr>
              <w:t>未如实记载的</w:t>
            </w:r>
          </w:p>
        </w:tc>
        <w:tc>
          <w:tcPr>
            <w:tcW w:w="10293" w:type="dxa"/>
            <w:tcBorders>
              <w:right w:val="single" w:color="auto" w:sz="4" w:space="0"/>
            </w:tcBorders>
            <w:vAlign w:val="center"/>
          </w:tcPr>
          <w:p w14:paraId="2D4E4FE3">
            <w:pPr>
              <w:widowControl/>
              <w:spacing w:before="156" w:beforeLines="50" w:after="156" w:afterLines="50" w:line="240" w:lineRule="exact"/>
              <w:jc w:val="center"/>
              <w:rPr>
                <w:rFonts w:ascii="宋体"/>
                <w:kern w:val="0"/>
                <w:sz w:val="18"/>
                <w:szCs w:val="18"/>
              </w:rPr>
            </w:pPr>
            <w:r>
              <w:rPr>
                <w:rFonts w:hint="eastAsia" w:ascii="宋体"/>
                <w:kern w:val="0"/>
                <w:sz w:val="18"/>
                <w:szCs w:val="18"/>
              </w:rPr>
              <w:t>5000元，每增加1名船员，加罚1000元</w:t>
            </w:r>
          </w:p>
        </w:tc>
      </w:tr>
      <w:tr w14:paraId="3E16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14:paraId="7C9D6835">
            <w:pPr>
              <w:spacing w:before="156" w:beforeLines="50" w:after="156" w:afterLines="50" w:line="240" w:lineRule="exact"/>
              <w:jc w:val="left"/>
              <w:rPr>
                <w:rFonts w:ascii="宋体"/>
                <w:kern w:val="0"/>
              </w:rPr>
            </w:pPr>
          </w:p>
        </w:tc>
        <w:tc>
          <w:tcPr>
            <w:tcW w:w="1231" w:type="dxa"/>
            <w:vMerge w:val="continue"/>
            <w:vAlign w:val="center"/>
          </w:tcPr>
          <w:p w14:paraId="67FD1ED7">
            <w:pPr>
              <w:spacing w:before="156" w:beforeLines="50" w:after="156" w:afterLines="50" w:line="240" w:lineRule="exact"/>
              <w:jc w:val="left"/>
              <w:rPr>
                <w:rFonts w:ascii="宋体"/>
                <w:kern w:val="0"/>
                <w:sz w:val="18"/>
                <w:szCs w:val="18"/>
              </w:rPr>
            </w:pPr>
          </w:p>
        </w:tc>
        <w:tc>
          <w:tcPr>
            <w:tcW w:w="1395" w:type="dxa"/>
            <w:vMerge w:val="continue"/>
            <w:vAlign w:val="center"/>
          </w:tcPr>
          <w:p w14:paraId="5748CE1D">
            <w:pPr>
              <w:spacing w:before="156" w:beforeLines="50" w:after="156" w:afterLines="50" w:line="240" w:lineRule="exact"/>
              <w:jc w:val="left"/>
              <w:rPr>
                <w:rFonts w:ascii="宋体"/>
                <w:kern w:val="0"/>
                <w:sz w:val="18"/>
                <w:szCs w:val="18"/>
              </w:rPr>
            </w:pPr>
          </w:p>
        </w:tc>
        <w:tc>
          <w:tcPr>
            <w:tcW w:w="1635" w:type="dxa"/>
            <w:vMerge w:val="continue"/>
            <w:vAlign w:val="center"/>
          </w:tcPr>
          <w:p w14:paraId="25D024D3">
            <w:pPr>
              <w:spacing w:before="156" w:beforeLines="50" w:after="156" w:afterLines="50" w:line="240" w:lineRule="exact"/>
              <w:jc w:val="left"/>
              <w:rPr>
                <w:rFonts w:ascii="宋体"/>
                <w:kern w:val="0"/>
                <w:sz w:val="18"/>
                <w:szCs w:val="18"/>
              </w:rPr>
            </w:pPr>
          </w:p>
        </w:tc>
        <w:tc>
          <w:tcPr>
            <w:tcW w:w="1410" w:type="dxa"/>
            <w:vMerge w:val="continue"/>
            <w:vAlign w:val="center"/>
          </w:tcPr>
          <w:p w14:paraId="7F0944B3">
            <w:pPr>
              <w:spacing w:before="156" w:beforeLines="50" w:after="156" w:afterLines="50" w:line="240" w:lineRule="exact"/>
              <w:jc w:val="center"/>
              <w:rPr>
                <w:rFonts w:ascii="宋体"/>
                <w:kern w:val="0"/>
                <w:sz w:val="18"/>
                <w:szCs w:val="18"/>
              </w:rPr>
            </w:pPr>
          </w:p>
        </w:tc>
        <w:tc>
          <w:tcPr>
            <w:tcW w:w="4080" w:type="dxa"/>
            <w:vAlign w:val="center"/>
          </w:tcPr>
          <w:p w14:paraId="23488689">
            <w:pPr>
              <w:widowControl/>
              <w:spacing w:before="156" w:beforeLines="50" w:after="156" w:afterLines="50" w:line="240" w:lineRule="exact"/>
              <w:jc w:val="left"/>
              <w:rPr>
                <w:rFonts w:ascii="宋体"/>
                <w:kern w:val="0"/>
                <w:sz w:val="18"/>
                <w:szCs w:val="18"/>
              </w:rPr>
            </w:pPr>
            <w:r>
              <w:rPr>
                <w:rFonts w:hint="eastAsia" w:ascii="宋体"/>
                <w:kern w:val="0"/>
                <w:sz w:val="18"/>
                <w:szCs w:val="18"/>
              </w:rPr>
              <w:t>具有其他从重情节的</w:t>
            </w:r>
          </w:p>
        </w:tc>
        <w:tc>
          <w:tcPr>
            <w:tcW w:w="10293" w:type="dxa"/>
            <w:tcBorders>
              <w:right w:val="single" w:color="auto" w:sz="4" w:space="0"/>
            </w:tcBorders>
            <w:vAlign w:val="center"/>
          </w:tcPr>
          <w:p w14:paraId="06694AA3">
            <w:pPr>
              <w:widowControl/>
              <w:spacing w:before="156" w:beforeLines="50" w:after="156" w:afterLines="50" w:line="240" w:lineRule="exact"/>
              <w:jc w:val="center"/>
              <w:rPr>
                <w:rFonts w:ascii="宋体"/>
                <w:kern w:val="0"/>
                <w:sz w:val="18"/>
                <w:szCs w:val="18"/>
              </w:rPr>
            </w:pPr>
            <w:r>
              <w:rPr>
                <w:rFonts w:hint="eastAsia" w:ascii="宋体"/>
                <w:kern w:val="0"/>
                <w:sz w:val="18"/>
                <w:szCs w:val="18"/>
              </w:rPr>
              <w:t>1-2万元</w:t>
            </w:r>
          </w:p>
        </w:tc>
      </w:tr>
      <w:tr w14:paraId="5439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 w:hRule="atLeast"/>
          <w:jc w:val="center"/>
        </w:trPr>
        <w:tc>
          <w:tcPr>
            <w:tcW w:w="1231" w:type="dxa"/>
            <w:vMerge w:val="continue"/>
          </w:tcPr>
          <w:p w14:paraId="60B3F6B4">
            <w:pPr>
              <w:spacing w:before="156" w:beforeLines="50" w:after="156" w:afterLines="50" w:line="240" w:lineRule="exact"/>
              <w:jc w:val="left"/>
              <w:rPr>
                <w:rFonts w:ascii="宋体"/>
                <w:kern w:val="0"/>
              </w:rPr>
            </w:pPr>
          </w:p>
        </w:tc>
        <w:tc>
          <w:tcPr>
            <w:tcW w:w="1231" w:type="dxa"/>
            <w:vMerge w:val="continue"/>
            <w:vAlign w:val="center"/>
          </w:tcPr>
          <w:p w14:paraId="32CF2991">
            <w:pPr>
              <w:spacing w:before="156" w:beforeLines="50" w:after="156" w:afterLines="50" w:line="240" w:lineRule="exact"/>
              <w:jc w:val="left"/>
              <w:rPr>
                <w:rFonts w:ascii="宋体"/>
                <w:kern w:val="0"/>
                <w:sz w:val="18"/>
                <w:szCs w:val="18"/>
              </w:rPr>
            </w:pPr>
          </w:p>
        </w:tc>
        <w:tc>
          <w:tcPr>
            <w:tcW w:w="1395" w:type="dxa"/>
            <w:vMerge w:val="continue"/>
            <w:vAlign w:val="center"/>
          </w:tcPr>
          <w:p w14:paraId="713B920E">
            <w:pPr>
              <w:spacing w:before="156" w:beforeLines="50" w:after="156" w:afterLines="50" w:line="240" w:lineRule="exact"/>
              <w:jc w:val="left"/>
              <w:rPr>
                <w:rFonts w:ascii="宋体"/>
                <w:kern w:val="0"/>
                <w:sz w:val="18"/>
                <w:szCs w:val="18"/>
              </w:rPr>
            </w:pPr>
          </w:p>
        </w:tc>
        <w:tc>
          <w:tcPr>
            <w:tcW w:w="1635" w:type="dxa"/>
            <w:vMerge w:val="continue"/>
            <w:vAlign w:val="center"/>
          </w:tcPr>
          <w:p w14:paraId="4CF23B27">
            <w:pPr>
              <w:spacing w:before="156" w:beforeLines="50" w:after="156" w:afterLines="50" w:line="240" w:lineRule="exact"/>
              <w:jc w:val="left"/>
              <w:rPr>
                <w:rFonts w:ascii="宋体"/>
                <w:kern w:val="0"/>
                <w:sz w:val="18"/>
                <w:szCs w:val="18"/>
              </w:rPr>
            </w:pPr>
          </w:p>
        </w:tc>
        <w:tc>
          <w:tcPr>
            <w:tcW w:w="1410" w:type="dxa"/>
            <w:vAlign w:val="center"/>
          </w:tcPr>
          <w:p w14:paraId="56EFCD0D">
            <w:pPr>
              <w:spacing w:before="156" w:beforeLines="50" w:after="156" w:afterLines="50" w:line="240" w:lineRule="exact"/>
              <w:jc w:val="center"/>
              <w:rPr>
                <w:rFonts w:ascii="宋体"/>
                <w:kern w:val="0"/>
                <w:sz w:val="18"/>
                <w:szCs w:val="18"/>
              </w:rPr>
            </w:pPr>
            <w:r>
              <w:rPr>
                <w:rFonts w:hint="eastAsia" w:ascii="宋体"/>
                <w:kern w:val="0"/>
                <w:sz w:val="18"/>
                <w:szCs w:val="18"/>
              </w:rPr>
              <w:t>情节严重</w:t>
            </w:r>
          </w:p>
        </w:tc>
        <w:tc>
          <w:tcPr>
            <w:tcW w:w="4080" w:type="dxa"/>
            <w:vAlign w:val="center"/>
          </w:tcPr>
          <w:p w14:paraId="4754A7DA">
            <w:pPr>
              <w:widowControl/>
              <w:spacing w:before="156" w:beforeLines="50" w:after="156" w:afterLines="50" w:line="240" w:lineRule="exact"/>
              <w:jc w:val="left"/>
              <w:rPr>
                <w:rFonts w:ascii="宋体"/>
                <w:kern w:val="0"/>
                <w:sz w:val="18"/>
                <w:szCs w:val="18"/>
              </w:rPr>
            </w:pPr>
            <w:r>
              <w:rPr>
                <w:rFonts w:hint="eastAsia" w:ascii="宋体"/>
                <w:kern w:val="0"/>
                <w:sz w:val="18"/>
                <w:szCs w:val="18"/>
              </w:rPr>
              <w:t>1</w:t>
            </w:r>
            <w:r>
              <w:rPr>
                <w:rFonts w:ascii="宋体"/>
                <w:kern w:val="0"/>
                <w:sz w:val="18"/>
                <w:szCs w:val="18"/>
              </w:rPr>
              <w:t>.</w:t>
            </w:r>
            <w:r>
              <w:rPr>
                <w:rFonts w:hint="eastAsia" w:ascii="宋体"/>
                <w:kern w:val="0"/>
                <w:sz w:val="18"/>
                <w:szCs w:val="18"/>
              </w:rPr>
              <w:t>为非本船船员记载的；</w:t>
            </w:r>
          </w:p>
          <w:p w14:paraId="28BD448E">
            <w:pPr>
              <w:widowControl/>
              <w:spacing w:before="156" w:beforeLines="50" w:after="156" w:afterLines="50" w:line="240" w:lineRule="exact"/>
              <w:jc w:val="left"/>
              <w:rPr>
                <w:rFonts w:ascii="宋体"/>
                <w:kern w:val="0"/>
                <w:sz w:val="18"/>
                <w:szCs w:val="18"/>
              </w:rPr>
            </w:pPr>
            <w:r>
              <w:rPr>
                <w:rFonts w:hint="eastAsia" w:ascii="宋体"/>
                <w:kern w:val="0"/>
                <w:sz w:val="18"/>
                <w:szCs w:val="18"/>
              </w:rPr>
              <w:t>2</w:t>
            </w:r>
            <w:r>
              <w:rPr>
                <w:rFonts w:ascii="宋体"/>
                <w:kern w:val="0"/>
                <w:sz w:val="18"/>
                <w:szCs w:val="18"/>
              </w:rPr>
              <w:t>.</w:t>
            </w:r>
            <w:r>
              <w:rPr>
                <w:rFonts w:hint="eastAsia" w:ascii="宋体"/>
                <w:kern w:val="0"/>
                <w:sz w:val="18"/>
                <w:szCs w:val="18"/>
              </w:rPr>
              <w:t>具有其他严重情节的。</w:t>
            </w:r>
          </w:p>
        </w:tc>
        <w:tc>
          <w:tcPr>
            <w:tcW w:w="10293" w:type="dxa"/>
            <w:tcBorders>
              <w:right w:val="single" w:color="auto" w:sz="4" w:space="0"/>
            </w:tcBorders>
            <w:vAlign w:val="center"/>
          </w:tcPr>
          <w:p w14:paraId="796EEA9D">
            <w:pPr>
              <w:widowControl/>
              <w:spacing w:before="156" w:beforeLines="50" w:after="156" w:afterLines="50" w:line="240" w:lineRule="exact"/>
              <w:jc w:val="left"/>
              <w:rPr>
                <w:rFonts w:ascii="宋体"/>
                <w:kern w:val="0"/>
                <w:sz w:val="18"/>
                <w:szCs w:val="18"/>
              </w:rPr>
            </w:pPr>
            <w:r>
              <w:rPr>
                <w:rFonts w:hint="eastAsia" w:ascii="宋体"/>
                <w:kern w:val="0"/>
                <w:sz w:val="18"/>
                <w:szCs w:val="18"/>
              </w:rPr>
              <w:t>1-2万元，并给予暂扣船员适任证书6个月以上2年及以下直至吊销船员适任证书的处罚。</w:t>
            </w:r>
          </w:p>
        </w:tc>
      </w:tr>
    </w:tbl>
    <w:p w14:paraId="72027A5D">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476"/>
        <w:gridCol w:w="1620"/>
        <w:gridCol w:w="1800"/>
        <w:gridCol w:w="720"/>
        <w:gridCol w:w="3481"/>
        <w:gridCol w:w="2268"/>
        <w:gridCol w:w="2410"/>
        <w:gridCol w:w="2410"/>
        <w:gridCol w:w="1984"/>
        <w:gridCol w:w="2081"/>
      </w:tblGrid>
      <w:tr w14:paraId="3531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C8798E6">
            <w:pPr>
              <w:spacing w:before="156" w:beforeLines="50" w:after="156" w:afterLines="50"/>
              <w:jc w:val="center"/>
              <w:rPr>
                <w:b/>
                <w:sz w:val="18"/>
                <w:szCs w:val="18"/>
              </w:rPr>
            </w:pPr>
            <w:r>
              <w:rPr>
                <w:rFonts w:hint="eastAsia"/>
                <w:b/>
                <w:sz w:val="18"/>
                <w:szCs w:val="18"/>
              </w:rPr>
              <w:t>序号</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14:paraId="430C04AE">
            <w:pPr>
              <w:spacing w:before="156" w:beforeLines="50" w:after="156" w:afterLines="50"/>
              <w:jc w:val="center"/>
              <w:rPr>
                <w:b/>
                <w:sz w:val="18"/>
                <w:szCs w:val="18"/>
              </w:rPr>
            </w:pPr>
            <w:r>
              <w:rPr>
                <w:rFonts w:hint="eastAsia"/>
                <w:b/>
                <w:sz w:val="18"/>
                <w:szCs w:val="18"/>
              </w:rPr>
              <w:t>案由</w:t>
            </w:r>
          </w:p>
        </w:tc>
        <w:tc>
          <w:tcPr>
            <w:tcW w:w="342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01C7EF">
            <w:pPr>
              <w:spacing w:before="156" w:beforeLines="50" w:after="156" w:afterLines="50"/>
              <w:jc w:val="center"/>
              <w:rPr>
                <w:b/>
                <w:sz w:val="18"/>
                <w:szCs w:val="18"/>
              </w:rPr>
            </w:pPr>
            <w:r>
              <w:rPr>
                <w:rFonts w:hint="eastAsia"/>
                <w:b/>
                <w:sz w:val="18"/>
                <w:szCs w:val="18"/>
              </w:rPr>
              <w:t>法律依据</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2A86D31C">
            <w:pPr>
              <w:spacing w:before="156" w:beforeLines="50" w:after="156" w:afterLines="50"/>
              <w:jc w:val="center"/>
              <w:rPr>
                <w:b/>
                <w:sz w:val="18"/>
                <w:szCs w:val="18"/>
              </w:rPr>
            </w:pPr>
            <w:r>
              <w:rPr>
                <w:rFonts w:hint="eastAsia"/>
                <w:b/>
                <w:sz w:val="18"/>
                <w:szCs w:val="18"/>
              </w:rPr>
              <w:t>违法情节</w:t>
            </w:r>
          </w:p>
        </w:tc>
        <w:tc>
          <w:tcPr>
            <w:tcW w:w="3481" w:type="dxa"/>
            <w:vMerge w:val="restart"/>
            <w:tcBorders>
              <w:top w:val="single" w:color="000000" w:sz="4" w:space="0"/>
              <w:left w:val="single" w:color="000000" w:sz="4" w:space="0"/>
              <w:bottom w:val="single" w:color="000000" w:sz="4" w:space="0"/>
              <w:right w:val="single" w:color="000000" w:sz="4" w:space="0"/>
            </w:tcBorders>
            <w:vAlign w:val="center"/>
          </w:tcPr>
          <w:p w14:paraId="7D807FA1">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11153" w:type="dxa"/>
            <w:gridSpan w:val="5"/>
            <w:tcBorders>
              <w:top w:val="single" w:color="000000" w:sz="4" w:space="0"/>
              <w:left w:val="single" w:color="000000" w:sz="4" w:space="0"/>
              <w:bottom w:val="single" w:color="auto" w:sz="4" w:space="0"/>
              <w:right w:val="single" w:color="auto" w:sz="4" w:space="0"/>
            </w:tcBorders>
            <w:vAlign w:val="center"/>
          </w:tcPr>
          <w:p w14:paraId="67431FC5">
            <w:pPr>
              <w:spacing w:before="156" w:beforeLines="50" w:after="156" w:afterLines="50"/>
              <w:rPr>
                <w:b/>
                <w:sz w:val="18"/>
                <w:szCs w:val="18"/>
              </w:rPr>
            </w:pPr>
            <w:r>
              <w:rPr>
                <w:rFonts w:hint="eastAsia"/>
                <w:b/>
                <w:sz w:val="18"/>
                <w:szCs w:val="18"/>
              </w:rPr>
              <w:t>【法定幅度和种类】</w:t>
            </w:r>
            <w:r>
              <w:rPr>
                <w:b/>
                <w:sz w:val="18"/>
                <w:szCs w:val="18"/>
              </w:rPr>
              <w:t>10</w:t>
            </w:r>
            <w:r>
              <w:rPr>
                <w:rFonts w:hint="eastAsia"/>
                <w:b/>
                <w:sz w:val="18"/>
                <w:szCs w:val="18"/>
              </w:rPr>
              <w:t>万元以上</w:t>
            </w:r>
            <w:r>
              <w:rPr>
                <w:b/>
                <w:sz w:val="18"/>
                <w:szCs w:val="18"/>
              </w:rPr>
              <w:t>20</w:t>
            </w:r>
            <w:r>
              <w:rPr>
                <w:rFonts w:hint="eastAsia"/>
                <w:b/>
                <w:sz w:val="18"/>
                <w:szCs w:val="18"/>
              </w:rPr>
              <w:t>万元以下的罚款，有违法所得的，没收违法所得；拒不改正的，责令停航整顿。</w:t>
            </w:r>
          </w:p>
        </w:tc>
      </w:tr>
      <w:tr w14:paraId="562B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F0D125B">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278BC915">
            <w:pPr>
              <w:spacing w:before="156" w:beforeLines="50" w:after="156" w:afterLines="50"/>
              <w:jc w:val="left"/>
              <w:rPr>
                <w:b/>
                <w:sz w:val="18"/>
                <w:szCs w:val="18"/>
              </w:rPr>
            </w:pPr>
          </w:p>
        </w:tc>
        <w:tc>
          <w:tcPr>
            <w:tcW w:w="34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08B3C9">
            <w:pPr>
              <w:spacing w:before="156" w:beforeLines="50" w:after="156" w:afterLines="50"/>
              <w:jc w:val="left"/>
              <w:rPr>
                <w:b/>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78EE2F5F">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14:paraId="23CC60E0">
            <w:pPr>
              <w:spacing w:before="156" w:beforeLines="50" w:after="156" w:afterLines="50"/>
              <w:jc w:val="left"/>
              <w:rPr>
                <w:b/>
                <w:sz w:val="18"/>
                <w:szCs w:val="18"/>
              </w:rPr>
            </w:pPr>
          </w:p>
        </w:tc>
        <w:tc>
          <w:tcPr>
            <w:tcW w:w="7088" w:type="dxa"/>
            <w:gridSpan w:val="3"/>
            <w:tcBorders>
              <w:top w:val="single" w:color="auto" w:sz="4" w:space="0"/>
              <w:left w:val="single" w:color="000000" w:sz="4" w:space="0"/>
              <w:bottom w:val="single" w:color="auto" w:sz="4" w:space="0"/>
              <w:right w:val="single" w:color="auto" w:sz="4" w:space="0"/>
            </w:tcBorders>
            <w:vAlign w:val="center"/>
          </w:tcPr>
          <w:p w14:paraId="4DFF2DBF">
            <w:pPr>
              <w:spacing w:before="156" w:beforeLines="50" w:after="156" w:afterLines="50"/>
              <w:jc w:val="center"/>
              <w:rPr>
                <w:b/>
                <w:sz w:val="18"/>
                <w:szCs w:val="18"/>
              </w:rPr>
            </w:pPr>
            <w:r>
              <w:rPr>
                <w:rFonts w:hint="eastAsia"/>
                <w:b/>
                <w:sz w:val="18"/>
                <w:szCs w:val="18"/>
              </w:rPr>
              <w:t>处罚基准</w:t>
            </w:r>
          </w:p>
        </w:tc>
        <w:tc>
          <w:tcPr>
            <w:tcW w:w="4065" w:type="dxa"/>
            <w:gridSpan w:val="2"/>
            <w:tcBorders>
              <w:top w:val="single" w:color="auto" w:sz="4" w:space="0"/>
              <w:left w:val="single" w:color="000000" w:sz="4" w:space="0"/>
              <w:bottom w:val="single" w:color="auto" w:sz="4" w:space="0"/>
              <w:right w:val="single" w:color="auto" w:sz="4" w:space="0"/>
            </w:tcBorders>
            <w:vAlign w:val="center"/>
          </w:tcPr>
          <w:p w14:paraId="15B611E9">
            <w:pPr>
              <w:spacing w:before="156" w:beforeLines="50" w:after="156" w:afterLines="50"/>
              <w:jc w:val="center"/>
              <w:rPr>
                <w:b/>
                <w:sz w:val="18"/>
                <w:szCs w:val="18"/>
              </w:rPr>
            </w:pPr>
            <w:r>
              <w:rPr>
                <w:rFonts w:hint="eastAsia"/>
                <w:b/>
                <w:sz w:val="18"/>
                <w:szCs w:val="18"/>
              </w:rPr>
              <w:t>减轻处罚基准</w:t>
            </w:r>
          </w:p>
        </w:tc>
      </w:tr>
      <w:tr w14:paraId="37BD7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362D61A">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537F1409">
            <w:pPr>
              <w:spacing w:before="156" w:beforeLines="50" w:after="156" w:afterLines="50"/>
              <w:jc w:val="left"/>
              <w:rPr>
                <w:b/>
                <w:sz w:val="18"/>
                <w:szCs w:val="18"/>
              </w:rPr>
            </w:pP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14:paraId="6FEA9A48">
            <w:pPr>
              <w:spacing w:before="156" w:beforeLines="50" w:after="156" w:afterLines="50"/>
              <w:jc w:val="center"/>
              <w:rPr>
                <w:b/>
                <w:sz w:val="18"/>
                <w:szCs w:val="18"/>
              </w:rPr>
            </w:pPr>
            <w:r>
              <w:rPr>
                <w:rFonts w:hint="eastAsia"/>
                <w:b/>
                <w:sz w:val="18"/>
                <w:szCs w:val="18"/>
              </w:rPr>
              <w:t>违反条款</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6E348C00">
            <w:pPr>
              <w:spacing w:before="156" w:beforeLines="50" w:after="156" w:afterLines="50"/>
              <w:jc w:val="center"/>
              <w:rPr>
                <w:b/>
                <w:sz w:val="18"/>
                <w:szCs w:val="18"/>
              </w:rPr>
            </w:pPr>
            <w:r>
              <w:rPr>
                <w:rFonts w:hint="eastAsia"/>
                <w:b/>
                <w:sz w:val="18"/>
                <w:szCs w:val="18"/>
              </w:rPr>
              <w:t>处罚依据</w:t>
            </w: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06007265">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14:paraId="1FCD0330">
            <w:pPr>
              <w:spacing w:before="156" w:beforeLines="50" w:after="156" w:afterLines="50"/>
              <w:jc w:val="left"/>
              <w:rPr>
                <w:b/>
                <w:sz w:val="18"/>
                <w:szCs w:val="18"/>
              </w:rPr>
            </w:pPr>
          </w:p>
        </w:tc>
        <w:tc>
          <w:tcPr>
            <w:tcW w:w="7088" w:type="dxa"/>
            <w:gridSpan w:val="3"/>
            <w:tcBorders>
              <w:top w:val="single" w:color="auto" w:sz="4" w:space="0"/>
              <w:left w:val="single" w:color="000000" w:sz="4" w:space="0"/>
              <w:bottom w:val="single" w:color="auto" w:sz="4" w:space="0"/>
              <w:right w:val="single" w:color="auto" w:sz="4" w:space="0"/>
            </w:tcBorders>
            <w:vAlign w:val="center"/>
          </w:tcPr>
          <w:p w14:paraId="2BE25753">
            <w:pPr>
              <w:spacing w:before="156" w:beforeLines="50" w:after="156" w:afterLines="50"/>
              <w:jc w:val="center"/>
              <w:rPr>
                <w:b/>
                <w:sz w:val="18"/>
                <w:szCs w:val="18"/>
              </w:rPr>
            </w:pPr>
            <w:r>
              <w:rPr>
                <w:rFonts w:hint="eastAsia"/>
                <w:b/>
                <w:sz w:val="18"/>
                <w:szCs w:val="18"/>
              </w:rPr>
              <w:t>【对象】船舶所有人或经营人</w:t>
            </w:r>
          </w:p>
        </w:tc>
        <w:tc>
          <w:tcPr>
            <w:tcW w:w="4065" w:type="dxa"/>
            <w:gridSpan w:val="2"/>
            <w:tcBorders>
              <w:top w:val="single" w:color="auto" w:sz="4" w:space="0"/>
              <w:left w:val="single" w:color="000000" w:sz="4" w:space="0"/>
              <w:bottom w:val="single" w:color="auto" w:sz="4" w:space="0"/>
              <w:right w:val="single" w:color="auto" w:sz="4" w:space="0"/>
            </w:tcBorders>
            <w:vAlign w:val="center"/>
          </w:tcPr>
          <w:p w14:paraId="52A690D3">
            <w:pPr>
              <w:spacing w:before="156" w:beforeLines="50" w:after="156" w:afterLines="50"/>
              <w:jc w:val="center"/>
              <w:rPr>
                <w:b/>
                <w:sz w:val="18"/>
                <w:szCs w:val="18"/>
              </w:rPr>
            </w:pPr>
            <w:r>
              <w:rPr>
                <w:rFonts w:hint="eastAsia"/>
                <w:b/>
                <w:sz w:val="18"/>
                <w:szCs w:val="18"/>
              </w:rPr>
              <w:t>【对象】船舶所有人或经营人</w:t>
            </w:r>
          </w:p>
        </w:tc>
      </w:tr>
      <w:tr w14:paraId="544E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6267AC4">
            <w:pPr>
              <w:spacing w:before="156" w:beforeLines="50" w:after="156" w:afterLines="50"/>
              <w:jc w:val="left"/>
              <w:rPr>
                <w:b/>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33EC3869">
            <w:pPr>
              <w:spacing w:before="156" w:beforeLines="50" w:after="156" w:afterLines="50"/>
              <w:jc w:val="left"/>
              <w:rPr>
                <w:b/>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208694F9">
            <w:pPr>
              <w:spacing w:before="156" w:beforeLines="50" w:after="156" w:afterLines="50"/>
              <w:jc w:val="left"/>
              <w:rPr>
                <w:b/>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5640A8">
            <w:pPr>
              <w:spacing w:before="156" w:beforeLines="50" w:after="156" w:afterLines="50"/>
              <w:jc w:val="left"/>
              <w:rPr>
                <w:b/>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4FF62FED">
            <w:pPr>
              <w:spacing w:before="156" w:beforeLines="50" w:after="156" w:afterLines="50"/>
              <w:jc w:val="left"/>
              <w:rPr>
                <w:b/>
                <w:sz w:val="18"/>
                <w:szCs w:val="18"/>
              </w:rPr>
            </w:pPr>
          </w:p>
        </w:tc>
        <w:tc>
          <w:tcPr>
            <w:tcW w:w="3481" w:type="dxa"/>
            <w:vMerge w:val="continue"/>
            <w:tcBorders>
              <w:top w:val="single" w:color="000000" w:sz="4" w:space="0"/>
              <w:left w:val="single" w:color="000000" w:sz="4" w:space="0"/>
              <w:bottom w:val="single" w:color="000000" w:sz="4" w:space="0"/>
              <w:right w:val="single" w:color="000000" w:sz="4" w:space="0"/>
            </w:tcBorders>
            <w:vAlign w:val="center"/>
          </w:tcPr>
          <w:p w14:paraId="5CE26274">
            <w:pPr>
              <w:spacing w:before="156" w:beforeLines="50" w:after="156" w:afterLines="50"/>
              <w:jc w:val="left"/>
              <w:rPr>
                <w:b/>
                <w:sz w:val="18"/>
                <w:szCs w:val="18"/>
              </w:rPr>
            </w:pPr>
          </w:p>
        </w:tc>
        <w:tc>
          <w:tcPr>
            <w:tcW w:w="2268" w:type="dxa"/>
            <w:tcBorders>
              <w:top w:val="single" w:color="auto" w:sz="4" w:space="0"/>
              <w:left w:val="single" w:color="000000" w:sz="4" w:space="0"/>
              <w:bottom w:val="single" w:color="auto" w:sz="4" w:space="0"/>
              <w:right w:val="single" w:color="auto" w:sz="4" w:space="0"/>
            </w:tcBorders>
            <w:vAlign w:val="center"/>
          </w:tcPr>
          <w:p w14:paraId="2D73AB00">
            <w:pPr>
              <w:spacing w:before="156" w:beforeLines="50" w:after="156" w:afterLines="50"/>
              <w:jc w:val="left"/>
              <w:rPr>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410" w:type="dxa"/>
            <w:tcBorders>
              <w:top w:val="single" w:color="auto" w:sz="4" w:space="0"/>
              <w:left w:val="single" w:color="000000" w:sz="4" w:space="0"/>
              <w:bottom w:val="single" w:color="auto" w:sz="4" w:space="0"/>
              <w:right w:val="single" w:color="auto" w:sz="4" w:space="0"/>
            </w:tcBorders>
            <w:vAlign w:val="center"/>
          </w:tcPr>
          <w:p w14:paraId="308C9B95">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410" w:type="dxa"/>
            <w:tcBorders>
              <w:top w:val="single" w:color="auto" w:sz="4" w:space="0"/>
              <w:left w:val="single" w:color="000000" w:sz="4" w:space="0"/>
              <w:bottom w:val="single" w:color="auto" w:sz="4" w:space="0"/>
              <w:right w:val="single" w:color="auto" w:sz="4" w:space="0"/>
            </w:tcBorders>
            <w:vAlign w:val="center"/>
          </w:tcPr>
          <w:p w14:paraId="24638721">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1984" w:type="dxa"/>
            <w:tcBorders>
              <w:top w:val="single" w:color="auto" w:sz="4" w:space="0"/>
              <w:left w:val="single" w:color="000000" w:sz="4" w:space="0"/>
              <w:bottom w:val="single" w:color="auto" w:sz="4" w:space="0"/>
              <w:right w:val="single" w:color="auto" w:sz="4" w:space="0"/>
            </w:tcBorders>
            <w:vAlign w:val="center"/>
          </w:tcPr>
          <w:p w14:paraId="0F7239CE">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081" w:type="dxa"/>
            <w:tcBorders>
              <w:top w:val="single" w:color="auto" w:sz="4" w:space="0"/>
              <w:left w:val="single" w:color="000000" w:sz="4" w:space="0"/>
              <w:bottom w:val="single" w:color="auto" w:sz="4" w:space="0"/>
              <w:right w:val="single" w:color="auto" w:sz="4" w:space="0"/>
            </w:tcBorders>
            <w:vAlign w:val="center"/>
          </w:tcPr>
          <w:p w14:paraId="154248AB">
            <w:pPr>
              <w:spacing w:before="156" w:beforeLines="50" w:after="156" w:afterLines="50"/>
              <w:jc w:val="center"/>
              <w:rPr>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4FA7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27390AAB">
            <w:pPr>
              <w:spacing w:before="156" w:beforeLines="50" w:after="156" w:afterLines="50"/>
              <w:jc w:val="center"/>
              <w:rPr>
                <w:sz w:val="18"/>
                <w:szCs w:val="18"/>
              </w:rPr>
            </w:pPr>
            <w:r>
              <w:rPr>
                <w:rFonts w:hint="eastAsia"/>
                <w:sz w:val="18"/>
                <w:szCs w:val="18"/>
              </w:rPr>
              <w:t>86</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14:paraId="116E520D">
            <w:pPr>
              <w:pStyle w:val="13"/>
              <w:spacing w:before="156" w:beforeLines="50" w:after="156" w:afterLines="50"/>
              <w:rPr>
                <w:sz w:val="18"/>
                <w:szCs w:val="18"/>
              </w:rPr>
            </w:pPr>
            <w:r>
              <w:rPr>
                <w:rFonts w:hint="eastAsia"/>
                <w:sz w:val="18"/>
                <w:szCs w:val="18"/>
              </w:rPr>
              <w:t>运输危险化学品的船舶及其配载的容器未经检验合格而投入使用的</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14:paraId="3F76AA83">
            <w:pPr>
              <w:pStyle w:val="13"/>
              <w:spacing w:before="156" w:beforeLines="50" w:after="156" w:afterLines="50"/>
              <w:rPr>
                <w:sz w:val="18"/>
                <w:szCs w:val="18"/>
              </w:rPr>
            </w:pPr>
            <w:r>
              <w:rPr>
                <w:rFonts w:hint="eastAsia"/>
                <w:sz w:val="18"/>
                <w:szCs w:val="18"/>
              </w:rPr>
              <w:t>《危险化学品安全管理条例》第十八条第二款</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0BDBC55A">
            <w:pPr>
              <w:pStyle w:val="13"/>
              <w:spacing w:before="156" w:beforeLines="50" w:after="156" w:afterLines="50"/>
              <w:rPr>
                <w:sz w:val="18"/>
                <w:szCs w:val="18"/>
              </w:rPr>
            </w:pPr>
            <w:r>
              <w:rPr>
                <w:sz w:val="18"/>
                <w:szCs w:val="18"/>
              </w:rPr>
              <w:t xml:space="preserve">1. </w:t>
            </w:r>
            <w:r>
              <w:rPr>
                <w:rFonts w:hint="eastAsia"/>
                <w:sz w:val="18"/>
                <w:szCs w:val="18"/>
              </w:rPr>
              <w:t>《危险化学品安全管理条例》第七十九条第二款；</w:t>
            </w:r>
          </w:p>
          <w:p w14:paraId="724C2EBA">
            <w:pPr>
              <w:pStyle w:val="13"/>
              <w:spacing w:before="156" w:beforeLines="50" w:after="156" w:afterLines="50"/>
              <w:rPr>
                <w:sz w:val="18"/>
                <w:szCs w:val="18"/>
              </w:rPr>
            </w:pPr>
            <w:r>
              <w:rPr>
                <w:rFonts w:hint="eastAsia"/>
                <w:sz w:val="18"/>
                <w:szCs w:val="18"/>
              </w:rPr>
              <w:t>2. 《中华人民共和国内河海事行政处罚规定》第二十三条；</w:t>
            </w:r>
          </w:p>
          <w:p w14:paraId="267D5734">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20" w:type="dxa"/>
            <w:tcBorders>
              <w:top w:val="single" w:color="000000" w:sz="4" w:space="0"/>
              <w:left w:val="single" w:color="000000" w:sz="4" w:space="0"/>
              <w:bottom w:val="single" w:color="000000" w:sz="4" w:space="0"/>
              <w:right w:val="single" w:color="000000" w:sz="4" w:space="0"/>
            </w:tcBorders>
            <w:vAlign w:val="center"/>
          </w:tcPr>
          <w:p w14:paraId="649C61E5">
            <w:pPr>
              <w:pStyle w:val="13"/>
              <w:spacing w:before="156" w:beforeLines="50" w:after="156" w:afterLines="50"/>
              <w:rPr>
                <w:sz w:val="18"/>
                <w:szCs w:val="18"/>
              </w:rPr>
            </w:pPr>
            <w:r>
              <w:rPr>
                <w:rFonts w:hint="eastAsia"/>
                <w:sz w:val="18"/>
                <w:szCs w:val="18"/>
              </w:rPr>
              <w:t>从轻</w:t>
            </w:r>
          </w:p>
        </w:tc>
        <w:tc>
          <w:tcPr>
            <w:tcW w:w="3481" w:type="dxa"/>
            <w:tcBorders>
              <w:top w:val="single" w:color="000000" w:sz="4" w:space="0"/>
              <w:left w:val="single" w:color="000000" w:sz="4" w:space="0"/>
              <w:bottom w:val="single" w:color="000000" w:sz="4" w:space="0"/>
              <w:right w:val="single" w:color="000000" w:sz="4" w:space="0"/>
            </w:tcBorders>
            <w:vAlign w:val="center"/>
          </w:tcPr>
          <w:p w14:paraId="4CA3DFA6">
            <w:pPr>
              <w:pStyle w:val="13"/>
              <w:spacing w:before="156" w:beforeLines="50" w:after="156" w:afterLines="50"/>
              <w:rPr>
                <w:sz w:val="18"/>
                <w:szCs w:val="18"/>
              </w:rPr>
            </w:pPr>
            <w:r>
              <w:rPr>
                <w:rFonts w:hint="eastAsia"/>
                <w:sz w:val="18"/>
                <w:szCs w:val="18"/>
              </w:rPr>
              <w:t>具有法定从轻情节的。</w:t>
            </w:r>
          </w:p>
        </w:tc>
        <w:tc>
          <w:tcPr>
            <w:tcW w:w="2268" w:type="dxa"/>
            <w:tcBorders>
              <w:top w:val="single" w:color="000000" w:sz="4" w:space="0"/>
              <w:left w:val="single" w:color="000000" w:sz="4" w:space="0"/>
              <w:bottom w:val="single" w:color="auto" w:sz="4" w:space="0"/>
              <w:right w:val="single" w:color="auto" w:sz="4" w:space="0"/>
            </w:tcBorders>
            <w:vAlign w:val="center"/>
          </w:tcPr>
          <w:p w14:paraId="02F2485B">
            <w:pPr>
              <w:pStyle w:val="13"/>
              <w:spacing w:before="156" w:beforeLines="50" w:after="156" w:afterLines="50"/>
              <w:rPr>
                <w:sz w:val="18"/>
                <w:szCs w:val="18"/>
              </w:rPr>
            </w:pPr>
            <w:r>
              <w:rPr>
                <w:rFonts w:hint="eastAsia"/>
                <w:sz w:val="18"/>
                <w:szCs w:val="18"/>
              </w:rPr>
              <w:t>10万元及以上11万元以下</w:t>
            </w:r>
          </w:p>
        </w:tc>
        <w:tc>
          <w:tcPr>
            <w:tcW w:w="2410" w:type="dxa"/>
            <w:tcBorders>
              <w:top w:val="single" w:color="000000" w:sz="4" w:space="0"/>
              <w:left w:val="single" w:color="000000" w:sz="4" w:space="0"/>
              <w:bottom w:val="single" w:color="auto" w:sz="4" w:space="0"/>
              <w:right w:val="single" w:color="000000" w:sz="4" w:space="0"/>
            </w:tcBorders>
            <w:vAlign w:val="center"/>
          </w:tcPr>
          <w:p w14:paraId="5130D2B6">
            <w:pPr>
              <w:pStyle w:val="13"/>
              <w:spacing w:before="156" w:beforeLines="50" w:after="156" w:afterLines="50"/>
              <w:rPr>
                <w:sz w:val="18"/>
                <w:szCs w:val="18"/>
              </w:rPr>
            </w:pPr>
            <w:r>
              <w:rPr>
                <w:rFonts w:hint="eastAsia"/>
                <w:sz w:val="18"/>
                <w:szCs w:val="18"/>
              </w:rPr>
              <w:t>10万元及以上11万元以下</w:t>
            </w:r>
          </w:p>
        </w:tc>
        <w:tc>
          <w:tcPr>
            <w:tcW w:w="2410" w:type="dxa"/>
            <w:tcBorders>
              <w:top w:val="single" w:color="000000" w:sz="4" w:space="0"/>
              <w:left w:val="single" w:color="000000" w:sz="4" w:space="0"/>
              <w:bottom w:val="single" w:color="auto" w:sz="4" w:space="0"/>
              <w:right w:val="single" w:color="auto" w:sz="4" w:space="0"/>
            </w:tcBorders>
            <w:vAlign w:val="center"/>
          </w:tcPr>
          <w:p w14:paraId="4BB7891C">
            <w:pPr>
              <w:pStyle w:val="13"/>
              <w:spacing w:before="156" w:beforeLines="50" w:after="156" w:afterLines="50"/>
              <w:rPr>
                <w:sz w:val="18"/>
                <w:szCs w:val="18"/>
              </w:rPr>
            </w:pPr>
            <w:r>
              <w:rPr>
                <w:rFonts w:hint="eastAsia"/>
                <w:sz w:val="18"/>
                <w:szCs w:val="18"/>
              </w:rPr>
              <w:t>10万元及以上11万元以下</w:t>
            </w:r>
          </w:p>
        </w:tc>
        <w:tc>
          <w:tcPr>
            <w:tcW w:w="1984" w:type="dxa"/>
            <w:vMerge w:val="restart"/>
            <w:tcBorders>
              <w:top w:val="single" w:color="000000" w:sz="4" w:space="0"/>
              <w:left w:val="single" w:color="000000" w:sz="4" w:space="0"/>
              <w:right w:val="single" w:color="auto" w:sz="4" w:space="0"/>
            </w:tcBorders>
            <w:vAlign w:val="center"/>
          </w:tcPr>
          <w:p w14:paraId="335EC1DB">
            <w:pPr>
              <w:pStyle w:val="13"/>
              <w:spacing w:before="156" w:beforeLines="50" w:after="156" w:afterLines="50"/>
              <w:rPr>
                <w:sz w:val="18"/>
                <w:szCs w:val="18"/>
              </w:rPr>
            </w:pPr>
            <w:r>
              <w:rPr>
                <w:rFonts w:hint="eastAsia"/>
                <w:sz w:val="18"/>
                <w:szCs w:val="18"/>
              </w:rPr>
              <w:t>未经检验合格的运输危险化学品的船舶或者其配载的容器投入使用，未发生事故的：2万元及以上5万元以下。</w:t>
            </w:r>
          </w:p>
        </w:tc>
        <w:tc>
          <w:tcPr>
            <w:tcW w:w="2081" w:type="dxa"/>
            <w:vMerge w:val="restart"/>
            <w:tcBorders>
              <w:top w:val="single" w:color="000000" w:sz="4" w:space="0"/>
              <w:left w:val="single" w:color="000000" w:sz="4" w:space="0"/>
              <w:right w:val="single" w:color="auto" w:sz="4" w:space="0"/>
            </w:tcBorders>
            <w:vAlign w:val="center"/>
          </w:tcPr>
          <w:p w14:paraId="33419A19">
            <w:pPr>
              <w:pStyle w:val="13"/>
              <w:spacing w:before="156" w:beforeLines="50" w:after="156" w:afterLines="50"/>
              <w:rPr>
                <w:sz w:val="18"/>
                <w:szCs w:val="18"/>
              </w:rPr>
            </w:pPr>
            <w:r>
              <w:rPr>
                <w:rFonts w:hint="eastAsia"/>
                <w:sz w:val="18"/>
                <w:szCs w:val="18"/>
              </w:rPr>
              <w:t>未经检验合格的运输危险化学品的船舶或者其配载的容器投入使用，未发生事故的：3万元及以上10万元以下。</w:t>
            </w:r>
          </w:p>
        </w:tc>
      </w:tr>
      <w:tr w14:paraId="0A732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4B26B51">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32EE62B7">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4C3218F5">
            <w:pPr>
              <w:widowControl/>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4FFC26">
            <w:pPr>
              <w:spacing w:before="156" w:beforeLines="50" w:after="156" w:afterLines="50"/>
              <w:jc w:val="left"/>
              <w:rPr>
                <w:sz w:val="18"/>
                <w:szCs w:val="18"/>
              </w:rPr>
            </w:pPr>
          </w:p>
        </w:tc>
        <w:tc>
          <w:tcPr>
            <w:tcW w:w="720" w:type="dxa"/>
            <w:vMerge w:val="restart"/>
            <w:tcBorders>
              <w:top w:val="single" w:color="000000" w:sz="4" w:space="0"/>
              <w:left w:val="single" w:color="000000" w:sz="4" w:space="0"/>
              <w:right w:val="single" w:color="000000" w:sz="4" w:space="0"/>
            </w:tcBorders>
            <w:vAlign w:val="center"/>
          </w:tcPr>
          <w:p w14:paraId="7615661A">
            <w:pPr>
              <w:spacing w:before="156" w:beforeLines="50" w:after="156" w:afterLines="50"/>
              <w:jc w:val="center"/>
              <w:rPr>
                <w:sz w:val="18"/>
                <w:szCs w:val="18"/>
              </w:rPr>
            </w:pPr>
            <w:r>
              <w:rPr>
                <w:rFonts w:hint="eastAsia"/>
                <w:sz w:val="18"/>
                <w:szCs w:val="18"/>
              </w:rPr>
              <w:t>一般</w:t>
            </w:r>
          </w:p>
        </w:tc>
        <w:tc>
          <w:tcPr>
            <w:tcW w:w="3481" w:type="dxa"/>
            <w:tcBorders>
              <w:top w:val="single" w:color="auto" w:sz="4" w:space="0"/>
              <w:left w:val="single" w:color="000000" w:sz="4" w:space="0"/>
              <w:bottom w:val="single" w:color="auto" w:sz="4" w:space="0"/>
              <w:right w:val="single" w:color="000000" w:sz="4" w:space="0"/>
            </w:tcBorders>
            <w:vAlign w:val="center"/>
          </w:tcPr>
          <w:p w14:paraId="3A172309">
            <w:pPr>
              <w:pStyle w:val="3"/>
              <w:spacing w:before="156" w:beforeLines="50" w:after="156" w:afterLines="50"/>
              <w:jc w:val="left"/>
              <w:rPr>
                <w:rFonts w:ascii="宋体" w:hAnsi="宋体"/>
              </w:rPr>
            </w:pPr>
            <w:r>
              <w:rPr>
                <w:rFonts w:hint="eastAsia" w:ascii="宋体" w:hAnsi="宋体"/>
              </w:rPr>
              <w:t>未经检验合格的运输危险化学品的船舶或者其配载的容器投入使用的时间1个月及以内的。</w:t>
            </w:r>
          </w:p>
        </w:tc>
        <w:tc>
          <w:tcPr>
            <w:tcW w:w="2268" w:type="dxa"/>
            <w:tcBorders>
              <w:top w:val="single" w:color="000000" w:sz="4" w:space="0"/>
              <w:left w:val="single" w:color="000000" w:sz="4" w:space="0"/>
              <w:bottom w:val="single" w:color="auto" w:sz="4" w:space="0"/>
              <w:right w:val="single" w:color="auto" w:sz="4" w:space="0"/>
            </w:tcBorders>
            <w:vAlign w:val="center"/>
          </w:tcPr>
          <w:p w14:paraId="677B8E88">
            <w:pPr>
              <w:spacing w:before="156" w:beforeLines="50" w:after="156" w:afterLines="50"/>
              <w:jc w:val="left"/>
              <w:rPr>
                <w:kern w:val="0"/>
                <w:sz w:val="18"/>
                <w:szCs w:val="18"/>
              </w:rPr>
            </w:pPr>
            <w:r>
              <w:rPr>
                <w:rFonts w:hint="eastAsia"/>
                <w:kern w:val="0"/>
                <w:sz w:val="18"/>
                <w:szCs w:val="18"/>
              </w:rPr>
              <w:t>11万元及以上12万元以下</w:t>
            </w:r>
          </w:p>
        </w:tc>
        <w:tc>
          <w:tcPr>
            <w:tcW w:w="2410" w:type="dxa"/>
            <w:tcBorders>
              <w:top w:val="single" w:color="auto" w:sz="4" w:space="0"/>
              <w:left w:val="single" w:color="000000" w:sz="4" w:space="0"/>
              <w:bottom w:val="single" w:color="auto" w:sz="4" w:space="0"/>
              <w:right w:val="single" w:color="000000" w:sz="4" w:space="0"/>
            </w:tcBorders>
            <w:vAlign w:val="center"/>
          </w:tcPr>
          <w:p w14:paraId="222E3A1D">
            <w:pPr>
              <w:pStyle w:val="3"/>
              <w:spacing w:before="156" w:beforeLines="50" w:after="156" w:afterLines="50"/>
              <w:rPr>
                <w:rFonts w:ascii="宋体"/>
              </w:rPr>
            </w:pPr>
            <w:r>
              <w:rPr>
                <w:rFonts w:hint="eastAsia"/>
                <w:kern w:val="0"/>
              </w:rPr>
              <w:t>11万元及以上12万元以下</w:t>
            </w:r>
          </w:p>
        </w:tc>
        <w:tc>
          <w:tcPr>
            <w:tcW w:w="2410" w:type="dxa"/>
            <w:tcBorders>
              <w:top w:val="single" w:color="auto" w:sz="4" w:space="0"/>
              <w:left w:val="single" w:color="000000" w:sz="4" w:space="0"/>
              <w:bottom w:val="single" w:color="auto" w:sz="4" w:space="0"/>
              <w:right w:val="single" w:color="auto" w:sz="4" w:space="0"/>
            </w:tcBorders>
            <w:vAlign w:val="center"/>
          </w:tcPr>
          <w:p w14:paraId="320AE2A1">
            <w:pPr>
              <w:pStyle w:val="3"/>
              <w:spacing w:before="156" w:beforeLines="50" w:after="156" w:afterLines="50"/>
              <w:rPr>
                <w:rFonts w:ascii="宋体"/>
              </w:rPr>
            </w:pPr>
            <w:r>
              <w:rPr>
                <w:rFonts w:hint="eastAsia"/>
                <w:kern w:val="0"/>
              </w:rPr>
              <w:t>11万元及以上12万元以下</w:t>
            </w:r>
          </w:p>
        </w:tc>
        <w:tc>
          <w:tcPr>
            <w:tcW w:w="1984" w:type="dxa"/>
            <w:vMerge w:val="continue"/>
            <w:tcBorders>
              <w:left w:val="single" w:color="000000" w:sz="4" w:space="0"/>
              <w:right w:val="single" w:color="auto" w:sz="4" w:space="0"/>
            </w:tcBorders>
          </w:tcPr>
          <w:p w14:paraId="435898AE">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14:paraId="6CBBDB6D">
            <w:pPr>
              <w:pStyle w:val="3"/>
              <w:spacing w:before="156" w:beforeLines="50" w:after="156" w:afterLines="50"/>
              <w:jc w:val="center"/>
              <w:rPr>
                <w:rFonts w:ascii="宋体"/>
              </w:rPr>
            </w:pPr>
          </w:p>
        </w:tc>
      </w:tr>
      <w:tr w14:paraId="72D9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39ED766B">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1270CAF5">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59782974">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65BFB6F">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14:paraId="0E931F3A">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14:paraId="4481C062">
            <w:pPr>
              <w:pStyle w:val="3"/>
              <w:spacing w:before="156" w:beforeLines="50" w:after="156" w:afterLines="50"/>
              <w:jc w:val="left"/>
              <w:rPr>
                <w:rFonts w:ascii="宋体" w:hAnsi="宋体"/>
              </w:rPr>
            </w:pPr>
            <w:r>
              <w:rPr>
                <w:rFonts w:hint="eastAsia" w:ascii="宋体" w:hAnsi="宋体"/>
              </w:rPr>
              <w:t>未经检验合格的运输危险化学品的船舶投入使用的时间1个月以上至3个月的；或者运输危险化学品的船舶配载的容器投入使用的时间1个月以上至6个月的。</w:t>
            </w:r>
          </w:p>
        </w:tc>
        <w:tc>
          <w:tcPr>
            <w:tcW w:w="2268" w:type="dxa"/>
            <w:tcBorders>
              <w:top w:val="single" w:color="auto" w:sz="4" w:space="0"/>
              <w:left w:val="single" w:color="000000" w:sz="4" w:space="0"/>
              <w:bottom w:val="single" w:color="auto" w:sz="4" w:space="0"/>
              <w:right w:val="single" w:color="auto" w:sz="4" w:space="0"/>
            </w:tcBorders>
            <w:vAlign w:val="center"/>
          </w:tcPr>
          <w:p w14:paraId="67D6D8BD">
            <w:pPr>
              <w:spacing w:before="156" w:beforeLines="50" w:after="156" w:afterLines="50"/>
              <w:jc w:val="left"/>
              <w:rPr>
                <w:kern w:val="0"/>
                <w:sz w:val="18"/>
                <w:szCs w:val="18"/>
              </w:rPr>
            </w:pPr>
            <w:r>
              <w:rPr>
                <w:rFonts w:hint="eastAsia"/>
                <w:kern w:val="0"/>
                <w:sz w:val="18"/>
                <w:szCs w:val="18"/>
              </w:rPr>
              <w:t>12万元及以上13万元以下</w:t>
            </w:r>
          </w:p>
        </w:tc>
        <w:tc>
          <w:tcPr>
            <w:tcW w:w="2410" w:type="dxa"/>
            <w:tcBorders>
              <w:top w:val="single" w:color="auto" w:sz="4" w:space="0"/>
              <w:left w:val="single" w:color="000000" w:sz="4" w:space="0"/>
              <w:bottom w:val="single" w:color="auto" w:sz="4" w:space="0"/>
              <w:right w:val="single" w:color="000000" w:sz="4" w:space="0"/>
            </w:tcBorders>
            <w:vAlign w:val="center"/>
          </w:tcPr>
          <w:p w14:paraId="35015884">
            <w:pPr>
              <w:pStyle w:val="3"/>
              <w:spacing w:before="156" w:beforeLines="50" w:after="156" w:afterLines="50"/>
              <w:rPr>
                <w:rFonts w:ascii="宋体"/>
              </w:rPr>
            </w:pPr>
            <w:r>
              <w:rPr>
                <w:rFonts w:hint="eastAsia"/>
                <w:kern w:val="0"/>
              </w:rPr>
              <w:t>12万元及以上14万元以下</w:t>
            </w:r>
          </w:p>
        </w:tc>
        <w:tc>
          <w:tcPr>
            <w:tcW w:w="2410" w:type="dxa"/>
            <w:tcBorders>
              <w:top w:val="single" w:color="auto" w:sz="4" w:space="0"/>
              <w:left w:val="single" w:color="000000" w:sz="4" w:space="0"/>
              <w:bottom w:val="single" w:color="auto" w:sz="4" w:space="0"/>
              <w:right w:val="single" w:color="auto" w:sz="4" w:space="0"/>
            </w:tcBorders>
            <w:vAlign w:val="center"/>
          </w:tcPr>
          <w:p w14:paraId="614CD43C">
            <w:pPr>
              <w:pStyle w:val="3"/>
              <w:spacing w:before="156" w:beforeLines="50" w:after="156" w:afterLines="50"/>
              <w:rPr>
                <w:rFonts w:ascii="宋体"/>
              </w:rPr>
            </w:pPr>
            <w:r>
              <w:rPr>
                <w:rFonts w:hint="eastAsia"/>
                <w:kern w:val="0"/>
              </w:rPr>
              <w:t>12万元及以上14万元以下</w:t>
            </w:r>
          </w:p>
        </w:tc>
        <w:tc>
          <w:tcPr>
            <w:tcW w:w="1984" w:type="dxa"/>
            <w:vMerge w:val="continue"/>
            <w:tcBorders>
              <w:left w:val="single" w:color="000000" w:sz="4" w:space="0"/>
              <w:right w:val="single" w:color="auto" w:sz="4" w:space="0"/>
            </w:tcBorders>
          </w:tcPr>
          <w:p w14:paraId="3FDE5BDA">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14:paraId="1D1DF2E8">
            <w:pPr>
              <w:pStyle w:val="3"/>
              <w:spacing w:before="156" w:beforeLines="50" w:after="156" w:afterLines="50"/>
              <w:jc w:val="center"/>
              <w:rPr>
                <w:rFonts w:ascii="宋体"/>
              </w:rPr>
            </w:pPr>
          </w:p>
        </w:tc>
      </w:tr>
      <w:tr w14:paraId="7864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4C756EE">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1648C6C0">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13E93665">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61454D9">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14:paraId="5AA54172">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14:paraId="5BBB8B60">
            <w:pPr>
              <w:pStyle w:val="3"/>
              <w:spacing w:before="156" w:beforeLines="50" w:after="156" w:afterLines="50"/>
              <w:jc w:val="left"/>
              <w:rPr>
                <w:rFonts w:ascii="宋体" w:hAnsi="宋体"/>
              </w:rPr>
            </w:pPr>
            <w:r>
              <w:rPr>
                <w:rFonts w:hint="eastAsia" w:ascii="宋体" w:hAnsi="宋体"/>
              </w:rPr>
              <w:t>未经检验合格的运输危险化学品的船舶投入使用的时间3个月以上至6个月的；或者运输危险化学品的船舶配载的容器投入使用的时间6个月以上至12个月的。</w:t>
            </w:r>
          </w:p>
        </w:tc>
        <w:tc>
          <w:tcPr>
            <w:tcW w:w="2268" w:type="dxa"/>
            <w:tcBorders>
              <w:top w:val="single" w:color="auto" w:sz="4" w:space="0"/>
              <w:left w:val="single" w:color="000000" w:sz="4" w:space="0"/>
              <w:bottom w:val="single" w:color="auto" w:sz="4" w:space="0"/>
              <w:right w:val="single" w:color="auto" w:sz="4" w:space="0"/>
            </w:tcBorders>
            <w:vAlign w:val="center"/>
          </w:tcPr>
          <w:p w14:paraId="724B40C6">
            <w:pPr>
              <w:spacing w:before="156" w:beforeLines="50" w:after="156" w:afterLines="50"/>
              <w:jc w:val="left"/>
              <w:rPr>
                <w:kern w:val="0"/>
                <w:sz w:val="18"/>
                <w:szCs w:val="18"/>
              </w:rPr>
            </w:pPr>
            <w:r>
              <w:rPr>
                <w:rFonts w:hint="eastAsia"/>
                <w:kern w:val="0"/>
                <w:sz w:val="18"/>
                <w:szCs w:val="18"/>
              </w:rPr>
              <w:t>13万元及以上14万元以下</w:t>
            </w:r>
          </w:p>
        </w:tc>
        <w:tc>
          <w:tcPr>
            <w:tcW w:w="2410" w:type="dxa"/>
            <w:tcBorders>
              <w:top w:val="single" w:color="auto" w:sz="4" w:space="0"/>
              <w:left w:val="single" w:color="000000" w:sz="4" w:space="0"/>
              <w:bottom w:val="single" w:color="auto" w:sz="4" w:space="0"/>
              <w:right w:val="single" w:color="000000" w:sz="4" w:space="0"/>
            </w:tcBorders>
            <w:vAlign w:val="center"/>
          </w:tcPr>
          <w:p w14:paraId="7DA29CED">
            <w:pPr>
              <w:pStyle w:val="3"/>
              <w:spacing w:before="156" w:beforeLines="50" w:after="156" w:afterLines="50"/>
              <w:rPr>
                <w:rFonts w:ascii="宋体"/>
              </w:rPr>
            </w:pPr>
            <w:r>
              <w:rPr>
                <w:rFonts w:hint="eastAsia"/>
                <w:kern w:val="0"/>
              </w:rPr>
              <w:t>14万元及以上15万元以下</w:t>
            </w:r>
          </w:p>
        </w:tc>
        <w:tc>
          <w:tcPr>
            <w:tcW w:w="2410" w:type="dxa"/>
            <w:tcBorders>
              <w:top w:val="single" w:color="auto" w:sz="4" w:space="0"/>
              <w:left w:val="single" w:color="000000" w:sz="4" w:space="0"/>
              <w:bottom w:val="single" w:color="auto" w:sz="4" w:space="0"/>
              <w:right w:val="single" w:color="auto" w:sz="4" w:space="0"/>
            </w:tcBorders>
            <w:vAlign w:val="center"/>
          </w:tcPr>
          <w:p w14:paraId="777CF6C5">
            <w:pPr>
              <w:pStyle w:val="3"/>
              <w:spacing w:before="156" w:beforeLines="50" w:after="156" w:afterLines="50"/>
              <w:rPr>
                <w:rFonts w:ascii="宋体"/>
              </w:rPr>
            </w:pPr>
            <w:r>
              <w:rPr>
                <w:rFonts w:hint="eastAsia"/>
                <w:kern w:val="0"/>
              </w:rPr>
              <w:t>14万元及以上15万元以下</w:t>
            </w:r>
          </w:p>
        </w:tc>
        <w:tc>
          <w:tcPr>
            <w:tcW w:w="1984" w:type="dxa"/>
            <w:vMerge w:val="continue"/>
            <w:tcBorders>
              <w:left w:val="single" w:color="000000" w:sz="4" w:space="0"/>
              <w:right w:val="single" w:color="auto" w:sz="4" w:space="0"/>
            </w:tcBorders>
          </w:tcPr>
          <w:p w14:paraId="5D592487">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14:paraId="13018E26">
            <w:pPr>
              <w:pStyle w:val="3"/>
              <w:spacing w:before="156" w:beforeLines="50" w:after="156" w:afterLines="50"/>
              <w:jc w:val="center"/>
              <w:rPr>
                <w:rFonts w:ascii="宋体"/>
              </w:rPr>
            </w:pPr>
          </w:p>
        </w:tc>
      </w:tr>
      <w:tr w14:paraId="2A68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5884F99A">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15058019">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67AFEF2B">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6B742CD">
            <w:pPr>
              <w:spacing w:before="156" w:beforeLines="50" w:after="156" w:afterLines="50"/>
              <w:jc w:val="left"/>
              <w:rPr>
                <w:sz w:val="18"/>
                <w:szCs w:val="18"/>
              </w:rPr>
            </w:pPr>
          </w:p>
        </w:tc>
        <w:tc>
          <w:tcPr>
            <w:tcW w:w="720" w:type="dxa"/>
            <w:vMerge w:val="continue"/>
            <w:tcBorders>
              <w:left w:val="single" w:color="000000" w:sz="4" w:space="0"/>
              <w:right w:val="single" w:color="000000" w:sz="4" w:space="0"/>
            </w:tcBorders>
            <w:vAlign w:val="center"/>
          </w:tcPr>
          <w:p w14:paraId="4DCA3CC3">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14:paraId="1F902A07">
            <w:pPr>
              <w:pStyle w:val="3"/>
              <w:spacing w:before="156" w:beforeLines="50" w:after="156" w:afterLines="50"/>
              <w:jc w:val="left"/>
              <w:rPr>
                <w:rFonts w:ascii="宋体" w:hAnsi="宋体"/>
              </w:rPr>
            </w:pPr>
            <w:r>
              <w:rPr>
                <w:rFonts w:hint="eastAsia" w:ascii="宋体" w:hAnsi="宋体"/>
              </w:rPr>
              <w:t>未经检验合格的运输危险化学品的船舶投入使用的时间6个月以上的；或者运输危险化学品的船舶配载的容器投入使用的时间12个月以上的；或者未经检验合格的运输危险化学品的船舶及其配载的容器投入使用，发生一般以下水上交通事故或发生危险化学品泄漏的。</w:t>
            </w:r>
          </w:p>
        </w:tc>
        <w:tc>
          <w:tcPr>
            <w:tcW w:w="2268" w:type="dxa"/>
            <w:tcBorders>
              <w:top w:val="single" w:color="auto" w:sz="4" w:space="0"/>
              <w:left w:val="single" w:color="000000" w:sz="4" w:space="0"/>
              <w:bottom w:val="single" w:color="000000" w:sz="4" w:space="0"/>
              <w:right w:val="single" w:color="auto" w:sz="4" w:space="0"/>
            </w:tcBorders>
            <w:vAlign w:val="center"/>
          </w:tcPr>
          <w:p w14:paraId="7E0AFE4A">
            <w:pPr>
              <w:spacing w:before="156" w:beforeLines="50" w:after="156" w:afterLines="50"/>
              <w:jc w:val="left"/>
              <w:rPr>
                <w:kern w:val="0"/>
                <w:sz w:val="18"/>
                <w:szCs w:val="18"/>
              </w:rPr>
            </w:pPr>
            <w:r>
              <w:rPr>
                <w:rFonts w:hint="eastAsia"/>
                <w:kern w:val="0"/>
                <w:sz w:val="18"/>
                <w:szCs w:val="18"/>
              </w:rPr>
              <w:t>14万元及以上15万元以下</w:t>
            </w:r>
          </w:p>
        </w:tc>
        <w:tc>
          <w:tcPr>
            <w:tcW w:w="2410" w:type="dxa"/>
            <w:tcBorders>
              <w:top w:val="single" w:color="auto" w:sz="4" w:space="0"/>
              <w:left w:val="single" w:color="000000" w:sz="4" w:space="0"/>
              <w:bottom w:val="single" w:color="auto" w:sz="4" w:space="0"/>
              <w:right w:val="single" w:color="000000" w:sz="4" w:space="0"/>
            </w:tcBorders>
            <w:vAlign w:val="center"/>
          </w:tcPr>
          <w:p w14:paraId="371E7F02">
            <w:pPr>
              <w:pStyle w:val="3"/>
              <w:spacing w:before="156" w:beforeLines="50" w:after="156" w:afterLines="50"/>
              <w:rPr>
                <w:rFonts w:ascii="宋体"/>
              </w:rPr>
            </w:pPr>
            <w:r>
              <w:rPr>
                <w:rFonts w:hint="eastAsia"/>
                <w:kern w:val="0"/>
              </w:rPr>
              <w:t>15万元及以上16万元以下</w:t>
            </w:r>
          </w:p>
        </w:tc>
        <w:tc>
          <w:tcPr>
            <w:tcW w:w="2410" w:type="dxa"/>
            <w:tcBorders>
              <w:top w:val="single" w:color="auto" w:sz="4" w:space="0"/>
              <w:left w:val="single" w:color="000000" w:sz="4" w:space="0"/>
              <w:bottom w:val="single" w:color="auto" w:sz="4" w:space="0"/>
              <w:right w:val="single" w:color="auto" w:sz="4" w:space="0"/>
            </w:tcBorders>
            <w:vAlign w:val="center"/>
          </w:tcPr>
          <w:p w14:paraId="13586851">
            <w:pPr>
              <w:pStyle w:val="3"/>
              <w:spacing w:before="156" w:beforeLines="50" w:after="156" w:afterLines="50"/>
              <w:rPr>
                <w:rFonts w:ascii="宋体"/>
              </w:rPr>
            </w:pPr>
            <w:r>
              <w:rPr>
                <w:rFonts w:hint="eastAsia"/>
                <w:kern w:val="0"/>
              </w:rPr>
              <w:t>15万元及以上17万元以下</w:t>
            </w:r>
          </w:p>
        </w:tc>
        <w:tc>
          <w:tcPr>
            <w:tcW w:w="1984" w:type="dxa"/>
            <w:vMerge w:val="continue"/>
            <w:tcBorders>
              <w:left w:val="single" w:color="000000" w:sz="4" w:space="0"/>
              <w:right w:val="single" w:color="auto" w:sz="4" w:space="0"/>
            </w:tcBorders>
          </w:tcPr>
          <w:p w14:paraId="6977624A">
            <w:pPr>
              <w:pStyle w:val="3"/>
              <w:spacing w:before="156" w:beforeLines="50" w:after="156" w:afterLines="50"/>
              <w:jc w:val="center"/>
              <w:rPr>
                <w:rFonts w:ascii="宋体"/>
              </w:rPr>
            </w:pPr>
          </w:p>
        </w:tc>
        <w:tc>
          <w:tcPr>
            <w:tcW w:w="2081" w:type="dxa"/>
            <w:vMerge w:val="continue"/>
            <w:tcBorders>
              <w:left w:val="single" w:color="000000" w:sz="4" w:space="0"/>
              <w:right w:val="single" w:color="auto" w:sz="4" w:space="0"/>
            </w:tcBorders>
          </w:tcPr>
          <w:p w14:paraId="483EFA7A">
            <w:pPr>
              <w:pStyle w:val="3"/>
              <w:spacing w:before="156" w:beforeLines="50" w:after="156" w:afterLines="50"/>
              <w:jc w:val="center"/>
              <w:rPr>
                <w:rFonts w:ascii="宋体"/>
              </w:rPr>
            </w:pPr>
          </w:p>
        </w:tc>
      </w:tr>
      <w:tr w14:paraId="0094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1BE9A9B1">
            <w:pPr>
              <w:spacing w:before="156" w:beforeLines="50" w:after="156" w:afterLines="50"/>
              <w:jc w:val="left"/>
              <w:rPr>
                <w:sz w:val="18"/>
                <w:szCs w:val="18"/>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14:paraId="54B5E704">
            <w:pPr>
              <w:spacing w:before="156" w:beforeLines="50" w:after="156" w:afterLines="50"/>
              <w:jc w:val="left"/>
              <w:rPr>
                <w:sz w:val="18"/>
                <w:szCs w:val="18"/>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06D34402">
            <w:pPr>
              <w:spacing w:before="156" w:beforeLines="50" w:after="156" w:afterLines="50"/>
              <w:jc w:val="left"/>
              <w:rPr>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C60AE1F">
            <w:pPr>
              <w:spacing w:before="156" w:beforeLines="50" w:after="156" w:afterLines="50"/>
              <w:jc w:val="left"/>
              <w:rPr>
                <w:sz w:val="18"/>
                <w:szCs w:val="18"/>
              </w:rPr>
            </w:pPr>
          </w:p>
        </w:tc>
        <w:tc>
          <w:tcPr>
            <w:tcW w:w="720" w:type="dxa"/>
            <w:vMerge w:val="continue"/>
            <w:tcBorders>
              <w:left w:val="single" w:color="000000" w:sz="4" w:space="0"/>
              <w:bottom w:val="single" w:color="000000" w:sz="4" w:space="0"/>
              <w:right w:val="single" w:color="000000" w:sz="4" w:space="0"/>
            </w:tcBorders>
            <w:vAlign w:val="center"/>
          </w:tcPr>
          <w:p w14:paraId="3C03D1B7">
            <w:pPr>
              <w:spacing w:before="156" w:beforeLines="50" w:after="156" w:afterLines="50"/>
              <w:jc w:val="center"/>
              <w:rPr>
                <w:sz w:val="18"/>
                <w:szCs w:val="18"/>
              </w:rPr>
            </w:pPr>
          </w:p>
        </w:tc>
        <w:tc>
          <w:tcPr>
            <w:tcW w:w="3481" w:type="dxa"/>
            <w:tcBorders>
              <w:top w:val="single" w:color="auto" w:sz="4" w:space="0"/>
              <w:left w:val="single" w:color="000000" w:sz="4" w:space="0"/>
              <w:bottom w:val="single" w:color="auto" w:sz="4" w:space="0"/>
              <w:right w:val="single" w:color="000000" w:sz="4" w:space="0"/>
            </w:tcBorders>
            <w:vAlign w:val="center"/>
          </w:tcPr>
          <w:p w14:paraId="6A1700A7">
            <w:pPr>
              <w:pStyle w:val="3"/>
              <w:spacing w:before="156" w:beforeLines="50" w:after="156" w:afterLines="50"/>
              <w:jc w:val="left"/>
              <w:rPr>
                <w:rFonts w:ascii="宋体" w:hAnsi="宋体"/>
              </w:rPr>
            </w:pPr>
            <w:r>
              <w:rPr>
                <w:rFonts w:hint="eastAsia" w:ascii="宋体" w:hAnsi="宋体"/>
              </w:rPr>
              <w:t>未经检验合格的运输危险化学品的船舶及其配载的容器投入使用，发生一般及以上水上交通事故的。</w:t>
            </w:r>
          </w:p>
        </w:tc>
        <w:tc>
          <w:tcPr>
            <w:tcW w:w="2268" w:type="dxa"/>
            <w:tcBorders>
              <w:top w:val="single" w:color="auto" w:sz="4" w:space="0"/>
              <w:left w:val="single" w:color="000000" w:sz="4" w:space="0"/>
              <w:bottom w:val="single" w:color="auto" w:sz="4" w:space="0"/>
              <w:right w:val="single" w:color="auto" w:sz="4" w:space="0"/>
            </w:tcBorders>
            <w:vAlign w:val="center"/>
          </w:tcPr>
          <w:p w14:paraId="47B97DEB">
            <w:pPr>
              <w:spacing w:before="156" w:beforeLines="50" w:after="156" w:afterLines="50"/>
              <w:jc w:val="left"/>
              <w:rPr>
                <w:kern w:val="0"/>
                <w:sz w:val="18"/>
                <w:szCs w:val="18"/>
              </w:rPr>
            </w:pPr>
            <w:r>
              <w:rPr>
                <w:rFonts w:hint="eastAsia"/>
                <w:kern w:val="0"/>
                <w:sz w:val="18"/>
                <w:szCs w:val="18"/>
              </w:rPr>
              <w:t>15万元及以上20万元及以下</w:t>
            </w:r>
          </w:p>
        </w:tc>
        <w:tc>
          <w:tcPr>
            <w:tcW w:w="2410" w:type="dxa"/>
            <w:tcBorders>
              <w:top w:val="single" w:color="auto" w:sz="4" w:space="0"/>
              <w:left w:val="single" w:color="000000" w:sz="4" w:space="0"/>
              <w:bottom w:val="single" w:color="auto" w:sz="4" w:space="0"/>
              <w:right w:val="single" w:color="000000" w:sz="4" w:space="0"/>
            </w:tcBorders>
            <w:vAlign w:val="center"/>
          </w:tcPr>
          <w:p w14:paraId="48D725A4">
            <w:pPr>
              <w:pStyle w:val="3"/>
              <w:spacing w:before="156" w:beforeLines="50" w:after="156" w:afterLines="50"/>
              <w:rPr>
                <w:rFonts w:ascii="宋体"/>
              </w:rPr>
            </w:pPr>
            <w:r>
              <w:rPr>
                <w:rFonts w:hint="eastAsia"/>
                <w:kern w:val="0"/>
              </w:rPr>
              <w:t>16万元及以上20万元及以下</w:t>
            </w:r>
          </w:p>
        </w:tc>
        <w:tc>
          <w:tcPr>
            <w:tcW w:w="2410" w:type="dxa"/>
            <w:tcBorders>
              <w:top w:val="single" w:color="auto" w:sz="4" w:space="0"/>
              <w:left w:val="single" w:color="000000" w:sz="4" w:space="0"/>
              <w:bottom w:val="single" w:color="auto" w:sz="4" w:space="0"/>
              <w:right w:val="single" w:color="auto" w:sz="4" w:space="0"/>
            </w:tcBorders>
            <w:vAlign w:val="center"/>
          </w:tcPr>
          <w:p w14:paraId="0E0CA60D">
            <w:pPr>
              <w:pStyle w:val="3"/>
              <w:spacing w:before="156" w:beforeLines="50" w:after="156" w:afterLines="50"/>
              <w:rPr>
                <w:rFonts w:ascii="宋体"/>
              </w:rPr>
            </w:pPr>
            <w:r>
              <w:rPr>
                <w:rFonts w:hint="eastAsia"/>
                <w:kern w:val="0"/>
              </w:rPr>
              <w:t>17万元及以上20万元及以下</w:t>
            </w:r>
          </w:p>
        </w:tc>
        <w:tc>
          <w:tcPr>
            <w:tcW w:w="1984" w:type="dxa"/>
            <w:vMerge w:val="continue"/>
            <w:tcBorders>
              <w:left w:val="single" w:color="000000" w:sz="4" w:space="0"/>
              <w:bottom w:val="single" w:color="auto" w:sz="4" w:space="0"/>
              <w:right w:val="single" w:color="auto" w:sz="4" w:space="0"/>
            </w:tcBorders>
          </w:tcPr>
          <w:p w14:paraId="5FE66994">
            <w:pPr>
              <w:pStyle w:val="3"/>
              <w:spacing w:before="156" w:beforeLines="50" w:after="156" w:afterLines="50"/>
              <w:ind w:firstLine="352"/>
              <w:jc w:val="center"/>
              <w:rPr>
                <w:rFonts w:ascii="宋体"/>
              </w:rPr>
            </w:pPr>
          </w:p>
        </w:tc>
        <w:tc>
          <w:tcPr>
            <w:tcW w:w="2081" w:type="dxa"/>
            <w:vMerge w:val="continue"/>
            <w:tcBorders>
              <w:left w:val="single" w:color="000000" w:sz="4" w:space="0"/>
              <w:bottom w:val="single" w:color="auto" w:sz="4" w:space="0"/>
              <w:right w:val="single" w:color="auto" w:sz="4" w:space="0"/>
            </w:tcBorders>
          </w:tcPr>
          <w:p w14:paraId="2E8B8BC7">
            <w:pPr>
              <w:pStyle w:val="3"/>
              <w:spacing w:before="156" w:beforeLines="50" w:after="156" w:afterLines="50"/>
              <w:ind w:firstLine="352"/>
              <w:jc w:val="center"/>
              <w:rPr>
                <w:rFonts w:ascii="宋体"/>
              </w:rPr>
            </w:pPr>
          </w:p>
        </w:tc>
      </w:tr>
    </w:tbl>
    <w:p w14:paraId="4FF0C177">
      <w:pPr>
        <w:widowControl/>
        <w:jc w:val="left"/>
        <w:rPr>
          <w:b/>
          <w:sz w:val="18"/>
          <w:szCs w:val="18"/>
        </w:rPr>
      </w:pPr>
      <w:r>
        <w:rPr>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844"/>
        <w:gridCol w:w="1600"/>
        <w:gridCol w:w="2661"/>
        <w:gridCol w:w="782"/>
        <w:gridCol w:w="4540"/>
        <w:gridCol w:w="2853"/>
        <w:gridCol w:w="5891"/>
      </w:tblGrid>
      <w:tr w14:paraId="3976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14:paraId="08F266AB">
            <w:pPr>
              <w:spacing w:before="156" w:beforeLines="50" w:after="156" w:afterLines="50"/>
              <w:jc w:val="center"/>
              <w:rPr>
                <w:b/>
                <w:sz w:val="18"/>
                <w:szCs w:val="18"/>
              </w:rPr>
            </w:pPr>
            <w:r>
              <w:rPr>
                <w:rFonts w:hint="eastAsia"/>
                <w:b/>
                <w:sz w:val="18"/>
                <w:szCs w:val="18"/>
              </w:rPr>
              <w:t>序号</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14:paraId="621210BE">
            <w:pPr>
              <w:spacing w:before="156" w:beforeLines="50" w:after="156" w:afterLines="50"/>
              <w:jc w:val="center"/>
              <w:rPr>
                <w:b/>
                <w:sz w:val="18"/>
                <w:szCs w:val="18"/>
              </w:rPr>
            </w:pPr>
            <w:r>
              <w:rPr>
                <w:rFonts w:hint="eastAsia"/>
                <w:b/>
                <w:sz w:val="18"/>
                <w:szCs w:val="18"/>
              </w:rPr>
              <w:t>案由</w:t>
            </w:r>
          </w:p>
        </w:tc>
        <w:tc>
          <w:tcPr>
            <w:tcW w:w="42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3711DAB">
            <w:pPr>
              <w:spacing w:before="156" w:beforeLines="50" w:after="156" w:afterLines="50"/>
              <w:jc w:val="center"/>
              <w:rPr>
                <w:b/>
                <w:sz w:val="18"/>
                <w:szCs w:val="18"/>
              </w:rPr>
            </w:pPr>
            <w:r>
              <w:rPr>
                <w:rFonts w:hint="eastAsia"/>
                <w:b/>
                <w:sz w:val="18"/>
                <w:szCs w:val="18"/>
              </w:rPr>
              <w:t>法律依据</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1B68A787">
            <w:pPr>
              <w:spacing w:before="156" w:beforeLines="50" w:after="156" w:afterLines="50"/>
              <w:jc w:val="center"/>
              <w:rPr>
                <w:b/>
                <w:sz w:val="18"/>
                <w:szCs w:val="18"/>
              </w:rPr>
            </w:pPr>
            <w:r>
              <w:rPr>
                <w:rFonts w:hint="eastAsia"/>
                <w:b/>
                <w:sz w:val="18"/>
                <w:szCs w:val="18"/>
              </w:rPr>
              <w:t>违法情节</w:t>
            </w:r>
          </w:p>
        </w:tc>
        <w:tc>
          <w:tcPr>
            <w:tcW w:w="4540" w:type="dxa"/>
            <w:vMerge w:val="restart"/>
            <w:tcBorders>
              <w:top w:val="single" w:color="000000" w:sz="4" w:space="0"/>
              <w:left w:val="single" w:color="000000" w:sz="4" w:space="0"/>
              <w:bottom w:val="single" w:color="000000" w:sz="4" w:space="0"/>
              <w:right w:val="single" w:color="000000" w:sz="4" w:space="0"/>
            </w:tcBorders>
            <w:vAlign w:val="center"/>
          </w:tcPr>
          <w:p w14:paraId="2C588001">
            <w:pPr>
              <w:spacing w:before="156" w:beforeLines="50" w:after="156" w:afterLines="50"/>
              <w:jc w:val="center"/>
              <w:rPr>
                <w:b/>
                <w:sz w:val="18"/>
                <w:szCs w:val="18"/>
              </w:rPr>
            </w:pPr>
            <w:r>
              <w:rPr>
                <w:rFonts w:hint="eastAsia"/>
                <w:b/>
                <w:sz w:val="18"/>
                <w:szCs w:val="18"/>
              </w:rPr>
              <w:t>主要考虑因素</w:t>
            </w:r>
          </w:p>
          <w:p w14:paraId="675CD440">
            <w:pPr>
              <w:spacing w:before="156" w:beforeLines="50" w:after="156" w:afterLines="50"/>
              <w:jc w:val="center"/>
              <w:rPr>
                <w:b/>
                <w:sz w:val="18"/>
                <w:szCs w:val="18"/>
              </w:rPr>
            </w:pPr>
            <w:r>
              <w:rPr>
                <w:rFonts w:hint="eastAsia"/>
                <w:b/>
                <w:sz w:val="18"/>
                <w:szCs w:val="18"/>
              </w:rPr>
              <w:t>（事实、性质、情节、危害程度和实际后果等）</w:t>
            </w:r>
          </w:p>
        </w:tc>
        <w:tc>
          <w:tcPr>
            <w:tcW w:w="8744" w:type="dxa"/>
            <w:gridSpan w:val="2"/>
            <w:tcBorders>
              <w:top w:val="single" w:color="000000" w:sz="4" w:space="0"/>
              <w:left w:val="single" w:color="000000" w:sz="4" w:space="0"/>
              <w:bottom w:val="single" w:color="auto" w:sz="4" w:space="0"/>
              <w:right w:val="single" w:color="auto" w:sz="4" w:space="0"/>
            </w:tcBorders>
            <w:vAlign w:val="center"/>
          </w:tcPr>
          <w:p w14:paraId="6AA4FC4B">
            <w:pPr>
              <w:spacing w:before="156" w:beforeLines="50" w:after="156" w:afterLines="50"/>
              <w:jc w:val="center"/>
              <w:rPr>
                <w:b/>
                <w:sz w:val="18"/>
                <w:szCs w:val="18"/>
              </w:rPr>
            </w:pPr>
            <w:r>
              <w:rPr>
                <w:rFonts w:hint="eastAsia"/>
                <w:b/>
                <w:sz w:val="18"/>
                <w:szCs w:val="18"/>
              </w:rPr>
              <w:t>【法定幅度和种类】</w:t>
            </w:r>
            <w:r>
              <w:rPr>
                <w:b/>
                <w:sz w:val="18"/>
                <w:szCs w:val="18"/>
              </w:rPr>
              <w:t>5</w:t>
            </w:r>
            <w:r>
              <w:rPr>
                <w:rFonts w:hint="eastAsia"/>
                <w:b/>
                <w:sz w:val="18"/>
                <w:szCs w:val="18"/>
              </w:rPr>
              <w:t>万元以上</w:t>
            </w:r>
            <w:r>
              <w:rPr>
                <w:b/>
                <w:sz w:val="18"/>
                <w:szCs w:val="18"/>
              </w:rPr>
              <w:t>10</w:t>
            </w:r>
            <w:r>
              <w:rPr>
                <w:rFonts w:hint="eastAsia"/>
                <w:b/>
                <w:sz w:val="18"/>
                <w:szCs w:val="18"/>
              </w:rPr>
              <w:t>万元以下的罚款；拒不改正的，责令停航整顿</w:t>
            </w:r>
          </w:p>
        </w:tc>
      </w:tr>
      <w:tr w14:paraId="0DC6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24A7434F">
            <w:pPr>
              <w:spacing w:before="156" w:beforeLines="50" w:after="156" w:afterLines="50"/>
              <w:jc w:val="center"/>
              <w:rPr>
                <w:b/>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45FF1EFD">
            <w:pPr>
              <w:spacing w:before="156" w:beforeLines="50" w:after="156" w:afterLines="50"/>
              <w:jc w:val="center"/>
              <w:rPr>
                <w:b/>
                <w:sz w:val="18"/>
                <w:szCs w:val="18"/>
              </w:rPr>
            </w:pPr>
          </w:p>
        </w:tc>
        <w:tc>
          <w:tcPr>
            <w:tcW w:w="42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50320C">
            <w:pPr>
              <w:spacing w:before="156" w:beforeLines="50" w:after="156" w:afterLines="50"/>
              <w:jc w:val="center"/>
              <w:rPr>
                <w:b/>
                <w:sz w:val="18"/>
                <w:szCs w:val="18"/>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56F67780">
            <w:pPr>
              <w:spacing w:before="156" w:beforeLines="50" w:after="156" w:afterLines="50"/>
              <w:jc w:val="left"/>
              <w:rPr>
                <w:b/>
                <w:sz w:val="18"/>
                <w:szCs w:val="18"/>
              </w:rPr>
            </w:pPr>
          </w:p>
        </w:tc>
        <w:tc>
          <w:tcPr>
            <w:tcW w:w="4540" w:type="dxa"/>
            <w:vMerge w:val="continue"/>
            <w:tcBorders>
              <w:top w:val="single" w:color="000000" w:sz="4" w:space="0"/>
              <w:left w:val="single" w:color="000000" w:sz="4" w:space="0"/>
              <w:bottom w:val="single" w:color="000000" w:sz="4" w:space="0"/>
              <w:right w:val="single" w:color="000000" w:sz="4" w:space="0"/>
            </w:tcBorders>
            <w:vAlign w:val="center"/>
          </w:tcPr>
          <w:p w14:paraId="76279499">
            <w:pPr>
              <w:spacing w:before="156" w:beforeLines="50" w:after="156" w:afterLines="50"/>
              <w:jc w:val="left"/>
              <w:rPr>
                <w:b/>
                <w:sz w:val="18"/>
                <w:szCs w:val="18"/>
              </w:rPr>
            </w:pPr>
          </w:p>
        </w:tc>
        <w:tc>
          <w:tcPr>
            <w:tcW w:w="2853" w:type="dxa"/>
            <w:tcBorders>
              <w:top w:val="single" w:color="auto" w:sz="4" w:space="0"/>
              <w:left w:val="single" w:color="000000" w:sz="4" w:space="0"/>
              <w:bottom w:val="single" w:color="auto" w:sz="4" w:space="0"/>
              <w:right w:val="single" w:color="auto" w:sz="4" w:space="0"/>
            </w:tcBorders>
            <w:vAlign w:val="center"/>
          </w:tcPr>
          <w:p w14:paraId="541078AF">
            <w:pPr>
              <w:spacing w:before="156" w:beforeLines="50" w:after="156" w:afterLines="50"/>
              <w:jc w:val="center"/>
              <w:rPr>
                <w:b/>
                <w:sz w:val="18"/>
                <w:szCs w:val="18"/>
              </w:rPr>
            </w:pPr>
            <w:r>
              <w:rPr>
                <w:rFonts w:hint="eastAsia"/>
                <w:b/>
                <w:sz w:val="18"/>
                <w:szCs w:val="18"/>
              </w:rPr>
              <w:t>处罚基准</w:t>
            </w:r>
          </w:p>
        </w:tc>
        <w:tc>
          <w:tcPr>
            <w:tcW w:w="5891" w:type="dxa"/>
            <w:tcBorders>
              <w:top w:val="single" w:color="auto" w:sz="4" w:space="0"/>
              <w:left w:val="single" w:color="000000" w:sz="4" w:space="0"/>
              <w:bottom w:val="single" w:color="auto" w:sz="4" w:space="0"/>
              <w:right w:val="single" w:color="auto" w:sz="4" w:space="0"/>
            </w:tcBorders>
            <w:vAlign w:val="center"/>
          </w:tcPr>
          <w:p w14:paraId="1A307DFA">
            <w:pPr>
              <w:spacing w:before="156" w:beforeLines="50" w:after="156" w:afterLines="50"/>
              <w:jc w:val="center"/>
              <w:rPr>
                <w:b/>
                <w:sz w:val="18"/>
                <w:szCs w:val="18"/>
              </w:rPr>
            </w:pPr>
            <w:r>
              <w:rPr>
                <w:rFonts w:hint="eastAsia"/>
                <w:b/>
                <w:sz w:val="18"/>
                <w:szCs w:val="18"/>
              </w:rPr>
              <w:t>减轻处罚基准</w:t>
            </w:r>
          </w:p>
        </w:tc>
      </w:tr>
      <w:tr w14:paraId="1A72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41287899">
            <w:pPr>
              <w:spacing w:before="156" w:beforeLines="50" w:after="156" w:afterLines="50"/>
              <w:jc w:val="center"/>
              <w:rPr>
                <w:b/>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6E875108">
            <w:pPr>
              <w:spacing w:before="156" w:beforeLines="50" w:after="156" w:afterLines="50"/>
              <w:jc w:val="center"/>
              <w:rPr>
                <w:b/>
                <w:sz w:val="18"/>
                <w:szCs w:val="18"/>
              </w:rPr>
            </w:pPr>
          </w:p>
        </w:tc>
        <w:tc>
          <w:tcPr>
            <w:tcW w:w="1600" w:type="dxa"/>
            <w:tcBorders>
              <w:top w:val="single" w:color="000000" w:sz="4" w:space="0"/>
              <w:left w:val="single" w:color="000000" w:sz="4" w:space="0"/>
              <w:bottom w:val="single" w:color="000000" w:sz="4" w:space="0"/>
              <w:right w:val="single" w:color="000000" w:sz="4" w:space="0"/>
            </w:tcBorders>
            <w:vAlign w:val="center"/>
          </w:tcPr>
          <w:p w14:paraId="7A43D0B4">
            <w:pPr>
              <w:spacing w:before="156" w:beforeLines="50" w:after="156" w:afterLines="50"/>
              <w:jc w:val="center"/>
              <w:rPr>
                <w:b/>
                <w:sz w:val="18"/>
                <w:szCs w:val="18"/>
              </w:rPr>
            </w:pPr>
            <w:r>
              <w:rPr>
                <w:rFonts w:hint="eastAsia"/>
                <w:b/>
                <w:sz w:val="18"/>
                <w:szCs w:val="18"/>
              </w:rPr>
              <w:t>违反条款</w:t>
            </w:r>
          </w:p>
        </w:tc>
        <w:tc>
          <w:tcPr>
            <w:tcW w:w="2661" w:type="dxa"/>
            <w:tcBorders>
              <w:top w:val="single" w:color="000000" w:sz="4" w:space="0"/>
              <w:left w:val="single" w:color="000000" w:sz="4" w:space="0"/>
              <w:bottom w:val="single" w:color="000000" w:sz="4" w:space="0"/>
              <w:right w:val="single" w:color="000000" w:sz="4" w:space="0"/>
            </w:tcBorders>
            <w:vAlign w:val="center"/>
          </w:tcPr>
          <w:p w14:paraId="7BCAD675">
            <w:pPr>
              <w:spacing w:before="156" w:beforeLines="50" w:after="156" w:afterLines="50"/>
              <w:jc w:val="center"/>
              <w:rPr>
                <w:b/>
                <w:sz w:val="18"/>
                <w:szCs w:val="18"/>
              </w:rPr>
            </w:pPr>
            <w:r>
              <w:rPr>
                <w:rFonts w:hint="eastAsia"/>
                <w:b/>
                <w:sz w:val="18"/>
                <w:szCs w:val="18"/>
              </w:rPr>
              <w:t>处罚依据</w:t>
            </w: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55589A75">
            <w:pPr>
              <w:spacing w:before="156" w:beforeLines="50" w:after="156" w:afterLines="50"/>
              <w:jc w:val="left"/>
              <w:rPr>
                <w:b/>
                <w:sz w:val="18"/>
                <w:szCs w:val="18"/>
              </w:rPr>
            </w:pPr>
          </w:p>
        </w:tc>
        <w:tc>
          <w:tcPr>
            <w:tcW w:w="4540" w:type="dxa"/>
            <w:vMerge w:val="continue"/>
            <w:tcBorders>
              <w:top w:val="single" w:color="000000" w:sz="4" w:space="0"/>
              <w:left w:val="single" w:color="000000" w:sz="4" w:space="0"/>
              <w:bottom w:val="single" w:color="000000" w:sz="4" w:space="0"/>
              <w:right w:val="single" w:color="000000" w:sz="4" w:space="0"/>
            </w:tcBorders>
            <w:vAlign w:val="center"/>
          </w:tcPr>
          <w:p w14:paraId="336F1234">
            <w:pPr>
              <w:spacing w:before="156" w:beforeLines="50" w:after="156" w:afterLines="50"/>
              <w:jc w:val="left"/>
              <w:rPr>
                <w:b/>
                <w:sz w:val="18"/>
                <w:szCs w:val="18"/>
              </w:rPr>
            </w:pPr>
          </w:p>
        </w:tc>
        <w:tc>
          <w:tcPr>
            <w:tcW w:w="2853" w:type="dxa"/>
            <w:tcBorders>
              <w:top w:val="single" w:color="auto" w:sz="4" w:space="0"/>
              <w:left w:val="single" w:color="000000" w:sz="4" w:space="0"/>
              <w:bottom w:val="single" w:color="auto" w:sz="4" w:space="0"/>
              <w:right w:val="single" w:color="auto" w:sz="4" w:space="0"/>
            </w:tcBorders>
            <w:vAlign w:val="center"/>
          </w:tcPr>
          <w:p w14:paraId="54561239">
            <w:pPr>
              <w:spacing w:before="156" w:beforeLines="50" w:after="156" w:afterLines="50"/>
              <w:jc w:val="center"/>
              <w:rPr>
                <w:b/>
                <w:sz w:val="18"/>
                <w:szCs w:val="18"/>
              </w:rPr>
            </w:pPr>
            <w:r>
              <w:rPr>
                <w:rFonts w:hint="eastAsia"/>
                <w:b/>
                <w:sz w:val="18"/>
                <w:szCs w:val="18"/>
              </w:rPr>
              <w:t>【对象】船舶所有人或经营人</w:t>
            </w:r>
          </w:p>
        </w:tc>
        <w:tc>
          <w:tcPr>
            <w:tcW w:w="5891" w:type="dxa"/>
            <w:tcBorders>
              <w:top w:val="single" w:color="auto" w:sz="4" w:space="0"/>
              <w:left w:val="single" w:color="000000" w:sz="4" w:space="0"/>
              <w:bottom w:val="single" w:color="auto" w:sz="4" w:space="0"/>
              <w:right w:val="single" w:color="auto" w:sz="4" w:space="0"/>
            </w:tcBorders>
            <w:vAlign w:val="center"/>
          </w:tcPr>
          <w:p w14:paraId="2D255C38">
            <w:pPr>
              <w:spacing w:before="156" w:beforeLines="50" w:after="156" w:afterLines="50"/>
              <w:jc w:val="center"/>
              <w:rPr>
                <w:b/>
                <w:sz w:val="18"/>
                <w:szCs w:val="18"/>
              </w:rPr>
            </w:pPr>
            <w:r>
              <w:rPr>
                <w:rFonts w:hint="eastAsia"/>
                <w:b/>
                <w:sz w:val="18"/>
                <w:szCs w:val="18"/>
              </w:rPr>
              <w:t>【对象】船舶所有人或经营人</w:t>
            </w:r>
          </w:p>
        </w:tc>
      </w:tr>
      <w:tr w14:paraId="40DB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746" w:type="dxa"/>
            <w:vMerge w:val="restart"/>
            <w:tcBorders>
              <w:top w:val="single" w:color="000000" w:sz="4" w:space="0"/>
              <w:left w:val="single" w:color="000000" w:sz="4" w:space="0"/>
              <w:bottom w:val="single" w:color="000000" w:sz="4" w:space="0"/>
              <w:right w:val="single" w:color="000000" w:sz="4" w:space="0"/>
            </w:tcBorders>
            <w:vAlign w:val="center"/>
          </w:tcPr>
          <w:p w14:paraId="2DA7FDB3">
            <w:pPr>
              <w:spacing w:before="156" w:beforeLines="50" w:after="156" w:afterLines="50"/>
              <w:jc w:val="center"/>
              <w:rPr>
                <w:sz w:val="18"/>
                <w:szCs w:val="18"/>
              </w:rPr>
            </w:pPr>
            <w:r>
              <w:rPr>
                <w:rFonts w:hint="eastAsia"/>
                <w:sz w:val="18"/>
                <w:szCs w:val="18"/>
              </w:rPr>
              <w:t>87</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14:paraId="07FBFE03">
            <w:pPr>
              <w:pStyle w:val="13"/>
              <w:spacing w:before="156" w:beforeLines="50" w:after="156" w:afterLines="50"/>
              <w:rPr>
                <w:sz w:val="18"/>
                <w:szCs w:val="18"/>
              </w:rPr>
            </w:pPr>
            <w:r>
              <w:rPr>
                <w:rFonts w:hint="eastAsia"/>
                <w:sz w:val="18"/>
                <w:szCs w:val="18"/>
              </w:rPr>
              <w:t>船舶配载和运输危险货物不符合国家有关法律、法规、规章的规定和国家标准，或者未按照危险化学品的特性采取必要安全防护措施的</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14:paraId="0BCCB55D">
            <w:pPr>
              <w:pStyle w:val="13"/>
              <w:spacing w:before="156" w:beforeLines="50" w:after="156" w:afterLines="50"/>
              <w:rPr>
                <w:sz w:val="18"/>
                <w:szCs w:val="18"/>
              </w:rPr>
            </w:pPr>
            <w:r>
              <w:rPr>
                <w:rFonts w:hint="eastAsia"/>
                <w:sz w:val="18"/>
                <w:szCs w:val="18"/>
              </w:rPr>
              <w:t>《危险化学品安全管理条例》第四十五条第一款</w:t>
            </w:r>
          </w:p>
        </w:tc>
        <w:tc>
          <w:tcPr>
            <w:tcW w:w="2661" w:type="dxa"/>
            <w:vMerge w:val="restart"/>
            <w:tcBorders>
              <w:top w:val="single" w:color="000000" w:sz="4" w:space="0"/>
              <w:left w:val="single" w:color="000000" w:sz="4" w:space="0"/>
              <w:bottom w:val="single" w:color="000000" w:sz="4" w:space="0"/>
              <w:right w:val="single" w:color="000000" w:sz="4" w:space="0"/>
            </w:tcBorders>
            <w:vAlign w:val="center"/>
          </w:tcPr>
          <w:p w14:paraId="5BB2978A">
            <w:pPr>
              <w:pStyle w:val="13"/>
              <w:spacing w:before="156" w:beforeLines="50" w:after="156" w:afterLines="50"/>
              <w:rPr>
                <w:sz w:val="18"/>
                <w:szCs w:val="18"/>
              </w:rPr>
            </w:pPr>
            <w:r>
              <w:rPr>
                <w:sz w:val="18"/>
                <w:szCs w:val="18"/>
              </w:rPr>
              <w:t xml:space="preserve">1. </w:t>
            </w:r>
            <w:r>
              <w:rPr>
                <w:rFonts w:hint="eastAsia"/>
                <w:sz w:val="18"/>
                <w:szCs w:val="18"/>
              </w:rPr>
              <w:t>《危险化学品安全管理条例》第八十六条第（二）项；</w:t>
            </w:r>
          </w:p>
          <w:p w14:paraId="44263C17">
            <w:pPr>
              <w:pStyle w:val="13"/>
              <w:spacing w:before="156" w:beforeLines="50" w:after="156" w:afterLines="50"/>
              <w:rPr>
                <w:sz w:val="18"/>
                <w:szCs w:val="18"/>
              </w:rPr>
            </w:pPr>
            <w:r>
              <w:rPr>
                <w:rFonts w:hint="eastAsia"/>
                <w:sz w:val="18"/>
                <w:szCs w:val="18"/>
              </w:rPr>
              <w:t>2. 《中华人民共和国内河海事行政处罚规定》第二十四第一款和第二款相应项；</w:t>
            </w:r>
          </w:p>
          <w:p w14:paraId="5C000569">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82" w:type="dxa"/>
            <w:tcBorders>
              <w:top w:val="single" w:color="000000" w:sz="4" w:space="0"/>
              <w:left w:val="single" w:color="000000" w:sz="4" w:space="0"/>
              <w:bottom w:val="single" w:color="000000" w:sz="4" w:space="0"/>
              <w:right w:val="single" w:color="000000" w:sz="4" w:space="0"/>
            </w:tcBorders>
            <w:vAlign w:val="center"/>
          </w:tcPr>
          <w:p w14:paraId="75CFF3EB">
            <w:pPr>
              <w:pStyle w:val="13"/>
              <w:spacing w:before="156" w:beforeLines="50" w:after="156" w:afterLines="50"/>
              <w:jc w:val="center"/>
              <w:rPr>
                <w:sz w:val="18"/>
                <w:szCs w:val="18"/>
              </w:rPr>
            </w:pPr>
            <w:r>
              <w:rPr>
                <w:rFonts w:hint="eastAsia"/>
                <w:sz w:val="18"/>
                <w:szCs w:val="18"/>
              </w:rPr>
              <w:t>从轻</w:t>
            </w:r>
          </w:p>
        </w:tc>
        <w:tc>
          <w:tcPr>
            <w:tcW w:w="4540" w:type="dxa"/>
            <w:tcBorders>
              <w:top w:val="single" w:color="000000" w:sz="4" w:space="0"/>
              <w:left w:val="single" w:color="000000" w:sz="4" w:space="0"/>
              <w:bottom w:val="single" w:color="000000" w:sz="4" w:space="0"/>
              <w:right w:val="single" w:color="000000" w:sz="4" w:space="0"/>
            </w:tcBorders>
            <w:vAlign w:val="center"/>
          </w:tcPr>
          <w:p w14:paraId="3EBAB3A1">
            <w:pPr>
              <w:pStyle w:val="13"/>
              <w:spacing w:before="156" w:beforeLines="50" w:after="156" w:afterLines="50"/>
              <w:rPr>
                <w:sz w:val="18"/>
                <w:szCs w:val="18"/>
              </w:rPr>
            </w:pPr>
            <w:r>
              <w:rPr>
                <w:rFonts w:hint="eastAsia"/>
                <w:sz w:val="18"/>
                <w:szCs w:val="18"/>
              </w:rPr>
              <w:t>具有法定从轻情节的。</w:t>
            </w:r>
          </w:p>
        </w:tc>
        <w:tc>
          <w:tcPr>
            <w:tcW w:w="2853" w:type="dxa"/>
            <w:tcBorders>
              <w:top w:val="single" w:color="000000" w:sz="4" w:space="0"/>
              <w:left w:val="single" w:color="000000" w:sz="4" w:space="0"/>
              <w:bottom w:val="single" w:color="auto" w:sz="4" w:space="0"/>
              <w:right w:val="single" w:color="auto" w:sz="4" w:space="0"/>
            </w:tcBorders>
            <w:vAlign w:val="center"/>
          </w:tcPr>
          <w:p w14:paraId="5FED73B8">
            <w:pPr>
              <w:pStyle w:val="13"/>
              <w:spacing w:before="156" w:beforeLines="50" w:after="156" w:afterLines="50"/>
              <w:jc w:val="center"/>
              <w:rPr>
                <w:sz w:val="18"/>
                <w:szCs w:val="18"/>
              </w:rPr>
            </w:pPr>
            <w:r>
              <w:rPr>
                <w:sz w:val="18"/>
                <w:szCs w:val="18"/>
              </w:rPr>
              <w:t>5</w:t>
            </w:r>
            <w:r>
              <w:rPr>
                <w:rFonts w:hint="eastAsia"/>
                <w:sz w:val="18"/>
                <w:szCs w:val="18"/>
              </w:rPr>
              <w:t>万元及以上6万元以下</w:t>
            </w:r>
          </w:p>
        </w:tc>
        <w:tc>
          <w:tcPr>
            <w:tcW w:w="5891" w:type="dxa"/>
            <w:vMerge w:val="restart"/>
            <w:tcBorders>
              <w:top w:val="single" w:color="000000" w:sz="4" w:space="0"/>
              <w:left w:val="single" w:color="000000" w:sz="4" w:space="0"/>
              <w:bottom w:val="single" w:color="000000" w:sz="4" w:space="0"/>
              <w:right w:val="single" w:color="auto" w:sz="4" w:space="0"/>
            </w:tcBorders>
            <w:vAlign w:val="center"/>
          </w:tcPr>
          <w:p w14:paraId="6783349A">
            <w:pPr>
              <w:pStyle w:val="13"/>
              <w:spacing w:before="156" w:beforeLines="50" w:after="156" w:afterLines="50"/>
              <w:rPr>
                <w:rFonts w:ascii="宋体"/>
                <w:sz w:val="18"/>
                <w:szCs w:val="18"/>
              </w:rPr>
            </w:pPr>
            <w:r>
              <w:rPr>
                <w:rFonts w:hint="eastAsia"/>
                <w:sz w:val="18"/>
                <w:szCs w:val="18"/>
              </w:rPr>
              <w:t>未根据危险化学品的危险特性采取相应的安全防护措施，或者未配备必要的防护用品和应急救援器材，未发生事故的：1万元及以上5万元以下。</w:t>
            </w:r>
          </w:p>
        </w:tc>
      </w:tr>
      <w:tr w14:paraId="7D4C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4A7FE6FB">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0B7B6C05">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0DE01DBA">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56AB3662">
            <w:pPr>
              <w:pStyle w:val="13"/>
              <w:spacing w:before="156" w:beforeLines="50" w:after="156" w:afterLines="50"/>
              <w:jc w:val="center"/>
              <w:rPr>
                <w:sz w:val="18"/>
                <w:szCs w:val="18"/>
              </w:rPr>
            </w:pPr>
          </w:p>
        </w:tc>
        <w:tc>
          <w:tcPr>
            <w:tcW w:w="782" w:type="dxa"/>
            <w:vMerge w:val="restart"/>
            <w:tcBorders>
              <w:top w:val="single" w:color="000000" w:sz="4" w:space="0"/>
              <w:left w:val="single" w:color="000000" w:sz="4" w:space="0"/>
              <w:right w:val="single" w:color="000000" w:sz="4" w:space="0"/>
            </w:tcBorders>
            <w:vAlign w:val="center"/>
          </w:tcPr>
          <w:p w14:paraId="50D791E5">
            <w:pPr>
              <w:pStyle w:val="13"/>
              <w:spacing w:before="156" w:beforeLines="50" w:after="156" w:afterLines="50"/>
              <w:jc w:val="center"/>
              <w:rPr>
                <w:sz w:val="18"/>
                <w:szCs w:val="18"/>
              </w:rPr>
            </w:pPr>
            <w:r>
              <w:rPr>
                <w:rFonts w:hint="eastAsia"/>
                <w:sz w:val="18"/>
                <w:szCs w:val="18"/>
              </w:rPr>
              <w:t>一般</w:t>
            </w:r>
          </w:p>
        </w:tc>
        <w:tc>
          <w:tcPr>
            <w:tcW w:w="4540" w:type="dxa"/>
            <w:tcBorders>
              <w:top w:val="single" w:color="auto" w:sz="4" w:space="0"/>
              <w:left w:val="single" w:color="000000" w:sz="4" w:space="0"/>
              <w:bottom w:val="single" w:color="auto" w:sz="4" w:space="0"/>
              <w:right w:val="single" w:color="000000" w:sz="4" w:space="0"/>
            </w:tcBorders>
            <w:vAlign w:val="center"/>
          </w:tcPr>
          <w:p w14:paraId="72B04A7B">
            <w:pPr>
              <w:pStyle w:val="13"/>
              <w:spacing w:before="156" w:beforeLines="50" w:after="156" w:afterLines="50"/>
              <w:rPr>
                <w:sz w:val="18"/>
                <w:szCs w:val="18"/>
              </w:rPr>
            </w:pPr>
            <w:r>
              <w:rPr>
                <w:rFonts w:hint="eastAsia"/>
                <w:sz w:val="18"/>
                <w:szCs w:val="18"/>
              </w:rPr>
              <w:t>船舶配载和运输危险货物不符合国家有关法律、法规、规章的规定和国家标准，或者未按照危险化学品的特性采取必要安全防护措施的。</w:t>
            </w:r>
          </w:p>
        </w:tc>
        <w:tc>
          <w:tcPr>
            <w:tcW w:w="2853" w:type="dxa"/>
            <w:tcBorders>
              <w:top w:val="single" w:color="000000" w:sz="4" w:space="0"/>
              <w:left w:val="single" w:color="000000" w:sz="4" w:space="0"/>
              <w:bottom w:val="single" w:color="000000" w:sz="4" w:space="0"/>
              <w:right w:val="single" w:color="auto" w:sz="4" w:space="0"/>
            </w:tcBorders>
            <w:vAlign w:val="center"/>
          </w:tcPr>
          <w:p w14:paraId="314ACCD5">
            <w:pPr>
              <w:pStyle w:val="13"/>
              <w:spacing w:before="156" w:beforeLines="50" w:after="156" w:afterLines="50"/>
              <w:jc w:val="center"/>
              <w:rPr>
                <w:sz w:val="18"/>
                <w:szCs w:val="18"/>
              </w:rPr>
            </w:pPr>
            <w:r>
              <w:rPr>
                <w:sz w:val="18"/>
                <w:szCs w:val="18"/>
              </w:rPr>
              <w:t>6</w:t>
            </w:r>
            <w:r>
              <w:rPr>
                <w:rFonts w:hint="eastAsia"/>
                <w:sz w:val="18"/>
                <w:szCs w:val="18"/>
              </w:rPr>
              <w:t>万元及以上7万元以下</w:t>
            </w:r>
          </w:p>
        </w:tc>
        <w:tc>
          <w:tcPr>
            <w:tcW w:w="5891" w:type="dxa"/>
            <w:vMerge w:val="continue"/>
            <w:tcBorders>
              <w:top w:val="single" w:color="000000" w:sz="4" w:space="0"/>
              <w:left w:val="single" w:color="000000" w:sz="4" w:space="0"/>
              <w:bottom w:val="single" w:color="000000" w:sz="4" w:space="0"/>
              <w:right w:val="single" w:color="auto" w:sz="4" w:space="0"/>
            </w:tcBorders>
          </w:tcPr>
          <w:p w14:paraId="69AE9DB2">
            <w:pPr>
              <w:pStyle w:val="13"/>
              <w:spacing w:before="156" w:beforeLines="50" w:after="156" w:afterLines="50"/>
              <w:jc w:val="center"/>
              <w:rPr>
                <w:rFonts w:ascii="宋体"/>
                <w:sz w:val="18"/>
                <w:szCs w:val="18"/>
              </w:rPr>
            </w:pPr>
          </w:p>
        </w:tc>
      </w:tr>
      <w:tr w14:paraId="38010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736B73B6">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22E03FA2">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30917E72">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29C67829">
            <w:pPr>
              <w:pStyle w:val="13"/>
              <w:spacing w:before="156" w:beforeLines="50" w:after="156" w:afterLines="50"/>
              <w:jc w:val="center"/>
              <w:rPr>
                <w:sz w:val="18"/>
                <w:szCs w:val="18"/>
              </w:rPr>
            </w:pPr>
          </w:p>
        </w:tc>
        <w:tc>
          <w:tcPr>
            <w:tcW w:w="782" w:type="dxa"/>
            <w:vMerge w:val="continue"/>
            <w:tcBorders>
              <w:left w:val="single" w:color="000000" w:sz="4" w:space="0"/>
              <w:right w:val="single" w:color="000000" w:sz="4" w:space="0"/>
            </w:tcBorders>
            <w:vAlign w:val="center"/>
          </w:tcPr>
          <w:p w14:paraId="1E4CF440">
            <w:pPr>
              <w:pStyle w:val="13"/>
              <w:spacing w:before="156" w:beforeLines="50" w:after="156" w:afterLines="50"/>
              <w:jc w:val="center"/>
              <w:rPr>
                <w:sz w:val="18"/>
                <w:szCs w:val="18"/>
              </w:rPr>
            </w:pPr>
          </w:p>
        </w:tc>
        <w:tc>
          <w:tcPr>
            <w:tcW w:w="4540" w:type="dxa"/>
            <w:tcBorders>
              <w:top w:val="single" w:color="auto" w:sz="4" w:space="0"/>
              <w:left w:val="single" w:color="000000" w:sz="4" w:space="0"/>
              <w:bottom w:val="single" w:color="000000" w:sz="4" w:space="0"/>
              <w:right w:val="single" w:color="000000" w:sz="4" w:space="0"/>
            </w:tcBorders>
            <w:vAlign w:val="center"/>
          </w:tcPr>
          <w:p w14:paraId="6A0C3F72">
            <w:pPr>
              <w:pStyle w:val="13"/>
              <w:spacing w:before="156" w:beforeLines="50" w:after="156" w:afterLines="50"/>
              <w:rPr>
                <w:sz w:val="18"/>
                <w:szCs w:val="18"/>
              </w:rPr>
            </w:pPr>
            <w:r>
              <w:rPr>
                <w:rFonts w:hint="eastAsia"/>
                <w:sz w:val="18"/>
                <w:szCs w:val="18"/>
              </w:rPr>
              <w:t>发生一般以下水上等级事故但未发生危险化学品泄漏等不良后果的。</w:t>
            </w:r>
          </w:p>
        </w:tc>
        <w:tc>
          <w:tcPr>
            <w:tcW w:w="2853" w:type="dxa"/>
            <w:tcBorders>
              <w:top w:val="single" w:color="auto" w:sz="4" w:space="0"/>
              <w:left w:val="single" w:color="000000" w:sz="4" w:space="0"/>
              <w:bottom w:val="single" w:color="000000" w:sz="4" w:space="0"/>
              <w:right w:val="single" w:color="auto" w:sz="4" w:space="0"/>
            </w:tcBorders>
            <w:vAlign w:val="center"/>
          </w:tcPr>
          <w:p w14:paraId="79D43AE2">
            <w:pPr>
              <w:pStyle w:val="13"/>
              <w:spacing w:before="156" w:beforeLines="50" w:after="156" w:afterLines="50"/>
              <w:jc w:val="center"/>
              <w:rPr>
                <w:sz w:val="18"/>
                <w:szCs w:val="18"/>
              </w:rPr>
            </w:pPr>
            <w:r>
              <w:rPr>
                <w:rFonts w:hint="eastAsia"/>
                <w:sz w:val="18"/>
                <w:szCs w:val="18"/>
              </w:rPr>
              <w:t>7万元及以上</w:t>
            </w:r>
            <w:r>
              <w:rPr>
                <w:sz w:val="18"/>
                <w:szCs w:val="18"/>
              </w:rPr>
              <w:t>8</w:t>
            </w:r>
            <w:r>
              <w:rPr>
                <w:rFonts w:hint="eastAsia"/>
                <w:sz w:val="18"/>
                <w:szCs w:val="18"/>
              </w:rPr>
              <w:t>万元以下</w:t>
            </w:r>
          </w:p>
        </w:tc>
        <w:tc>
          <w:tcPr>
            <w:tcW w:w="5891" w:type="dxa"/>
            <w:vMerge w:val="continue"/>
            <w:tcBorders>
              <w:top w:val="single" w:color="000000" w:sz="4" w:space="0"/>
              <w:left w:val="single" w:color="000000" w:sz="4" w:space="0"/>
              <w:bottom w:val="single" w:color="000000" w:sz="4" w:space="0"/>
              <w:right w:val="single" w:color="auto" w:sz="4" w:space="0"/>
            </w:tcBorders>
          </w:tcPr>
          <w:p w14:paraId="5711E0AB">
            <w:pPr>
              <w:pStyle w:val="13"/>
              <w:spacing w:before="156" w:beforeLines="50" w:after="156" w:afterLines="50"/>
              <w:jc w:val="center"/>
              <w:rPr>
                <w:rFonts w:ascii="宋体"/>
                <w:sz w:val="18"/>
                <w:szCs w:val="18"/>
              </w:rPr>
            </w:pPr>
          </w:p>
        </w:tc>
      </w:tr>
      <w:tr w14:paraId="59DBF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10B9120A">
            <w:pPr>
              <w:spacing w:before="156" w:beforeLines="50" w:after="156" w:afterLines="50"/>
              <w:jc w:val="left"/>
              <w:rPr>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6B915380">
            <w:pPr>
              <w:pStyle w:val="13"/>
              <w:spacing w:before="156" w:beforeLines="50" w:after="156" w:afterLines="50"/>
              <w:jc w:val="center"/>
              <w:rPr>
                <w:sz w:val="18"/>
                <w:szCs w:val="18"/>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75959682">
            <w:pPr>
              <w:pStyle w:val="13"/>
              <w:spacing w:before="156" w:beforeLines="50" w:after="156" w:afterLines="50"/>
              <w:jc w:val="center"/>
              <w:rPr>
                <w:sz w:val="18"/>
                <w:szCs w:val="18"/>
              </w:rPr>
            </w:pPr>
          </w:p>
        </w:tc>
        <w:tc>
          <w:tcPr>
            <w:tcW w:w="2661" w:type="dxa"/>
            <w:vMerge w:val="continue"/>
            <w:tcBorders>
              <w:top w:val="single" w:color="000000" w:sz="4" w:space="0"/>
              <w:left w:val="single" w:color="000000" w:sz="4" w:space="0"/>
              <w:bottom w:val="single" w:color="000000" w:sz="4" w:space="0"/>
              <w:right w:val="single" w:color="000000" w:sz="4" w:space="0"/>
            </w:tcBorders>
            <w:vAlign w:val="center"/>
          </w:tcPr>
          <w:p w14:paraId="123092B6">
            <w:pPr>
              <w:pStyle w:val="13"/>
              <w:spacing w:before="156" w:beforeLines="50" w:after="156" w:afterLines="50"/>
              <w:jc w:val="center"/>
              <w:rPr>
                <w:sz w:val="18"/>
                <w:szCs w:val="18"/>
              </w:rPr>
            </w:pPr>
          </w:p>
        </w:tc>
        <w:tc>
          <w:tcPr>
            <w:tcW w:w="782" w:type="dxa"/>
            <w:vMerge w:val="continue"/>
            <w:tcBorders>
              <w:left w:val="single" w:color="000000" w:sz="4" w:space="0"/>
              <w:bottom w:val="single" w:color="000000" w:sz="4" w:space="0"/>
              <w:right w:val="single" w:color="000000" w:sz="4" w:space="0"/>
            </w:tcBorders>
            <w:vAlign w:val="center"/>
          </w:tcPr>
          <w:p w14:paraId="5721B0DB">
            <w:pPr>
              <w:pStyle w:val="13"/>
              <w:spacing w:before="156" w:beforeLines="50" w:after="156" w:afterLines="50"/>
              <w:jc w:val="center"/>
              <w:rPr>
                <w:sz w:val="18"/>
                <w:szCs w:val="18"/>
              </w:rPr>
            </w:pPr>
          </w:p>
        </w:tc>
        <w:tc>
          <w:tcPr>
            <w:tcW w:w="4540" w:type="dxa"/>
            <w:tcBorders>
              <w:top w:val="single" w:color="auto" w:sz="4" w:space="0"/>
              <w:left w:val="single" w:color="000000" w:sz="4" w:space="0"/>
              <w:bottom w:val="single" w:color="auto" w:sz="4" w:space="0"/>
              <w:right w:val="single" w:color="000000" w:sz="4" w:space="0"/>
            </w:tcBorders>
            <w:vAlign w:val="center"/>
          </w:tcPr>
          <w:p w14:paraId="78482D1A">
            <w:pPr>
              <w:pStyle w:val="13"/>
              <w:spacing w:before="156" w:beforeLines="50" w:after="156" w:afterLines="50"/>
              <w:rPr>
                <w:sz w:val="18"/>
                <w:szCs w:val="18"/>
              </w:rPr>
            </w:pPr>
            <w:r>
              <w:rPr>
                <w:rFonts w:hint="eastAsia"/>
                <w:sz w:val="18"/>
                <w:szCs w:val="18"/>
              </w:rPr>
              <w:t>造成一般及以上水上等级事故或危险化学品泄漏的。</w:t>
            </w:r>
          </w:p>
        </w:tc>
        <w:tc>
          <w:tcPr>
            <w:tcW w:w="2853" w:type="dxa"/>
            <w:tcBorders>
              <w:top w:val="single" w:color="auto" w:sz="4" w:space="0"/>
              <w:left w:val="single" w:color="000000" w:sz="4" w:space="0"/>
              <w:bottom w:val="single" w:color="auto" w:sz="4" w:space="0"/>
              <w:right w:val="single" w:color="auto" w:sz="4" w:space="0"/>
            </w:tcBorders>
            <w:vAlign w:val="center"/>
          </w:tcPr>
          <w:p w14:paraId="705B0601">
            <w:pPr>
              <w:pStyle w:val="13"/>
              <w:spacing w:before="156" w:beforeLines="50" w:after="156" w:afterLines="50"/>
              <w:jc w:val="center"/>
              <w:rPr>
                <w:sz w:val="18"/>
                <w:szCs w:val="18"/>
              </w:rPr>
            </w:pPr>
            <w:r>
              <w:rPr>
                <w:rFonts w:hint="eastAsia"/>
                <w:sz w:val="18"/>
                <w:szCs w:val="18"/>
              </w:rPr>
              <w:t>8万元及以上</w:t>
            </w:r>
            <w:r>
              <w:rPr>
                <w:sz w:val="18"/>
                <w:szCs w:val="18"/>
              </w:rPr>
              <w:t>10</w:t>
            </w:r>
            <w:r>
              <w:rPr>
                <w:rFonts w:hint="eastAsia"/>
                <w:sz w:val="18"/>
                <w:szCs w:val="18"/>
              </w:rPr>
              <w:t>万元及以下</w:t>
            </w:r>
          </w:p>
        </w:tc>
        <w:tc>
          <w:tcPr>
            <w:tcW w:w="5891" w:type="dxa"/>
            <w:vMerge w:val="continue"/>
            <w:tcBorders>
              <w:top w:val="single" w:color="000000" w:sz="4" w:space="0"/>
              <w:left w:val="single" w:color="000000" w:sz="4" w:space="0"/>
              <w:bottom w:val="single" w:color="auto" w:sz="4" w:space="0"/>
              <w:right w:val="single" w:color="auto" w:sz="4" w:space="0"/>
            </w:tcBorders>
          </w:tcPr>
          <w:p w14:paraId="6C97926E">
            <w:pPr>
              <w:pStyle w:val="13"/>
              <w:spacing w:before="156" w:beforeLines="50" w:after="156" w:afterLines="50"/>
              <w:ind w:firstLine="352"/>
              <w:jc w:val="center"/>
              <w:rPr>
                <w:rFonts w:ascii="宋体"/>
                <w:sz w:val="18"/>
                <w:szCs w:val="18"/>
              </w:rPr>
            </w:pPr>
          </w:p>
        </w:tc>
      </w:tr>
    </w:tbl>
    <w:p w14:paraId="7187E60B">
      <w:pPr>
        <w:spacing w:before="156" w:beforeLines="50" w:after="156" w:afterLines="50"/>
        <w:jc w:val="left"/>
        <w:rPr>
          <w:b/>
          <w:sz w:val="18"/>
          <w:szCs w:val="18"/>
        </w:rPr>
      </w:pPr>
      <w:r>
        <w:rPr>
          <w:b/>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8"/>
        <w:gridCol w:w="1425"/>
        <w:gridCol w:w="1344"/>
        <w:gridCol w:w="4428"/>
        <w:gridCol w:w="1838"/>
        <w:gridCol w:w="180"/>
        <w:gridCol w:w="881"/>
        <w:gridCol w:w="1503"/>
        <w:gridCol w:w="893"/>
        <w:gridCol w:w="574"/>
        <w:gridCol w:w="2449"/>
        <w:gridCol w:w="1052"/>
        <w:gridCol w:w="1485"/>
        <w:gridCol w:w="2500"/>
      </w:tblGrid>
      <w:tr w14:paraId="22A37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48" w:type="dxa"/>
            <w:vMerge w:val="restart"/>
            <w:vAlign w:val="center"/>
          </w:tcPr>
          <w:p w14:paraId="5874FDC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7215" w:type="dxa"/>
            <w:gridSpan w:val="4"/>
            <w:vMerge w:val="restart"/>
            <w:vAlign w:val="center"/>
          </w:tcPr>
          <w:p w14:paraId="6C473767">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02" w:type="dxa"/>
            <w:gridSpan w:val="4"/>
            <w:vMerge w:val="restart"/>
            <w:vAlign w:val="center"/>
          </w:tcPr>
          <w:p w14:paraId="22BCBA5E">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467" w:type="dxa"/>
            <w:gridSpan w:val="2"/>
            <w:vMerge w:val="restart"/>
            <w:vAlign w:val="center"/>
          </w:tcPr>
          <w:p w14:paraId="09EC46CA">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501" w:type="dxa"/>
            <w:gridSpan w:val="2"/>
            <w:vMerge w:val="restart"/>
            <w:vAlign w:val="center"/>
          </w:tcPr>
          <w:p w14:paraId="4111EDD2">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51F7E48C">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3985" w:type="dxa"/>
            <w:gridSpan w:val="2"/>
            <w:vAlign w:val="center"/>
          </w:tcPr>
          <w:p w14:paraId="5A734DBA">
            <w:pPr>
              <w:spacing w:before="156" w:beforeLines="50" w:after="156" w:afterLines="50"/>
              <w:jc w:val="center"/>
              <w:rPr>
                <w:rFonts w:ascii="宋体"/>
                <w:b/>
                <w:kern w:val="0"/>
                <w:sz w:val="18"/>
                <w:szCs w:val="18"/>
              </w:rPr>
            </w:pPr>
            <w:r>
              <w:rPr>
                <w:rFonts w:hint="eastAsia" w:ascii="宋体"/>
                <w:b/>
                <w:kern w:val="0"/>
                <w:sz w:val="18"/>
                <w:szCs w:val="18"/>
              </w:rPr>
              <w:t>【法定幅度和种类】5万元及以上10万元及以下</w:t>
            </w:r>
          </w:p>
        </w:tc>
      </w:tr>
      <w:tr w14:paraId="2CA8A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continue"/>
            <w:vAlign w:val="center"/>
          </w:tcPr>
          <w:p w14:paraId="564ECBF9">
            <w:pPr>
              <w:spacing w:before="156" w:beforeLines="50" w:after="156" w:afterLines="50"/>
              <w:jc w:val="left"/>
              <w:rPr>
                <w:rFonts w:ascii="宋体"/>
                <w:b/>
                <w:kern w:val="0"/>
                <w:sz w:val="18"/>
                <w:szCs w:val="18"/>
              </w:rPr>
            </w:pPr>
          </w:p>
        </w:tc>
        <w:tc>
          <w:tcPr>
            <w:tcW w:w="7215" w:type="dxa"/>
            <w:gridSpan w:val="4"/>
            <w:vMerge w:val="continue"/>
            <w:vAlign w:val="center"/>
          </w:tcPr>
          <w:p w14:paraId="17F1BE2A">
            <w:pPr>
              <w:spacing w:before="156" w:beforeLines="50" w:after="156" w:afterLines="50"/>
              <w:jc w:val="left"/>
              <w:rPr>
                <w:rFonts w:ascii="宋体"/>
                <w:b/>
                <w:kern w:val="0"/>
                <w:sz w:val="18"/>
                <w:szCs w:val="18"/>
              </w:rPr>
            </w:pPr>
          </w:p>
        </w:tc>
        <w:tc>
          <w:tcPr>
            <w:tcW w:w="4402" w:type="dxa"/>
            <w:gridSpan w:val="4"/>
            <w:vMerge w:val="continue"/>
            <w:vAlign w:val="center"/>
          </w:tcPr>
          <w:p w14:paraId="05723CA8">
            <w:pPr>
              <w:spacing w:before="156" w:beforeLines="50" w:after="156" w:afterLines="50"/>
              <w:jc w:val="left"/>
              <w:rPr>
                <w:rFonts w:ascii="宋体"/>
                <w:b/>
                <w:kern w:val="0"/>
                <w:sz w:val="18"/>
                <w:szCs w:val="18"/>
              </w:rPr>
            </w:pPr>
          </w:p>
        </w:tc>
        <w:tc>
          <w:tcPr>
            <w:tcW w:w="1467" w:type="dxa"/>
            <w:gridSpan w:val="2"/>
            <w:vMerge w:val="continue"/>
            <w:vAlign w:val="center"/>
          </w:tcPr>
          <w:p w14:paraId="49B418E7">
            <w:pPr>
              <w:spacing w:before="156" w:beforeLines="50" w:after="156" w:afterLines="50"/>
              <w:jc w:val="left"/>
              <w:rPr>
                <w:rFonts w:ascii="宋体"/>
                <w:b/>
                <w:kern w:val="0"/>
                <w:sz w:val="18"/>
                <w:szCs w:val="18"/>
              </w:rPr>
            </w:pPr>
          </w:p>
        </w:tc>
        <w:tc>
          <w:tcPr>
            <w:tcW w:w="3501" w:type="dxa"/>
            <w:gridSpan w:val="2"/>
            <w:vMerge w:val="continue"/>
            <w:vAlign w:val="center"/>
          </w:tcPr>
          <w:p w14:paraId="194E3CC9">
            <w:pPr>
              <w:spacing w:before="156" w:beforeLines="50" w:after="156" w:afterLines="50"/>
              <w:jc w:val="left"/>
              <w:rPr>
                <w:rFonts w:ascii="宋体"/>
                <w:b/>
                <w:kern w:val="0"/>
                <w:sz w:val="18"/>
                <w:szCs w:val="18"/>
              </w:rPr>
            </w:pPr>
          </w:p>
        </w:tc>
        <w:tc>
          <w:tcPr>
            <w:tcW w:w="3985" w:type="dxa"/>
            <w:gridSpan w:val="2"/>
            <w:vAlign w:val="center"/>
          </w:tcPr>
          <w:p w14:paraId="7DC2AE02">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5ED83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continue"/>
            <w:vAlign w:val="center"/>
          </w:tcPr>
          <w:p w14:paraId="574B51FC">
            <w:pPr>
              <w:spacing w:before="156" w:beforeLines="50" w:after="156" w:afterLines="50"/>
              <w:jc w:val="left"/>
              <w:rPr>
                <w:rFonts w:ascii="宋体"/>
                <w:b/>
                <w:kern w:val="0"/>
                <w:sz w:val="18"/>
                <w:szCs w:val="18"/>
              </w:rPr>
            </w:pPr>
          </w:p>
        </w:tc>
        <w:tc>
          <w:tcPr>
            <w:tcW w:w="7215" w:type="dxa"/>
            <w:gridSpan w:val="4"/>
            <w:vMerge w:val="continue"/>
            <w:vAlign w:val="center"/>
          </w:tcPr>
          <w:p w14:paraId="6F75F807">
            <w:pPr>
              <w:spacing w:before="156" w:beforeLines="50" w:after="156" w:afterLines="50"/>
              <w:jc w:val="left"/>
              <w:rPr>
                <w:rFonts w:ascii="宋体"/>
                <w:b/>
                <w:kern w:val="0"/>
                <w:sz w:val="18"/>
                <w:szCs w:val="18"/>
              </w:rPr>
            </w:pPr>
          </w:p>
        </w:tc>
        <w:tc>
          <w:tcPr>
            <w:tcW w:w="2018" w:type="dxa"/>
            <w:gridSpan w:val="2"/>
            <w:vAlign w:val="center"/>
          </w:tcPr>
          <w:p w14:paraId="0804948E">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384" w:type="dxa"/>
            <w:gridSpan w:val="2"/>
            <w:vAlign w:val="center"/>
          </w:tcPr>
          <w:p w14:paraId="02048619">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467" w:type="dxa"/>
            <w:gridSpan w:val="2"/>
            <w:vMerge w:val="continue"/>
            <w:vAlign w:val="center"/>
          </w:tcPr>
          <w:p w14:paraId="2E77EB20">
            <w:pPr>
              <w:spacing w:before="156" w:beforeLines="50" w:after="156" w:afterLines="50"/>
              <w:jc w:val="left"/>
              <w:rPr>
                <w:rFonts w:ascii="宋体"/>
                <w:b/>
                <w:kern w:val="0"/>
                <w:sz w:val="18"/>
                <w:szCs w:val="18"/>
              </w:rPr>
            </w:pPr>
          </w:p>
        </w:tc>
        <w:tc>
          <w:tcPr>
            <w:tcW w:w="3501" w:type="dxa"/>
            <w:gridSpan w:val="2"/>
            <w:vMerge w:val="continue"/>
            <w:vAlign w:val="center"/>
          </w:tcPr>
          <w:p w14:paraId="0158CE18">
            <w:pPr>
              <w:spacing w:before="156" w:beforeLines="50" w:after="156" w:afterLines="50"/>
              <w:jc w:val="left"/>
              <w:rPr>
                <w:rFonts w:ascii="宋体"/>
                <w:b/>
                <w:kern w:val="0"/>
                <w:sz w:val="18"/>
                <w:szCs w:val="18"/>
              </w:rPr>
            </w:pPr>
          </w:p>
        </w:tc>
        <w:tc>
          <w:tcPr>
            <w:tcW w:w="3985" w:type="dxa"/>
            <w:gridSpan w:val="2"/>
            <w:vAlign w:val="center"/>
          </w:tcPr>
          <w:p w14:paraId="71070623">
            <w:pPr>
              <w:spacing w:before="156" w:beforeLines="50" w:after="156" w:afterLines="50"/>
              <w:jc w:val="center"/>
              <w:rPr>
                <w:rFonts w:ascii="宋体"/>
                <w:b/>
                <w:kern w:val="0"/>
                <w:sz w:val="18"/>
                <w:szCs w:val="18"/>
              </w:rPr>
            </w:pPr>
            <w:r>
              <w:rPr>
                <w:rFonts w:hint="eastAsia" w:ascii="宋体"/>
                <w:b/>
                <w:kern w:val="0"/>
                <w:sz w:val="18"/>
                <w:szCs w:val="18"/>
              </w:rPr>
              <w:t>【对象】托运人</w:t>
            </w:r>
          </w:p>
        </w:tc>
      </w:tr>
      <w:tr w14:paraId="1A229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8" w:type="dxa"/>
            <w:vMerge w:val="restart"/>
            <w:vAlign w:val="center"/>
          </w:tcPr>
          <w:p w14:paraId="14A3F849">
            <w:pPr>
              <w:spacing w:before="156" w:beforeLines="50" w:after="156" w:afterLines="50"/>
              <w:jc w:val="center"/>
              <w:rPr>
                <w:rFonts w:ascii="宋体"/>
                <w:kern w:val="0"/>
                <w:sz w:val="18"/>
                <w:szCs w:val="18"/>
              </w:rPr>
            </w:pPr>
            <w:r>
              <w:rPr>
                <w:rFonts w:hint="eastAsia" w:ascii="宋体"/>
                <w:kern w:val="0"/>
                <w:sz w:val="18"/>
                <w:szCs w:val="18"/>
              </w:rPr>
              <w:t>88</w:t>
            </w:r>
          </w:p>
        </w:tc>
        <w:tc>
          <w:tcPr>
            <w:tcW w:w="7215" w:type="dxa"/>
            <w:gridSpan w:val="4"/>
            <w:vMerge w:val="restart"/>
            <w:vAlign w:val="center"/>
          </w:tcPr>
          <w:p w14:paraId="79C3E17F">
            <w:pPr>
              <w:widowControl/>
              <w:spacing w:before="156" w:beforeLines="50" w:after="156" w:afterLines="50"/>
              <w:jc w:val="left"/>
              <w:rPr>
                <w:rFonts w:ascii="宋体"/>
                <w:kern w:val="0"/>
                <w:sz w:val="18"/>
                <w:szCs w:val="18"/>
              </w:rPr>
            </w:pPr>
            <w:r>
              <w:rPr>
                <w:rFonts w:hint="eastAsia" w:ascii="宋体"/>
                <w:kern w:val="0"/>
                <w:sz w:val="18"/>
                <w:szCs w:val="18"/>
              </w:rPr>
              <w:t>托运人不向承运人说明所托运的危险化学品的种类、数量、危险特性以及发生危险情况的应急处置措施或者未按照国家有关规定对所托运的危险化学品妥善包装并且在外包装上设置相应标志。运输危险化学品需要添加抑制剂或者稳定剂，托运人未添加，或未将有关情况告知承运人。</w:t>
            </w:r>
          </w:p>
        </w:tc>
        <w:tc>
          <w:tcPr>
            <w:tcW w:w="2018" w:type="dxa"/>
            <w:gridSpan w:val="2"/>
            <w:vMerge w:val="restart"/>
            <w:vAlign w:val="center"/>
          </w:tcPr>
          <w:p w14:paraId="205F5498">
            <w:pPr>
              <w:widowControl/>
              <w:spacing w:before="156" w:beforeLines="50" w:after="156" w:afterLines="50"/>
              <w:jc w:val="left"/>
              <w:rPr>
                <w:rFonts w:ascii="宋体"/>
                <w:kern w:val="0"/>
                <w:sz w:val="18"/>
                <w:szCs w:val="18"/>
              </w:rPr>
            </w:pPr>
            <w:r>
              <w:rPr>
                <w:rFonts w:hint="eastAsia" w:ascii="宋体"/>
                <w:kern w:val="0"/>
                <w:sz w:val="18"/>
                <w:szCs w:val="18"/>
              </w:rPr>
              <w:t>《危险化学品安全管理条例》第六十三条</w:t>
            </w:r>
          </w:p>
        </w:tc>
        <w:tc>
          <w:tcPr>
            <w:tcW w:w="2384" w:type="dxa"/>
            <w:gridSpan w:val="2"/>
            <w:vMerge w:val="restart"/>
            <w:vAlign w:val="center"/>
          </w:tcPr>
          <w:p w14:paraId="2B19AEF4">
            <w:pPr>
              <w:spacing w:before="156" w:beforeLines="50" w:after="156" w:afterLines="50"/>
              <w:jc w:val="left"/>
              <w:rPr>
                <w:rFonts w:ascii="宋体"/>
                <w:kern w:val="0"/>
                <w:sz w:val="18"/>
                <w:szCs w:val="18"/>
              </w:rPr>
            </w:pPr>
            <w:r>
              <w:rPr>
                <w:rFonts w:hint="eastAsia" w:ascii="宋体"/>
                <w:kern w:val="0"/>
                <w:sz w:val="18"/>
                <w:szCs w:val="18"/>
              </w:rPr>
              <w:t>1.《危险化学品安全管理条例》第八十六条第（六）、（七）项；</w:t>
            </w:r>
          </w:p>
          <w:p w14:paraId="77000CE8">
            <w:pPr>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1467" w:type="dxa"/>
            <w:gridSpan w:val="2"/>
            <w:vAlign w:val="center"/>
          </w:tcPr>
          <w:p w14:paraId="7769F711">
            <w:pPr>
              <w:spacing w:before="156" w:beforeLines="50" w:after="156" w:afterLines="50"/>
              <w:jc w:val="center"/>
              <w:rPr>
                <w:rFonts w:ascii="宋体"/>
                <w:kern w:val="0"/>
                <w:sz w:val="18"/>
                <w:szCs w:val="18"/>
              </w:rPr>
            </w:pPr>
            <w:r>
              <w:rPr>
                <w:rFonts w:hint="eastAsia" w:ascii="宋体"/>
                <w:kern w:val="0"/>
                <w:sz w:val="18"/>
                <w:szCs w:val="18"/>
              </w:rPr>
              <w:t>从轻</w:t>
            </w:r>
          </w:p>
        </w:tc>
        <w:tc>
          <w:tcPr>
            <w:tcW w:w="3501" w:type="dxa"/>
            <w:gridSpan w:val="2"/>
            <w:vAlign w:val="center"/>
          </w:tcPr>
          <w:p w14:paraId="1EFA870A">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3985" w:type="dxa"/>
            <w:gridSpan w:val="2"/>
            <w:vAlign w:val="center"/>
          </w:tcPr>
          <w:p w14:paraId="05B55766">
            <w:pPr>
              <w:spacing w:before="156" w:beforeLines="50" w:after="156" w:afterLines="50"/>
              <w:jc w:val="left"/>
              <w:rPr>
                <w:rFonts w:ascii="宋体"/>
                <w:kern w:val="0"/>
                <w:sz w:val="18"/>
                <w:szCs w:val="18"/>
              </w:rPr>
            </w:pPr>
            <w:r>
              <w:rPr>
                <w:rFonts w:hint="eastAsia" w:ascii="宋体"/>
                <w:kern w:val="0"/>
                <w:sz w:val="18"/>
                <w:szCs w:val="18"/>
              </w:rPr>
              <w:t>5万元</w:t>
            </w:r>
          </w:p>
        </w:tc>
      </w:tr>
      <w:tr w14:paraId="30E22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948" w:type="dxa"/>
            <w:vMerge w:val="continue"/>
            <w:vAlign w:val="center"/>
          </w:tcPr>
          <w:p w14:paraId="08B51C03">
            <w:pPr>
              <w:spacing w:before="156" w:beforeLines="50" w:after="156" w:afterLines="50"/>
              <w:jc w:val="left"/>
              <w:rPr>
                <w:rFonts w:ascii="宋体"/>
                <w:kern w:val="0"/>
                <w:sz w:val="18"/>
                <w:szCs w:val="18"/>
              </w:rPr>
            </w:pPr>
          </w:p>
        </w:tc>
        <w:tc>
          <w:tcPr>
            <w:tcW w:w="7215" w:type="dxa"/>
            <w:gridSpan w:val="4"/>
            <w:vMerge w:val="continue"/>
            <w:vAlign w:val="center"/>
          </w:tcPr>
          <w:p w14:paraId="676C825E">
            <w:pPr>
              <w:spacing w:before="156" w:beforeLines="50" w:after="156" w:afterLines="50"/>
              <w:jc w:val="left"/>
              <w:rPr>
                <w:rFonts w:ascii="宋体"/>
                <w:kern w:val="0"/>
                <w:sz w:val="18"/>
                <w:szCs w:val="18"/>
              </w:rPr>
            </w:pPr>
          </w:p>
        </w:tc>
        <w:tc>
          <w:tcPr>
            <w:tcW w:w="2018" w:type="dxa"/>
            <w:gridSpan w:val="2"/>
            <w:vMerge w:val="continue"/>
            <w:vAlign w:val="center"/>
          </w:tcPr>
          <w:p w14:paraId="2A5C3761">
            <w:pPr>
              <w:widowControl/>
              <w:spacing w:before="156" w:beforeLines="50" w:after="156" w:afterLines="50"/>
              <w:jc w:val="left"/>
              <w:rPr>
                <w:rFonts w:ascii="宋体"/>
                <w:kern w:val="0"/>
                <w:sz w:val="18"/>
                <w:szCs w:val="18"/>
              </w:rPr>
            </w:pPr>
          </w:p>
        </w:tc>
        <w:tc>
          <w:tcPr>
            <w:tcW w:w="2384" w:type="dxa"/>
            <w:gridSpan w:val="2"/>
            <w:vMerge w:val="continue"/>
            <w:vAlign w:val="center"/>
          </w:tcPr>
          <w:p w14:paraId="7CE4820E">
            <w:pPr>
              <w:spacing w:before="156" w:beforeLines="50" w:after="156" w:afterLines="50"/>
              <w:jc w:val="left"/>
              <w:rPr>
                <w:rFonts w:ascii="宋体"/>
                <w:kern w:val="0"/>
                <w:sz w:val="18"/>
                <w:szCs w:val="18"/>
              </w:rPr>
            </w:pPr>
          </w:p>
        </w:tc>
        <w:tc>
          <w:tcPr>
            <w:tcW w:w="1467" w:type="dxa"/>
            <w:gridSpan w:val="2"/>
            <w:vAlign w:val="center"/>
          </w:tcPr>
          <w:p w14:paraId="68C8B23F">
            <w:pPr>
              <w:spacing w:before="156" w:beforeLines="50" w:after="156" w:afterLines="50"/>
              <w:jc w:val="center"/>
              <w:rPr>
                <w:rFonts w:ascii="宋体"/>
                <w:kern w:val="0"/>
                <w:sz w:val="18"/>
                <w:szCs w:val="18"/>
              </w:rPr>
            </w:pPr>
            <w:r>
              <w:rPr>
                <w:rFonts w:hint="eastAsia" w:ascii="宋体"/>
                <w:kern w:val="0"/>
                <w:sz w:val="18"/>
                <w:szCs w:val="18"/>
              </w:rPr>
              <w:t>一般</w:t>
            </w:r>
          </w:p>
        </w:tc>
        <w:tc>
          <w:tcPr>
            <w:tcW w:w="7486" w:type="dxa"/>
            <w:gridSpan w:val="4"/>
            <w:vAlign w:val="center"/>
          </w:tcPr>
          <w:p w14:paraId="3071F6F8">
            <w:pPr>
              <w:widowControl/>
              <w:spacing w:before="156" w:beforeLines="50" w:after="156" w:afterLines="50"/>
              <w:jc w:val="left"/>
              <w:rPr>
                <w:rFonts w:ascii="宋体"/>
                <w:kern w:val="0"/>
                <w:sz w:val="18"/>
                <w:szCs w:val="18"/>
              </w:rPr>
            </w:pPr>
            <w:r>
              <w:rPr>
                <w:rFonts w:hint="eastAsia" w:ascii="宋体"/>
                <w:kern w:val="0"/>
                <w:sz w:val="18"/>
                <w:szCs w:val="18"/>
              </w:rPr>
              <w:t>根据下表公式处理：处罚金额（万元）=5×K</w:t>
            </w:r>
            <w:r>
              <w:rPr>
                <w:rFonts w:hint="eastAsia" w:ascii="宋体"/>
                <w:kern w:val="0"/>
                <w:sz w:val="18"/>
                <w:szCs w:val="18"/>
                <w:vertAlign w:val="superscript"/>
              </w:rPr>
              <w:t>N</w:t>
            </w:r>
          </w:p>
          <w:p w14:paraId="71E7723B">
            <w:pPr>
              <w:widowControl/>
              <w:spacing w:before="156" w:beforeLines="50" w:after="156" w:afterLines="50"/>
              <w:jc w:val="left"/>
              <w:rPr>
                <w:rFonts w:ascii="宋体"/>
                <w:kern w:val="0"/>
                <w:sz w:val="18"/>
                <w:szCs w:val="18"/>
              </w:rPr>
            </w:pPr>
            <w:r>
              <w:rPr>
                <w:rFonts w:hint="eastAsia" w:ascii="宋体"/>
                <w:kern w:val="0"/>
                <w:sz w:val="18"/>
                <w:szCs w:val="18"/>
              </w:rPr>
              <w:t>K（系数）=1.09</w:t>
            </w:r>
          </w:p>
          <w:p w14:paraId="04A70BE9">
            <w:pPr>
              <w:widowControl/>
              <w:spacing w:before="156" w:beforeLines="50" w:after="156" w:afterLines="50"/>
              <w:jc w:val="left"/>
              <w:rPr>
                <w:rFonts w:ascii="宋体"/>
                <w:kern w:val="0"/>
                <w:sz w:val="18"/>
                <w:szCs w:val="18"/>
                <w:vertAlign w:val="subscript"/>
              </w:rPr>
            </w:pPr>
            <w:r>
              <w:rPr>
                <w:rFonts w:hint="eastAsia" w:ascii="宋体"/>
                <w:kern w:val="0"/>
                <w:sz w:val="18"/>
                <w:szCs w:val="18"/>
              </w:rPr>
              <w:t>N（指数值）＝N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r>
              <w:rPr>
                <w:rFonts w:hint="eastAsia" w:ascii="宋体"/>
                <w:kern w:val="0"/>
                <w:sz w:val="18"/>
                <w:szCs w:val="18"/>
              </w:rPr>
              <w:t>+N</w:t>
            </w:r>
            <w:r>
              <w:rPr>
                <w:rFonts w:hint="eastAsia" w:ascii="宋体"/>
                <w:kern w:val="0"/>
                <w:sz w:val="18"/>
                <w:szCs w:val="18"/>
                <w:vertAlign w:val="subscript"/>
              </w:rPr>
              <w:t>8</w:t>
            </w:r>
          </w:p>
          <w:p w14:paraId="3A34EB13">
            <w:pPr>
              <w:widowControl/>
              <w:spacing w:before="156" w:beforeLines="50" w:after="156" w:afterLines="50"/>
              <w:jc w:val="left"/>
              <w:rPr>
                <w:rFonts w:ascii="宋体"/>
                <w:kern w:val="0"/>
                <w:sz w:val="18"/>
                <w:szCs w:val="18"/>
              </w:rPr>
            </w:pPr>
          </w:p>
        </w:tc>
      </w:tr>
      <w:tr w14:paraId="08C74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atLeast"/>
          <w:jc w:val="center"/>
        </w:trPr>
        <w:tc>
          <w:tcPr>
            <w:tcW w:w="21518" w:type="dxa"/>
            <w:gridSpan w:val="15"/>
            <w:vAlign w:val="center"/>
          </w:tcPr>
          <w:p w14:paraId="33778150">
            <w:pPr>
              <w:spacing w:before="156" w:beforeLines="50" w:after="156" w:afterLines="50"/>
              <w:jc w:val="left"/>
              <w:rPr>
                <w:rFonts w:ascii="宋体"/>
                <w:b/>
                <w:kern w:val="0"/>
                <w:sz w:val="18"/>
                <w:szCs w:val="18"/>
              </w:rPr>
            </w:pPr>
            <w:r>
              <w:rPr>
                <w:rFonts w:hint="eastAsia" w:ascii="宋体"/>
                <w:b/>
                <w:kern w:val="0"/>
                <w:sz w:val="18"/>
                <w:szCs w:val="18"/>
              </w:rPr>
              <w:t>以下方式计算所得处罚金额如非整数，应取整，整数取到千位。（例如计算所得处罚金额为54400元，则最终处罚金额为55000元）；处罚金额最高不得超过10万元。</w:t>
            </w:r>
          </w:p>
        </w:tc>
      </w:tr>
      <w:tr w14:paraId="656F4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66" w:type="dxa"/>
            <w:gridSpan w:val="2"/>
            <w:vAlign w:val="center"/>
          </w:tcPr>
          <w:p w14:paraId="0AB7943C">
            <w:pPr>
              <w:widowControl/>
              <w:spacing w:before="156" w:beforeLines="50" w:after="156" w:afterLines="50"/>
              <w:jc w:val="left"/>
              <w:rPr>
                <w:rFonts w:ascii="宋体"/>
                <w:kern w:val="0"/>
                <w:sz w:val="18"/>
                <w:szCs w:val="18"/>
              </w:rPr>
            </w:pPr>
            <w:r>
              <w:rPr>
                <w:rFonts w:hint="eastAsia" w:ascii="宋体"/>
                <w:kern w:val="0"/>
                <w:sz w:val="18"/>
                <w:szCs w:val="18"/>
              </w:rPr>
              <w:t>指标</w:t>
            </w:r>
          </w:p>
          <w:p w14:paraId="1C86EDFF">
            <w:pPr>
              <w:widowControl/>
              <w:spacing w:before="156" w:beforeLines="50" w:after="156" w:afterLines="50"/>
              <w:jc w:val="left"/>
              <w:rPr>
                <w:rFonts w:ascii="宋体"/>
                <w:kern w:val="0"/>
                <w:sz w:val="18"/>
                <w:szCs w:val="18"/>
              </w:rPr>
            </w:pPr>
            <w:r>
              <w:rPr>
                <w:rFonts w:hint="eastAsia" w:ascii="宋体"/>
                <w:kern w:val="0"/>
                <w:sz w:val="18"/>
                <w:szCs w:val="18"/>
              </w:rPr>
              <w:t>名称</w:t>
            </w:r>
          </w:p>
        </w:tc>
        <w:tc>
          <w:tcPr>
            <w:tcW w:w="1425" w:type="dxa"/>
            <w:vAlign w:val="center"/>
          </w:tcPr>
          <w:p w14:paraId="174CFEA4">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1</w:t>
            </w:r>
          </w:p>
        </w:tc>
        <w:tc>
          <w:tcPr>
            <w:tcW w:w="1344" w:type="dxa"/>
            <w:vAlign w:val="center"/>
          </w:tcPr>
          <w:p w14:paraId="672032E6">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2</w:t>
            </w:r>
          </w:p>
        </w:tc>
        <w:tc>
          <w:tcPr>
            <w:tcW w:w="6266" w:type="dxa"/>
            <w:gridSpan w:val="2"/>
            <w:vAlign w:val="center"/>
          </w:tcPr>
          <w:p w14:paraId="7CB492C0">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3</w:t>
            </w:r>
          </w:p>
        </w:tc>
        <w:tc>
          <w:tcPr>
            <w:tcW w:w="1061" w:type="dxa"/>
            <w:gridSpan w:val="2"/>
            <w:vAlign w:val="center"/>
          </w:tcPr>
          <w:p w14:paraId="289A396E">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4</w:t>
            </w:r>
          </w:p>
        </w:tc>
        <w:tc>
          <w:tcPr>
            <w:tcW w:w="2396" w:type="dxa"/>
            <w:gridSpan w:val="2"/>
            <w:vAlign w:val="center"/>
          </w:tcPr>
          <w:p w14:paraId="661023B1">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5</w:t>
            </w:r>
          </w:p>
        </w:tc>
        <w:tc>
          <w:tcPr>
            <w:tcW w:w="3023" w:type="dxa"/>
            <w:gridSpan w:val="2"/>
            <w:vAlign w:val="center"/>
          </w:tcPr>
          <w:p w14:paraId="1B3C6A7B">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6</w:t>
            </w:r>
          </w:p>
        </w:tc>
        <w:tc>
          <w:tcPr>
            <w:tcW w:w="2537" w:type="dxa"/>
            <w:gridSpan w:val="2"/>
            <w:vAlign w:val="center"/>
          </w:tcPr>
          <w:p w14:paraId="60EFAF16">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c>
          <w:tcPr>
            <w:tcW w:w="2500" w:type="dxa"/>
            <w:vAlign w:val="center"/>
          </w:tcPr>
          <w:p w14:paraId="21586FD2">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8</w:t>
            </w:r>
          </w:p>
        </w:tc>
      </w:tr>
      <w:tr w14:paraId="391EC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66" w:type="dxa"/>
            <w:gridSpan w:val="2"/>
            <w:vAlign w:val="center"/>
          </w:tcPr>
          <w:p w14:paraId="710B91CF">
            <w:pPr>
              <w:widowControl/>
              <w:spacing w:before="156" w:beforeLines="50" w:after="156" w:afterLines="50"/>
              <w:jc w:val="left"/>
              <w:rPr>
                <w:rFonts w:ascii="宋体"/>
                <w:kern w:val="0"/>
                <w:sz w:val="18"/>
                <w:szCs w:val="18"/>
              </w:rPr>
            </w:pPr>
            <w:r>
              <w:rPr>
                <w:rFonts w:hint="eastAsia" w:ascii="宋体"/>
                <w:kern w:val="0"/>
                <w:sz w:val="18"/>
                <w:szCs w:val="18"/>
              </w:rPr>
              <w:t>指标</w:t>
            </w:r>
          </w:p>
          <w:p w14:paraId="5A269EC4">
            <w:pPr>
              <w:widowControl/>
              <w:spacing w:before="156" w:beforeLines="50" w:after="156" w:afterLines="50"/>
              <w:jc w:val="left"/>
              <w:rPr>
                <w:rFonts w:ascii="宋体"/>
                <w:kern w:val="0"/>
                <w:sz w:val="18"/>
                <w:szCs w:val="18"/>
              </w:rPr>
            </w:pPr>
            <w:r>
              <w:rPr>
                <w:rFonts w:hint="eastAsia" w:ascii="宋体"/>
                <w:kern w:val="0"/>
                <w:sz w:val="18"/>
                <w:szCs w:val="18"/>
              </w:rPr>
              <w:t>含义</w:t>
            </w:r>
          </w:p>
        </w:tc>
        <w:tc>
          <w:tcPr>
            <w:tcW w:w="1425" w:type="dxa"/>
            <w:vAlign w:val="center"/>
          </w:tcPr>
          <w:p w14:paraId="079DB51B">
            <w:pPr>
              <w:widowControl/>
              <w:spacing w:before="156" w:beforeLines="50" w:after="156" w:afterLines="50"/>
              <w:jc w:val="left"/>
              <w:rPr>
                <w:rFonts w:ascii="宋体"/>
                <w:kern w:val="0"/>
                <w:sz w:val="18"/>
                <w:szCs w:val="18"/>
              </w:rPr>
            </w:pPr>
            <w:r>
              <w:rPr>
                <w:rFonts w:hint="eastAsia" w:ascii="宋体"/>
                <w:kern w:val="0"/>
                <w:sz w:val="18"/>
                <w:szCs w:val="18"/>
              </w:rPr>
              <w:t>货物是否属于列明物质</w:t>
            </w:r>
          </w:p>
        </w:tc>
        <w:tc>
          <w:tcPr>
            <w:tcW w:w="1344" w:type="dxa"/>
            <w:vAlign w:val="center"/>
          </w:tcPr>
          <w:p w14:paraId="4A6CA820">
            <w:pPr>
              <w:widowControl/>
              <w:spacing w:before="156" w:beforeLines="50" w:after="156" w:afterLines="50"/>
              <w:jc w:val="left"/>
              <w:rPr>
                <w:rFonts w:ascii="宋体"/>
                <w:kern w:val="0"/>
                <w:sz w:val="18"/>
                <w:szCs w:val="18"/>
              </w:rPr>
            </w:pPr>
            <w:r>
              <w:rPr>
                <w:rFonts w:hint="eastAsia" w:ascii="宋体"/>
                <w:kern w:val="0"/>
                <w:sz w:val="18"/>
                <w:szCs w:val="18"/>
              </w:rPr>
              <w:t>违法行为是否存在故意情节</w:t>
            </w:r>
          </w:p>
        </w:tc>
        <w:tc>
          <w:tcPr>
            <w:tcW w:w="6266" w:type="dxa"/>
            <w:gridSpan w:val="2"/>
            <w:vAlign w:val="center"/>
          </w:tcPr>
          <w:p w14:paraId="47AA98F5">
            <w:pPr>
              <w:widowControl/>
              <w:spacing w:before="156" w:beforeLines="50" w:after="156" w:afterLines="50"/>
              <w:jc w:val="left"/>
              <w:rPr>
                <w:rFonts w:ascii="宋体"/>
                <w:kern w:val="0"/>
                <w:sz w:val="18"/>
                <w:szCs w:val="18"/>
              </w:rPr>
            </w:pPr>
            <w:r>
              <w:rPr>
                <w:rFonts w:hint="eastAsia" w:ascii="宋体"/>
                <w:kern w:val="0"/>
                <w:sz w:val="18"/>
                <w:szCs w:val="18"/>
              </w:rPr>
              <w:t>品种是否属于高危品（爆炸品、放射性物质、感染性物质）、剧毒品、5类危险品或者4类应温控物质</w:t>
            </w:r>
          </w:p>
        </w:tc>
        <w:tc>
          <w:tcPr>
            <w:tcW w:w="1061" w:type="dxa"/>
            <w:gridSpan w:val="2"/>
            <w:vAlign w:val="center"/>
          </w:tcPr>
          <w:p w14:paraId="27165DE8">
            <w:pPr>
              <w:widowControl/>
              <w:spacing w:before="156" w:beforeLines="50" w:after="156" w:afterLines="50"/>
              <w:jc w:val="left"/>
              <w:rPr>
                <w:rFonts w:ascii="宋体"/>
                <w:kern w:val="0"/>
                <w:sz w:val="18"/>
                <w:szCs w:val="18"/>
              </w:rPr>
            </w:pPr>
            <w:r>
              <w:rPr>
                <w:rFonts w:hint="eastAsia" w:ascii="宋体"/>
                <w:kern w:val="0"/>
                <w:sz w:val="18"/>
                <w:szCs w:val="18"/>
              </w:rPr>
              <w:t>涉及品</w:t>
            </w:r>
          </w:p>
          <w:p w14:paraId="479CD9B6">
            <w:pPr>
              <w:widowControl/>
              <w:spacing w:before="156" w:beforeLines="50" w:after="156" w:afterLines="50"/>
              <w:jc w:val="left"/>
              <w:rPr>
                <w:rFonts w:ascii="宋体"/>
                <w:kern w:val="0"/>
                <w:sz w:val="18"/>
                <w:szCs w:val="18"/>
              </w:rPr>
            </w:pPr>
            <w:r>
              <w:rPr>
                <w:rFonts w:hint="eastAsia" w:ascii="宋体"/>
                <w:kern w:val="0"/>
                <w:sz w:val="18"/>
                <w:szCs w:val="18"/>
              </w:rPr>
              <w:t>种数量</w:t>
            </w:r>
          </w:p>
        </w:tc>
        <w:tc>
          <w:tcPr>
            <w:tcW w:w="2396" w:type="dxa"/>
            <w:gridSpan w:val="2"/>
            <w:vAlign w:val="center"/>
          </w:tcPr>
          <w:p w14:paraId="34FFF8EF">
            <w:pPr>
              <w:widowControl/>
              <w:spacing w:before="156" w:beforeLines="50" w:after="156" w:afterLines="50"/>
              <w:jc w:val="left"/>
              <w:rPr>
                <w:rFonts w:ascii="宋体"/>
                <w:kern w:val="0"/>
                <w:sz w:val="18"/>
                <w:szCs w:val="18"/>
              </w:rPr>
            </w:pPr>
            <w:r>
              <w:rPr>
                <w:rFonts w:hint="eastAsia" w:ascii="宋体"/>
                <w:kern w:val="0"/>
                <w:sz w:val="18"/>
                <w:szCs w:val="18"/>
              </w:rPr>
              <w:t>涉及箱数</w:t>
            </w:r>
          </w:p>
        </w:tc>
        <w:tc>
          <w:tcPr>
            <w:tcW w:w="3023" w:type="dxa"/>
            <w:gridSpan w:val="2"/>
            <w:vAlign w:val="center"/>
          </w:tcPr>
          <w:p w14:paraId="5DBA2B2B">
            <w:pPr>
              <w:widowControl/>
              <w:spacing w:before="156" w:beforeLines="50" w:after="156" w:afterLines="50"/>
              <w:jc w:val="left"/>
              <w:rPr>
                <w:rFonts w:ascii="宋体"/>
                <w:kern w:val="0"/>
                <w:sz w:val="18"/>
                <w:szCs w:val="18"/>
              </w:rPr>
            </w:pPr>
            <w:r>
              <w:rPr>
                <w:rFonts w:hint="eastAsia" w:ascii="宋体"/>
                <w:kern w:val="0"/>
                <w:sz w:val="18"/>
                <w:szCs w:val="18"/>
              </w:rPr>
              <w:t>同一托运人连续发生违章次数</w:t>
            </w:r>
          </w:p>
        </w:tc>
        <w:tc>
          <w:tcPr>
            <w:tcW w:w="2537" w:type="dxa"/>
            <w:gridSpan w:val="2"/>
            <w:vAlign w:val="center"/>
          </w:tcPr>
          <w:p w14:paraId="208E79A6">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2500" w:type="dxa"/>
            <w:vAlign w:val="center"/>
          </w:tcPr>
          <w:p w14:paraId="2EDD2B44">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14:paraId="6BD2D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66" w:type="dxa"/>
            <w:gridSpan w:val="2"/>
            <w:vAlign w:val="center"/>
          </w:tcPr>
          <w:p w14:paraId="1305DDD7">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1425" w:type="dxa"/>
            <w:vAlign w:val="center"/>
          </w:tcPr>
          <w:p w14:paraId="78492EF2">
            <w:pPr>
              <w:widowControl/>
              <w:spacing w:before="156" w:beforeLines="50" w:after="156" w:afterLines="50"/>
              <w:jc w:val="left"/>
              <w:rPr>
                <w:rFonts w:ascii="宋体"/>
                <w:kern w:val="0"/>
                <w:sz w:val="18"/>
                <w:szCs w:val="18"/>
              </w:rPr>
            </w:pPr>
            <w:r>
              <w:rPr>
                <w:rFonts w:hint="eastAsia" w:ascii="宋体"/>
                <w:kern w:val="0"/>
                <w:sz w:val="18"/>
                <w:szCs w:val="18"/>
              </w:rPr>
              <w:t>货物属于未列明物质指数为0；货物为列明物质指数为1。</w:t>
            </w:r>
          </w:p>
        </w:tc>
        <w:tc>
          <w:tcPr>
            <w:tcW w:w="1344" w:type="dxa"/>
            <w:vAlign w:val="center"/>
          </w:tcPr>
          <w:p w14:paraId="143DE651">
            <w:pPr>
              <w:widowControl/>
              <w:spacing w:before="156" w:beforeLines="50" w:after="156" w:afterLines="50"/>
              <w:jc w:val="left"/>
              <w:rPr>
                <w:rFonts w:ascii="宋体"/>
                <w:kern w:val="0"/>
                <w:sz w:val="18"/>
                <w:szCs w:val="18"/>
              </w:rPr>
            </w:pPr>
            <w:r>
              <w:rPr>
                <w:rFonts w:hint="eastAsia" w:ascii="宋体"/>
                <w:kern w:val="0"/>
                <w:sz w:val="18"/>
                <w:szCs w:val="18"/>
              </w:rPr>
              <w:t>不存在故意情节指数为0；存在故意情节指数为1；情节特别恶劣的指数为4。</w:t>
            </w:r>
          </w:p>
        </w:tc>
        <w:tc>
          <w:tcPr>
            <w:tcW w:w="6266" w:type="dxa"/>
            <w:gridSpan w:val="2"/>
            <w:vAlign w:val="center"/>
          </w:tcPr>
          <w:p w14:paraId="5A8F3042">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1061" w:type="dxa"/>
            <w:gridSpan w:val="2"/>
            <w:vAlign w:val="center"/>
          </w:tcPr>
          <w:p w14:paraId="63D98CC2">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2396" w:type="dxa"/>
            <w:gridSpan w:val="2"/>
            <w:vAlign w:val="center"/>
          </w:tcPr>
          <w:p w14:paraId="10B66CC8">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3023" w:type="dxa"/>
            <w:gridSpan w:val="2"/>
            <w:vAlign w:val="center"/>
          </w:tcPr>
          <w:p w14:paraId="274F7903">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2537" w:type="dxa"/>
            <w:gridSpan w:val="2"/>
            <w:vAlign w:val="center"/>
          </w:tcPr>
          <w:p w14:paraId="3AD4BC45">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2500" w:type="dxa"/>
            <w:vAlign w:val="center"/>
          </w:tcPr>
          <w:p w14:paraId="00861502">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14:paraId="7FDAF542">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7"/>
        <w:gridCol w:w="375"/>
        <w:gridCol w:w="1309"/>
        <w:gridCol w:w="1868"/>
        <w:gridCol w:w="1313"/>
        <w:gridCol w:w="1819"/>
        <w:gridCol w:w="522"/>
        <w:gridCol w:w="756"/>
        <w:gridCol w:w="2359"/>
        <w:gridCol w:w="705"/>
        <w:gridCol w:w="745"/>
        <w:gridCol w:w="2609"/>
        <w:gridCol w:w="653"/>
        <w:gridCol w:w="2701"/>
        <w:gridCol w:w="2997"/>
      </w:tblGrid>
      <w:tr w14:paraId="2A974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87" w:type="dxa"/>
            <w:vMerge w:val="restart"/>
            <w:vAlign w:val="center"/>
          </w:tcPr>
          <w:p w14:paraId="0BFB6FD3">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4865" w:type="dxa"/>
            <w:gridSpan w:val="4"/>
            <w:vMerge w:val="restart"/>
            <w:vAlign w:val="center"/>
          </w:tcPr>
          <w:p w14:paraId="13097F9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456" w:type="dxa"/>
            <w:gridSpan w:val="4"/>
            <w:vMerge w:val="restart"/>
            <w:vAlign w:val="center"/>
          </w:tcPr>
          <w:p w14:paraId="6B0AD4A4">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450" w:type="dxa"/>
            <w:gridSpan w:val="2"/>
            <w:vMerge w:val="restart"/>
            <w:vAlign w:val="center"/>
          </w:tcPr>
          <w:p w14:paraId="54FEDE54">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262" w:type="dxa"/>
            <w:gridSpan w:val="2"/>
            <w:vMerge w:val="restart"/>
            <w:vAlign w:val="center"/>
          </w:tcPr>
          <w:p w14:paraId="40E15696">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5698" w:type="dxa"/>
            <w:gridSpan w:val="2"/>
            <w:vAlign w:val="center"/>
          </w:tcPr>
          <w:p w14:paraId="7BC56CA9">
            <w:pPr>
              <w:spacing w:before="156" w:beforeLines="50" w:after="156" w:afterLines="50"/>
              <w:jc w:val="center"/>
              <w:rPr>
                <w:rFonts w:ascii="宋体"/>
                <w:b/>
                <w:kern w:val="0"/>
                <w:sz w:val="18"/>
                <w:szCs w:val="18"/>
              </w:rPr>
            </w:pPr>
            <w:r>
              <w:rPr>
                <w:rFonts w:hint="eastAsia" w:ascii="宋体"/>
                <w:b/>
                <w:kern w:val="0"/>
                <w:sz w:val="18"/>
                <w:szCs w:val="18"/>
              </w:rPr>
              <w:t>【法定幅度和种类】10万元及以上20万元及以下。</w:t>
            </w:r>
          </w:p>
        </w:tc>
      </w:tr>
      <w:tr w14:paraId="33FF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87" w:type="dxa"/>
            <w:vMerge w:val="continue"/>
            <w:vAlign w:val="center"/>
          </w:tcPr>
          <w:p w14:paraId="70BD9ED5">
            <w:pPr>
              <w:spacing w:before="156" w:beforeLines="50" w:after="156" w:afterLines="50"/>
              <w:jc w:val="center"/>
              <w:rPr>
                <w:rFonts w:ascii="宋体"/>
                <w:b/>
                <w:kern w:val="0"/>
                <w:sz w:val="18"/>
                <w:szCs w:val="18"/>
              </w:rPr>
            </w:pPr>
          </w:p>
        </w:tc>
        <w:tc>
          <w:tcPr>
            <w:tcW w:w="4865" w:type="dxa"/>
            <w:gridSpan w:val="4"/>
            <w:vMerge w:val="continue"/>
            <w:vAlign w:val="center"/>
          </w:tcPr>
          <w:p w14:paraId="6F17A72F">
            <w:pPr>
              <w:spacing w:before="156" w:beforeLines="50" w:after="156" w:afterLines="50"/>
              <w:jc w:val="center"/>
              <w:rPr>
                <w:rFonts w:ascii="宋体"/>
                <w:b/>
                <w:kern w:val="0"/>
                <w:sz w:val="18"/>
                <w:szCs w:val="18"/>
              </w:rPr>
            </w:pPr>
          </w:p>
        </w:tc>
        <w:tc>
          <w:tcPr>
            <w:tcW w:w="5456" w:type="dxa"/>
            <w:gridSpan w:val="4"/>
            <w:vMerge w:val="continue"/>
            <w:vAlign w:val="center"/>
          </w:tcPr>
          <w:p w14:paraId="543E1FF3">
            <w:pPr>
              <w:spacing w:before="156" w:beforeLines="50" w:after="156" w:afterLines="50"/>
              <w:jc w:val="center"/>
              <w:rPr>
                <w:rFonts w:ascii="宋体"/>
                <w:b/>
                <w:kern w:val="0"/>
                <w:sz w:val="18"/>
                <w:szCs w:val="18"/>
              </w:rPr>
            </w:pPr>
          </w:p>
        </w:tc>
        <w:tc>
          <w:tcPr>
            <w:tcW w:w="1450" w:type="dxa"/>
            <w:gridSpan w:val="2"/>
            <w:vMerge w:val="continue"/>
            <w:vAlign w:val="center"/>
          </w:tcPr>
          <w:p w14:paraId="532ABE11">
            <w:pPr>
              <w:spacing w:before="156" w:beforeLines="50" w:after="156" w:afterLines="50"/>
              <w:jc w:val="left"/>
              <w:rPr>
                <w:rFonts w:ascii="宋体"/>
                <w:b/>
                <w:kern w:val="0"/>
                <w:sz w:val="18"/>
                <w:szCs w:val="18"/>
              </w:rPr>
            </w:pPr>
          </w:p>
        </w:tc>
        <w:tc>
          <w:tcPr>
            <w:tcW w:w="3262" w:type="dxa"/>
            <w:gridSpan w:val="2"/>
            <w:vMerge w:val="continue"/>
            <w:vAlign w:val="center"/>
          </w:tcPr>
          <w:p w14:paraId="5234CE74">
            <w:pPr>
              <w:spacing w:before="156" w:beforeLines="50" w:after="156" w:afterLines="50"/>
              <w:jc w:val="left"/>
              <w:rPr>
                <w:rFonts w:ascii="宋体"/>
                <w:b/>
                <w:kern w:val="0"/>
                <w:sz w:val="18"/>
                <w:szCs w:val="18"/>
              </w:rPr>
            </w:pPr>
          </w:p>
        </w:tc>
        <w:tc>
          <w:tcPr>
            <w:tcW w:w="5698" w:type="dxa"/>
            <w:gridSpan w:val="2"/>
            <w:vAlign w:val="center"/>
          </w:tcPr>
          <w:p w14:paraId="2CB3D1A9">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43254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787" w:type="dxa"/>
            <w:vMerge w:val="continue"/>
            <w:vAlign w:val="center"/>
          </w:tcPr>
          <w:p w14:paraId="032A7B82">
            <w:pPr>
              <w:spacing w:before="156" w:beforeLines="50" w:after="156" w:afterLines="50"/>
              <w:jc w:val="center"/>
              <w:rPr>
                <w:rFonts w:ascii="宋体"/>
                <w:b/>
                <w:kern w:val="0"/>
                <w:sz w:val="18"/>
                <w:szCs w:val="18"/>
              </w:rPr>
            </w:pPr>
          </w:p>
        </w:tc>
        <w:tc>
          <w:tcPr>
            <w:tcW w:w="4865" w:type="dxa"/>
            <w:gridSpan w:val="4"/>
            <w:vMerge w:val="continue"/>
            <w:vAlign w:val="center"/>
          </w:tcPr>
          <w:p w14:paraId="2867B411">
            <w:pPr>
              <w:spacing w:before="156" w:beforeLines="50" w:after="156" w:afterLines="50"/>
              <w:jc w:val="center"/>
              <w:rPr>
                <w:rFonts w:ascii="宋体"/>
                <w:b/>
                <w:kern w:val="0"/>
                <w:sz w:val="18"/>
                <w:szCs w:val="18"/>
              </w:rPr>
            </w:pPr>
          </w:p>
        </w:tc>
        <w:tc>
          <w:tcPr>
            <w:tcW w:w="2341" w:type="dxa"/>
            <w:gridSpan w:val="2"/>
            <w:vAlign w:val="center"/>
          </w:tcPr>
          <w:p w14:paraId="2D07C670">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115" w:type="dxa"/>
            <w:gridSpan w:val="2"/>
            <w:vAlign w:val="center"/>
          </w:tcPr>
          <w:p w14:paraId="01386071">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450" w:type="dxa"/>
            <w:gridSpan w:val="2"/>
            <w:vMerge w:val="continue"/>
            <w:vAlign w:val="center"/>
          </w:tcPr>
          <w:p w14:paraId="31D37B91">
            <w:pPr>
              <w:spacing w:before="156" w:beforeLines="50" w:after="156" w:afterLines="50"/>
              <w:jc w:val="left"/>
              <w:rPr>
                <w:rFonts w:ascii="宋体"/>
                <w:b/>
                <w:kern w:val="0"/>
                <w:sz w:val="18"/>
                <w:szCs w:val="18"/>
              </w:rPr>
            </w:pPr>
          </w:p>
        </w:tc>
        <w:tc>
          <w:tcPr>
            <w:tcW w:w="3262" w:type="dxa"/>
            <w:gridSpan w:val="2"/>
            <w:vMerge w:val="continue"/>
            <w:vAlign w:val="center"/>
          </w:tcPr>
          <w:p w14:paraId="2BBB8982">
            <w:pPr>
              <w:spacing w:before="156" w:beforeLines="50" w:after="156" w:afterLines="50"/>
              <w:jc w:val="left"/>
              <w:rPr>
                <w:rFonts w:ascii="宋体"/>
                <w:b/>
                <w:kern w:val="0"/>
                <w:sz w:val="18"/>
                <w:szCs w:val="18"/>
              </w:rPr>
            </w:pPr>
          </w:p>
        </w:tc>
        <w:tc>
          <w:tcPr>
            <w:tcW w:w="5698" w:type="dxa"/>
            <w:gridSpan w:val="2"/>
            <w:vAlign w:val="center"/>
          </w:tcPr>
          <w:p w14:paraId="7AF4A8C7">
            <w:pPr>
              <w:spacing w:before="156" w:beforeLines="50" w:after="156" w:afterLines="50"/>
              <w:jc w:val="center"/>
              <w:rPr>
                <w:rFonts w:ascii="宋体"/>
                <w:b/>
                <w:kern w:val="0"/>
                <w:sz w:val="18"/>
                <w:szCs w:val="18"/>
              </w:rPr>
            </w:pPr>
            <w:r>
              <w:rPr>
                <w:rFonts w:hint="eastAsia" w:ascii="宋体"/>
                <w:b/>
                <w:kern w:val="0"/>
                <w:sz w:val="18"/>
                <w:szCs w:val="18"/>
              </w:rPr>
              <w:t>【对象】托运人</w:t>
            </w:r>
          </w:p>
        </w:tc>
      </w:tr>
      <w:tr w14:paraId="31C74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787" w:type="dxa"/>
            <w:vMerge w:val="restart"/>
            <w:vAlign w:val="center"/>
          </w:tcPr>
          <w:p w14:paraId="18D68055">
            <w:pPr>
              <w:spacing w:before="156" w:beforeLines="50" w:after="156" w:afterLines="50"/>
              <w:jc w:val="center"/>
              <w:rPr>
                <w:rFonts w:ascii="宋体"/>
                <w:kern w:val="0"/>
                <w:sz w:val="18"/>
                <w:szCs w:val="18"/>
              </w:rPr>
            </w:pPr>
            <w:r>
              <w:rPr>
                <w:rFonts w:hint="eastAsia" w:ascii="宋体"/>
                <w:kern w:val="0"/>
                <w:sz w:val="18"/>
                <w:szCs w:val="18"/>
              </w:rPr>
              <w:t>89</w:t>
            </w:r>
          </w:p>
        </w:tc>
        <w:tc>
          <w:tcPr>
            <w:tcW w:w="4865" w:type="dxa"/>
            <w:gridSpan w:val="4"/>
            <w:vMerge w:val="restart"/>
            <w:vAlign w:val="center"/>
          </w:tcPr>
          <w:p w14:paraId="2EDE3339">
            <w:pPr>
              <w:widowControl/>
              <w:spacing w:before="156" w:beforeLines="50" w:after="156" w:afterLines="50"/>
              <w:jc w:val="left"/>
              <w:rPr>
                <w:rFonts w:ascii="宋体"/>
                <w:kern w:val="0"/>
                <w:sz w:val="18"/>
                <w:szCs w:val="18"/>
              </w:rPr>
            </w:pPr>
            <w:r>
              <w:rPr>
                <w:rFonts w:hint="eastAsia" w:ascii="宋体"/>
                <w:kern w:val="0"/>
                <w:sz w:val="18"/>
                <w:szCs w:val="18"/>
              </w:rPr>
              <w:t>在托运的普通货物中夹带危险化学品，或者将危险化学品谎报或者匿报为普通货物托运。</w:t>
            </w:r>
          </w:p>
        </w:tc>
        <w:tc>
          <w:tcPr>
            <w:tcW w:w="2341" w:type="dxa"/>
            <w:gridSpan w:val="2"/>
            <w:vMerge w:val="restart"/>
            <w:vAlign w:val="center"/>
          </w:tcPr>
          <w:p w14:paraId="68C2677A">
            <w:pPr>
              <w:widowControl/>
              <w:spacing w:before="156" w:beforeLines="50" w:after="156" w:afterLines="50"/>
              <w:jc w:val="left"/>
              <w:rPr>
                <w:rFonts w:ascii="宋体"/>
                <w:kern w:val="0"/>
                <w:sz w:val="18"/>
                <w:szCs w:val="18"/>
              </w:rPr>
            </w:pPr>
            <w:r>
              <w:rPr>
                <w:rFonts w:hint="eastAsia" w:ascii="宋体"/>
                <w:kern w:val="0"/>
                <w:sz w:val="18"/>
                <w:szCs w:val="18"/>
              </w:rPr>
              <w:t>《危险化学品安全管理条例》第六十四条第一款</w:t>
            </w:r>
          </w:p>
        </w:tc>
        <w:tc>
          <w:tcPr>
            <w:tcW w:w="3115" w:type="dxa"/>
            <w:gridSpan w:val="2"/>
            <w:vMerge w:val="restart"/>
            <w:vAlign w:val="center"/>
          </w:tcPr>
          <w:p w14:paraId="08D7A45D">
            <w:pPr>
              <w:spacing w:before="156" w:beforeLines="50" w:after="156" w:afterLines="50"/>
              <w:jc w:val="left"/>
              <w:rPr>
                <w:rFonts w:ascii="宋体"/>
                <w:kern w:val="0"/>
                <w:sz w:val="18"/>
                <w:szCs w:val="18"/>
              </w:rPr>
            </w:pPr>
            <w:r>
              <w:rPr>
                <w:rFonts w:hint="eastAsia" w:ascii="宋体"/>
                <w:kern w:val="0"/>
                <w:sz w:val="18"/>
                <w:szCs w:val="18"/>
              </w:rPr>
              <w:t>1.《危险化学品安全管理条例》第八十七条第（四）项；</w:t>
            </w:r>
          </w:p>
          <w:p w14:paraId="5B30B231">
            <w:pPr>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1450" w:type="dxa"/>
            <w:gridSpan w:val="2"/>
            <w:vAlign w:val="center"/>
          </w:tcPr>
          <w:p w14:paraId="421A400F">
            <w:pPr>
              <w:spacing w:before="156" w:beforeLines="50" w:after="156" w:afterLines="50"/>
              <w:jc w:val="center"/>
              <w:rPr>
                <w:rFonts w:ascii="宋体"/>
                <w:kern w:val="0"/>
                <w:sz w:val="18"/>
                <w:szCs w:val="18"/>
              </w:rPr>
            </w:pPr>
            <w:r>
              <w:rPr>
                <w:rFonts w:hint="eastAsia" w:ascii="宋体"/>
                <w:kern w:val="0"/>
                <w:sz w:val="18"/>
                <w:szCs w:val="18"/>
              </w:rPr>
              <w:t>从轻</w:t>
            </w:r>
          </w:p>
        </w:tc>
        <w:tc>
          <w:tcPr>
            <w:tcW w:w="3262" w:type="dxa"/>
            <w:gridSpan w:val="2"/>
            <w:vAlign w:val="center"/>
          </w:tcPr>
          <w:p w14:paraId="14238F9D">
            <w:pPr>
              <w:widowControl/>
              <w:spacing w:before="156" w:beforeLines="50" w:after="156" w:afterLines="50"/>
              <w:jc w:val="left"/>
              <w:rPr>
                <w:rFonts w:ascii="宋体"/>
                <w:kern w:val="0"/>
                <w:sz w:val="18"/>
                <w:szCs w:val="18"/>
              </w:rPr>
            </w:pPr>
            <w:r>
              <w:rPr>
                <w:rFonts w:hint="eastAsia" w:ascii="宋体"/>
                <w:kern w:val="0"/>
                <w:sz w:val="18"/>
                <w:szCs w:val="18"/>
              </w:rPr>
              <w:t>具有法定从轻情节的的。</w:t>
            </w:r>
          </w:p>
        </w:tc>
        <w:tc>
          <w:tcPr>
            <w:tcW w:w="5698" w:type="dxa"/>
            <w:gridSpan w:val="2"/>
            <w:vAlign w:val="center"/>
          </w:tcPr>
          <w:p w14:paraId="608EC59C">
            <w:pPr>
              <w:spacing w:before="156" w:beforeLines="50" w:after="156" w:afterLines="50"/>
              <w:jc w:val="left"/>
              <w:rPr>
                <w:rFonts w:ascii="宋体"/>
                <w:kern w:val="0"/>
                <w:sz w:val="18"/>
                <w:szCs w:val="18"/>
              </w:rPr>
            </w:pPr>
            <w:r>
              <w:rPr>
                <w:rFonts w:hint="eastAsia" w:ascii="宋体"/>
                <w:kern w:val="0"/>
                <w:sz w:val="18"/>
                <w:szCs w:val="18"/>
              </w:rPr>
              <w:t>10万元</w:t>
            </w:r>
          </w:p>
        </w:tc>
      </w:tr>
      <w:tr w14:paraId="0F09A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787" w:type="dxa"/>
            <w:vMerge w:val="continue"/>
            <w:vAlign w:val="center"/>
          </w:tcPr>
          <w:p w14:paraId="61A8CD4A">
            <w:pPr>
              <w:spacing w:before="156" w:beforeLines="50" w:after="156" w:afterLines="50"/>
              <w:jc w:val="left"/>
              <w:rPr>
                <w:rFonts w:ascii="宋体"/>
                <w:kern w:val="0"/>
                <w:sz w:val="18"/>
                <w:szCs w:val="18"/>
              </w:rPr>
            </w:pPr>
          </w:p>
        </w:tc>
        <w:tc>
          <w:tcPr>
            <w:tcW w:w="4865" w:type="dxa"/>
            <w:gridSpan w:val="4"/>
            <w:vMerge w:val="continue"/>
            <w:vAlign w:val="center"/>
          </w:tcPr>
          <w:p w14:paraId="0CA9A874">
            <w:pPr>
              <w:spacing w:before="156" w:beforeLines="50" w:after="156" w:afterLines="50"/>
              <w:jc w:val="left"/>
              <w:rPr>
                <w:rFonts w:ascii="宋体"/>
                <w:kern w:val="0"/>
                <w:sz w:val="18"/>
                <w:szCs w:val="18"/>
              </w:rPr>
            </w:pPr>
          </w:p>
        </w:tc>
        <w:tc>
          <w:tcPr>
            <w:tcW w:w="2341" w:type="dxa"/>
            <w:gridSpan w:val="2"/>
            <w:vMerge w:val="continue"/>
            <w:vAlign w:val="center"/>
          </w:tcPr>
          <w:p w14:paraId="6CCDEFA8">
            <w:pPr>
              <w:widowControl/>
              <w:spacing w:before="156" w:beforeLines="50" w:after="156" w:afterLines="50"/>
              <w:jc w:val="left"/>
              <w:rPr>
                <w:rFonts w:ascii="宋体"/>
                <w:kern w:val="0"/>
                <w:sz w:val="18"/>
                <w:szCs w:val="18"/>
              </w:rPr>
            </w:pPr>
          </w:p>
        </w:tc>
        <w:tc>
          <w:tcPr>
            <w:tcW w:w="3115" w:type="dxa"/>
            <w:gridSpan w:val="2"/>
            <w:vMerge w:val="continue"/>
            <w:vAlign w:val="center"/>
          </w:tcPr>
          <w:p w14:paraId="7B1E688A">
            <w:pPr>
              <w:spacing w:before="156" w:beforeLines="50" w:after="156" w:afterLines="50"/>
              <w:jc w:val="left"/>
              <w:rPr>
                <w:rFonts w:ascii="宋体"/>
                <w:kern w:val="0"/>
                <w:sz w:val="18"/>
                <w:szCs w:val="18"/>
              </w:rPr>
            </w:pPr>
          </w:p>
        </w:tc>
        <w:tc>
          <w:tcPr>
            <w:tcW w:w="1450" w:type="dxa"/>
            <w:gridSpan w:val="2"/>
            <w:vAlign w:val="center"/>
          </w:tcPr>
          <w:p w14:paraId="679189C0">
            <w:pPr>
              <w:spacing w:before="156" w:beforeLines="50" w:after="156" w:afterLines="50"/>
              <w:jc w:val="center"/>
              <w:rPr>
                <w:rFonts w:ascii="宋体"/>
                <w:kern w:val="0"/>
                <w:sz w:val="18"/>
                <w:szCs w:val="18"/>
              </w:rPr>
            </w:pPr>
            <w:r>
              <w:rPr>
                <w:rFonts w:hint="eastAsia" w:ascii="宋体"/>
                <w:kern w:val="0"/>
                <w:sz w:val="18"/>
                <w:szCs w:val="18"/>
              </w:rPr>
              <w:t>一般</w:t>
            </w:r>
          </w:p>
        </w:tc>
        <w:tc>
          <w:tcPr>
            <w:tcW w:w="8960" w:type="dxa"/>
            <w:gridSpan w:val="4"/>
            <w:vAlign w:val="center"/>
          </w:tcPr>
          <w:p w14:paraId="41028D5C">
            <w:pPr>
              <w:widowControl/>
              <w:spacing w:before="156" w:beforeLines="50" w:after="156" w:afterLines="50"/>
              <w:jc w:val="left"/>
              <w:rPr>
                <w:rFonts w:ascii="宋体"/>
                <w:kern w:val="0"/>
                <w:sz w:val="18"/>
                <w:szCs w:val="18"/>
              </w:rPr>
            </w:pPr>
            <w:r>
              <w:rPr>
                <w:rFonts w:hint="eastAsia" w:ascii="宋体"/>
                <w:kern w:val="0"/>
                <w:sz w:val="18"/>
                <w:szCs w:val="18"/>
              </w:rPr>
              <w:t>可以根据下表公式处理：处罚金额（万元）=10×K</w:t>
            </w:r>
            <w:r>
              <w:rPr>
                <w:rFonts w:hint="eastAsia" w:ascii="宋体"/>
                <w:kern w:val="0"/>
                <w:sz w:val="18"/>
                <w:szCs w:val="18"/>
                <w:vertAlign w:val="superscript"/>
              </w:rPr>
              <w:t>N</w:t>
            </w:r>
          </w:p>
          <w:p w14:paraId="1AF906AC">
            <w:pPr>
              <w:widowControl/>
              <w:spacing w:before="156" w:beforeLines="50" w:after="156" w:afterLines="50"/>
              <w:jc w:val="left"/>
              <w:rPr>
                <w:rFonts w:ascii="宋体"/>
                <w:kern w:val="0"/>
                <w:sz w:val="18"/>
                <w:szCs w:val="18"/>
              </w:rPr>
            </w:pPr>
            <w:r>
              <w:rPr>
                <w:rFonts w:hint="eastAsia" w:ascii="宋体"/>
                <w:kern w:val="0"/>
                <w:sz w:val="18"/>
                <w:szCs w:val="18"/>
              </w:rPr>
              <w:t>K（系数）=1.09</w:t>
            </w:r>
          </w:p>
          <w:p w14:paraId="0E8AE392">
            <w:pPr>
              <w:spacing w:before="156" w:beforeLines="50" w:after="156" w:afterLines="50"/>
              <w:jc w:val="left"/>
              <w:rPr>
                <w:rFonts w:ascii="宋体"/>
                <w:kern w:val="0"/>
                <w:sz w:val="18"/>
                <w:szCs w:val="18"/>
                <w:vertAlign w:val="subscript"/>
              </w:rPr>
            </w:pPr>
            <w:r>
              <w:rPr>
                <w:rFonts w:hint="eastAsia" w:ascii="宋体"/>
                <w:kern w:val="0"/>
                <w:sz w:val="18"/>
                <w:szCs w:val="18"/>
              </w:rPr>
              <w:t>N（指数值）＝N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r>
              <w:rPr>
                <w:rFonts w:hint="eastAsia" w:ascii="宋体"/>
                <w:kern w:val="0"/>
                <w:sz w:val="18"/>
                <w:szCs w:val="18"/>
              </w:rPr>
              <w:t>+N</w:t>
            </w:r>
            <w:r>
              <w:rPr>
                <w:rFonts w:hint="eastAsia" w:ascii="宋体"/>
                <w:kern w:val="0"/>
                <w:sz w:val="18"/>
                <w:szCs w:val="18"/>
                <w:vertAlign w:val="subscript"/>
              </w:rPr>
              <w:t>8</w:t>
            </w:r>
          </w:p>
        </w:tc>
      </w:tr>
      <w:tr w14:paraId="0E4CB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4" w:hRule="atLeast"/>
          <w:jc w:val="center"/>
        </w:trPr>
        <w:tc>
          <w:tcPr>
            <w:tcW w:w="21518" w:type="dxa"/>
            <w:gridSpan w:val="15"/>
            <w:vAlign w:val="center"/>
          </w:tcPr>
          <w:p w14:paraId="09DDBB76">
            <w:pPr>
              <w:spacing w:before="156" w:beforeLines="50" w:after="156" w:afterLines="50"/>
              <w:jc w:val="left"/>
              <w:rPr>
                <w:rFonts w:ascii="宋体"/>
                <w:kern w:val="0"/>
                <w:sz w:val="18"/>
                <w:szCs w:val="18"/>
              </w:rPr>
            </w:pPr>
            <w:r>
              <w:rPr>
                <w:rFonts w:hint="eastAsia" w:ascii="宋体"/>
                <w:b/>
                <w:kern w:val="0"/>
                <w:sz w:val="18"/>
                <w:szCs w:val="18"/>
              </w:rPr>
              <w:t>以下方式计算所得处罚金额如非整数，应取整，整数取到千位。（例如计算所得处罚金额为104400元，则最终处罚金额为105000元）；处罚金额最高不得超过20万元。</w:t>
            </w:r>
          </w:p>
        </w:tc>
      </w:tr>
      <w:tr w14:paraId="78E40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14:paraId="3659C63D">
            <w:pPr>
              <w:widowControl/>
              <w:spacing w:before="156" w:beforeLines="50" w:after="156" w:afterLines="50"/>
              <w:jc w:val="left"/>
              <w:rPr>
                <w:rFonts w:ascii="宋体"/>
                <w:kern w:val="0"/>
                <w:sz w:val="18"/>
                <w:szCs w:val="18"/>
              </w:rPr>
            </w:pPr>
            <w:r>
              <w:rPr>
                <w:rFonts w:hint="eastAsia" w:ascii="宋体"/>
                <w:kern w:val="0"/>
                <w:sz w:val="18"/>
                <w:szCs w:val="18"/>
              </w:rPr>
              <w:t>指标名称</w:t>
            </w:r>
          </w:p>
        </w:tc>
        <w:tc>
          <w:tcPr>
            <w:tcW w:w="1309" w:type="dxa"/>
            <w:vAlign w:val="center"/>
          </w:tcPr>
          <w:p w14:paraId="78E14CD5">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1</w:t>
            </w:r>
          </w:p>
        </w:tc>
        <w:tc>
          <w:tcPr>
            <w:tcW w:w="1868" w:type="dxa"/>
            <w:vAlign w:val="center"/>
          </w:tcPr>
          <w:p w14:paraId="1E18C915">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2</w:t>
            </w:r>
          </w:p>
        </w:tc>
        <w:tc>
          <w:tcPr>
            <w:tcW w:w="3132" w:type="dxa"/>
            <w:gridSpan w:val="2"/>
            <w:vAlign w:val="center"/>
          </w:tcPr>
          <w:p w14:paraId="0F84D7BD">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3</w:t>
            </w:r>
          </w:p>
        </w:tc>
        <w:tc>
          <w:tcPr>
            <w:tcW w:w="1278" w:type="dxa"/>
            <w:gridSpan w:val="2"/>
            <w:vAlign w:val="center"/>
          </w:tcPr>
          <w:p w14:paraId="6B3EC123">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4</w:t>
            </w:r>
          </w:p>
        </w:tc>
        <w:tc>
          <w:tcPr>
            <w:tcW w:w="3064" w:type="dxa"/>
            <w:gridSpan w:val="2"/>
            <w:vAlign w:val="center"/>
          </w:tcPr>
          <w:p w14:paraId="5AE5677B">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5</w:t>
            </w:r>
          </w:p>
        </w:tc>
        <w:tc>
          <w:tcPr>
            <w:tcW w:w="3354" w:type="dxa"/>
            <w:gridSpan w:val="2"/>
            <w:vAlign w:val="center"/>
          </w:tcPr>
          <w:p w14:paraId="3CB29907">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6</w:t>
            </w:r>
          </w:p>
        </w:tc>
        <w:tc>
          <w:tcPr>
            <w:tcW w:w="3354" w:type="dxa"/>
            <w:gridSpan w:val="2"/>
            <w:vAlign w:val="center"/>
          </w:tcPr>
          <w:p w14:paraId="677E8B44">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c>
          <w:tcPr>
            <w:tcW w:w="2997" w:type="dxa"/>
            <w:vAlign w:val="center"/>
          </w:tcPr>
          <w:p w14:paraId="7B3A8F78">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8</w:t>
            </w:r>
          </w:p>
        </w:tc>
      </w:tr>
      <w:tr w14:paraId="72EC1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14:paraId="25C5F3D0">
            <w:pPr>
              <w:widowControl/>
              <w:spacing w:before="156" w:beforeLines="50" w:after="156" w:afterLines="50"/>
              <w:jc w:val="left"/>
              <w:rPr>
                <w:rFonts w:ascii="宋体"/>
                <w:kern w:val="0"/>
                <w:sz w:val="18"/>
                <w:szCs w:val="18"/>
              </w:rPr>
            </w:pPr>
            <w:r>
              <w:rPr>
                <w:rFonts w:hint="eastAsia" w:ascii="宋体"/>
                <w:kern w:val="0"/>
                <w:sz w:val="18"/>
                <w:szCs w:val="18"/>
              </w:rPr>
              <w:t>指标含义</w:t>
            </w:r>
          </w:p>
        </w:tc>
        <w:tc>
          <w:tcPr>
            <w:tcW w:w="1309" w:type="dxa"/>
            <w:vAlign w:val="center"/>
          </w:tcPr>
          <w:p w14:paraId="7F797D6C">
            <w:pPr>
              <w:widowControl/>
              <w:spacing w:before="156" w:beforeLines="50" w:after="156" w:afterLines="50"/>
              <w:jc w:val="left"/>
              <w:rPr>
                <w:rFonts w:ascii="宋体"/>
                <w:kern w:val="0"/>
                <w:sz w:val="18"/>
                <w:szCs w:val="18"/>
              </w:rPr>
            </w:pPr>
            <w:r>
              <w:rPr>
                <w:rFonts w:hint="eastAsia" w:ascii="宋体"/>
                <w:kern w:val="0"/>
                <w:sz w:val="18"/>
                <w:szCs w:val="18"/>
              </w:rPr>
              <w:t>瞒报货物是否属于列明物质</w:t>
            </w:r>
          </w:p>
        </w:tc>
        <w:tc>
          <w:tcPr>
            <w:tcW w:w="1868" w:type="dxa"/>
            <w:vAlign w:val="center"/>
          </w:tcPr>
          <w:p w14:paraId="3AC14979">
            <w:pPr>
              <w:widowControl/>
              <w:spacing w:before="156" w:beforeLines="50" w:after="156" w:afterLines="50"/>
              <w:jc w:val="left"/>
              <w:rPr>
                <w:rFonts w:ascii="宋体"/>
                <w:kern w:val="0"/>
                <w:sz w:val="18"/>
                <w:szCs w:val="18"/>
              </w:rPr>
            </w:pPr>
            <w:r>
              <w:rPr>
                <w:rFonts w:hint="eastAsia" w:ascii="宋体"/>
                <w:kern w:val="0"/>
                <w:sz w:val="18"/>
                <w:szCs w:val="18"/>
              </w:rPr>
              <w:t>是否发生破损、泄漏</w:t>
            </w:r>
          </w:p>
        </w:tc>
        <w:tc>
          <w:tcPr>
            <w:tcW w:w="3132" w:type="dxa"/>
            <w:gridSpan w:val="2"/>
            <w:vAlign w:val="center"/>
          </w:tcPr>
          <w:p w14:paraId="2859B6A4">
            <w:pPr>
              <w:widowControl/>
              <w:spacing w:before="156" w:beforeLines="50" w:after="156" w:afterLines="50"/>
              <w:jc w:val="left"/>
              <w:rPr>
                <w:rFonts w:ascii="宋体"/>
                <w:kern w:val="0"/>
                <w:sz w:val="18"/>
                <w:szCs w:val="18"/>
              </w:rPr>
            </w:pPr>
            <w:r>
              <w:rPr>
                <w:rFonts w:hint="eastAsia" w:ascii="宋体"/>
                <w:kern w:val="0"/>
                <w:sz w:val="18"/>
                <w:szCs w:val="18"/>
              </w:rPr>
              <w:t>瞒报品种是否属于高危品（爆炸品、放射性物质、感染性物质）、剧毒品、5类危险品或者4类应温控物质</w:t>
            </w:r>
          </w:p>
        </w:tc>
        <w:tc>
          <w:tcPr>
            <w:tcW w:w="1278" w:type="dxa"/>
            <w:gridSpan w:val="2"/>
            <w:vAlign w:val="center"/>
          </w:tcPr>
          <w:p w14:paraId="5DC57F62">
            <w:pPr>
              <w:widowControl/>
              <w:spacing w:before="156" w:beforeLines="50" w:after="156" w:afterLines="50"/>
              <w:jc w:val="left"/>
              <w:rPr>
                <w:rFonts w:ascii="宋体"/>
                <w:kern w:val="0"/>
                <w:sz w:val="18"/>
                <w:szCs w:val="18"/>
              </w:rPr>
            </w:pPr>
            <w:r>
              <w:rPr>
                <w:rFonts w:hint="eastAsia" w:ascii="宋体"/>
                <w:kern w:val="0"/>
                <w:sz w:val="18"/>
                <w:szCs w:val="18"/>
              </w:rPr>
              <w:t>瞒报涉及品种数量</w:t>
            </w:r>
          </w:p>
        </w:tc>
        <w:tc>
          <w:tcPr>
            <w:tcW w:w="3064" w:type="dxa"/>
            <w:gridSpan w:val="2"/>
            <w:vAlign w:val="center"/>
          </w:tcPr>
          <w:p w14:paraId="03E927F6">
            <w:pPr>
              <w:widowControl/>
              <w:spacing w:before="156" w:beforeLines="50" w:after="156" w:afterLines="50"/>
              <w:jc w:val="left"/>
              <w:rPr>
                <w:rFonts w:ascii="宋体"/>
                <w:kern w:val="0"/>
                <w:sz w:val="18"/>
                <w:szCs w:val="18"/>
              </w:rPr>
            </w:pPr>
            <w:r>
              <w:rPr>
                <w:rFonts w:hint="eastAsia" w:ascii="宋体"/>
                <w:kern w:val="0"/>
                <w:sz w:val="18"/>
                <w:szCs w:val="18"/>
              </w:rPr>
              <w:t>瞒报涉及箱数</w:t>
            </w:r>
          </w:p>
        </w:tc>
        <w:tc>
          <w:tcPr>
            <w:tcW w:w="3354" w:type="dxa"/>
            <w:gridSpan w:val="2"/>
            <w:vAlign w:val="center"/>
          </w:tcPr>
          <w:p w14:paraId="1C2CCE3B">
            <w:pPr>
              <w:widowControl/>
              <w:spacing w:before="156" w:beforeLines="50" w:after="156" w:afterLines="50"/>
              <w:jc w:val="left"/>
              <w:rPr>
                <w:rFonts w:ascii="宋体"/>
                <w:kern w:val="0"/>
                <w:sz w:val="18"/>
                <w:szCs w:val="18"/>
              </w:rPr>
            </w:pPr>
            <w:r>
              <w:rPr>
                <w:rFonts w:hint="eastAsia" w:ascii="宋体"/>
                <w:kern w:val="0"/>
                <w:sz w:val="18"/>
                <w:szCs w:val="18"/>
              </w:rPr>
              <w:t>同一托运人连续发生违章次数</w:t>
            </w:r>
          </w:p>
        </w:tc>
        <w:tc>
          <w:tcPr>
            <w:tcW w:w="3354" w:type="dxa"/>
            <w:gridSpan w:val="2"/>
            <w:vAlign w:val="center"/>
          </w:tcPr>
          <w:p w14:paraId="07C704F3">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2997" w:type="dxa"/>
            <w:vAlign w:val="center"/>
          </w:tcPr>
          <w:p w14:paraId="6270C5A4">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14:paraId="4830C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162" w:type="dxa"/>
            <w:gridSpan w:val="2"/>
            <w:vAlign w:val="center"/>
          </w:tcPr>
          <w:p w14:paraId="62428109">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1309" w:type="dxa"/>
            <w:vAlign w:val="center"/>
          </w:tcPr>
          <w:p w14:paraId="0ED2A714">
            <w:pPr>
              <w:widowControl/>
              <w:spacing w:before="156" w:beforeLines="50" w:after="156" w:afterLines="50"/>
              <w:jc w:val="left"/>
              <w:rPr>
                <w:rFonts w:ascii="宋体"/>
                <w:kern w:val="0"/>
                <w:sz w:val="18"/>
                <w:szCs w:val="18"/>
              </w:rPr>
            </w:pPr>
            <w:r>
              <w:rPr>
                <w:rFonts w:hint="eastAsia" w:ascii="宋体"/>
                <w:kern w:val="0"/>
                <w:sz w:val="18"/>
                <w:szCs w:val="18"/>
              </w:rPr>
              <w:t>货物属于未列明物质指数为0；货物为列明物质指数为1。</w:t>
            </w:r>
          </w:p>
        </w:tc>
        <w:tc>
          <w:tcPr>
            <w:tcW w:w="1868" w:type="dxa"/>
            <w:vAlign w:val="center"/>
          </w:tcPr>
          <w:p w14:paraId="501EBA47">
            <w:pPr>
              <w:widowControl/>
              <w:spacing w:before="156" w:beforeLines="50" w:after="156" w:afterLines="50"/>
              <w:jc w:val="left"/>
              <w:rPr>
                <w:rFonts w:ascii="宋体"/>
                <w:kern w:val="0"/>
                <w:sz w:val="18"/>
                <w:szCs w:val="18"/>
              </w:rPr>
            </w:pPr>
            <w:r>
              <w:rPr>
                <w:rFonts w:hint="eastAsia" w:ascii="宋体"/>
                <w:kern w:val="0"/>
                <w:sz w:val="18"/>
                <w:szCs w:val="18"/>
              </w:rPr>
              <w:t>未发生指数为0；发生少量泄漏、破损等情况指数为2；严重泄漏、破损指数为4。</w:t>
            </w:r>
          </w:p>
        </w:tc>
        <w:tc>
          <w:tcPr>
            <w:tcW w:w="3132" w:type="dxa"/>
            <w:gridSpan w:val="2"/>
            <w:vAlign w:val="center"/>
          </w:tcPr>
          <w:p w14:paraId="5B1B09DD">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1278" w:type="dxa"/>
            <w:gridSpan w:val="2"/>
            <w:vAlign w:val="center"/>
          </w:tcPr>
          <w:p w14:paraId="3B7433E0">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3064" w:type="dxa"/>
            <w:gridSpan w:val="2"/>
            <w:vAlign w:val="center"/>
          </w:tcPr>
          <w:p w14:paraId="6A661584">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3354" w:type="dxa"/>
            <w:gridSpan w:val="2"/>
            <w:vAlign w:val="center"/>
          </w:tcPr>
          <w:p w14:paraId="23106709">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3354" w:type="dxa"/>
            <w:gridSpan w:val="2"/>
            <w:vAlign w:val="center"/>
          </w:tcPr>
          <w:p w14:paraId="5B119A8E">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2997" w:type="dxa"/>
            <w:vAlign w:val="center"/>
          </w:tcPr>
          <w:p w14:paraId="6B71A900">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14:paraId="50E48EA7">
      <w:pPr>
        <w:spacing w:before="156" w:beforeLines="50" w:after="156" w:afterLines="50"/>
        <w:jc w:val="left"/>
        <w:rPr>
          <w:rFonts w:ascii="宋体"/>
          <w:sz w:val="18"/>
          <w:szCs w:val="18"/>
        </w:rPr>
      </w:pPr>
      <w:r>
        <w:rPr>
          <w:rFonts w:hint="eastAsia" w:ascii="宋体"/>
          <w:sz w:val="18"/>
          <w:szCs w:val="18"/>
        </w:rPr>
        <w:br w:type="page"/>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
        <w:gridCol w:w="449"/>
        <w:gridCol w:w="1988"/>
        <w:gridCol w:w="435"/>
        <w:gridCol w:w="1854"/>
        <w:gridCol w:w="1974"/>
        <w:gridCol w:w="2118"/>
        <w:gridCol w:w="226"/>
        <w:gridCol w:w="1735"/>
        <w:gridCol w:w="2001"/>
        <w:gridCol w:w="1490"/>
        <w:gridCol w:w="2683"/>
        <w:gridCol w:w="1802"/>
        <w:gridCol w:w="1823"/>
      </w:tblGrid>
      <w:tr w14:paraId="1AB72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2" w:hRule="atLeast"/>
          <w:jc w:val="center"/>
        </w:trPr>
        <w:tc>
          <w:tcPr>
            <w:tcW w:w="940" w:type="dxa"/>
            <w:vMerge w:val="restart"/>
            <w:vAlign w:val="center"/>
          </w:tcPr>
          <w:p w14:paraId="11354C30">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2437" w:type="dxa"/>
            <w:gridSpan w:val="2"/>
            <w:vMerge w:val="restart"/>
            <w:vAlign w:val="center"/>
          </w:tcPr>
          <w:p w14:paraId="65504888">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6607" w:type="dxa"/>
            <w:gridSpan w:val="5"/>
            <w:vMerge w:val="restart"/>
            <w:vAlign w:val="center"/>
          </w:tcPr>
          <w:p w14:paraId="63CA9AD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1735" w:type="dxa"/>
            <w:vMerge w:val="restart"/>
            <w:vAlign w:val="center"/>
          </w:tcPr>
          <w:p w14:paraId="004D3F8E">
            <w:pPr>
              <w:spacing w:before="156" w:beforeLines="50" w:after="156" w:afterLines="50"/>
              <w:jc w:val="center"/>
              <w:rPr>
                <w:rFonts w:ascii="宋体"/>
                <w:b/>
                <w:kern w:val="0"/>
                <w:sz w:val="18"/>
                <w:szCs w:val="18"/>
              </w:rPr>
            </w:pPr>
            <w:r>
              <w:rPr>
                <w:rFonts w:hint="eastAsia" w:ascii="宋体"/>
                <w:b/>
                <w:kern w:val="0"/>
                <w:sz w:val="18"/>
                <w:szCs w:val="18"/>
              </w:rPr>
              <w:t>违法情节</w:t>
            </w:r>
          </w:p>
        </w:tc>
        <w:tc>
          <w:tcPr>
            <w:tcW w:w="3491" w:type="dxa"/>
            <w:gridSpan w:val="2"/>
            <w:vMerge w:val="restart"/>
            <w:vAlign w:val="center"/>
          </w:tcPr>
          <w:p w14:paraId="573CF734">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6308" w:type="dxa"/>
            <w:gridSpan w:val="3"/>
            <w:vAlign w:val="center"/>
          </w:tcPr>
          <w:p w14:paraId="57887558">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责令停止作业或者航行，对负有责任的主管人员或者其他直接责任人员处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万元以下的罚款；属于船员的，并给予暂扣适任证书或者其他适任证件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5F9FF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continue"/>
            <w:vAlign w:val="center"/>
          </w:tcPr>
          <w:p w14:paraId="545D6AE1">
            <w:pPr>
              <w:spacing w:before="156" w:beforeLines="50" w:after="156" w:afterLines="50"/>
              <w:jc w:val="left"/>
              <w:rPr>
                <w:rFonts w:ascii="宋体"/>
                <w:b/>
                <w:kern w:val="0"/>
                <w:sz w:val="18"/>
                <w:szCs w:val="18"/>
              </w:rPr>
            </w:pPr>
          </w:p>
        </w:tc>
        <w:tc>
          <w:tcPr>
            <w:tcW w:w="2437" w:type="dxa"/>
            <w:gridSpan w:val="2"/>
            <w:vMerge w:val="continue"/>
            <w:vAlign w:val="center"/>
          </w:tcPr>
          <w:p w14:paraId="0044F521">
            <w:pPr>
              <w:spacing w:before="156" w:beforeLines="50" w:after="156" w:afterLines="50"/>
              <w:jc w:val="left"/>
              <w:rPr>
                <w:rFonts w:ascii="宋体"/>
                <w:b/>
                <w:kern w:val="0"/>
                <w:sz w:val="18"/>
                <w:szCs w:val="18"/>
              </w:rPr>
            </w:pPr>
          </w:p>
        </w:tc>
        <w:tc>
          <w:tcPr>
            <w:tcW w:w="6607" w:type="dxa"/>
            <w:gridSpan w:val="5"/>
            <w:vMerge w:val="continue"/>
            <w:vAlign w:val="center"/>
          </w:tcPr>
          <w:p w14:paraId="23EE502C">
            <w:pPr>
              <w:spacing w:before="156" w:beforeLines="50" w:after="156" w:afterLines="50"/>
              <w:jc w:val="left"/>
              <w:rPr>
                <w:rFonts w:ascii="宋体"/>
                <w:b/>
                <w:kern w:val="0"/>
                <w:sz w:val="18"/>
                <w:szCs w:val="18"/>
              </w:rPr>
            </w:pPr>
          </w:p>
        </w:tc>
        <w:tc>
          <w:tcPr>
            <w:tcW w:w="1735" w:type="dxa"/>
            <w:vMerge w:val="continue"/>
            <w:vAlign w:val="center"/>
          </w:tcPr>
          <w:p w14:paraId="2F27A8B4">
            <w:pPr>
              <w:spacing w:before="156" w:beforeLines="50" w:after="156" w:afterLines="50"/>
              <w:jc w:val="left"/>
              <w:rPr>
                <w:rFonts w:ascii="宋体"/>
                <w:b/>
                <w:kern w:val="0"/>
                <w:sz w:val="18"/>
                <w:szCs w:val="18"/>
              </w:rPr>
            </w:pPr>
          </w:p>
        </w:tc>
        <w:tc>
          <w:tcPr>
            <w:tcW w:w="3491" w:type="dxa"/>
            <w:gridSpan w:val="2"/>
            <w:vMerge w:val="continue"/>
            <w:vAlign w:val="center"/>
          </w:tcPr>
          <w:p w14:paraId="76A73C90">
            <w:pPr>
              <w:spacing w:before="156" w:beforeLines="50" w:after="156" w:afterLines="50"/>
              <w:jc w:val="left"/>
              <w:rPr>
                <w:rFonts w:ascii="宋体"/>
                <w:b/>
                <w:kern w:val="0"/>
                <w:sz w:val="18"/>
                <w:szCs w:val="18"/>
              </w:rPr>
            </w:pPr>
          </w:p>
        </w:tc>
        <w:tc>
          <w:tcPr>
            <w:tcW w:w="6308" w:type="dxa"/>
            <w:gridSpan w:val="3"/>
            <w:vAlign w:val="center"/>
          </w:tcPr>
          <w:p w14:paraId="5404039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656E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continue"/>
            <w:vAlign w:val="center"/>
          </w:tcPr>
          <w:p w14:paraId="523AA001">
            <w:pPr>
              <w:spacing w:before="156" w:beforeLines="50" w:after="156" w:afterLines="50"/>
              <w:jc w:val="left"/>
              <w:rPr>
                <w:rFonts w:ascii="宋体"/>
                <w:b/>
                <w:kern w:val="0"/>
                <w:sz w:val="18"/>
                <w:szCs w:val="18"/>
              </w:rPr>
            </w:pPr>
          </w:p>
        </w:tc>
        <w:tc>
          <w:tcPr>
            <w:tcW w:w="2437" w:type="dxa"/>
            <w:gridSpan w:val="2"/>
            <w:vMerge w:val="continue"/>
            <w:vAlign w:val="center"/>
          </w:tcPr>
          <w:p w14:paraId="6C60D72A">
            <w:pPr>
              <w:spacing w:before="156" w:beforeLines="50" w:after="156" w:afterLines="50"/>
              <w:jc w:val="left"/>
              <w:rPr>
                <w:rFonts w:ascii="宋体"/>
                <w:b/>
                <w:kern w:val="0"/>
                <w:sz w:val="18"/>
                <w:szCs w:val="18"/>
              </w:rPr>
            </w:pPr>
          </w:p>
        </w:tc>
        <w:tc>
          <w:tcPr>
            <w:tcW w:w="2289" w:type="dxa"/>
            <w:gridSpan w:val="2"/>
            <w:vAlign w:val="center"/>
          </w:tcPr>
          <w:p w14:paraId="524C6CDF">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4318" w:type="dxa"/>
            <w:gridSpan w:val="3"/>
            <w:vAlign w:val="center"/>
          </w:tcPr>
          <w:p w14:paraId="7BA01BE1">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1735" w:type="dxa"/>
            <w:vMerge w:val="continue"/>
            <w:vAlign w:val="center"/>
          </w:tcPr>
          <w:p w14:paraId="2B5E3785">
            <w:pPr>
              <w:spacing w:before="156" w:beforeLines="50" w:after="156" w:afterLines="50"/>
              <w:jc w:val="left"/>
              <w:rPr>
                <w:rFonts w:ascii="宋体"/>
                <w:b/>
                <w:kern w:val="0"/>
                <w:sz w:val="18"/>
                <w:szCs w:val="18"/>
              </w:rPr>
            </w:pPr>
          </w:p>
        </w:tc>
        <w:tc>
          <w:tcPr>
            <w:tcW w:w="3491" w:type="dxa"/>
            <w:gridSpan w:val="2"/>
            <w:vMerge w:val="continue"/>
            <w:vAlign w:val="center"/>
          </w:tcPr>
          <w:p w14:paraId="56C4C5F3">
            <w:pPr>
              <w:spacing w:before="156" w:beforeLines="50" w:after="156" w:afterLines="50"/>
              <w:jc w:val="left"/>
              <w:rPr>
                <w:rFonts w:ascii="宋体"/>
                <w:b/>
                <w:kern w:val="0"/>
                <w:sz w:val="18"/>
                <w:szCs w:val="18"/>
              </w:rPr>
            </w:pPr>
          </w:p>
        </w:tc>
        <w:tc>
          <w:tcPr>
            <w:tcW w:w="6308" w:type="dxa"/>
            <w:gridSpan w:val="3"/>
            <w:vAlign w:val="center"/>
          </w:tcPr>
          <w:p w14:paraId="590222F6">
            <w:pPr>
              <w:spacing w:before="156" w:beforeLines="50" w:after="156" w:afterLines="50"/>
              <w:jc w:val="left"/>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r>
      <w:tr w14:paraId="68CF8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40" w:type="dxa"/>
            <w:vMerge w:val="restart"/>
            <w:vAlign w:val="center"/>
          </w:tcPr>
          <w:p w14:paraId="52DA7099">
            <w:pPr>
              <w:spacing w:before="156" w:beforeLines="50" w:after="156" w:afterLines="50"/>
              <w:jc w:val="center"/>
              <w:rPr>
                <w:rFonts w:ascii="宋体"/>
                <w:kern w:val="0"/>
                <w:sz w:val="18"/>
                <w:szCs w:val="18"/>
              </w:rPr>
            </w:pPr>
            <w:r>
              <w:rPr>
                <w:rFonts w:hint="eastAsia" w:ascii="宋体"/>
                <w:kern w:val="0"/>
                <w:sz w:val="18"/>
                <w:szCs w:val="18"/>
              </w:rPr>
              <w:t>90</w:t>
            </w:r>
          </w:p>
        </w:tc>
        <w:tc>
          <w:tcPr>
            <w:tcW w:w="2437" w:type="dxa"/>
            <w:gridSpan w:val="2"/>
            <w:vMerge w:val="restart"/>
            <w:vAlign w:val="center"/>
          </w:tcPr>
          <w:p w14:paraId="53995326">
            <w:pPr>
              <w:widowControl/>
              <w:spacing w:before="156" w:beforeLines="50" w:after="156" w:afterLines="50"/>
              <w:jc w:val="left"/>
              <w:rPr>
                <w:rFonts w:ascii="宋体"/>
                <w:kern w:val="0"/>
                <w:sz w:val="18"/>
                <w:szCs w:val="18"/>
              </w:rPr>
            </w:pPr>
            <w:r>
              <w:rPr>
                <w:rFonts w:hint="eastAsia" w:ascii="宋体"/>
                <w:sz w:val="18"/>
                <w:szCs w:val="18"/>
              </w:rPr>
              <w:t>船舶在港口外装卸、过驳危险货物未经海事管理机构同意的</w:t>
            </w:r>
          </w:p>
        </w:tc>
        <w:tc>
          <w:tcPr>
            <w:tcW w:w="2289" w:type="dxa"/>
            <w:gridSpan w:val="2"/>
            <w:vMerge w:val="restart"/>
            <w:vAlign w:val="center"/>
          </w:tcPr>
          <w:p w14:paraId="08D5FDC2">
            <w:pPr>
              <w:widowControl/>
              <w:spacing w:before="156" w:beforeLines="50" w:after="156" w:afterLines="50"/>
              <w:jc w:val="left"/>
              <w:rPr>
                <w:rFonts w:ascii="宋体"/>
                <w:kern w:val="0"/>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内河交通安全管理条例》第三十二条</w:t>
            </w:r>
          </w:p>
        </w:tc>
        <w:tc>
          <w:tcPr>
            <w:tcW w:w="4318" w:type="dxa"/>
            <w:gridSpan w:val="3"/>
            <w:vMerge w:val="restart"/>
            <w:vAlign w:val="center"/>
          </w:tcPr>
          <w:p w14:paraId="43C44600">
            <w:pPr>
              <w:spacing w:before="156" w:beforeLines="50" w:after="156" w:afterLines="50"/>
              <w:jc w:val="left"/>
              <w:rPr>
                <w:rFonts w:ascii="宋体"/>
                <w:kern w:val="0"/>
                <w:sz w:val="18"/>
                <w:szCs w:val="18"/>
              </w:rPr>
            </w:pPr>
            <w:r>
              <w:rPr>
                <w:rFonts w:hint="eastAsia" w:ascii="宋体"/>
                <w:kern w:val="0"/>
                <w:sz w:val="18"/>
                <w:szCs w:val="18"/>
              </w:rPr>
              <w:t>1.</w:t>
            </w:r>
            <w:r>
              <w:rPr>
                <w:rFonts w:hint="eastAsia" w:ascii="宋体"/>
                <w:sz w:val="18"/>
                <w:szCs w:val="18"/>
              </w:rPr>
              <w:t>《中华人民共和国内河交通安全管理条例》第七十一条；</w:t>
            </w:r>
          </w:p>
          <w:p w14:paraId="456A2F9D">
            <w:pPr>
              <w:spacing w:before="156" w:beforeLines="50" w:after="156" w:afterLines="50"/>
              <w:jc w:val="left"/>
              <w:rPr>
                <w:rFonts w:ascii="宋体"/>
                <w:sz w:val="18"/>
                <w:szCs w:val="18"/>
              </w:rPr>
            </w:pPr>
            <w:r>
              <w:rPr>
                <w:rFonts w:hint="eastAsia" w:ascii="宋体"/>
                <w:kern w:val="0"/>
                <w:sz w:val="18"/>
                <w:szCs w:val="18"/>
              </w:rPr>
              <w:t>2.</w:t>
            </w:r>
            <w:r>
              <w:rPr>
                <w:rFonts w:hint="eastAsia" w:ascii="宋体"/>
                <w:sz w:val="18"/>
                <w:szCs w:val="18"/>
              </w:rPr>
              <w:t>《中华人民共和国内河海事行政处罚规定》第二十一条第（二）项；</w:t>
            </w:r>
          </w:p>
          <w:p w14:paraId="02C5AF10">
            <w:pPr>
              <w:spacing w:before="156" w:beforeLines="50" w:after="156" w:afterLines="50"/>
              <w:jc w:val="left"/>
              <w:rPr>
                <w:rFonts w:ascii="宋体"/>
                <w:kern w:val="0"/>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1735" w:type="dxa"/>
            <w:vAlign w:val="center"/>
          </w:tcPr>
          <w:p w14:paraId="7522B716">
            <w:pPr>
              <w:spacing w:before="156" w:beforeLines="50" w:after="156" w:afterLines="50"/>
              <w:jc w:val="center"/>
              <w:rPr>
                <w:rFonts w:ascii="宋体"/>
                <w:kern w:val="0"/>
                <w:sz w:val="18"/>
                <w:szCs w:val="18"/>
              </w:rPr>
            </w:pPr>
            <w:r>
              <w:rPr>
                <w:rFonts w:hint="eastAsia" w:ascii="宋体"/>
                <w:kern w:val="0"/>
                <w:sz w:val="18"/>
                <w:szCs w:val="18"/>
              </w:rPr>
              <w:t>从轻</w:t>
            </w:r>
          </w:p>
        </w:tc>
        <w:tc>
          <w:tcPr>
            <w:tcW w:w="3491" w:type="dxa"/>
            <w:gridSpan w:val="2"/>
            <w:vAlign w:val="center"/>
          </w:tcPr>
          <w:p w14:paraId="77428626">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6308" w:type="dxa"/>
            <w:gridSpan w:val="3"/>
            <w:vAlign w:val="center"/>
          </w:tcPr>
          <w:p w14:paraId="32B52C32">
            <w:pPr>
              <w:spacing w:before="156" w:beforeLines="50" w:after="156" w:afterLines="50"/>
              <w:jc w:val="left"/>
              <w:rPr>
                <w:rFonts w:ascii="宋体"/>
                <w:kern w:val="0"/>
                <w:sz w:val="18"/>
                <w:szCs w:val="18"/>
              </w:rPr>
            </w:pPr>
            <w:r>
              <w:rPr>
                <w:rFonts w:ascii="宋体"/>
                <w:kern w:val="0"/>
                <w:sz w:val="18"/>
                <w:szCs w:val="18"/>
              </w:rPr>
              <w:t>2</w:t>
            </w:r>
            <w:r>
              <w:rPr>
                <w:rFonts w:hint="eastAsia" w:ascii="宋体"/>
                <w:kern w:val="0"/>
                <w:sz w:val="18"/>
                <w:szCs w:val="18"/>
              </w:rPr>
              <w:t>万元</w:t>
            </w:r>
          </w:p>
        </w:tc>
      </w:tr>
      <w:tr w14:paraId="2BB7E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jc w:val="center"/>
        </w:trPr>
        <w:tc>
          <w:tcPr>
            <w:tcW w:w="940" w:type="dxa"/>
            <w:vMerge w:val="continue"/>
            <w:vAlign w:val="center"/>
          </w:tcPr>
          <w:p w14:paraId="114A7B08">
            <w:pPr>
              <w:spacing w:before="156" w:beforeLines="50" w:after="156" w:afterLines="50"/>
              <w:jc w:val="left"/>
              <w:rPr>
                <w:rFonts w:ascii="宋体"/>
                <w:kern w:val="0"/>
                <w:sz w:val="18"/>
                <w:szCs w:val="18"/>
              </w:rPr>
            </w:pPr>
          </w:p>
        </w:tc>
        <w:tc>
          <w:tcPr>
            <w:tcW w:w="2437" w:type="dxa"/>
            <w:gridSpan w:val="2"/>
            <w:vMerge w:val="continue"/>
            <w:vAlign w:val="center"/>
          </w:tcPr>
          <w:p w14:paraId="3AEC1330">
            <w:pPr>
              <w:spacing w:before="156" w:beforeLines="50" w:after="156" w:afterLines="50"/>
              <w:jc w:val="left"/>
              <w:rPr>
                <w:rFonts w:ascii="宋体"/>
                <w:kern w:val="0"/>
                <w:sz w:val="18"/>
                <w:szCs w:val="18"/>
              </w:rPr>
            </w:pPr>
          </w:p>
        </w:tc>
        <w:tc>
          <w:tcPr>
            <w:tcW w:w="2289" w:type="dxa"/>
            <w:gridSpan w:val="2"/>
            <w:vMerge w:val="continue"/>
            <w:vAlign w:val="center"/>
          </w:tcPr>
          <w:p w14:paraId="02DAE147">
            <w:pPr>
              <w:widowControl/>
              <w:spacing w:before="156" w:beforeLines="50" w:after="156" w:afterLines="50"/>
              <w:jc w:val="left"/>
              <w:rPr>
                <w:rFonts w:ascii="宋体"/>
                <w:kern w:val="0"/>
                <w:sz w:val="18"/>
                <w:szCs w:val="18"/>
              </w:rPr>
            </w:pPr>
          </w:p>
        </w:tc>
        <w:tc>
          <w:tcPr>
            <w:tcW w:w="4318" w:type="dxa"/>
            <w:gridSpan w:val="3"/>
            <w:vMerge w:val="continue"/>
            <w:vAlign w:val="center"/>
          </w:tcPr>
          <w:p w14:paraId="23052F74">
            <w:pPr>
              <w:spacing w:before="156" w:beforeLines="50" w:after="156" w:afterLines="50"/>
              <w:jc w:val="left"/>
              <w:rPr>
                <w:rFonts w:ascii="宋体"/>
                <w:kern w:val="0"/>
                <w:sz w:val="18"/>
                <w:szCs w:val="18"/>
              </w:rPr>
            </w:pPr>
          </w:p>
        </w:tc>
        <w:tc>
          <w:tcPr>
            <w:tcW w:w="1735" w:type="dxa"/>
            <w:vAlign w:val="center"/>
          </w:tcPr>
          <w:p w14:paraId="2A04CA56">
            <w:pPr>
              <w:spacing w:before="156" w:beforeLines="50" w:after="156" w:afterLines="50"/>
              <w:jc w:val="center"/>
              <w:rPr>
                <w:rFonts w:ascii="宋体"/>
                <w:kern w:val="0"/>
                <w:sz w:val="18"/>
                <w:szCs w:val="18"/>
              </w:rPr>
            </w:pPr>
            <w:r>
              <w:rPr>
                <w:rFonts w:hint="eastAsia" w:ascii="宋体"/>
                <w:kern w:val="0"/>
                <w:sz w:val="18"/>
                <w:szCs w:val="18"/>
              </w:rPr>
              <w:t>一般</w:t>
            </w:r>
          </w:p>
        </w:tc>
        <w:tc>
          <w:tcPr>
            <w:tcW w:w="9799" w:type="dxa"/>
            <w:gridSpan w:val="5"/>
            <w:vAlign w:val="center"/>
          </w:tcPr>
          <w:p w14:paraId="1104F3C2">
            <w:pPr>
              <w:widowControl/>
              <w:spacing w:before="156" w:beforeLines="50" w:after="156" w:afterLines="50"/>
              <w:jc w:val="left"/>
              <w:rPr>
                <w:rFonts w:ascii="宋体"/>
                <w:kern w:val="0"/>
                <w:sz w:val="18"/>
                <w:szCs w:val="18"/>
              </w:rPr>
            </w:pPr>
            <w:r>
              <w:rPr>
                <w:rFonts w:hint="eastAsia" w:ascii="宋体"/>
                <w:kern w:val="0"/>
                <w:sz w:val="18"/>
                <w:szCs w:val="18"/>
              </w:rPr>
              <w:t>1.可以根据下表公式处理：处罚金额（万元）</w:t>
            </w:r>
            <w:r>
              <w:rPr>
                <w:rFonts w:ascii="宋体"/>
                <w:kern w:val="0"/>
                <w:sz w:val="18"/>
                <w:szCs w:val="18"/>
              </w:rPr>
              <w:t>=2</w:t>
            </w:r>
            <w:r>
              <w:rPr>
                <w:rFonts w:hint="eastAsia" w:ascii="宋体"/>
                <w:kern w:val="0"/>
                <w:sz w:val="18"/>
                <w:szCs w:val="18"/>
              </w:rPr>
              <w:t>×</w:t>
            </w:r>
            <w:r>
              <w:rPr>
                <w:rFonts w:ascii="宋体"/>
                <w:kern w:val="0"/>
                <w:sz w:val="18"/>
                <w:szCs w:val="18"/>
              </w:rPr>
              <w:t>K</w:t>
            </w:r>
            <w:r>
              <w:rPr>
                <w:rFonts w:ascii="宋体"/>
                <w:kern w:val="0"/>
                <w:sz w:val="18"/>
                <w:szCs w:val="18"/>
                <w:vertAlign w:val="superscript"/>
              </w:rPr>
              <w:t>N</w:t>
            </w:r>
          </w:p>
          <w:p w14:paraId="5B75497B">
            <w:pPr>
              <w:widowControl/>
              <w:spacing w:before="156" w:beforeLines="50" w:after="156" w:afterLines="50"/>
              <w:jc w:val="left"/>
              <w:rPr>
                <w:rFonts w:ascii="宋体"/>
                <w:kern w:val="0"/>
                <w:sz w:val="18"/>
                <w:szCs w:val="18"/>
              </w:rPr>
            </w:pPr>
            <w:r>
              <w:rPr>
                <w:rFonts w:ascii="宋体"/>
                <w:kern w:val="0"/>
                <w:sz w:val="18"/>
                <w:szCs w:val="18"/>
              </w:rPr>
              <w:t>K</w:t>
            </w:r>
            <w:r>
              <w:rPr>
                <w:rFonts w:hint="eastAsia" w:ascii="宋体"/>
                <w:kern w:val="0"/>
                <w:sz w:val="18"/>
                <w:szCs w:val="18"/>
              </w:rPr>
              <w:t>（系数）</w:t>
            </w:r>
            <w:r>
              <w:rPr>
                <w:rFonts w:ascii="宋体"/>
                <w:kern w:val="0"/>
                <w:sz w:val="18"/>
                <w:szCs w:val="18"/>
              </w:rPr>
              <w:t>=1.09</w:t>
            </w:r>
          </w:p>
          <w:p w14:paraId="7CE87BAC">
            <w:pPr>
              <w:spacing w:before="156" w:beforeLines="50" w:after="156" w:afterLines="50"/>
              <w:jc w:val="left"/>
              <w:rPr>
                <w:rFonts w:ascii="宋体"/>
                <w:kern w:val="0"/>
                <w:sz w:val="18"/>
                <w:szCs w:val="18"/>
                <w:vertAlign w:val="subscript"/>
              </w:rPr>
            </w:pPr>
            <w:r>
              <w:rPr>
                <w:rFonts w:ascii="宋体"/>
                <w:kern w:val="0"/>
                <w:sz w:val="18"/>
                <w:szCs w:val="18"/>
              </w:rPr>
              <w:t>N</w:t>
            </w:r>
            <w:r>
              <w:rPr>
                <w:rFonts w:hint="eastAsia" w:ascii="宋体"/>
                <w:kern w:val="0"/>
                <w:sz w:val="18"/>
                <w:szCs w:val="18"/>
              </w:rPr>
              <w:t>（指数值）＝N</w:t>
            </w:r>
            <w:r>
              <w:rPr>
                <w:rFonts w:hint="eastAsia" w:ascii="宋体"/>
                <w:kern w:val="0"/>
                <w:sz w:val="18"/>
                <w:szCs w:val="18"/>
                <w:vertAlign w:val="subscript"/>
              </w:rPr>
              <w:t>1</w:t>
            </w:r>
            <w:r>
              <w:rPr>
                <w:rFonts w:hint="eastAsia" w:ascii="宋体"/>
                <w:kern w:val="0"/>
                <w:sz w:val="18"/>
                <w:szCs w:val="18"/>
              </w:rPr>
              <w:t>+N</w:t>
            </w:r>
            <w:r>
              <w:rPr>
                <w:rFonts w:hint="eastAsia" w:ascii="宋体"/>
                <w:kern w:val="0"/>
                <w:sz w:val="18"/>
                <w:szCs w:val="18"/>
                <w:vertAlign w:val="subscript"/>
              </w:rPr>
              <w:t>2</w:t>
            </w:r>
            <w:r>
              <w:rPr>
                <w:rFonts w:hint="eastAsia" w:ascii="宋体"/>
                <w:kern w:val="0"/>
                <w:sz w:val="18"/>
                <w:szCs w:val="18"/>
              </w:rPr>
              <w:t>+N</w:t>
            </w:r>
            <w:r>
              <w:rPr>
                <w:rFonts w:hint="eastAsia" w:ascii="宋体"/>
                <w:kern w:val="0"/>
                <w:sz w:val="18"/>
                <w:szCs w:val="18"/>
                <w:vertAlign w:val="subscript"/>
              </w:rPr>
              <w:t>3</w:t>
            </w:r>
            <w:r>
              <w:rPr>
                <w:rFonts w:hint="eastAsia" w:ascii="宋体"/>
                <w:kern w:val="0"/>
                <w:sz w:val="18"/>
                <w:szCs w:val="18"/>
              </w:rPr>
              <w:t>+N</w:t>
            </w:r>
            <w:r>
              <w:rPr>
                <w:rFonts w:hint="eastAsia" w:ascii="宋体"/>
                <w:kern w:val="0"/>
                <w:sz w:val="18"/>
                <w:szCs w:val="18"/>
                <w:vertAlign w:val="subscript"/>
              </w:rPr>
              <w:t>4</w:t>
            </w:r>
            <w:r>
              <w:rPr>
                <w:rFonts w:hint="eastAsia" w:ascii="宋体"/>
                <w:kern w:val="0"/>
                <w:sz w:val="18"/>
                <w:szCs w:val="18"/>
              </w:rPr>
              <w:t>+N</w:t>
            </w:r>
            <w:r>
              <w:rPr>
                <w:rFonts w:hint="eastAsia" w:ascii="宋体"/>
                <w:kern w:val="0"/>
                <w:sz w:val="18"/>
                <w:szCs w:val="18"/>
                <w:vertAlign w:val="subscript"/>
              </w:rPr>
              <w:t>5</w:t>
            </w:r>
            <w:r>
              <w:rPr>
                <w:rFonts w:hint="eastAsia" w:ascii="宋体"/>
                <w:kern w:val="0"/>
                <w:sz w:val="18"/>
                <w:szCs w:val="18"/>
              </w:rPr>
              <w:t>+N</w:t>
            </w:r>
            <w:r>
              <w:rPr>
                <w:rFonts w:hint="eastAsia" w:ascii="宋体"/>
                <w:kern w:val="0"/>
                <w:sz w:val="18"/>
                <w:szCs w:val="18"/>
                <w:vertAlign w:val="subscript"/>
              </w:rPr>
              <w:t>6</w:t>
            </w:r>
            <w:r>
              <w:rPr>
                <w:rFonts w:hint="eastAsia" w:ascii="宋体"/>
                <w:kern w:val="0"/>
                <w:sz w:val="18"/>
                <w:szCs w:val="18"/>
              </w:rPr>
              <w:t>+N</w:t>
            </w:r>
            <w:r>
              <w:rPr>
                <w:rFonts w:hint="eastAsia" w:ascii="宋体"/>
                <w:kern w:val="0"/>
                <w:sz w:val="18"/>
                <w:szCs w:val="18"/>
                <w:vertAlign w:val="subscript"/>
              </w:rPr>
              <w:t>7</w:t>
            </w:r>
          </w:p>
          <w:p w14:paraId="51475090">
            <w:pPr>
              <w:spacing w:before="156" w:beforeLines="50" w:after="156" w:afterLines="50"/>
              <w:jc w:val="left"/>
              <w:rPr>
                <w:rFonts w:ascii="宋体"/>
                <w:kern w:val="0"/>
                <w:sz w:val="18"/>
                <w:szCs w:val="18"/>
              </w:rPr>
            </w:pPr>
            <w:r>
              <w:rPr>
                <w:rFonts w:hint="eastAsia" w:ascii="宋体"/>
                <w:kern w:val="0"/>
                <w:sz w:val="18"/>
                <w:szCs w:val="18"/>
              </w:rPr>
              <w:t>2.属于船员的，并给予暂扣适任证书或者其他适任证件</w:t>
            </w:r>
            <w:r>
              <w:rPr>
                <w:rFonts w:ascii="宋体"/>
                <w:kern w:val="0"/>
                <w:sz w:val="18"/>
                <w:szCs w:val="18"/>
              </w:rPr>
              <w:t>6</w:t>
            </w:r>
            <w:r>
              <w:rPr>
                <w:rFonts w:hint="eastAsia" w:ascii="宋体"/>
                <w:kern w:val="0"/>
                <w:sz w:val="18"/>
                <w:szCs w:val="18"/>
              </w:rPr>
              <w:t>个月以上直至吊销适任证书或者其他适任证件的处罚。</w:t>
            </w:r>
          </w:p>
        </w:tc>
      </w:tr>
      <w:tr w14:paraId="2C3AD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5" w:hRule="atLeast"/>
          <w:jc w:val="center"/>
        </w:trPr>
        <w:tc>
          <w:tcPr>
            <w:tcW w:w="21518" w:type="dxa"/>
            <w:gridSpan w:val="14"/>
            <w:vAlign w:val="center"/>
          </w:tcPr>
          <w:p w14:paraId="63E76CC5">
            <w:pPr>
              <w:spacing w:before="156" w:beforeLines="50" w:after="156" w:afterLines="50"/>
              <w:jc w:val="left"/>
              <w:rPr>
                <w:rFonts w:ascii="宋体"/>
                <w:b/>
                <w:kern w:val="0"/>
                <w:sz w:val="18"/>
                <w:szCs w:val="18"/>
              </w:rPr>
            </w:pPr>
            <w:r>
              <w:rPr>
                <w:rFonts w:hint="eastAsia" w:ascii="宋体"/>
                <w:b/>
                <w:kern w:val="0"/>
                <w:sz w:val="18"/>
                <w:szCs w:val="18"/>
              </w:rPr>
              <w:t>以下方式计算所得处罚金额如非整数，应取整，整数取到千位。（例如计算所得处罚金额为</w:t>
            </w:r>
            <w:r>
              <w:rPr>
                <w:rFonts w:ascii="宋体"/>
                <w:b/>
                <w:kern w:val="0"/>
                <w:sz w:val="18"/>
                <w:szCs w:val="18"/>
              </w:rPr>
              <w:t>2</w:t>
            </w:r>
            <w:r>
              <w:rPr>
                <w:rFonts w:hint="eastAsia" w:ascii="宋体"/>
                <w:b/>
                <w:kern w:val="0"/>
                <w:sz w:val="18"/>
                <w:szCs w:val="18"/>
              </w:rPr>
              <w:t>44</w:t>
            </w:r>
            <w:r>
              <w:rPr>
                <w:rFonts w:ascii="宋体"/>
                <w:b/>
                <w:kern w:val="0"/>
                <w:sz w:val="18"/>
                <w:szCs w:val="18"/>
              </w:rPr>
              <w:t>00</w:t>
            </w:r>
            <w:r>
              <w:rPr>
                <w:rFonts w:hint="eastAsia" w:ascii="宋体"/>
                <w:b/>
                <w:kern w:val="0"/>
                <w:sz w:val="18"/>
                <w:szCs w:val="18"/>
              </w:rPr>
              <w:t>元，则最终处罚金额为</w:t>
            </w:r>
            <w:r>
              <w:rPr>
                <w:rFonts w:ascii="宋体"/>
                <w:b/>
                <w:kern w:val="0"/>
                <w:sz w:val="18"/>
                <w:szCs w:val="18"/>
              </w:rPr>
              <w:t>2</w:t>
            </w:r>
            <w:r>
              <w:rPr>
                <w:rFonts w:hint="eastAsia" w:ascii="宋体"/>
                <w:b/>
                <w:kern w:val="0"/>
                <w:sz w:val="18"/>
                <w:szCs w:val="18"/>
              </w:rPr>
              <w:t>5</w:t>
            </w:r>
            <w:r>
              <w:rPr>
                <w:rFonts w:ascii="宋体"/>
                <w:b/>
                <w:kern w:val="0"/>
                <w:sz w:val="18"/>
                <w:szCs w:val="18"/>
              </w:rPr>
              <w:t>000</w:t>
            </w:r>
            <w:r>
              <w:rPr>
                <w:rFonts w:hint="eastAsia" w:ascii="宋体"/>
                <w:b/>
                <w:kern w:val="0"/>
                <w:sz w:val="18"/>
                <w:szCs w:val="18"/>
              </w:rPr>
              <w:t>元）；处罚金额最高不得超过</w:t>
            </w:r>
            <w:r>
              <w:rPr>
                <w:rFonts w:ascii="宋体"/>
                <w:b/>
                <w:kern w:val="0"/>
                <w:sz w:val="18"/>
                <w:szCs w:val="18"/>
              </w:rPr>
              <w:t>10</w:t>
            </w:r>
            <w:r>
              <w:rPr>
                <w:rFonts w:hint="eastAsia" w:ascii="宋体"/>
                <w:b/>
                <w:kern w:val="0"/>
                <w:sz w:val="18"/>
                <w:szCs w:val="18"/>
              </w:rPr>
              <w:t>万元。</w:t>
            </w:r>
          </w:p>
        </w:tc>
      </w:tr>
      <w:tr w14:paraId="58FBD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389" w:type="dxa"/>
            <w:gridSpan w:val="2"/>
            <w:vAlign w:val="center"/>
          </w:tcPr>
          <w:p w14:paraId="7A010D26">
            <w:pPr>
              <w:widowControl/>
              <w:spacing w:before="156" w:beforeLines="50" w:after="156" w:afterLines="50"/>
              <w:jc w:val="left"/>
              <w:rPr>
                <w:rFonts w:ascii="宋体"/>
                <w:kern w:val="0"/>
                <w:sz w:val="18"/>
                <w:szCs w:val="18"/>
              </w:rPr>
            </w:pPr>
            <w:r>
              <w:rPr>
                <w:rFonts w:hint="eastAsia" w:ascii="宋体"/>
                <w:kern w:val="0"/>
                <w:sz w:val="18"/>
                <w:szCs w:val="18"/>
              </w:rPr>
              <w:t>指标名称</w:t>
            </w:r>
          </w:p>
        </w:tc>
        <w:tc>
          <w:tcPr>
            <w:tcW w:w="2423" w:type="dxa"/>
            <w:gridSpan w:val="2"/>
            <w:vAlign w:val="center"/>
          </w:tcPr>
          <w:p w14:paraId="5ACEC51D">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1</w:t>
            </w:r>
          </w:p>
        </w:tc>
        <w:tc>
          <w:tcPr>
            <w:tcW w:w="3828" w:type="dxa"/>
            <w:gridSpan w:val="2"/>
            <w:vAlign w:val="center"/>
          </w:tcPr>
          <w:p w14:paraId="7CB43760">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2</w:t>
            </w:r>
          </w:p>
        </w:tc>
        <w:tc>
          <w:tcPr>
            <w:tcW w:w="2118" w:type="dxa"/>
            <w:vAlign w:val="center"/>
          </w:tcPr>
          <w:p w14:paraId="081A634E">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3</w:t>
            </w:r>
          </w:p>
        </w:tc>
        <w:tc>
          <w:tcPr>
            <w:tcW w:w="3962" w:type="dxa"/>
            <w:gridSpan w:val="3"/>
            <w:vAlign w:val="center"/>
          </w:tcPr>
          <w:p w14:paraId="1855E501">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4</w:t>
            </w:r>
          </w:p>
        </w:tc>
        <w:tc>
          <w:tcPr>
            <w:tcW w:w="4173" w:type="dxa"/>
            <w:gridSpan w:val="2"/>
            <w:vAlign w:val="center"/>
          </w:tcPr>
          <w:p w14:paraId="0B28D100">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5</w:t>
            </w:r>
          </w:p>
        </w:tc>
        <w:tc>
          <w:tcPr>
            <w:tcW w:w="1802" w:type="dxa"/>
            <w:vAlign w:val="center"/>
          </w:tcPr>
          <w:p w14:paraId="0BB20691">
            <w:pPr>
              <w:widowControl/>
              <w:spacing w:before="156" w:beforeLines="50" w:after="156" w:afterLines="50"/>
              <w:jc w:val="left"/>
              <w:rPr>
                <w:rFonts w:ascii="宋体"/>
                <w:kern w:val="0"/>
                <w:sz w:val="18"/>
                <w:szCs w:val="18"/>
              </w:rPr>
            </w:pPr>
            <w:r>
              <w:rPr>
                <w:rFonts w:ascii="宋体"/>
                <w:kern w:val="0"/>
                <w:sz w:val="18"/>
                <w:szCs w:val="18"/>
              </w:rPr>
              <w:t>N</w:t>
            </w:r>
            <w:r>
              <w:rPr>
                <w:rFonts w:ascii="宋体"/>
                <w:kern w:val="0"/>
                <w:sz w:val="18"/>
                <w:szCs w:val="18"/>
                <w:vertAlign w:val="subscript"/>
              </w:rPr>
              <w:t>6</w:t>
            </w:r>
          </w:p>
        </w:tc>
        <w:tc>
          <w:tcPr>
            <w:tcW w:w="1823" w:type="dxa"/>
            <w:vAlign w:val="center"/>
          </w:tcPr>
          <w:p w14:paraId="24716550">
            <w:pPr>
              <w:widowControl/>
              <w:spacing w:before="156" w:beforeLines="50" w:after="156" w:afterLines="50"/>
              <w:jc w:val="left"/>
              <w:rPr>
                <w:rFonts w:ascii="宋体"/>
                <w:kern w:val="0"/>
                <w:sz w:val="18"/>
                <w:szCs w:val="18"/>
              </w:rPr>
            </w:pPr>
            <w:r>
              <w:rPr>
                <w:rFonts w:hint="eastAsia" w:ascii="宋体"/>
                <w:kern w:val="0"/>
                <w:sz w:val="18"/>
                <w:szCs w:val="18"/>
              </w:rPr>
              <w:t>N</w:t>
            </w:r>
            <w:r>
              <w:rPr>
                <w:rFonts w:hint="eastAsia" w:ascii="宋体"/>
                <w:kern w:val="0"/>
                <w:sz w:val="18"/>
                <w:szCs w:val="18"/>
                <w:vertAlign w:val="subscript"/>
              </w:rPr>
              <w:t>7</w:t>
            </w:r>
          </w:p>
        </w:tc>
      </w:tr>
      <w:tr w14:paraId="4B82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389" w:type="dxa"/>
            <w:gridSpan w:val="2"/>
            <w:vAlign w:val="center"/>
          </w:tcPr>
          <w:p w14:paraId="6F627724">
            <w:pPr>
              <w:widowControl/>
              <w:spacing w:before="156" w:beforeLines="50" w:after="156" w:afterLines="50"/>
              <w:jc w:val="left"/>
              <w:rPr>
                <w:rFonts w:ascii="宋体"/>
                <w:kern w:val="0"/>
                <w:sz w:val="18"/>
                <w:szCs w:val="18"/>
              </w:rPr>
            </w:pPr>
            <w:r>
              <w:rPr>
                <w:rFonts w:hint="eastAsia" w:ascii="宋体"/>
                <w:kern w:val="0"/>
                <w:sz w:val="18"/>
                <w:szCs w:val="18"/>
              </w:rPr>
              <w:t>指标含义</w:t>
            </w:r>
          </w:p>
        </w:tc>
        <w:tc>
          <w:tcPr>
            <w:tcW w:w="2423" w:type="dxa"/>
            <w:gridSpan w:val="2"/>
            <w:vAlign w:val="center"/>
          </w:tcPr>
          <w:p w14:paraId="07AC125A">
            <w:pPr>
              <w:widowControl/>
              <w:spacing w:before="156" w:beforeLines="50" w:after="156" w:afterLines="50"/>
              <w:jc w:val="left"/>
              <w:rPr>
                <w:rFonts w:ascii="宋体"/>
                <w:kern w:val="0"/>
                <w:sz w:val="18"/>
                <w:szCs w:val="18"/>
              </w:rPr>
            </w:pPr>
            <w:r>
              <w:rPr>
                <w:rFonts w:hint="eastAsia" w:ascii="宋体"/>
                <w:kern w:val="0"/>
                <w:sz w:val="18"/>
                <w:szCs w:val="18"/>
              </w:rPr>
              <w:t>违法行为是否存在故意情节</w:t>
            </w:r>
          </w:p>
        </w:tc>
        <w:tc>
          <w:tcPr>
            <w:tcW w:w="3828" w:type="dxa"/>
            <w:gridSpan w:val="2"/>
            <w:vAlign w:val="center"/>
          </w:tcPr>
          <w:p w14:paraId="1AB39921">
            <w:pPr>
              <w:widowControl/>
              <w:spacing w:before="156" w:beforeLines="50" w:after="156" w:afterLines="50"/>
              <w:jc w:val="left"/>
              <w:rPr>
                <w:rFonts w:ascii="宋体"/>
                <w:kern w:val="0"/>
                <w:sz w:val="18"/>
                <w:szCs w:val="18"/>
              </w:rPr>
            </w:pPr>
            <w:r>
              <w:rPr>
                <w:rFonts w:hint="eastAsia" w:ascii="宋体"/>
                <w:kern w:val="0"/>
                <w:sz w:val="18"/>
                <w:szCs w:val="18"/>
              </w:rPr>
              <w:t>未申报品种是否属于高危险性货物（爆炸品、放射性物质、感染性物质）、剧毒品、5类危险品或者4类应温控物质</w:t>
            </w:r>
          </w:p>
        </w:tc>
        <w:tc>
          <w:tcPr>
            <w:tcW w:w="2118" w:type="dxa"/>
            <w:vAlign w:val="center"/>
          </w:tcPr>
          <w:p w14:paraId="6CFEAB16">
            <w:pPr>
              <w:widowControl/>
              <w:spacing w:before="156" w:beforeLines="50" w:after="156" w:afterLines="50"/>
              <w:jc w:val="left"/>
              <w:rPr>
                <w:rFonts w:ascii="宋体"/>
                <w:kern w:val="0"/>
                <w:sz w:val="18"/>
                <w:szCs w:val="18"/>
              </w:rPr>
            </w:pPr>
            <w:r>
              <w:rPr>
                <w:rFonts w:hint="eastAsia" w:ascii="宋体"/>
                <w:kern w:val="0"/>
                <w:sz w:val="18"/>
                <w:szCs w:val="18"/>
              </w:rPr>
              <w:t>未申报涉及品种数量</w:t>
            </w:r>
          </w:p>
        </w:tc>
        <w:tc>
          <w:tcPr>
            <w:tcW w:w="3962" w:type="dxa"/>
            <w:gridSpan w:val="3"/>
            <w:vAlign w:val="center"/>
          </w:tcPr>
          <w:p w14:paraId="716FF33E">
            <w:pPr>
              <w:widowControl/>
              <w:spacing w:before="156" w:beforeLines="50" w:after="156" w:afterLines="50"/>
              <w:jc w:val="left"/>
              <w:rPr>
                <w:rFonts w:ascii="宋体"/>
                <w:kern w:val="0"/>
                <w:sz w:val="18"/>
                <w:szCs w:val="18"/>
              </w:rPr>
            </w:pPr>
            <w:r>
              <w:rPr>
                <w:rFonts w:hint="eastAsia" w:ascii="宋体"/>
                <w:kern w:val="0"/>
                <w:sz w:val="18"/>
                <w:szCs w:val="18"/>
              </w:rPr>
              <w:t>未申报涉及箱数</w:t>
            </w:r>
          </w:p>
        </w:tc>
        <w:tc>
          <w:tcPr>
            <w:tcW w:w="4173" w:type="dxa"/>
            <w:gridSpan w:val="2"/>
            <w:vAlign w:val="center"/>
          </w:tcPr>
          <w:p w14:paraId="7002EA3E">
            <w:pPr>
              <w:widowControl/>
              <w:spacing w:before="156" w:beforeLines="50" w:after="156" w:afterLines="50"/>
              <w:jc w:val="left"/>
              <w:rPr>
                <w:rFonts w:ascii="宋体"/>
                <w:kern w:val="0"/>
                <w:sz w:val="18"/>
                <w:szCs w:val="18"/>
              </w:rPr>
            </w:pPr>
            <w:r>
              <w:rPr>
                <w:rFonts w:hint="eastAsia" w:ascii="宋体"/>
                <w:kern w:val="0"/>
                <w:sz w:val="18"/>
                <w:szCs w:val="18"/>
              </w:rPr>
              <w:t>同一</w:t>
            </w:r>
            <w:r>
              <w:rPr>
                <w:rFonts w:ascii="宋体"/>
                <w:kern w:val="0"/>
                <w:sz w:val="18"/>
                <w:szCs w:val="18"/>
              </w:rPr>
              <w:t>承运人、货物所有人或者代理人</w:t>
            </w:r>
            <w:r>
              <w:rPr>
                <w:rFonts w:hint="eastAsia" w:ascii="宋体"/>
                <w:kern w:val="0"/>
                <w:sz w:val="18"/>
                <w:szCs w:val="18"/>
              </w:rPr>
              <w:t>连续发生违章次数</w:t>
            </w:r>
          </w:p>
        </w:tc>
        <w:tc>
          <w:tcPr>
            <w:tcW w:w="1802" w:type="dxa"/>
            <w:vAlign w:val="center"/>
          </w:tcPr>
          <w:p w14:paraId="0097F578">
            <w:pPr>
              <w:widowControl/>
              <w:spacing w:before="156" w:beforeLines="50" w:after="156" w:afterLines="50"/>
              <w:jc w:val="left"/>
              <w:rPr>
                <w:rFonts w:ascii="宋体"/>
                <w:kern w:val="0"/>
                <w:sz w:val="18"/>
                <w:szCs w:val="18"/>
              </w:rPr>
            </w:pPr>
            <w:r>
              <w:rPr>
                <w:rFonts w:hint="eastAsia" w:ascii="宋体"/>
                <w:kern w:val="0"/>
                <w:sz w:val="18"/>
                <w:szCs w:val="18"/>
              </w:rPr>
              <w:t>调查时是否配合</w:t>
            </w:r>
          </w:p>
        </w:tc>
        <w:tc>
          <w:tcPr>
            <w:tcW w:w="1823" w:type="dxa"/>
            <w:vAlign w:val="center"/>
          </w:tcPr>
          <w:p w14:paraId="05DF73ED">
            <w:pPr>
              <w:widowControl/>
              <w:spacing w:before="156" w:beforeLines="50" w:after="156" w:afterLines="50"/>
              <w:jc w:val="left"/>
              <w:rPr>
                <w:rFonts w:ascii="宋体"/>
                <w:kern w:val="0"/>
                <w:sz w:val="18"/>
                <w:szCs w:val="18"/>
              </w:rPr>
            </w:pPr>
            <w:r>
              <w:rPr>
                <w:rFonts w:hint="eastAsia" w:ascii="宋体"/>
                <w:kern w:val="0"/>
                <w:sz w:val="18"/>
                <w:szCs w:val="18"/>
              </w:rPr>
              <w:t>是否引起船舶火灾、爆炸、人身伤亡、污染等事故。</w:t>
            </w:r>
          </w:p>
        </w:tc>
      </w:tr>
      <w:tr w14:paraId="58BD7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1389" w:type="dxa"/>
            <w:gridSpan w:val="2"/>
            <w:vAlign w:val="center"/>
          </w:tcPr>
          <w:p w14:paraId="16B976C3">
            <w:pPr>
              <w:widowControl/>
              <w:spacing w:before="156" w:beforeLines="50" w:after="156" w:afterLines="50"/>
              <w:jc w:val="left"/>
              <w:rPr>
                <w:rFonts w:ascii="宋体"/>
                <w:kern w:val="0"/>
                <w:sz w:val="18"/>
                <w:szCs w:val="18"/>
              </w:rPr>
            </w:pPr>
            <w:r>
              <w:rPr>
                <w:rFonts w:hint="eastAsia" w:ascii="宋体"/>
                <w:kern w:val="0"/>
                <w:sz w:val="18"/>
                <w:szCs w:val="18"/>
              </w:rPr>
              <w:t>指数值</w:t>
            </w:r>
          </w:p>
        </w:tc>
        <w:tc>
          <w:tcPr>
            <w:tcW w:w="2423" w:type="dxa"/>
            <w:gridSpan w:val="2"/>
            <w:vAlign w:val="center"/>
          </w:tcPr>
          <w:p w14:paraId="5313C1B3">
            <w:pPr>
              <w:widowControl/>
              <w:spacing w:before="156" w:beforeLines="50" w:after="156" w:afterLines="50"/>
              <w:jc w:val="left"/>
              <w:rPr>
                <w:rFonts w:ascii="宋体"/>
                <w:kern w:val="0"/>
                <w:sz w:val="18"/>
                <w:szCs w:val="18"/>
              </w:rPr>
            </w:pPr>
            <w:r>
              <w:rPr>
                <w:rFonts w:hint="eastAsia" w:ascii="宋体"/>
                <w:kern w:val="0"/>
                <w:sz w:val="18"/>
                <w:szCs w:val="18"/>
              </w:rPr>
              <w:t>不存在故意情节指数为0；存在故意情节指数为1；情节特别恶劣的指数为4。</w:t>
            </w:r>
          </w:p>
        </w:tc>
        <w:tc>
          <w:tcPr>
            <w:tcW w:w="3828" w:type="dxa"/>
            <w:gridSpan w:val="2"/>
            <w:vAlign w:val="center"/>
          </w:tcPr>
          <w:p w14:paraId="4E51A101">
            <w:pPr>
              <w:widowControl/>
              <w:spacing w:before="156" w:beforeLines="50" w:after="156" w:afterLines="50"/>
              <w:jc w:val="left"/>
              <w:rPr>
                <w:rFonts w:ascii="宋体"/>
                <w:kern w:val="0"/>
                <w:sz w:val="18"/>
                <w:szCs w:val="18"/>
              </w:rPr>
            </w:pPr>
            <w:r>
              <w:rPr>
                <w:rFonts w:hint="eastAsia" w:ascii="宋体"/>
                <w:kern w:val="0"/>
                <w:sz w:val="18"/>
                <w:szCs w:val="18"/>
              </w:rPr>
              <w:t>危险货物不属于上述任何一种指数为0；涉及上述危险货物中任何一种指数为4。</w:t>
            </w:r>
          </w:p>
        </w:tc>
        <w:tc>
          <w:tcPr>
            <w:tcW w:w="2118" w:type="dxa"/>
            <w:vAlign w:val="center"/>
          </w:tcPr>
          <w:p w14:paraId="482DA6D4">
            <w:pPr>
              <w:widowControl/>
              <w:spacing w:before="156" w:beforeLines="50" w:after="156" w:afterLines="50"/>
              <w:jc w:val="left"/>
              <w:rPr>
                <w:rFonts w:ascii="宋体"/>
                <w:kern w:val="0"/>
                <w:sz w:val="18"/>
                <w:szCs w:val="18"/>
              </w:rPr>
            </w:pPr>
            <w:r>
              <w:rPr>
                <w:rFonts w:hint="eastAsia" w:ascii="宋体"/>
                <w:kern w:val="0"/>
                <w:sz w:val="18"/>
                <w:szCs w:val="18"/>
              </w:rPr>
              <w:t>仅涉及一个品种指数为0；每增加一个品种指数加1。</w:t>
            </w:r>
          </w:p>
        </w:tc>
        <w:tc>
          <w:tcPr>
            <w:tcW w:w="3962" w:type="dxa"/>
            <w:gridSpan w:val="3"/>
            <w:vAlign w:val="center"/>
          </w:tcPr>
          <w:p w14:paraId="6F5CC7EE">
            <w:pPr>
              <w:widowControl/>
              <w:spacing w:before="156" w:beforeLines="50" w:after="156" w:afterLines="50"/>
              <w:jc w:val="left"/>
              <w:rPr>
                <w:rFonts w:ascii="宋体"/>
                <w:kern w:val="0"/>
                <w:sz w:val="18"/>
                <w:szCs w:val="18"/>
              </w:rPr>
            </w:pPr>
            <w:r>
              <w:rPr>
                <w:rFonts w:hint="eastAsia" w:ascii="宋体"/>
                <w:kern w:val="0"/>
                <w:sz w:val="18"/>
                <w:szCs w:val="18"/>
              </w:rPr>
              <w:t>涉及集装箱箱数≤2TEU，指数为0；每增加不超过2个TEU为一加分档，指数加1。例如涉案箱数1～2TEU，指数为0；3～4TEU，指数为1；5～6TEU，指数为2（以此类推）。</w:t>
            </w:r>
          </w:p>
        </w:tc>
        <w:tc>
          <w:tcPr>
            <w:tcW w:w="4173" w:type="dxa"/>
            <w:gridSpan w:val="2"/>
            <w:vAlign w:val="center"/>
          </w:tcPr>
          <w:p w14:paraId="6D6A3321">
            <w:pPr>
              <w:widowControl/>
              <w:spacing w:before="156" w:beforeLines="50" w:after="156" w:afterLines="50"/>
              <w:jc w:val="left"/>
              <w:rPr>
                <w:rFonts w:ascii="宋体"/>
                <w:kern w:val="0"/>
                <w:sz w:val="18"/>
                <w:szCs w:val="18"/>
              </w:rPr>
            </w:pPr>
            <w:r>
              <w:rPr>
                <w:rFonts w:hint="eastAsia" w:ascii="宋体"/>
                <w:kern w:val="0"/>
                <w:sz w:val="18"/>
                <w:szCs w:val="18"/>
              </w:rPr>
              <w:t>首次违章指数为0；非同一年连续发生（不同品种）指数为1；非同一年内连续发生（同一品种）为2；同一年内连续发生（不同品种）指数为3；同一年内连续发生（同一品种）指数为4。</w:t>
            </w:r>
          </w:p>
        </w:tc>
        <w:tc>
          <w:tcPr>
            <w:tcW w:w="1802" w:type="dxa"/>
            <w:vAlign w:val="center"/>
          </w:tcPr>
          <w:p w14:paraId="7C4D5DA9">
            <w:pPr>
              <w:widowControl/>
              <w:spacing w:before="156" w:beforeLines="50" w:after="156" w:afterLines="50"/>
              <w:jc w:val="left"/>
              <w:rPr>
                <w:rFonts w:ascii="宋体"/>
                <w:kern w:val="0"/>
                <w:sz w:val="18"/>
                <w:szCs w:val="18"/>
              </w:rPr>
            </w:pPr>
            <w:r>
              <w:rPr>
                <w:rFonts w:hint="eastAsia" w:ascii="宋体"/>
                <w:kern w:val="0"/>
                <w:sz w:val="18"/>
                <w:szCs w:val="18"/>
              </w:rPr>
              <w:t>配合指数为0；不配合指数为2；情节特别恶劣的指数为4。</w:t>
            </w:r>
          </w:p>
        </w:tc>
        <w:tc>
          <w:tcPr>
            <w:tcW w:w="1823" w:type="dxa"/>
            <w:vAlign w:val="center"/>
          </w:tcPr>
          <w:p w14:paraId="3336E605">
            <w:pPr>
              <w:widowControl/>
              <w:spacing w:before="156" w:beforeLines="50" w:after="156" w:afterLines="50"/>
              <w:jc w:val="left"/>
              <w:rPr>
                <w:rFonts w:ascii="宋体"/>
                <w:kern w:val="0"/>
                <w:sz w:val="18"/>
                <w:szCs w:val="18"/>
              </w:rPr>
            </w:pPr>
            <w:r>
              <w:rPr>
                <w:rFonts w:hint="eastAsia" w:ascii="宋体"/>
                <w:kern w:val="0"/>
                <w:sz w:val="18"/>
                <w:szCs w:val="18"/>
              </w:rPr>
              <w:t>未发生事故指数为0；发生事故指数为4；严重事故指数为8。</w:t>
            </w:r>
          </w:p>
        </w:tc>
      </w:tr>
    </w:tbl>
    <w:p w14:paraId="1320E4F3">
      <w:pPr>
        <w:widowControl/>
        <w:jc w:val="left"/>
        <w:rPr>
          <w:rFonts w:ascii="宋体"/>
          <w:b/>
          <w:sz w:val="18"/>
          <w:szCs w:val="18"/>
        </w:rPr>
      </w:pPr>
      <w:r>
        <w:rPr>
          <w:rFonts w:ascii="宋体"/>
          <w:b/>
          <w:sz w:val="18"/>
          <w:szCs w:val="18"/>
        </w:rPr>
        <w:br w:type="page"/>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6"/>
        <w:gridCol w:w="1572"/>
        <w:gridCol w:w="2255"/>
        <w:gridCol w:w="2501"/>
        <w:gridCol w:w="907"/>
        <w:gridCol w:w="3993"/>
        <w:gridCol w:w="8568"/>
      </w:tblGrid>
      <w:tr w14:paraId="0ED06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866" w:type="dxa"/>
            <w:vMerge w:val="restart"/>
            <w:vAlign w:val="center"/>
          </w:tcPr>
          <w:p w14:paraId="40A5EAD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572" w:type="dxa"/>
            <w:vMerge w:val="restart"/>
            <w:vAlign w:val="center"/>
          </w:tcPr>
          <w:p w14:paraId="376551F3">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756" w:type="dxa"/>
            <w:gridSpan w:val="2"/>
            <w:vMerge w:val="restart"/>
            <w:vAlign w:val="center"/>
          </w:tcPr>
          <w:p w14:paraId="4993FF5D">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7" w:type="dxa"/>
            <w:vMerge w:val="restart"/>
            <w:vAlign w:val="center"/>
          </w:tcPr>
          <w:p w14:paraId="6D4532A5">
            <w:pPr>
              <w:spacing w:before="156" w:beforeLines="50" w:after="156" w:afterLines="50"/>
              <w:jc w:val="center"/>
              <w:rPr>
                <w:rFonts w:ascii="宋体"/>
                <w:b/>
                <w:kern w:val="0"/>
                <w:sz w:val="18"/>
                <w:szCs w:val="18"/>
              </w:rPr>
            </w:pPr>
            <w:r>
              <w:rPr>
                <w:rFonts w:hint="eastAsia" w:ascii="宋体"/>
                <w:b/>
                <w:kern w:val="0"/>
                <w:sz w:val="18"/>
                <w:szCs w:val="18"/>
              </w:rPr>
              <w:t>违法</w:t>
            </w:r>
          </w:p>
          <w:p w14:paraId="55E2E471">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3993" w:type="dxa"/>
            <w:vMerge w:val="restart"/>
            <w:vAlign w:val="center"/>
          </w:tcPr>
          <w:p w14:paraId="1024C269">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197EED6B">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8568" w:type="dxa"/>
            <w:vAlign w:val="center"/>
          </w:tcPr>
          <w:p w14:paraId="05981292">
            <w:pPr>
              <w:spacing w:before="156" w:beforeLines="50" w:after="156" w:afterLines="50"/>
              <w:rPr>
                <w:rFonts w:ascii="宋体"/>
                <w:b/>
                <w:kern w:val="0"/>
                <w:sz w:val="18"/>
                <w:szCs w:val="18"/>
              </w:rPr>
            </w:pPr>
            <w:r>
              <w:rPr>
                <w:rFonts w:hint="eastAsia" w:ascii="宋体"/>
                <w:b/>
                <w:kern w:val="0"/>
                <w:sz w:val="18"/>
                <w:szCs w:val="18"/>
              </w:rPr>
              <w:t>【法定幅度和种类】责令限期改正，处二千元以上二万元以下的罚款；逾期不改正的，责令船舶临时停航。</w:t>
            </w:r>
          </w:p>
        </w:tc>
      </w:tr>
      <w:tr w14:paraId="7B67F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14:paraId="0256CA12">
            <w:pPr>
              <w:spacing w:before="156" w:beforeLines="50" w:after="156" w:afterLines="50"/>
              <w:jc w:val="center"/>
              <w:rPr>
                <w:rFonts w:ascii="宋体"/>
                <w:b/>
                <w:kern w:val="0"/>
                <w:sz w:val="18"/>
                <w:szCs w:val="18"/>
              </w:rPr>
            </w:pPr>
          </w:p>
        </w:tc>
        <w:tc>
          <w:tcPr>
            <w:tcW w:w="1572" w:type="dxa"/>
            <w:vMerge w:val="continue"/>
            <w:vAlign w:val="center"/>
          </w:tcPr>
          <w:p w14:paraId="35ED4C00">
            <w:pPr>
              <w:spacing w:before="156" w:beforeLines="50" w:after="156" w:afterLines="50"/>
              <w:jc w:val="center"/>
              <w:rPr>
                <w:rFonts w:ascii="宋体"/>
                <w:b/>
                <w:kern w:val="0"/>
                <w:sz w:val="18"/>
                <w:szCs w:val="18"/>
              </w:rPr>
            </w:pPr>
          </w:p>
        </w:tc>
        <w:tc>
          <w:tcPr>
            <w:tcW w:w="4756" w:type="dxa"/>
            <w:gridSpan w:val="2"/>
            <w:vMerge w:val="continue"/>
            <w:vAlign w:val="center"/>
          </w:tcPr>
          <w:p w14:paraId="4F1DB27E">
            <w:pPr>
              <w:spacing w:before="156" w:beforeLines="50" w:after="156" w:afterLines="50"/>
              <w:jc w:val="center"/>
              <w:rPr>
                <w:rFonts w:ascii="宋体"/>
                <w:b/>
                <w:kern w:val="0"/>
                <w:sz w:val="18"/>
                <w:szCs w:val="18"/>
              </w:rPr>
            </w:pPr>
          </w:p>
        </w:tc>
        <w:tc>
          <w:tcPr>
            <w:tcW w:w="907" w:type="dxa"/>
            <w:vMerge w:val="continue"/>
            <w:vAlign w:val="center"/>
          </w:tcPr>
          <w:p w14:paraId="1F96B8B5">
            <w:pPr>
              <w:spacing w:before="156" w:beforeLines="50" w:after="156" w:afterLines="50"/>
              <w:jc w:val="left"/>
              <w:rPr>
                <w:rFonts w:ascii="宋体"/>
                <w:b/>
                <w:kern w:val="0"/>
                <w:sz w:val="18"/>
                <w:szCs w:val="18"/>
              </w:rPr>
            </w:pPr>
          </w:p>
        </w:tc>
        <w:tc>
          <w:tcPr>
            <w:tcW w:w="3993" w:type="dxa"/>
            <w:vMerge w:val="continue"/>
            <w:vAlign w:val="center"/>
          </w:tcPr>
          <w:p w14:paraId="546BD79B">
            <w:pPr>
              <w:spacing w:before="156" w:beforeLines="50" w:after="156" w:afterLines="50"/>
              <w:jc w:val="left"/>
              <w:rPr>
                <w:rFonts w:ascii="宋体"/>
                <w:b/>
                <w:kern w:val="0"/>
                <w:sz w:val="18"/>
                <w:szCs w:val="18"/>
              </w:rPr>
            </w:pPr>
          </w:p>
        </w:tc>
        <w:tc>
          <w:tcPr>
            <w:tcW w:w="8568" w:type="dxa"/>
            <w:vAlign w:val="center"/>
          </w:tcPr>
          <w:p w14:paraId="7155342D">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23FF2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14:paraId="089A4BFF">
            <w:pPr>
              <w:spacing w:before="156" w:beforeLines="50" w:after="156" w:afterLines="50"/>
              <w:jc w:val="center"/>
              <w:rPr>
                <w:rFonts w:ascii="宋体"/>
                <w:b/>
                <w:kern w:val="0"/>
                <w:sz w:val="18"/>
                <w:szCs w:val="18"/>
              </w:rPr>
            </w:pPr>
          </w:p>
        </w:tc>
        <w:tc>
          <w:tcPr>
            <w:tcW w:w="1572" w:type="dxa"/>
            <w:vMerge w:val="continue"/>
            <w:vAlign w:val="center"/>
          </w:tcPr>
          <w:p w14:paraId="1F6953EB">
            <w:pPr>
              <w:spacing w:before="156" w:beforeLines="50" w:after="156" w:afterLines="50"/>
              <w:jc w:val="center"/>
              <w:rPr>
                <w:rFonts w:ascii="宋体"/>
                <w:b/>
                <w:kern w:val="0"/>
                <w:sz w:val="18"/>
                <w:szCs w:val="18"/>
              </w:rPr>
            </w:pPr>
          </w:p>
        </w:tc>
        <w:tc>
          <w:tcPr>
            <w:tcW w:w="2255" w:type="dxa"/>
            <w:vAlign w:val="center"/>
          </w:tcPr>
          <w:p w14:paraId="5EEC015B">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2501" w:type="dxa"/>
            <w:vAlign w:val="center"/>
          </w:tcPr>
          <w:p w14:paraId="29C318F1">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7" w:type="dxa"/>
            <w:vMerge w:val="continue"/>
            <w:vAlign w:val="center"/>
          </w:tcPr>
          <w:p w14:paraId="17EF7C2A">
            <w:pPr>
              <w:spacing w:before="156" w:beforeLines="50" w:after="156" w:afterLines="50"/>
              <w:jc w:val="left"/>
              <w:rPr>
                <w:rFonts w:ascii="宋体"/>
                <w:b/>
                <w:kern w:val="0"/>
                <w:sz w:val="18"/>
                <w:szCs w:val="18"/>
              </w:rPr>
            </w:pPr>
          </w:p>
        </w:tc>
        <w:tc>
          <w:tcPr>
            <w:tcW w:w="3993" w:type="dxa"/>
            <w:vMerge w:val="continue"/>
            <w:vAlign w:val="center"/>
          </w:tcPr>
          <w:p w14:paraId="4C11D95C">
            <w:pPr>
              <w:spacing w:before="156" w:beforeLines="50" w:after="156" w:afterLines="50"/>
              <w:jc w:val="left"/>
              <w:rPr>
                <w:rFonts w:ascii="宋体"/>
                <w:b/>
                <w:kern w:val="0"/>
                <w:sz w:val="18"/>
                <w:szCs w:val="18"/>
              </w:rPr>
            </w:pPr>
          </w:p>
        </w:tc>
        <w:tc>
          <w:tcPr>
            <w:tcW w:w="8568" w:type="dxa"/>
            <w:vAlign w:val="center"/>
          </w:tcPr>
          <w:p w14:paraId="311CD981">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0B686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restart"/>
            <w:vAlign w:val="center"/>
          </w:tcPr>
          <w:p w14:paraId="504A3BDB">
            <w:pPr>
              <w:spacing w:before="156" w:beforeLines="50" w:after="156" w:afterLines="50"/>
              <w:jc w:val="center"/>
              <w:rPr>
                <w:rFonts w:ascii="宋体"/>
                <w:kern w:val="0"/>
                <w:sz w:val="18"/>
                <w:szCs w:val="18"/>
              </w:rPr>
            </w:pPr>
            <w:r>
              <w:rPr>
                <w:rFonts w:hint="eastAsia" w:ascii="宋体"/>
                <w:kern w:val="0"/>
                <w:sz w:val="18"/>
                <w:szCs w:val="18"/>
              </w:rPr>
              <w:t>91</w:t>
            </w:r>
          </w:p>
        </w:tc>
        <w:tc>
          <w:tcPr>
            <w:tcW w:w="1572" w:type="dxa"/>
            <w:vMerge w:val="restart"/>
            <w:vAlign w:val="center"/>
          </w:tcPr>
          <w:p w14:paraId="3DD295C9">
            <w:pPr>
              <w:widowControl/>
              <w:spacing w:before="156" w:beforeLines="50" w:after="156" w:afterLines="50"/>
              <w:jc w:val="left"/>
              <w:rPr>
                <w:rFonts w:ascii="宋体"/>
                <w:sz w:val="18"/>
                <w:szCs w:val="18"/>
              </w:rPr>
            </w:pPr>
            <w:r>
              <w:rPr>
                <w:rFonts w:hint="eastAsia" w:ascii="宋体"/>
                <w:sz w:val="18"/>
                <w:szCs w:val="18"/>
              </w:rPr>
              <w:t>船舶未持有合法有效的防止水域环境污染的证书与文书</w:t>
            </w:r>
          </w:p>
        </w:tc>
        <w:tc>
          <w:tcPr>
            <w:tcW w:w="2255" w:type="dxa"/>
            <w:vMerge w:val="restart"/>
            <w:vAlign w:val="center"/>
          </w:tcPr>
          <w:p w14:paraId="04183033">
            <w:pPr>
              <w:widowControl/>
              <w:spacing w:before="156" w:beforeLines="50" w:after="156" w:afterLines="50"/>
              <w:jc w:val="left"/>
              <w:rPr>
                <w:rStyle w:val="8"/>
                <w:rFonts w:ascii="宋体"/>
                <w:sz w:val="18"/>
                <w:szCs w:val="18"/>
              </w:rPr>
            </w:pPr>
            <w:r>
              <w:rPr>
                <w:rStyle w:val="8"/>
                <w:rFonts w:hint="eastAsia" w:ascii="宋体"/>
                <w:b w:val="0"/>
                <w:sz w:val="18"/>
                <w:szCs w:val="18"/>
              </w:rPr>
              <w:t>《中华人民共和国水污染防治法》第六十条第一款</w:t>
            </w:r>
          </w:p>
        </w:tc>
        <w:tc>
          <w:tcPr>
            <w:tcW w:w="2501" w:type="dxa"/>
            <w:vMerge w:val="restart"/>
            <w:vAlign w:val="center"/>
          </w:tcPr>
          <w:p w14:paraId="3EADCAE2">
            <w:pPr>
              <w:spacing w:before="156" w:beforeLines="50" w:after="156" w:afterLines="50"/>
              <w:jc w:val="left"/>
              <w:rPr>
                <w:rFonts w:ascii="宋体"/>
                <w:bCs/>
                <w:sz w:val="18"/>
                <w:szCs w:val="18"/>
              </w:rPr>
            </w:pPr>
            <w:r>
              <w:rPr>
                <w:rStyle w:val="8"/>
                <w:rFonts w:hint="eastAsia" w:ascii="宋体"/>
                <w:b w:val="0"/>
                <w:sz w:val="18"/>
                <w:szCs w:val="18"/>
              </w:rPr>
              <w:t>1.《中华人民共和国水污染防治法》第八十九条第一款；</w:t>
            </w:r>
          </w:p>
          <w:p w14:paraId="0C1B4730">
            <w:pPr>
              <w:spacing w:before="156" w:beforeLines="50" w:after="156" w:afterLines="50"/>
              <w:jc w:val="left"/>
              <w:rPr>
                <w:rStyle w:val="8"/>
                <w:rFonts w:ascii="宋体"/>
                <w:sz w:val="18"/>
                <w:szCs w:val="18"/>
              </w:rPr>
            </w:pPr>
            <w:r>
              <w:rPr>
                <w:rFonts w:ascii="宋体"/>
                <w:sz w:val="18"/>
                <w:szCs w:val="18"/>
              </w:rPr>
              <w:t>2.</w:t>
            </w:r>
            <w:r>
              <w:rPr>
                <w:rFonts w:hint="eastAsia" w:ascii="宋体"/>
                <w:sz w:val="18"/>
                <w:szCs w:val="18"/>
              </w:rPr>
              <w:t>《中华人民共和国行政处罚法》第三十二条（从轻）。</w:t>
            </w:r>
          </w:p>
        </w:tc>
        <w:tc>
          <w:tcPr>
            <w:tcW w:w="907" w:type="dxa"/>
            <w:vAlign w:val="center"/>
          </w:tcPr>
          <w:p w14:paraId="6BF2A28B">
            <w:pPr>
              <w:spacing w:before="156" w:beforeLines="50" w:after="156" w:afterLines="50"/>
              <w:jc w:val="center"/>
              <w:rPr>
                <w:rFonts w:ascii="宋体"/>
                <w:kern w:val="0"/>
                <w:sz w:val="18"/>
                <w:szCs w:val="18"/>
              </w:rPr>
            </w:pPr>
            <w:r>
              <w:rPr>
                <w:rFonts w:hint="eastAsia" w:ascii="宋体"/>
                <w:kern w:val="0"/>
                <w:sz w:val="18"/>
                <w:szCs w:val="18"/>
              </w:rPr>
              <w:t>从轻</w:t>
            </w:r>
          </w:p>
        </w:tc>
        <w:tc>
          <w:tcPr>
            <w:tcW w:w="3993" w:type="dxa"/>
            <w:vAlign w:val="center"/>
          </w:tcPr>
          <w:p w14:paraId="539A2561">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8568" w:type="dxa"/>
            <w:vAlign w:val="center"/>
          </w:tcPr>
          <w:p w14:paraId="2E55053C">
            <w:pPr>
              <w:spacing w:before="156" w:beforeLines="50" w:after="156" w:afterLines="50"/>
              <w:jc w:val="left"/>
              <w:rPr>
                <w:rFonts w:ascii="宋体"/>
                <w:kern w:val="0"/>
                <w:sz w:val="18"/>
                <w:szCs w:val="18"/>
              </w:rPr>
            </w:pPr>
            <w:r>
              <w:rPr>
                <w:rFonts w:hint="eastAsia" w:ascii="宋体"/>
                <w:kern w:val="0"/>
                <w:sz w:val="18"/>
                <w:szCs w:val="18"/>
              </w:rPr>
              <w:t>2000元及以上3000元以下</w:t>
            </w:r>
          </w:p>
        </w:tc>
      </w:tr>
      <w:tr w14:paraId="4EAD3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866" w:type="dxa"/>
            <w:vMerge w:val="continue"/>
            <w:vAlign w:val="center"/>
          </w:tcPr>
          <w:p w14:paraId="32F2986D">
            <w:pPr>
              <w:spacing w:before="156" w:beforeLines="50" w:after="156" w:afterLines="50"/>
              <w:jc w:val="left"/>
              <w:rPr>
                <w:rFonts w:ascii="宋体"/>
                <w:kern w:val="0"/>
                <w:sz w:val="18"/>
                <w:szCs w:val="18"/>
              </w:rPr>
            </w:pPr>
          </w:p>
        </w:tc>
        <w:tc>
          <w:tcPr>
            <w:tcW w:w="1572" w:type="dxa"/>
            <w:vMerge w:val="continue"/>
            <w:vAlign w:val="center"/>
          </w:tcPr>
          <w:p w14:paraId="3A75513B">
            <w:pPr>
              <w:spacing w:before="156" w:beforeLines="50" w:after="156" w:afterLines="50"/>
              <w:jc w:val="left"/>
              <w:rPr>
                <w:rFonts w:ascii="宋体"/>
                <w:kern w:val="0"/>
                <w:sz w:val="18"/>
                <w:szCs w:val="18"/>
              </w:rPr>
            </w:pPr>
          </w:p>
        </w:tc>
        <w:tc>
          <w:tcPr>
            <w:tcW w:w="2255" w:type="dxa"/>
            <w:vMerge w:val="continue"/>
            <w:vAlign w:val="center"/>
          </w:tcPr>
          <w:p w14:paraId="7B70A94A">
            <w:pPr>
              <w:widowControl/>
              <w:spacing w:before="156" w:beforeLines="50" w:after="156" w:afterLines="50"/>
              <w:jc w:val="left"/>
              <w:rPr>
                <w:rFonts w:ascii="宋体"/>
                <w:kern w:val="0"/>
                <w:sz w:val="18"/>
                <w:szCs w:val="18"/>
              </w:rPr>
            </w:pPr>
          </w:p>
        </w:tc>
        <w:tc>
          <w:tcPr>
            <w:tcW w:w="2501" w:type="dxa"/>
            <w:vMerge w:val="continue"/>
            <w:vAlign w:val="center"/>
          </w:tcPr>
          <w:p w14:paraId="7FD89135">
            <w:pPr>
              <w:spacing w:before="156" w:beforeLines="50" w:after="156" w:afterLines="50"/>
              <w:jc w:val="left"/>
              <w:rPr>
                <w:rFonts w:ascii="宋体"/>
                <w:kern w:val="0"/>
                <w:sz w:val="18"/>
                <w:szCs w:val="18"/>
              </w:rPr>
            </w:pPr>
          </w:p>
        </w:tc>
        <w:tc>
          <w:tcPr>
            <w:tcW w:w="907" w:type="dxa"/>
            <w:vMerge w:val="restart"/>
            <w:vAlign w:val="center"/>
          </w:tcPr>
          <w:p w14:paraId="40C1DC0E">
            <w:pPr>
              <w:spacing w:before="156" w:beforeLines="50" w:after="156" w:afterLines="50"/>
              <w:jc w:val="center"/>
              <w:rPr>
                <w:rFonts w:ascii="宋体"/>
                <w:kern w:val="0"/>
                <w:sz w:val="18"/>
                <w:szCs w:val="18"/>
              </w:rPr>
            </w:pPr>
            <w:r>
              <w:rPr>
                <w:rFonts w:hint="eastAsia" w:ascii="宋体"/>
                <w:kern w:val="0"/>
                <w:sz w:val="18"/>
                <w:szCs w:val="18"/>
              </w:rPr>
              <w:t>一般</w:t>
            </w:r>
          </w:p>
        </w:tc>
        <w:tc>
          <w:tcPr>
            <w:tcW w:w="3993" w:type="dxa"/>
            <w:vAlign w:val="center"/>
          </w:tcPr>
          <w:p w14:paraId="116CE906">
            <w:pPr>
              <w:spacing w:before="156" w:beforeLines="50" w:after="156" w:afterLines="50"/>
              <w:jc w:val="left"/>
              <w:rPr>
                <w:rFonts w:ascii="宋体"/>
                <w:kern w:val="0"/>
                <w:sz w:val="18"/>
                <w:szCs w:val="18"/>
              </w:rPr>
            </w:pPr>
            <w:r>
              <w:rPr>
                <w:rFonts w:hint="eastAsia" w:ascii="宋体"/>
                <w:kern w:val="0"/>
                <w:sz w:val="18"/>
                <w:szCs w:val="18"/>
              </w:rPr>
              <w:t>未持有合法有效的</w:t>
            </w:r>
            <w:r>
              <w:rPr>
                <w:rFonts w:hint="eastAsia" w:ascii="宋体"/>
                <w:sz w:val="18"/>
                <w:szCs w:val="18"/>
              </w:rPr>
              <w:t>防止水域环境污染的证书与文书</w:t>
            </w:r>
            <w:r>
              <w:rPr>
                <w:rFonts w:hint="eastAsia" w:ascii="宋体"/>
                <w:kern w:val="0"/>
                <w:sz w:val="18"/>
                <w:szCs w:val="18"/>
              </w:rPr>
              <w:t>的。</w:t>
            </w:r>
          </w:p>
        </w:tc>
        <w:tc>
          <w:tcPr>
            <w:tcW w:w="8568" w:type="dxa"/>
            <w:vAlign w:val="center"/>
          </w:tcPr>
          <w:p w14:paraId="47F62D8B">
            <w:pPr>
              <w:spacing w:before="156" w:beforeLines="50" w:after="156" w:afterLines="50"/>
              <w:jc w:val="left"/>
              <w:rPr>
                <w:rFonts w:ascii="宋体"/>
                <w:kern w:val="0"/>
                <w:sz w:val="18"/>
                <w:szCs w:val="18"/>
              </w:rPr>
            </w:pPr>
            <w:r>
              <w:rPr>
                <w:rFonts w:hint="eastAsia" w:ascii="宋体"/>
                <w:kern w:val="0"/>
                <w:sz w:val="18"/>
                <w:szCs w:val="18"/>
              </w:rPr>
              <w:t>3</w:t>
            </w:r>
            <w:r>
              <w:rPr>
                <w:rFonts w:ascii="宋体"/>
                <w:kern w:val="0"/>
                <w:sz w:val="18"/>
                <w:szCs w:val="18"/>
              </w:rPr>
              <w:t>000</w:t>
            </w:r>
            <w:r>
              <w:rPr>
                <w:rFonts w:hint="eastAsia" w:ascii="宋体"/>
                <w:kern w:val="0"/>
                <w:sz w:val="18"/>
                <w:szCs w:val="18"/>
              </w:rPr>
              <w:t>元及以上5000元以下</w:t>
            </w:r>
          </w:p>
        </w:tc>
      </w:tr>
      <w:tr w14:paraId="65E85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866" w:type="dxa"/>
            <w:vMerge w:val="continue"/>
            <w:vAlign w:val="center"/>
          </w:tcPr>
          <w:p w14:paraId="230359BD">
            <w:pPr>
              <w:spacing w:before="156" w:beforeLines="50" w:after="156" w:afterLines="50"/>
              <w:jc w:val="left"/>
              <w:rPr>
                <w:rFonts w:ascii="宋体"/>
                <w:kern w:val="0"/>
                <w:sz w:val="18"/>
                <w:szCs w:val="18"/>
              </w:rPr>
            </w:pPr>
          </w:p>
        </w:tc>
        <w:tc>
          <w:tcPr>
            <w:tcW w:w="1572" w:type="dxa"/>
            <w:vMerge w:val="continue"/>
            <w:vAlign w:val="center"/>
          </w:tcPr>
          <w:p w14:paraId="590C9F76">
            <w:pPr>
              <w:spacing w:before="156" w:beforeLines="50" w:after="156" w:afterLines="50"/>
              <w:jc w:val="left"/>
              <w:rPr>
                <w:rFonts w:ascii="宋体"/>
                <w:kern w:val="0"/>
                <w:sz w:val="18"/>
                <w:szCs w:val="18"/>
              </w:rPr>
            </w:pPr>
          </w:p>
        </w:tc>
        <w:tc>
          <w:tcPr>
            <w:tcW w:w="2255" w:type="dxa"/>
            <w:vMerge w:val="continue"/>
            <w:vAlign w:val="center"/>
          </w:tcPr>
          <w:p w14:paraId="7EF0571E">
            <w:pPr>
              <w:spacing w:before="156" w:beforeLines="50" w:after="156" w:afterLines="50"/>
              <w:jc w:val="left"/>
              <w:rPr>
                <w:rFonts w:ascii="宋体"/>
                <w:kern w:val="0"/>
                <w:sz w:val="18"/>
                <w:szCs w:val="18"/>
              </w:rPr>
            </w:pPr>
          </w:p>
        </w:tc>
        <w:tc>
          <w:tcPr>
            <w:tcW w:w="2501" w:type="dxa"/>
            <w:vMerge w:val="continue"/>
            <w:vAlign w:val="center"/>
          </w:tcPr>
          <w:p w14:paraId="67421967">
            <w:pPr>
              <w:spacing w:before="156" w:beforeLines="50" w:after="156" w:afterLines="50"/>
              <w:jc w:val="left"/>
              <w:rPr>
                <w:rFonts w:ascii="宋体"/>
                <w:kern w:val="0"/>
                <w:sz w:val="18"/>
                <w:szCs w:val="18"/>
              </w:rPr>
            </w:pPr>
          </w:p>
        </w:tc>
        <w:tc>
          <w:tcPr>
            <w:tcW w:w="907" w:type="dxa"/>
            <w:vMerge w:val="continue"/>
            <w:vAlign w:val="center"/>
          </w:tcPr>
          <w:p w14:paraId="13A13552">
            <w:pPr>
              <w:spacing w:before="156" w:beforeLines="50" w:after="156" w:afterLines="50"/>
              <w:jc w:val="center"/>
              <w:rPr>
                <w:rFonts w:ascii="宋体"/>
                <w:kern w:val="0"/>
                <w:sz w:val="18"/>
                <w:szCs w:val="18"/>
              </w:rPr>
            </w:pPr>
          </w:p>
        </w:tc>
        <w:tc>
          <w:tcPr>
            <w:tcW w:w="3993" w:type="dxa"/>
            <w:vAlign w:val="center"/>
          </w:tcPr>
          <w:p w14:paraId="767315F9">
            <w:pPr>
              <w:spacing w:before="156" w:beforeLines="50" w:after="156" w:afterLines="50"/>
              <w:jc w:val="left"/>
              <w:rPr>
                <w:rFonts w:ascii="宋体"/>
                <w:kern w:val="0"/>
                <w:sz w:val="18"/>
                <w:szCs w:val="18"/>
              </w:rPr>
            </w:pPr>
            <w:r>
              <w:rPr>
                <w:rFonts w:hint="eastAsia" w:ascii="宋体"/>
                <w:kern w:val="0"/>
                <w:sz w:val="18"/>
                <w:szCs w:val="18"/>
              </w:rPr>
              <w:t>未持有合法有效的</w:t>
            </w:r>
            <w:r>
              <w:rPr>
                <w:rFonts w:hint="eastAsia" w:ascii="宋体"/>
                <w:sz w:val="18"/>
                <w:szCs w:val="18"/>
              </w:rPr>
              <w:t>防止水域环境污染的证书与文书</w:t>
            </w:r>
            <w:r>
              <w:rPr>
                <w:rFonts w:hint="eastAsia" w:ascii="宋体"/>
                <w:kern w:val="0"/>
                <w:sz w:val="18"/>
                <w:szCs w:val="18"/>
              </w:rPr>
              <w:t>累计达</w:t>
            </w:r>
            <w:r>
              <w:rPr>
                <w:rFonts w:ascii="宋体"/>
                <w:kern w:val="0"/>
                <w:sz w:val="18"/>
                <w:szCs w:val="18"/>
              </w:rPr>
              <w:t>2</w:t>
            </w:r>
            <w:r>
              <w:rPr>
                <w:rFonts w:hint="eastAsia" w:ascii="宋体"/>
                <w:kern w:val="0"/>
                <w:sz w:val="18"/>
                <w:szCs w:val="18"/>
              </w:rPr>
              <w:t>本及以上的。</w:t>
            </w:r>
          </w:p>
        </w:tc>
        <w:tc>
          <w:tcPr>
            <w:tcW w:w="8568" w:type="dxa"/>
            <w:vAlign w:val="center"/>
          </w:tcPr>
          <w:p w14:paraId="4AB327D6">
            <w:pPr>
              <w:spacing w:before="156" w:beforeLines="50" w:after="156" w:afterLines="50"/>
              <w:jc w:val="left"/>
              <w:rPr>
                <w:rFonts w:ascii="宋体"/>
                <w:kern w:val="0"/>
                <w:sz w:val="18"/>
                <w:szCs w:val="18"/>
              </w:rPr>
            </w:pPr>
            <w:r>
              <w:rPr>
                <w:rFonts w:hint="eastAsia" w:ascii="宋体"/>
                <w:kern w:val="0"/>
                <w:sz w:val="18"/>
                <w:szCs w:val="18"/>
              </w:rPr>
              <w:t>每多缺</w:t>
            </w:r>
            <w:r>
              <w:rPr>
                <w:rFonts w:ascii="宋体"/>
                <w:kern w:val="0"/>
                <w:sz w:val="18"/>
                <w:szCs w:val="18"/>
              </w:rPr>
              <w:t>1</w:t>
            </w:r>
            <w:r>
              <w:rPr>
                <w:rFonts w:hint="eastAsia" w:ascii="宋体"/>
                <w:kern w:val="0"/>
                <w:sz w:val="18"/>
                <w:szCs w:val="18"/>
              </w:rPr>
              <w:t>本，加罚2</w:t>
            </w:r>
            <w:r>
              <w:rPr>
                <w:rFonts w:ascii="宋体"/>
                <w:kern w:val="0"/>
                <w:sz w:val="18"/>
                <w:szCs w:val="18"/>
              </w:rPr>
              <w:t>000</w:t>
            </w:r>
            <w:r>
              <w:rPr>
                <w:rFonts w:hint="eastAsia" w:ascii="宋体"/>
                <w:kern w:val="0"/>
                <w:sz w:val="18"/>
                <w:szCs w:val="18"/>
              </w:rPr>
              <w:t>元（在5</w:t>
            </w:r>
            <w:r>
              <w:rPr>
                <w:rFonts w:ascii="宋体"/>
                <w:kern w:val="0"/>
                <w:sz w:val="18"/>
                <w:szCs w:val="18"/>
              </w:rPr>
              <w:t>000</w:t>
            </w:r>
            <w:r>
              <w:rPr>
                <w:rFonts w:hint="eastAsia" w:ascii="宋体"/>
                <w:kern w:val="0"/>
                <w:sz w:val="18"/>
                <w:szCs w:val="18"/>
              </w:rPr>
              <w:t>元的基准上累加），最高不超过</w:t>
            </w:r>
            <w:r>
              <w:rPr>
                <w:rFonts w:ascii="宋体"/>
                <w:kern w:val="0"/>
                <w:sz w:val="18"/>
                <w:szCs w:val="18"/>
              </w:rPr>
              <w:t>2</w:t>
            </w:r>
            <w:r>
              <w:rPr>
                <w:rFonts w:hint="eastAsia" w:ascii="宋体"/>
                <w:kern w:val="0"/>
                <w:sz w:val="18"/>
                <w:szCs w:val="18"/>
              </w:rPr>
              <w:t>万元。</w:t>
            </w:r>
          </w:p>
        </w:tc>
      </w:tr>
    </w:tbl>
    <w:p w14:paraId="027BA88C">
      <w:pPr>
        <w:widowControl/>
        <w:jc w:val="left"/>
        <w:rPr>
          <w:rFonts w:ascii="宋体"/>
          <w:b/>
          <w:sz w:val="18"/>
          <w:szCs w:val="18"/>
        </w:rPr>
      </w:pPr>
      <w:r>
        <w:rPr>
          <w:rFonts w:ascii="宋体"/>
          <w:b/>
          <w:sz w:val="18"/>
          <w:szCs w:val="18"/>
        </w:rPr>
        <w:br w:type="page"/>
      </w:r>
    </w:p>
    <w:tbl>
      <w:tblPr>
        <w:tblStyle w:val="6"/>
        <w:tblpPr w:leftFromText="180" w:rightFromText="180" w:vertAnchor="text" w:horzAnchor="margin" w:tblpY="157"/>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1340"/>
        <w:gridCol w:w="2487"/>
        <w:gridCol w:w="2600"/>
        <w:gridCol w:w="909"/>
        <w:gridCol w:w="4673"/>
        <w:gridCol w:w="5524"/>
      </w:tblGrid>
      <w:tr w14:paraId="09CCC7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 w:hRule="atLeast"/>
        </w:trPr>
        <w:tc>
          <w:tcPr>
            <w:tcW w:w="861" w:type="dxa"/>
            <w:vMerge w:val="restart"/>
            <w:vAlign w:val="center"/>
          </w:tcPr>
          <w:p w14:paraId="7ED56590">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340" w:type="dxa"/>
            <w:vMerge w:val="restart"/>
            <w:vAlign w:val="center"/>
          </w:tcPr>
          <w:p w14:paraId="6F99AEE9">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5087" w:type="dxa"/>
            <w:gridSpan w:val="2"/>
            <w:vMerge w:val="restart"/>
            <w:vAlign w:val="center"/>
          </w:tcPr>
          <w:p w14:paraId="6A3F519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909" w:type="dxa"/>
            <w:vMerge w:val="restart"/>
            <w:vAlign w:val="center"/>
          </w:tcPr>
          <w:p w14:paraId="0494A337">
            <w:pPr>
              <w:spacing w:before="156" w:beforeLines="50" w:after="156" w:afterLines="50"/>
              <w:jc w:val="center"/>
              <w:rPr>
                <w:rFonts w:ascii="宋体"/>
                <w:b/>
                <w:kern w:val="0"/>
                <w:sz w:val="18"/>
                <w:szCs w:val="18"/>
              </w:rPr>
            </w:pPr>
            <w:r>
              <w:rPr>
                <w:rFonts w:hint="eastAsia" w:ascii="宋体"/>
                <w:b/>
                <w:kern w:val="0"/>
                <w:sz w:val="18"/>
                <w:szCs w:val="18"/>
              </w:rPr>
              <w:t>违法</w:t>
            </w:r>
          </w:p>
          <w:p w14:paraId="5C7E377B">
            <w:pPr>
              <w:spacing w:before="156" w:beforeLines="50" w:after="156" w:afterLines="50"/>
              <w:jc w:val="center"/>
              <w:rPr>
                <w:rFonts w:ascii="宋体"/>
                <w:b/>
                <w:kern w:val="0"/>
                <w:sz w:val="18"/>
                <w:szCs w:val="18"/>
              </w:rPr>
            </w:pPr>
            <w:r>
              <w:rPr>
                <w:rFonts w:hint="eastAsia" w:ascii="宋体"/>
                <w:b/>
                <w:kern w:val="0"/>
                <w:sz w:val="18"/>
                <w:szCs w:val="18"/>
              </w:rPr>
              <w:t>情节</w:t>
            </w:r>
          </w:p>
        </w:tc>
        <w:tc>
          <w:tcPr>
            <w:tcW w:w="4673" w:type="dxa"/>
            <w:vMerge w:val="restart"/>
            <w:vAlign w:val="center"/>
          </w:tcPr>
          <w:p w14:paraId="7859444E">
            <w:pPr>
              <w:spacing w:before="156" w:beforeLines="50" w:after="156" w:afterLines="50"/>
              <w:jc w:val="center"/>
              <w:rPr>
                <w:rFonts w:ascii="宋体"/>
                <w:b/>
                <w:kern w:val="0"/>
                <w:sz w:val="18"/>
                <w:szCs w:val="18"/>
              </w:rPr>
            </w:pPr>
            <w:r>
              <w:rPr>
                <w:rFonts w:hint="eastAsia" w:ascii="宋体"/>
                <w:b/>
                <w:kern w:val="0"/>
                <w:sz w:val="18"/>
                <w:szCs w:val="18"/>
              </w:rPr>
              <w:t>主要考虑因素</w:t>
            </w:r>
          </w:p>
          <w:p w14:paraId="794A3543">
            <w:pPr>
              <w:spacing w:before="156" w:beforeLines="50" w:after="156" w:afterLines="50"/>
              <w:jc w:val="center"/>
              <w:rPr>
                <w:rFonts w:ascii="宋体"/>
                <w:b/>
                <w:kern w:val="0"/>
                <w:sz w:val="18"/>
                <w:szCs w:val="18"/>
              </w:rPr>
            </w:pPr>
            <w:r>
              <w:rPr>
                <w:rFonts w:hint="eastAsia" w:ascii="宋体"/>
                <w:b/>
                <w:kern w:val="0"/>
                <w:sz w:val="18"/>
                <w:szCs w:val="18"/>
              </w:rPr>
              <w:t>（事实、性质、情节、危害程度和实际后果等）</w:t>
            </w:r>
          </w:p>
        </w:tc>
        <w:tc>
          <w:tcPr>
            <w:tcW w:w="5524" w:type="dxa"/>
            <w:vAlign w:val="center"/>
          </w:tcPr>
          <w:p w14:paraId="1AA9AA0C">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责令改正，处二千元以上二万元以下的罚款。</w:t>
            </w:r>
          </w:p>
        </w:tc>
      </w:tr>
      <w:tr w14:paraId="4D85DF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14:paraId="5D0D437D">
            <w:pPr>
              <w:spacing w:before="156" w:beforeLines="50" w:after="156" w:afterLines="50"/>
              <w:jc w:val="center"/>
              <w:rPr>
                <w:rFonts w:ascii="宋体"/>
                <w:b/>
                <w:kern w:val="0"/>
                <w:sz w:val="18"/>
                <w:szCs w:val="18"/>
              </w:rPr>
            </w:pPr>
          </w:p>
        </w:tc>
        <w:tc>
          <w:tcPr>
            <w:tcW w:w="1340" w:type="dxa"/>
            <w:vMerge w:val="continue"/>
            <w:vAlign w:val="center"/>
          </w:tcPr>
          <w:p w14:paraId="471EBE58">
            <w:pPr>
              <w:spacing w:before="156" w:beforeLines="50" w:after="156" w:afterLines="50"/>
              <w:jc w:val="center"/>
              <w:rPr>
                <w:rFonts w:ascii="宋体"/>
                <w:b/>
                <w:kern w:val="0"/>
                <w:sz w:val="18"/>
                <w:szCs w:val="18"/>
              </w:rPr>
            </w:pPr>
          </w:p>
        </w:tc>
        <w:tc>
          <w:tcPr>
            <w:tcW w:w="5087" w:type="dxa"/>
            <w:gridSpan w:val="2"/>
            <w:vMerge w:val="continue"/>
            <w:vAlign w:val="center"/>
          </w:tcPr>
          <w:p w14:paraId="4FF2C69A">
            <w:pPr>
              <w:spacing w:before="156" w:beforeLines="50" w:after="156" w:afterLines="50"/>
              <w:jc w:val="center"/>
              <w:rPr>
                <w:rFonts w:ascii="宋体"/>
                <w:b/>
                <w:kern w:val="0"/>
                <w:sz w:val="18"/>
                <w:szCs w:val="18"/>
              </w:rPr>
            </w:pPr>
          </w:p>
        </w:tc>
        <w:tc>
          <w:tcPr>
            <w:tcW w:w="909" w:type="dxa"/>
            <w:vMerge w:val="continue"/>
            <w:vAlign w:val="center"/>
          </w:tcPr>
          <w:p w14:paraId="7DA7B706">
            <w:pPr>
              <w:spacing w:before="156" w:beforeLines="50" w:after="156" w:afterLines="50"/>
              <w:jc w:val="center"/>
              <w:rPr>
                <w:rFonts w:ascii="宋体"/>
                <w:b/>
                <w:kern w:val="0"/>
                <w:sz w:val="18"/>
                <w:szCs w:val="18"/>
              </w:rPr>
            </w:pPr>
          </w:p>
        </w:tc>
        <w:tc>
          <w:tcPr>
            <w:tcW w:w="4673" w:type="dxa"/>
            <w:vMerge w:val="continue"/>
            <w:vAlign w:val="center"/>
          </w:tcPr>
          <w:p w14:paraId="0C5CC5E0">
            <w:pPr>
              <w:spacing w:before="156" w:beforeLines="50" w:after="156" w:afterLines="50"/>
              <w:jc w:val="center"/>
              <w:rPr>
                <w:rFonts w:ascii="宋体"/>
                <w:b/>
                <w:kern w:val="0"/>
                <w:sz w:val="18"/>
                <w:szCs w:val="18"/>
              </w:rPr>
            </w:pPr>
          </w:p>
        </w:tc>
        <w:tc>
          <w:tcPr>
            <w:tcW w:w="5524" w:type="dxa"/>
            <w:vAlign w:val="center"/>
          </w:tcPr>
          <w:p w14:paraId="0ED6DAAC">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59C818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14:paraId="544929CD">
            <w:pPr>
              <w:spacing w:before="156" w:beforeLines="50" w:after="156" w:afterLines="50"/>
              <w:jc w:val="left"/>
              <w:rPr>
                <w:rFonts w:ascii="宋体"/>
                <w:b/>
                <w:kern w:val="0"/>
                <w:sz w:val="18"/>
                <w:szCs w:val="18"/>
              </w:rPr>
            </w:pPr>
          </w:p>
        </w:tc>
        <w:tc>
          <w:tcPr>
            <w:tcW w:w="1340" w:type="dxa"/>
            <w:vMerge w:val="continue"/>
            <w:vAlign w:val="center"/>
          </w:tcPr>
          <w:p w14:paraId="50AFA472">
            <w:pPr>
              <w:spacing w:before="156" w:beforeLines="50" w:after="156" w:afterLines="50"/>
              <w:jc w:val="left"/>
              <w:rPr>
                <w:rFonts w:ascii="宋体"/>
                <w:b/>
                <w:kern w:val="0"/>
                <w:sz w:val="18"/>
                <w:szCs w:val="18"/>
              </w:rPr>
            </w:pPr>
          </w:p>
        </w:tc>
        <w:tc>
          <w:tcPr>
            <w:tcW w:w="2487" w:type="dxa"/>
            <w:vAlign w:val="center"/>
          </w:tcPr>
          <w:p w14:paraId="1B9C62FE">
            <w:pPr>
              <w:spacing w:before="156" w:beforeLines="50" w:after="156" w:afterLines="50"/>
              <w:jc w:val="center"/>
              <w:rPr>
                <w:rFonts w:ascii="宋体"/>
                <w:b/>
                <w:kern w:val="0"/>
                <w:sz w:val="18"/>
                <w:szCs w:val="18"/>
              </w:rPr>
            </w:pPr>
            <w:r>
              <w:rPr>
                <w:rFonts w:hint="eastAsia" w:ascii="宋体"/>
                <w:b/>
                <w:kern w:val="0"/>
                <w:sz w:val="18"/>
                <w:szCs w:val="18"/>
              </w:rPr>
              <w:t>认定违法依据</w:t>
            </w:r>
          </w:p>
        </w:tc>
        <w:tc>
          <w:tcPr>
            <w:tcW w:w="2600" w:type="dxa"/>
            <w:vAlign w:val="center"/>
          </w:tcPr>
          <w:p w14:paraId="4E47D144">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909" w:type="dxa"/>
            <w:vMerge w:val="continue"/>
            <w:vAlign w:val="center"/>
          </w:tcPr>
          <w:p w14:paraId="19DA8C6C">
            <w:pPr>
              <w:spacing w:before="156" w:beforeLines="50" w:after="156" w:afterLines="50"/>
              <w:jc w:val="left"/>
              <w:rPr>
                <w:rFonts w:ascii="宋体"/>
                <w:b/>
                <w:kern w:val="0"/>
                <w:sz w:val="18"/>
                <w:szCs w:val="18"/>
              </w:rPr>
            </w:pPr>
          </w:p>
        </w:tc>
        <w:tc>
          <w:tcPr>
            <w:tcW w:w="4673" w:type="dxa"/>
            <w:vMerge w:val="continue"/>
            <w:vAlign w:val="center"/>
          </w:tcPr>
          <w:p w14:paraId="0A4A9054">
            <w:pPr>
              <w:spacing w:before="156" w:beforeLines="50" w:after="156" w:afterLines="50"/>
              <w:jc w:val="left"/>
              <w:rPr>
                <w:rFonts w:ascii="宋体"/>
                <w:b/>
                <w:kern w:val="0"/>
                <w:sz w:val="18"/>
                <w:szCs w:val="18"/>
              </w:rPr>
            </w:pPr>
          </w:p>
        </w:tc>
        <w:tc>
          <w:tcPr>
            <w:tcW w:w="5524" w:type="dxa"/>
            <w:vAlign w:val="center"/>
          </w:tcPr>
          <w:p w14:paraId="59C00EC0">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56BC65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9" w:hRule="atLeast"/>
        </w:trPr>
        <w:tc>
          <w:tcPr>
            <w:tcW w:w="861" w:type="dxa"/>
            <w:vMerge w:val="restart"/>
            <w:vAlign w:val="center"/>
          </w:tcPr>
          <w:p w14:paraId="617A2272">
            <w:pPr>
              <w:spacing w:before="156" w:beforeLines="50" w:after="156" w:afterLines="50"/>
              <w:jc w:val="center"/>
              <w:rPr>
                <w:rFonts w:ascii="宋体"/>
                <w:kern w:val="0"/>
                <w:sz w:val="18"/>
                <w:szCs w:val="18"/>
              </w:rPr>
            </w:pPr>
            <w:r>
              <w:rPr>
                <w:rFonts w:hint="eastAsia" w:ascii="宋体"/>
                <w:kern w:val="0"/>
                <w:sz w:val="18"/>
                <w:szCs w:val="18"/>
              </w:rPr>
              <w:t>92</w:t>
            </w:r>
          </w:p>
        </w:tc>
        <w:tc>
          <w:tcPr>
            <w:tcW w:w="1340" w:type="dxa"/>
            <w:vMerge w:val="restart"/>
            <w:vAlign w:val="center"/>
          </w:tcPr>
          <w:p w14:paraId="599A6F51">
            <w:pPr>
              <w:spacing w:before="156" w:beforeLines="50" w:after="156" w:afterLines="50"/>
              <w:jc w:val="left"/>
              <w:rPr>
                <w:rFonts w:ascii="宋体"/>
                <w:kern w:val="0"/>
                <w:sz w:val="18"/>
                <w:szCs w:val="18"/>
              </w:rPr>
            </w:pPr>
            <w:r>
              <w:rPr>
                <w:rFonts w:hint="eastAsia" w:ascii="宋体"/>
                <w:sz w:val="18"/>
                <w:szCs w:val="18"/>
              </w:rPr>
              <w:t>船舶进行涉及污染物排放的作业，未在相应的记录簿上如实记载的</w:t>
            </w:r>
          </w:p>
        </w:tc>
        <w:tc>
          <w:tcPr>
            <w:tcW w:w="2487" w:type="dxa"/>
            <w:vMerge w:val="restart"/>
            <w:vAlign w:val="center"/>
          </w:tcPr>
          <w:p w14:paraId="74C3374E">
            <w:pPr>
              <w:widowControl/>
              <w:spacing w:before="156" w:beforeLines="50" w:after="156" w:afterLines="50"/>
              <w:jc w:val="left"/>
              <w:rPr>
                <w:rFonts w:ascii="宋体"/>
                <w:kern w:val="0"/>
                <w:sz w:val="18"/>
                <w:szCs w:val="18"/>
              </w:rPr>
            </w:pPr>
            <w:r>
              <w:rPr>
                <w:rFonts w:hint="eastAsia" w:ascii="宋体"/>
                <w:sz w:val="18"/>
                <w:szCs w:val="18"/>
              </w:rPr>
              <w:t>《中华人民共和国水污染防治法》第六十条第二款</w:t>
            </w:r>
          </w:p>
        </w:tc>
        <w:tc>
          <w:tcPr>
            <w:tcW w:w="2600" w:type="dxa"/>
            <w:vMerge w:val="restart"/>
            <w:vAlign w:val="center"/>
          </w:tcPr>
          <w:p w14:paraId="3F8A430A">
            <w:pPr>
              <w:widowControl/>
              <w:spacing w:before="156" w:beforeLines="50" w:after="156" w:afterLines="50"/>
              <w:jc w:val="left"/>
              <w:rPr>
                <w:rFonts w:ascii="宋体"/>
                <w:sz w:val="18"/>
                <w:szCs w:val="18"/>
              </w:rPr>
            </w:pPr>
            <w:r>
              <w:rPr>
                <w:rFonts w:hint="eastAsia" w:ascii="宋体"/>
                <w:sz w:val="18"/>
                <w:szCs w:val="18"/>
              </w:rPr>
              <w:t>1.《中华人民共和国水污染防治法》第八十九条第二款；</w:t>
            </w:r>
          </w:p>
          <w:p w14:paraId="01513575">
            <w:pPr>
              <w:widowControl/>
              <w:spacing w:before="156" w:beforeLines="50" w:after="156" w:afterLines="50"/>
              <w:jc w:val="left"/>
              <w:rPr>
                <w:rFonts w:ascii="宋体"/>
                <w:kern w:val="0"/>
                <w:sz w:val="18"/>
                <w:szCs w:val="18"/>
              </w:rPr>
            </w:pPr>
            <w:r>
              <w:rPr>
                <w:rFonts w:ascii="宋体"/>
                <w:sz w:val="18"/>
                <w:szCs w:val="18"/>
              </w:rPr>
              <w:t>2.</w:t>
            </w:r>
            <w:r>
              <w:rPr>
                <w:rFonts w:hint="eastAsia" w:ascii="宋体"/>
                <w:sz w:val="18"/>
                <w:szCs w:val="18"/>
              </w:rPr>
              <w:t>《中华人民共和国行政处罚法》第三十二条（从轻）。</w:t>
            </w:r>
          </w:p>
        </w:tc>
        <w:tc>
          <w:tcPr>
            <w:tcW w:w="909" w:type="dxa"/>
            <w:vAlign w:val="center"/>
          </w:tcPr>
          <w:p w14:paraId="2E0DAF18">
            <w:pPr>
              <w:spacing w:before="156" w:beforeLines="50" w:after="156" w:afterLines="50"/>
              <w:jc w:val="center"/>
              <w:rPr>
                <w:rFonts w:ascii="宋体"/>
                <w:kern w:val="0"/>
                <w:sz w:val="18"/>
                <w:szCs w:val="18"/>
              </w:rPr>
            </w:pPr>
            <w:r>
              <w:rPr>
                <w:rFonts w:hint="eastAsia" w:ascii="宋体"/>
                <w:kern w:val="0"/>
                <w:sz w:val="18"/>
                <w:szCs w:val="18"/>
              </w:rPr>
              <w:t>从轻</w:t>
            </w:r>
          </w:p>
        </w:tc>
        <w:tc>
          <w:tcPr>
            <w:tcW w:w="4673" w:type="dxa"/>
            <w:vAlign w:val="center"/>
          </w:tcPr>
          <w:p w14:paraId="6AB8E5B2">
            <w:pPr>
              <w:widowControl/>
              <w:spacing w:before="156" w:beforeLines="50" w:after="156" w:afterLines="50"/>
              <w:jc w:val="left"/>
              <w:rPr>
                <w:rFonts w:ascii="宋体"/>
                <w:kern w:val="0"/>
                <w:sz w:val="18"/>
                <w:szCs w:val="18"/>
              </w:rPr>
            </w:pPr>
            <w:r>
              <w:rPr>
                <w:rFonts w:hint="eastAsia" w:ascii="宋体"/>
                <w:kern w:val="0"/>
                <w:sz w:val="18"/>
                <w:szCs w:val="18"/>
              </w:rPr>
              <w:t>具有法定从轻情节的。</w:t>
            </w:r>
          </w:p>
        </w:tc>
        <w:tc>
          <w:tcPr>
            <w:tcW w:w="5524" w:type="dxa"/>
            <w:vAlign w:val="center"/>
          </w:tcPr>
          <w:p w14:paraId="49A7A748">
            <w:pPr>
              <w:spacing w:before="156" w:beforeLines="50" w:after="156" w:afterLines="50"/>
              <w:jc w:val="left"/>
              <w:rPr>
                <w:rFonts w:ascii="宋体"/>
                <w:kern w:val="0"/>
                <w:sz w:val="18"/>
                <w:szCs w:val="18"/>
              </w:rPr>
            </w:pPr>
            <w:r>
              <w:rPr>
                <w:rFonts w:ascii="宋体"/>
                <w:kern w:val="0"/>
                <w:sz w:val="18"/>
                <w:szCs w:val="18"/>
              </w:rPr>
              <w:t>2000</w:t>
            </w:r>
            <w:r>
              <w:rPr>
                <w:rFonts w:hint="eastAsia" w:ascii="宋体"/>
                <w:kern w:val="0"/>
                <w:sz w:val="18"/>
                <w:szCs w:val="18"/>
              </w:rPr>
              <w:t>元及以上</w:t>
            </w:r>
            <w:r>
              <w:rPr>
                <w:rFonts w:ascii="宋体"/>
                <w:kern w:val="0"/>
                <w:sz w:val="18"/>
                <w:szCs w:val="18"/>
              </w:rPr>
              <w:t>3000</w:t>
            </w:r>
            <w:r>
              <w:rPr>
                <w:rFonts w:hint="eastAsia" w:ascii="宋体"/>
                <w:kern w:val="0"/>
                <w:sz w:val="18"/>
                <w:szCs w:val="18"/>
              </w:rPr>
              <w:t>元以下</w:t>
            </w:r>
          </w:p>
        </w:tc>
      </w:tr>
      <w:tr w14:paraId="54CFBF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54" w:hRule="atLeast"/>
        </w:trPr>
        <w:tc>
          <w:tcPr>
            <w:tcW w:w="861" w:type="dxa"/>
            <w:vMerge w:val="continue"/>
            <w:vAlign w:val="center"/>
          </w:tcPr>
          <w:p w14:paraId="6BEFCF05">
            <w:pPr>
              <w:spacing w:before="156" w:beforeLines="50" w:after="156" w:afterLines="50"/>
              <w:jc w:val="left"/>
              <w:rPr>
                <w:rFonts w:ascii="宋体"/>
                <w:kern w:val="0"/>
                <w:sz w:val="18"/>
                <w:szCs w:val="18"/>
              </w:rPr>
            </w:pPr>
          </w:p>
        </w:tc>
        <w:tc>
          <w:tcPr>
            <w:tcW w:w="1340" w:type="dxa"/>
            <w:vMerge w:val="continue"/>
            <w:vAlign w:val="center"/>
          </w:tcPr>
          <w:p w14:paraId="797C7C11">
            <w:pPr>
              <w:spacing w:before="156" w:beforeLines="50" w:after="156" w:afterLines="50"/>
              <w:jc w:val="left"/>
              <w:rPr>
                <w:rFonts w:ascii="宋体"/>
                <w:kern w:val="0"/>
                <w:sz w:val="18"/>
                <w:szCs w:val="18"/>
              </w:rPr>
            </w:pPr>
          </w:p>
        </w:tc>
        <w:tc>
          <w:tcPr>
            <w:tcW w:w="2487" w:type="dxa"/>
            <w:vMerge w:val="continue"/>
            <w:vAlign w:val="center"/>
          </w:tcPr>
          <w:p w14:paraId="28E4973E">
            <w:pPr>
              <w:widowControl/>
              <w:spacing w:before="156" w:beforeLines="50" w:after="156" w:afterLines="50"/>
              <w:jc w:val="left"/>
              <w:rPr>
                <w:rFonts w:ascii="宋体"/>
                <w:kern w:val="0"/>
                <w:sz w:val="18"/>
                <w:szCs w:val="18"/>
              </w:rPr>
            </w:pPr>
          </w:p>
        </w:tc>
        <w:tc>
          <w:tcPr>
            <w:tcW w:w="2600" w:type="dxa"/>
            <w:vMerge w:val="continue"/>
            <w:vAlign w:val="center"/>
          </w:tcPr>
          <w:p w14:paraId="418E0FAA">
            <w:pPr>
              <w:spacing w:before="156" w:beforeLines="50" w:after="156" w:afterLines="50"/>
              <w:jc w:val="left"/>
              <w:rPr>
                <w:rFonts w:ascii="宋体"/>
                <w:kern w:val="0"/>
                <w:sz w:val="18"/>
                <w:szCs w:val="18"/>
              </w:rPr>
            </w:pPr>
          </w:p>
        </w:tc>
        <w:tc>
          <w:tcPr>
            <w:tcW w:w="909" w:type="dxa"/>
            <w:vMerge w:val="restart"/>
            <w:vAlign w:val="center"/>
          </w:tcPr>
          <w:p w14:paraId="318576B7">
            <w:pPr>
              <w:spacing w:before="156" w:beforeLines="50" w:after="156" w:afterLines="50"/>
              <w:jc w:val="center"/>
              <w:rPr>
                <w:rFonts w:ascii="宋体"/>
                <w:kern w:val="0"/>
                <w:sz w:val="18"/>
                <w:szCs w:val="18"/>
              </w:rPr>
            </w:pPr>
            <w:r>
              <w:rPr>
                <w:rFonts w:hint="eastAsia" w:ascii="宋体"/>
                <w:kern w:val="0"/>
                <w:sz w:val="18"/>
                <w:szCs w:val="18"/>
              </w:rPr>
              <w:t>一般</w:t>
            </w:r>
          </w:p>
        </w:tc>
        <w:tc>
          <w:tcPr>
            <w:tcW w:w="4673" w:type="dxa"/>
            <w:vAlign w:val="center"/>
          </w:tcPr>
          <w:p w14:paraId="37BCA1EC">
            <w:pPr>
              <w:widowControl/>
              <w:spacing w:before="156" w:beforeLines="50" w:after="156" w:afterLines="50"/>
              <w:jc w:val="left"/>
              <w:rPr>
                <w:rFonts w:ascii="宋体"/>
                <w:kern w:val="0"/>
                <w:sz w:val="18"/>
                <w:szCs w:val="18"/>
              </w:rPr>
            </w:pPr>
            <w:r>
              <w:rPr>
                <w:rFonts w:hint="eastAsia" w:ascii="宋体"/>
                <w:kern w:val="0"/>
                <w:sz w:val="18"/>
                <w:szCs w:val="18"/>
              </w:rPr>
              <w:t>1.船舶未记录污染物排放情况（单次或持续时间1个月以内），但船舶能提供污染物接收证明等能证明船舶不存在违法排污行为的证据的。</w:t>
            </w:r>
          </w:p>
          <w:p w14:paraId="7F759DBD">
            <w:pPr>
              <w:widowControl/>
              <w:spacing w:before="156" w:beforeLines="50" w:after="156" w:afterLines="50"/>
              <w:jc w:val="left"/>
              <w:rPr>
                <w:rFonts w:ascii="宋体"/>
                <w:kern w:val="0"/>
                <w:sz w:val="18"/>
                <w:szCs w:val="18"/>
              </w:rPr>
            </w:pPr>
            <w:r>
              <w:rPr>
                <w:rFonts w:hint="eastAsia" w:ascii="宋体"/>
                <w:kern w:val="0"/>
                <w:sz w:val="18"/>
                <w:szCs w:val="18"/>
              </w:rPr>
              <w:t>2.污染物排放记录错误或与事实不符的（3次以下），但船舶能提供污染物接收证明等证明船舶不存违法排污行为的证据的。</w:t>
            </w:r>
          </w:p>
        </w:tc>
        <w:tc>
          <w:tcPr>
            <w:tcW w:w="5524" w:type="dxa"/>
            <w:vAlign w:val="center"/>
          </w:tcPr>
          <w:p w14:paraId="022098CD">
            <w:pPr>
              <w:spacing w:before="156" w:beforeLines="50" w:after="156" w:afterLines="50"/>
              <w:jc w:val="left"/>
              <w:rPr>
                <w:rFonts w:ascii="宋体"/>
                <w:kern w:val="0"/>
                <w:sz w:val="18"/>
                <w:szCs w:val="18"/>
              </w:rPr>
            </w:pPr>
            <w:r>
              <w:rPr>
                <w:rFonts w:ascii="宋体"/>
                <w:kern w:val="0"/>
                <w:sz w:val="18"/>
                <w:szCs w:val="18"/>
              </w:rPr>
              <w:t>3000</w:t>
            </w:r>
            <w:r>
              <w:rPr>
                <w:rFonts w:hint="eastAsia" w:ascii="宋体"/>
                <w:kern w:val="0"/>
                <w:sz w:val="18"/>
                <w:szCs w:val="18"/>
              </w:rPr>
              <w:t>元及以上</w:t>
            </w:r>
            <w:r>
              <w:rPr>
                <w:rFonts w:ascii="宋体"/>
                <w:kern w:val="0"/>
                <w:sz w:val="18"/>
                <w:szCs w:val="18"/>
              </w:rPr>
              <w:t>5000</w:t>
            </w:r>
            <w:r>
              <w:rPr>
                <w:rFonts w:hint="eastAsia" w:ascii="宋体"/>
                <w:kern w:val="0"/>
                <w:sz w:val="18"/>
                <w:szCs w:val="18"/>
              </w:rPr>
              <w:t>元以下</w:t>
            </w:r>
          </w:p>
        </w:tc>
      </w:tr>
      <w:tr w14:paraId="4B5ADF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203" w:hRule="exact"/>
        </w:trPr>
        <w:tc>
          <w:tcPr>
            <w:tcW w:w="861" w:type="dxa"/>
            <w:vMerge w:val="continue"/>
            <w:vAlign w:val="center"/>
          </w:tcPr>
          <w:p w14:paraId="6E2605DB">
            <w:pPr>
              <w:spacing w:before="156" w:beforeLines="50" w:after="156" w:afterLines="50"/>
              <w:jc w:val="left"/>
              <w:rPr>
                <w:rFonts w:ascii="宋体"/>
                <w:kern w:val="0"/>
                <w:sz w:val="18"/>
                <w:szCs w:val="18"/>
              </w:rPr>
            </w:pPr>
          </w:p>
        </w:tc>
        <w:tc>
          <w:tcPr>
            <w:tcW w:w="1340" w:type="dxa"/>
            <w:vMerge w:val="continue"/>
            <w:vAlign w:val="center"/>
          </w:tcPr>
          <w:p w14:paraId="11D326A1">
            <w:pPr>
              <w:spacing w:before="156" w:beforeLines="50" w:after="156" w:afterLines="50"/>
              <w:jc w:val="left"/>
              <w:rPr>
                <w:rFonts w:ascii="宋体"/>
                <w:kern w:val="0"/>
                <w:sz w:val="18"/>
                <w:szCs w:val="18"/>
              </w:rPr>
            </w:pPr>
          </w:p>
        </w:tc>
        <w:tc>
          <w:tcPr>
            <w:tcW w:w="2487" w:type="dxa"/>
            <w:vMerge w:val="continue"/>
            <w:vAlign w:val="center"/>
          </w:tcPr>
          <w:p w14:paraId="054D6232">
            <w:pPr>
              <w:spacing w:before="156" w:beforeLines="50" w:after="156" w:afterLines="50"/>
              <w:jc w:val="left"/>
              <w:rPr>
                <w:rFonts w:ascii="宋体"/>
                <w:kern w:val="0"/>
                <w:sz w:val="18"/>
                <w:szCs w:val="18"/>
              </w:rPr>
            </w:pPr>
          </w:p>
        </w:tc>
        <w:tc>
          <w:tcPr>
            <w:tcW w:w="2600" w:type="dxa"/>
            <w:vMerge w:val="continue"/>
            <w:vAlign w:val="center"/>
          </w:tcPr>
          <w:p w14:paraId="1B244366">
            <w:pPr>
              <w:spacing w:before="156" w:beforeLines="50" w:after="156" w:afterLines="50"/>
              <w:jc w:val="left"/>
              <w:rPr>
                <w:rFonts w:ascii="宋体"/>
                <w:kern w:val="0"/>
                <w:sz w:val="18"/>
                <w:szCs w:val="18"/>
              </w:rPr>
            </w:pPr>
          </w:p>
        </w:tc>
        <w:tc>
          <w:tcPr>
            <w:tcW w:w="909" w:type="dxa"/>
            <w:vMerge w:val="continue"/>
            <w:vAlign w:val="center"/>
          </w:tcPr>
          <w:p w14:paraId="7AED5F83">
            <w:pPr>
              <w:spacing w:before="156" w:beforeLines="50" w:after="156" w:afterLines="50"/>
              <w:jc w:val="center"/>
              <w:rPr>
                <w:rFonts w:ascii="宋体"/>
                <w:kern w:val="0"/>
                <w:sz w:val="18"/>
                <w:szCs w:val="18"/>
              </w:rPr>
            </w:pPr>
          </w:p>
        </w:tc>
        <w:tc>
          <w:tcPr>
            <w:tcW w:w="4673" w:type="dxa"/>
            <w:vAlign w:val="center"/>
          </w:tcPr>
          <w:p w14:paraId="1DD81F6F">
            <w:pPr>
              <w:widowControl/>
              <w:spacing w:before="156" w:beforeLines="50" w:after="156" w:afterLines="50"/>
              <w:jc w:val="left"/>
              <w:rPr>
                <w:rFonts w:ascii="宋体"/>
                <w:kern w:val="0"/>
                <w:sz w:val="18"/>
                <w:szCs w:val="18"/>
              </w:rPr>
            </w:pPr>
            <w:r>
              <w:rPr>
                <w:rFonts w:hint="eastAsia" w:ascii="宋体"/>
                <w:kern w:val="0"/>
                <w:sz w:val="18"/>
                <w:szCs w:val="18"/>
              </w:rPr>
              <w:t>1.船舶未记录污染物排放情况达1个月及以上（船舶正常营运），但船舶能提供污染物接收证明等能证明船舶不存违法排污行为的证据的。</w:t>
            </w:r>
          </w:p>
          <w:p w14:paraId="7022584F">
            <w:pPr>
              <w:widowControl/>
              <w:spacing w:before="156" w:beforeLines="50" w:after="156" w:afterLines="50"/>
              <w:jc w:val="left"/>
              <w:rPr>
                <w:rFonts w:ascii="宋体"/>
                <w:kern w:val="0"/>
                <w:sz w:val="18"/>
                <w:szCs w:val="18"/>
              </w:rPr>
            </w:pPr>
            <w:r>
              <w:rPr>
                <w:rFonts w:hint="eastAsia" w:ascii="宋体"/>
                <w:kern w:val="0"/>
                <w:sz w:val="18"/>
                <w:szCs w:val="18"/>
              </w:rPr>
              <w:t>2.污染物排放记录错误或与事实不符的（3次及以上），但船舶能提供污染物接收证明等证明船舶不存违法排污行为的证据的。</w:t>
            </w:r>
          </w:p>
        </w:tc>
        <w:tc>
          <w:tcPr>
            <w:tcW w:w="5524" w:type="dxa"/>
            <w:vAlign w:val="center"/>
          </w:tcPr>
          <w:p w14:paraId="676B9241">
            <w:pPr>
              <w:spacing w:before="156" w:beforeLines="50" w:after="156" w:afterLines="50"/>
              <w:jc w:val="left"/>
              <w:rPr>
                <w:rFonts w:ascii="宋体"/>
                <w:kern w:val="0"/>
                <w:sz w:val="18"/>
                <w:szCs w:val="18"/>
              </w:rPr>
            </w:pPr>
            <w:r>
              <w:rPr>
                <w:rFonts w:ascii="宋体"/>
                <w:kern w:val="0"/>
                <w:sz w:val="18"/>
                <w:szCs w:val="18"/>
              </w:rPr>
              <w:t>5000</w:t>
            </w:r>
            <w:r>
              <w:rPr>
                <w:rFonts w:hint="eastAsia" w:ascii="宋体"/>
                <w:kern w:val="0"/>
                <w:sz w:val="18"/>
                <w:szCs w:val="18"/>
              </w:rPr>
              <w:t>元及以上</w:t>
            </w:r>
            <w:r>
              <w:rPr>
                <w:rFonts w:ascii="宋体"/>
                <w:kern w:val="0"/>
                <w:sz w:val="18"/>
                <w:szCs w:val="18"/>
              </w:rPr>
              <w:t>8000</w:t>
            </w:r>
            <w:r>
              <w:rPr>
                <w:rFonts w:hint="eastAsia" w:ascii="宋体"/>
                <w:kern w:val="0"/>
                <w:sz w:val="18"/>
                <w:szCs w:val="18"/>
              </w:rPr>
              <w:t>元以下</w:t>
            </w:r>
          </w:p>
        </w:tc>
      </w:tr>
      <w:tr w14:paraId="39A19F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46" w:hRule="atLeast"/>
        </w:trPr>
        <w:tc>
          <w:tcPr>
            <w:tcW w:w="861" w:type="dxa"/>
            <w:vMerge w:val="continue"/>
            <w:vAlign w:val="center"/>
          </w:tcPr>
          <w:p w14:paraId="06FB433B">
            <w:pPr>
              <w:spacing w:before="156" w:beforeLines="50" w:after="156" w:afterLines="50"/>
              <w:jc w:val="left"/>
              <w:rPr>
                <w:rFonts w:ascii="宋体"/>
                <w:kern w:val="0"/>
                <w:sz w:val="18"/>
                <w:szCs w:val="18"/>
              </w:rPr>
            </w:pPr>
          </w:p>
        </w:tc>
        <w:tc>
          <w:tcPr>
            <w:tcW w:w="1340" w:type="dxa"/>
            <w:vMerge w:val="continue"/>
            <w:vAlign w:val="center"/>
          </w:tcPr>
          <w:p w14:paraId="76DF8950">
            <w:pPr>
              <w:spacing w:before="156" w:beforeLines="50" w:after="156" w:afterLines="50"/>
              <w:jc w:val="left"/>
              <w:rPr>
                <w:rFonts w:ascii="宋体"/>
                <w:kern w:val="0"/>
                <w:sz w:val="18"/>
                <w:szCs w:val="18"/>
              </w:rPr>
            </w:pPr>
          </w:p>
        </w:tc>
        <w:tc>
          <w:tcPr>
            <w:tcW w:w="2487" w:type="dxa"/>
            <w:vMerge w:val="continue"/>
            <w:vAlign w:val="center"/>
          </w:tcPr>
          <w:p w14:paraId="333D2FF6">
            <w:pPr>
              <w:spacing w:before="156" w:beforeLines="50" w:after="156" w:afterLines="50"/>
              <w:jc w:val="left"/>
              <w:rPr>
                <w:rFonts w:ascii="宋体"/>
                <w:kern w:val="0"/>
                <w:sz w:val="18"/>
                <w:szCs w:val="18"/>
              </w:rPr>
            </w:pPr>
          </w:p>
        </w:tc>
        <w:tc>
          <w:tcPr>
            <w:tcW w:w="2600" w:type="dxa"/>
            <w:vMerge w:val="continue"/>
            <w:vAlign w:val="center"/>
          </w:tcPr>
          <w:p w14:paraId="0F4EDCE8">
            <w:pPr>
              <w:spacing w:before="156" w:beforeLines="50" w:after="156" w:afterLines="50"/>
              <w:jc w:val="left"/>
              <w:rPr>
                <w:rFonts w:ascii="宋体"/>
                <w:kern w:val="0"/>
                <w:sz w:val="18"/>
                <w:szCs w:val="18"/>
              </w:rPr>
            </w:pPr>
          </w:p>
        </w:tc>
        <w:tc>
          <w:tcPr>
            <w:tcW w:w="909" w:type="dxa"/>
            <w:vMerge w:val="continue"/>
            <w:vAlign w:val="center"/>
          </w:tcPr>
          <w:p w14:paraId="1EC5F5C7">
            <w:pPr>
              <w:spacing w:before="156" w:beforeLines="50" w:after="156" w:afterLines="50"/>
              <w:jc w:val="center"/>
              <w:rPr>
                <w:rFonts w:ascii="宋体"/>
                <w:kern w:val="0"/>
                <w:sz w:val="18"/>
                <w:szCs w:val="18"/>
              </w:rPr>
            </w:pPr>
          </w:p>
        </w:tc>
        <w:tc>
          <w:tcPr>
            <w:tcW w:w="4673" w:type="dxa"/>
            <w:vAlign w:val="center"/>
          </w:tcPr>
          <w:p w14:paraId="1BBD0D25">
            <w:pPr>
              <w:spacing w:before="156" w:beforeLines="50" w:after="156" w:afterLines="50"/>
              <w:jc w:val="left"/>
              <w:rPr>
                <w:rFonts w:ascii="宋体"/>
                <w:kern w:val="0"/>
                <w:sz w:val="18"/>
                <w:szCs w:val="18"/>
              </w:rPr>
            </w:pPr>
            <w:r>
              <w:rPr>
                <w:rFonts w:hint="eastAsia" w:ascii="宋体"/>
                <w:kern w:val="0"/>
                <w:sz w:val="18"/>
                <w:szCs w:val="18"/>
              </w:rPr>
              <w:t>1.船舶未记录污染物排放情况、记录错误或者记录情况与实际不符，存在排污嫌疑，但无确切证据证明其存在排污违法行为的。</w:t>
            </w:r>
          </w:p>
          <w:p w14:paraId="4F118FB4">
            <w:pPr>
              <w:spacing w:before="156" w:beforeLines="50" w:after="156" w:afterLines="50"/>
              <w:jc w:val="left"/>
              <w:rPr>
                <w:rFonts w:ascii="宋体"/>
                <w:kern w:val="0"/>
                <w:sz w:val="18"/>
                <w:szCs w:val="18"/>
              </w:rPr>
            </w:pPr>
            <w:r>
              <w:rPr>
                <w:rFonts w:hint="eastAsia" w:ascii="宋体"/>
                <w:kern w:val="0"/>
                <w:sz w:val="18"/>
                <w:szCs w:val="18"/>
              </w:rPr>
              <w:t>2.记录时故意弄虚作假的。</w:t>
            </w:r>
          </w:p>
        </w:tc>
        <w:tc>
          <w:tcPr>
            <w:tcW w:w="5524" w:type="dxa"/>
            <w:vAlign w:val="center"/>
          </w:tcPr>
          <w:p w14:paraId="69A2DA92">
            <w:pPr>
              <w:spacing w:before="156" w:beforeLines="50" w:after="156" w:afterLines="50"/>
              <w:jc w:val="left"/>
              <w:rPr>
                <w:rFonts w:ascii="宋体"/>
                <w:kern w:val="0"/>
                <w:sz w:val="18"/>
                <w:szCs w:val="18"/>
              </w:rPr>
            </w:pPr>
            <w:r>
              <w:rPr>
                <w:rFonts w:ascii="宋体"/>
                <w:kern w:val="0"/>
                <w:sz w:val="18"/>
                <w:szCs w:val="18"/>
              </w:rPr>
              <w:t>8000</w:t>
            </w:r>
            <w:r>
              <w:rPr>
                <w:rFonts w:hint="eastAsia" w:ascii="宋体"/>
                <w:kern w:val="0"/>
                <w:sz w:val="18"/>
                <w:szCs w:val="18"/>
              </w:rPr>
              <w:t>元及以上至</w:t>
            </w:r>
            <w:r>
              <w:rPr>
                <w:rFonts w:ascii="宋体"/>
                <w:kern w:val="0"/>
                <w:sz w:val="18"/>
                <w:szCs w:val="18"/>
              </w:rPr>
              <w:t>2</w:t>
            </w:r>
            <w:r>
              <w:rPr>
                <w:rFonts w:hint="eastAsia" w:ascii="宋体"/>
                <w:kern w:val="0"/>
                <w:sz w:val="18"/>
                <w:szCs w:val="18"/>
              </w:rPr>
              <w:t>万元</w:t>
            </w:r>
          </w:p>
        </w:tc>
      </w:tr>
    </w:tbl>
    <w:p w14:paraId="6E1F944A">
      <w:pPr>
        <w:spacing w:before="156" w:beforeLines="50" w:after="156" w:afterLines="50"/>
        <w:jc w:val="left"/>
        <w:rPr>
          <w:rFonts w:ascii="宋体"/>
          <w:b/>
          <w:sz w:val="18"/>
          <w:szCs w:val="18"/>
        </w:rPr>
      </w:pPr>
      <w:r>
        <w:rPr>
          <w:rFonts w:ascii="宋体"/>
          <w:b/>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429"/>
        <w:gridCol w:w="1428"/>
        <w:gridCol w:w="3000"/>
        <w:gridCol w:w="714"/>
        <w:gridCol w:w="3142"/>
        <w:gridCol w:w="3040"/>
        <w:gridCol w:w="3260"/>
        <w:gridCol w:w="2977"/>
      </w:tblGrid>
      <w:tr w14:paraId="353E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80" w:type="dxa"/>
            <w:vMerge w:val="restart"/>
            <w:vAlign w:val="center"/>
          </w:tcPr>
          <w:p w14:paraId="35359344">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29" w:type="dxa"/>
            <w:vMerge w:val="restart"/>
            <w:vAlign w:val="center"/>
          </w:tcPr>
          <w:p w14:paraId="3E81C8B1">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28" w:type="dxa"/>
            <w:gridSpan w:val="2"/>
            <w:vMerge w:val="restart"/>
            <w:vAlign w:val="center"/>
          </w:tcPr>
          <w:p w14:paraId="70FE4123">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4" w:type="dxa"/>
            <w:vMerge w:val="restart"/>
            <w:vAlign w:val="center"/>
          </w:tcPr>
          <w:p w14:paraId="374A99C3">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3142" w:type="dxa"/>
            <w:vMerge w:val="restart"/>
            <w:vAlign w:val="center"/>
          </w:tcPr>
          <w:p w14:paraId="1C1EE153">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9277" w:type="dxa"/>
            <w:gridSpan w:val="3"/>
            <w:tcBorders>
              <w:bottom w:val="single" w:color="auto" w:sz="4" w:space="0"/>
              <w:right w:val="single" w:color="auto" w:sz="4" w:space="0"/>
            </w:tcBorders>
            <w:vAlign w:val="center"/>
          </w:tcPr>
          <w:p w14:paraId="11C56A21">
            <w:pPr>
              <w:spacing w:before="156" w:beforeLines="50" w:after="156" w:afterLines="50"/>
              <w:jc w:val="left"/>
              <w:rPr>
                <w:rFonts w:ascii="宋体"/>
                <w:b/>
                <w:kern w:val="0"/>
                <w:sz w:val="18"/>
                <w:szCs w:val="18"/>
              </w:rPr>
            </w:pPr>
            <w:r>
              <w:rPr>
                <w:rFonts w:hint="eastAsia" w:ascii="宋体"/>
                <w:b/>
                <w:kern w:val="0"/>
                <w:sz w:val="18"/>
                <w:szCs w:val="18"/>
              </w:rPr>
              <w:t>【法定幅度和种类】责令限期改正，处二千元以上二万元以下的罚款；逾期不改正的，责令船舶临时停航。</w:t>
            </w:r>
          </w:p>
        </w:tc>
      </w:tr>
      <w:tr w14:paraId="0B65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32EA1988">
            <w:pPr>
              <w:spacing w:before="156" w:beforeLines="50" w:after="156" w:afterLines="50"/>
              <w:jc w:val="center"/>
              <w:rPr>
                <w:rFonts w:ascii="宋体"/>
                <w:b/>
                <w:kern w:val="0"/>
                <w:sz w:val="18"/>
                <w:szCs w:val="18"/>
              </w:rPr>
            </w:pPr>
          </w:p>
        </w:tc>
        <w:tc>
          <w:tcPr>
            <w:tcW w:w="1429" w:type="dxa"/>
            <w:vMerge w:val="continue"/>
            <w:vAlign w:val="center"/>
          </w:tcPr>
          <w:p w14:paraId="793C93EC">
            <w:pPr>
              <w:spacing w:before="156" w:beforeLines="50" w:after="156" w:afterLines="50"/>
              <w:jc w:val="center"/>
              <w:rPr>
                <w:rFonts w:ascii="宋体"/>
                <w:b/>
                <w:kern w:val="0"/>
                <w:sz w:val="18"/>
                <w:szCs w:val="18"/>
              </w:rPr>
            </w:pPr>
          </w:p>
        </w:tc>
        <w:tc>
          <w:tcPr>
            <w:tcW w:w="4428" w:type="dxa"/>
            <w:gridSpan w:val="2"/>
            <w:vMerge w:val="continue"/>
            <w:vAlign w:val="center"/>
          </w:tcPr>
          <w:p w14:paraId="517F79D7">
            <w:pPr>
              <w:spacing w:before="156" w:beforeLines="50" w:after="156" w:afterLines="50"/>
              <w:jc w:val="center"/>
              <w:rPr>
                <w:rFonts w:ascii="宋体"/>
                <w:b/>
                <w:kern w:val="0"/>
                <w:sz w:val="18"/>
                <w:szCs w:val="18"/>
              </w:rPr>
            </w:pPr>
          </w:p>
        </w:tc>
        <w:tc>
          <w:tcPr>
            <w:tcW w:w="714" w:type="dxa"/>
            <w:vMerge w:val="continue"/>
            <w:vAlign w:val="center"/>
          </w:tcPr>
          <w:p w14:paraId="4CCA269B">
            <w:pPr>
              <w:spacing w:before="156" w:beforeLines="50" w:after="156" w:afterLines="50"/>
              <w:jc w:val="left"/>
              <w:rPr>
                <w:rFonts w:ascii="宋体"/>
                <w:b/>
                <w:kern w:val="0"/>
                <w:sz w:val="18"/>
                <w:szCs w:val="18"/>
              </w:rPr>
            </w:pPr>
          </w:p>
        </w:tc>
        <w:tc>
          <w:tcPr>
            <w:tcW w:w="3142" w:type="dxa"/>
            <w:vMerge w:val="continue"/>
            <w:vAlign w:val="center"/>
          </w:tcPr>
          <w:p w14:paraId="19B329BF">
            <w:pPr>
              <w:spacing w:before="156" w:beforeLines="50" w:after="156" w:afterLines="50"/>
              <w:jc w:val="left"/>
              <w:rPr>
                <w:rFonts w:ascii="宋体"/>
                <w:b/>
                <w:kern w:val="0"/>
                <w:sz w:val="18"/>
                <w:szCs w:val="18"/>
              </w:rPr>
            </w:pPr>
          </w:p>
        </w:tc>
        <w:tc>
          <w:tcPr>
            <w:tcW w:w="9277" w:type="dxa"/>
            <w:gridSpan w:val="3"/>
            <w:tcBorders>
              <w:top w:val="single" w:color="auto" w:sz="4" w:space="0"/>
              <w:right w:val="single" w:color="auto" w:sz="4" w:space="0"/>
            </w:tcBorders>
            <w:vAlign w:val="center"/>
          </w:tcPr>
          <w:p w14:paraId="02D71793">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722C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5DBAC959">
            <w:pPr>
              <w:spacing w:before="156" w:beforeLines="50" w:after="156" w:afterLines="50"/>
              <w:jc w:val="center"/>
              <w:rPr>
                <w:rFonts w:ascii="宋体"/>
                <w:b/>
                <w:kern w:val="0"/>
                <w:sz w:val="18"/>
                <w:szCs w:val="18"/>
              </w:rPr>
            </w:pPr>
          </w:p>
        </w:tc>
        <w:tc>
          <w:tcPr>
            <w:tcW w:w="1429" w:type="dxa"/>
            <w:vMerge w:val="continue"/>
            <w:vAlign w:val="center"/>
          </w:tcPr>
          <w:p w14:paraId="66EB0994">
            <w:pPr>
              <w:spacing w:before="156" w:beforeLines="50" w:after="156" w:afterLines="50"/>
              <w:jc w:val="center"/>
              <w:rPr>
                <w:rFonts w:ascii="宋体"/>
                <w:b/>
                <w:kern w:val="0"/>
                <w:sz w:val="18"/>
                <w:szCs w:val="18"/>
              </w:rPr>
            </w:pPr>
          </w:p>
        </w:tc>
        <w:tc>
          <w:tcPr>
            <w:tcW w:w="1428" w:type="dxa"/>
            <w:vMerge w:val="restart"/>
            <w:vAlign w:val="center"/>
          </w:tcPr>
          <w:p w14:paraId="7CBB8EB3">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00" w:type="dxa"/>
            <w:vMerge w:val="restart"/>
            <w:vAlign w:val="center"/>
          </w:tcPr>
          <w:p w14:paraId="3D7CB26D">
            <w:pPr>
              <w:spacing w:before="156" w:beforeLines="50" w:after="156" w:afterLines="50"/>
              <w:jc w:val="center"/>
              <w:rPr>
                <w:rFonts w:ascii="宋体"/>
                <w:b/>
                <w:kern w:val="0"/>
                <w:sz w:val="18"/>
                <w:szCs w:val="18"/>
              </w:rPr>
            </w:pPr>
            <w:r>
              <w:rPr>
                <w:rFonts w:hint="eastAsia" w:ascii="宋体"/>
                <w:b/>
                <w:kern w:val="0"/>
                <w:sz w:val="18"/>
                <w:szCs w:val="18"/>
              </w:rPr>
              <w:t>处</w:t>
            </w:r>
            <w:r>
              <w:rPr>
                <w:rFonts w:ascii="宋体"/>
                <w:b/>
                <w:kern w:val="0"/>
                <w:sz w:val="18"/>
                <w:szCs w:val="18"/>
              </w:rPr>
              <w:t xml:space="preserve"> </w:t>
            </w:r>
            <w:r>
              <w:rPr>
                <w:rFonts w:hint="eastAsia" w:ascii="宋体"/>
                <w:b/>
                <w:kern w:val="0"/>
                <w:sz w:val="18"/>
                <w:szCs w:val="18"/>
              </w:rPr>
              <w:t>罚</w:t>
            </w:r>
            <w:r>
              <w:rPr>
                <w:rFonts w:ascii="宋体"/>
                <w:b/>
                <w:kern w:val="0"/>
                <w:sz w:val="18"/>
                <w:szCs w:val="18"/>
              </w:rPr>
              <w:t xml:space="preserve"> </w:t>
            </w:r>
            <w:r>
              <w:rPr>
                <w:rFonts w:hint="eastAsia" w:ascii="宋体"/>
                <w:b/>
                <w:kern w:val="0"/>
                <w:sz w:val="18"/>
                <w:szCs w:val="18"/>
              </w:rPr>
              <w:t>依</w:t>
            </w:r>
            <w:r>
              <w:rPr>
                <w:rFonts w:ascii="宋体"/>
                <w:b/>
                <w:kern w:val="0"/>
                <w:sz w:val="18"/>
                <w:szCs w:val="18"/>
              </w:rPr>
              <w:t xml:space="preserve"> </w:t>
            </w:r>
            <w:r>
              <w:rPr>
                <w:rFonts w:hint="eastAsia" w:ascii="宋体"/>
                <w:b/>
                <w:kern w:val="0"/>
                <w:sz w:val="18"/>
                <w:szCs w:val="18"/>
              </w:rPr>
              <w:t>据</w:t>
            </w:r>
          </w:p>
        </w:tc>
        <w:tc>
          <w:tcPr>
            <w:tcW w:w="714" w:type="dxa"/>
            <w:vMerge w:val="continue"/>
            <w:vAlign w:val="center"/>
          </w:tcPr>
          <w:p w14:paraId="6787048F">
            <w:pPr>
              <w:spacing w:before="156" w:beforeLines="50" w:after="156" w:afterLines="50"/>
              <w:jc w:val="left"/>
              <w:rPr>
                <w:rFonts w:ascii="宋体"/>
                <w:b/>
                <w:kern w:val="0"/>
                <w:sz w:val="18"/>
                <w:szCs w:val="18"/>
              </w:rPr>
            </w:pPr>
          </w:p>
        </w:tc>
        <w:tc>
          <w:tcPr>
            <w:tcW w:w="3142" w:type="dxa"/>
            <w:vMerge w:val="continue"/>
            <w:vAlign w:val="center"/>
          </w:tcPr>
          <w:p w14:paraId="64CF31AC">
            <w:pPr>
              <w:spacing w:before="156" w:beforeLines="50" w:after="156" w:afterLines="50"/>
              <w:jc w:val="left"/>
              <w:rPr>
                <w:rFonts w:ascii="宋体"/>
                <w:b/>
                <w:kern w:val="0"/>
                <w:sz w:val="18"/>
                <w:szCs w:val="18"/>
              </w:rPr>
            </w:pPr>
          </w:p>
        </w:tc>
        <w:tc>
          <w:tcPr>
            <w:tcW w:w="9277" w:type="dxa"/>
            <w:gridSpan w:val="3"/>
            <w:tcBorders>
              <w:top w:val="single" w:color="auto" w:sz="4" w:space="0"/>
              <w:bottom w:val="single" w:color="auto" w:sz="4" w:space="0"/>
              <w:right w:val="single" w:color="auto" w:sz="4" w:space="0"/>
            </w:tcBorders>
            <w:vAlign w:val="center"/>
          </w:tcPr>
          <w:p w14:paraId="122E312A">
            <w:pPr>
              <w:spacing w:before="156" w:beforeLines="50" w:after="156" w:afterLines="50"/>
              <w:jc w:val="center"/>
              <w:rPr>
                <w:rFonts w:ascii="宋体"/>
                <w:b/>
                <w:kern w:val="0"/>
                <w:sz w:val="18"/>
                <w:szCs w:val="18"/>
              </w:rPr>
            </w:pPr>
            <w:r>
              <w:rPr>
                <w:rFonts w:hint="eastAsia" w:ascii="宋体"/>
                <w:b/>
                <w:kern w:val="0"/>
                <w:sz w:val="18"/>
                <w:szCs w:val="18"/>
              </w:rPr>
              <w:t>【对象】船舶经营人或所有人</w:t>
            </w:r>
          </w:p>
        </w:tc>
      </w:tr>
      <w:tr w14:paraId="03C8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680" w:type="dxa"/>
            <w:vMerge w:val="continue"/>
            <w:vAlign w:val="center"/>
          </w:tcPr>
          <w:p w14:paraId="12DB0CB1">
            <w:pPr>
              <w:spacing w:before="156" w:beforeLines="50" w:after="156" w:afterLines="50"/>
              <w:jc w:val="left"/>
              <w:rPr>
                <w:rFonts w:ascii="宋体"/>
                <w:b/>
                <w:kern w:val="0"/>
                <w:sz w:val="18"/>
                <w:szCs w:val="18"/>
              </w:rPr>
            </w:pPr>
          </w:p>
        </w:tc>
        <w:tc>
          <w:tcPr>
            <w:tcW w:w="1429" w:type="dxa"/>
            <w:vMerge w:val="continue"/>
            <w:vAlign w:val="center"/>
          </w:tcPr>
          <w:p w14:paraId="4D2341EA">
            <w:pPr>
              <w:spacing w:before="156" w:beforeLines="50" w:after="156" w:afterLines="50"/>
              <w:jc w:val="left"/>
              <w:rPr>
                <w:rFonts w:ascii="宋体"/>
                <w:b/>
                <w:kern w:val="0"/>
                <w:sz w:val="18"/>
                <w:szCs w:val="18"/>
              </w:rPr>
            </w:pPr>
          </w:p>
        </w:tc>
        <w:tc>
          <w:tcPr>
            <w:tcW w:w="1428" w:type="dxa"/>
            <w:vMerge w:val="continue"/>
            <w:vAlign w:val="center"/>
          </w:tcPr>
          <w:p w14:paraId="429FA598">
            <w:pPr>
              <w:spacing w:before="156" w:beforeLines="50" w:after="156" w:afterLines="50"/>
              <w:jc w:val="left"/>
              <w:rPr>
                <w:rFonts w:ascii="宋体"/>
                <w:b/>
                <w:kern w:val="0"/>
                <w:sz w:val="18"/>
                <w:szCs w:val="18"/>
              </w:rPr>
            </w:pPr>
          </w:p>
        </w:tc>
        <w:tc>
          <w:tcPr>
            <w:tcW w:w="3000" w:type="dxa"/>
            <w:vMerge w:val="continue"/>
            <w:vAlign w:val="center"/>
          </w:tcPr>
          <w:p w14:paraId="70AFCC48">
            <w:pPr>
              <w:spacing w:before="156" w:beforeLines="50" w:after="156" w:afterLines="50"/>
              <w:jc w:val="left"/>
              <w:rPr>
                <w:rFonts w:ascii="宋体"/>
                <w:b/>
                <w:kern w:val="0"/>
                <w:sz w:val="18"/>
                <w:szCs w:val="18"/>
              </w:rPr>
            </w:pPr>
          </w:p>
        </w:tc>
        <w:tc>
          <w:tcPr>
            <w:tcW w:w="714" w:type="dxa"/>
            <w:vMerge w:val="continue"/>
            <w:vAlign w:val="center"/>
          </w:tcPr>
          <w:p w14:paraId="3CEE80C5">
            <w:pPr>
              <w:spacing w:before="156" w:beforeLines="50" w:after="156" w:afterLines="50"/>
              <w:jc w:val="left"/>
              <w:rPr>
                <w:rFonts w:ascii="宋体"/>
                <w:b/>
                <w:kern w:val="0"/>
                <w:sz w:val="18"/>
                <w:szCs w:val="18"/>
              </w:rPr>
            </w:pPr>
          </w:p>
        </w:tc>
        <w:tc>
          <w:tcPr>
            <w:tcW w:w="3142" w:type="dxa"/>
            <w:vMerge w:val="continue"/>
            <w:tcBorders>
              <w:bottom w:val="single" w:color="auto" w:sz="4" w:space="0"/>
            </w:tcBorders>
            <w:vAlign w:val="center"/>
          </w:tcPr>
          <w:p w14:paraId="678E001C">
            <w:pPr>
              <w:spacing w:before="156" w:beforeLines="50" w:after="156" w:afterLines="50"/>
              <w:jc w:val="left"/>
              <w:rPr>
                <w:rFonts w:ascii="宋体"/>
                <w:b/>
                <w:kern w:val="0"/>
                <w:sz w:val="18"/>
                <w:szCs w:val="18"/>
              </w:rPr>
            </w:pPr>
          </w:p>
        </w:tc>
        <w:tc>
          <w:tcPr>
            <w:tcW w:w="3040" w:type="dxa"/>
            <w:tcBorders>
              <w:top w:val="single" w:color="auto" w:sz="4" w:space="0"/>
              <w:bottom w:val="single" w:color="auto" w:sz="4" w:space="0"/>
              <w:right w:val="single" w:color="auto" w:sz="4" w:space="0"/>
            </w:tcBorders>
            <w:vAlign w:val="center"/>
          </w:tcPr>
          <w:p w14:paraId="4292856A">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3260" w:type="dxa"/>
            <w:tcBorders>
              <w:top w:val="single" w:color="auto" w:sz="4" w:space="0"/>
              <w:bottom w:val="single" w:color="auto" w:sz="4" w:space="0"/>
              <w:right w:val="single" w:color="auto" w:sz="4" w:space="0"/>
            </w:tcBorders>
            <w:vAlign w:val="center"/>
          </w:tcPr>
          <w:p w14:paraId="29385087">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977" w:type="dxa"/>
            <w:tcBorders>
              <w:top w:val="single" w:color="auto" w:sz="4" w:space="0"/>
              <w:bottom w:val="single" w:color="auto" w:sz="4" w:space="0"/>
              <w:right w:val="single" w:color="auto" w:sz="4" w:space="0"/>
            </w:tcBorders>
            <w:vAlign w:val="center"/>
          </w:tcPr>
          <w:p w14:paraId="636F357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23F9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80" w:type="dxa"/>
            <w:vMerge w:val="restart"/>
            <w:vAlign w:val="center"/>
          </w:tcPr>
          <w:p w14:paraId="1159EE13">
            <w:pPr>
              <w:spacing w:before="156" w:beforeLines="50" w:after="156" w:afterLines="50"/>
              <w:jc w:val="center"/>
              <w:rPr>
                <w:rFonts w:ascii="宋体"/>
                <w:kern w:val="0"/>
                <w:sz w:val="18"/>
                <w:szCs w:val="18"/>
              </w:rPr>
            </w:pPr>
            <w:r>
              <w:rPr>
                <w:rFonts w:hint="eastAsia" w:ascii="宋体"/>
                <w:kern w:val="0"/>
                <w:sz w:val="18"/>
                <w:szCs w:val="18"/>
              </w:rPr>
              <w:t>93</w:t>
            </w:r>
          </w:p>
        </w:tc>
        <w:tc>
          <w:tcPr>
            <w:tcW w:w="1429" w:type="dxa"/>
            <w:vMerge w:val="restart"/>
            <w:vAlign w:val="center"/>
          </w:tcPr>
          <w:p w14:paraId="74408182">
            <w:pPr>
              <w:spacing w:before="156" w:beforeLines="50" w:after="156" w:afterLines="50"/>
              <w:rPr>
                <w:sz w:val="18"/>
                <w:szCs w:val="18"/>
              </w:rPr>
            </w:pPr>
            <w:r>
              <w:rPr>
                <w:rFonts w:hint="eastAsia"/>
                <w:sz w:val="18"/>
                <w:szCs w:val="18"/>
              </w:rPr>
              <w:t>船舶未配置相应的防污染设备和器材</w:t>
            </w:r>
          </w:p>
        </w:tc>
        <w:tc>
          <w:tcPr>
            <w:tcW w:w="1428" w:type="dxa"/>
            <w:vMerge w:val="restart"/>
            <w:vAlign w:val="center"/>
          </w:tcPr>
          <w:p w14:paraId="62534790">
            <w:pPr>
              <w:widowControl/>
              <w:spacing w:before="156" w:beforeLines="50" w:after="156" w:afterLines="50"/>
              <w:rPr>
                <w:sz w:val="18"/>
                <w:szCs w:val="18"/>
              </w:rPr>
            </w:pPr>
            <w:r>
              <w:rPr>
                <w:rFonts w:hint="eastAsia"/>
                <w:sz w:val="18"/>
                <w:szCs w:val="18"/>
              </w:rPr>
              <w:t>《中华人民共和国水污染防治法》第六十条第一款</w:t>
            </w:r>
          </w:p>
        </w:tc>
        <w:tc>
          <w:tcPr>
            <w:tcW w:w="3000" w:type="dxa"/>
            <w:vMerge w:val="restart"/>
            <w:vAlign w:val="center"/>
          </w:tcPr>
          <w:p w14:paraId="623084FE">
            <w:pPr>
              <w:spacing w:before="156" w:beforeLines="50" w:after="156" w:afterLines="50"/>
              <w:rPr>
                <w:sz w:val="18"/>
                <w:szCs w:val="18"/>
              </w:rPr>
            </w:pPr>
            <w:r>
              <w:rPr>
                <w:rFonts w:hint="eastAsia"/>
                <w:sz w:val="18"/>
                <w:szCs w:val="18"/>
              </w:rPr>
              <w:t>1.《中华人民共和国水污染防治法》第八十九条第一款；</w:t>
            </w:r>
          </w:p>
          <w:p w14:paraId="71C1F65F">
            <w:pPr>
              <w:spacing w:before="156" w:beforeLines="50" w:after="156" w:afterLines="50"/>
              <w:rPr>
                <w:sz w:val="18"/>
                <w:szCs w:val="18"/>
              </w:rPr>
            </w:pPr>
            <w:r>
              <w:rPr>
                <w:rFonts w:ascii="宋体"/>
                <w:sz w:val="18"/>
                <w:szCs w:val="18"/>
              </w:rPr>
              <w:t>2.</w:t>
            </w:r>
            <w:r>
              <w:rPr>
                <w:rFonts w:hint="eastAsia" w:ascii="宋体"/>
                <w:sz w:val="18"/>
                <w:szCs w:val="18"/>
              </w:rPr>
              <w:t>《中华人民共和国行政处罚法》第三十二条（从轻）。</w:t>
            </w:r>
          </w:p>
        </w:tc>
        <w:tc>
          <w:tcPr>
            <w:tcW w:w="714" w:type="dxa"/>
            <w:vAlign w:val="center"/>
          </w:tcPr>
          <w:p w14:paraId="35C3CFB6">
            <w:pPr>
              <w:spacing w:before="156" w:beforeLines="50" w:after="156" w:afterLines="50"/>
              <w:jc w:val="left"/>
              <w:rPr>
                <w:rFonts w:ascii="宋体"/>
                <w:kern w:val="0"/>
                <w:sz w:val="18"/>
                <w:szCs w:val="18"/>
              </w:rPr>
            </w:pPr>
            <w:r>
              <w:rPr>
                <w:rFonts w:hint="eastAsia" w:ascii="宋体"/>
                <w:kern w:val="0"/>
                <w:sz w:val="18"/>
                <w:szCs w:val="18"/>
              </w:rPr>
              <w:t>从轻</w:t>
            </w:r>
          </w:p>
        </w:tc>
        <w:tc>
          <w:tcPr>
            <w:tcW w:w="3142" w:type="dxa"/>
            <w:tcBorders>
              <w:bottom w:val="single" w:color="auto" w:sz="4" w:space="0"/>
            </w:tcBorders>
            <w:vAlign w:val="center"/>
          </w:tcPr>
          <w:p w14:paraId="1C8ABEE5">
            <w:pPr>
              <w:widowControl/>
              <w:spacing w:before="156" w:beforeLines="50" w:after="156" w:afterLines="50"/>
              <w:rPr>
                <w:rFonts w:ascii="宋体"/>
                <w:kern w:val="0"/>
                <w:sz w:val="18"/>
                <w:szCs w:val="18"/>
              </w:rPr>
            </w:pPr>
            <w:r>
              <w:rPr>
                <w:rFonts w:hint="eastAsia"/>
                <w:sz w:val="18"/>
                <w:szCs w:val="18"/>
              </w:rPr>
              <w:t>具有法定从轻情节的。</w:t>
            </w:r>
          </w:p>
        </w:tc>
        <w:tc>
          <w:tcPr>
            <w:tcW w:w="3040" w:type="dxa"/>
            <w:tcBorders>
              <w:bottom w:val="single" w:color="auto" w:sz="4" w:space="0"/>
              <w:right w:val="single" w:color="auto" w:sz="4" w:space="0"/>
            </w:tcBorders>
            <w:vAlign w:val="center"/>
          </w:tcPr>
          <w:p w14:paraId="5E9C3745">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c>
          <w:tcPr>
            <w:tcW w:w="3260" w:type="dxa"/>
            <w:tcBorders>
              <w:bottom w:val="single" w:color="auto" w:sz="4" w:space="0"/>
              <w:right w:val="single" w:color="auto" w:sz="4" w:space="0"/>
            </w:tcBorders>
          </w:tcPr>
          <w:p w14:paraId="07805AB9">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c>
          <w:tcPr>
            <w:tcW w:w="2977" w:type="dxa"/>
            <w:tcBorders>
              <w:bottom w:val="single" w:color="auto" w:sz="4" w:space="0"/>
              <w:right w:val="single" w:color="auto" w:sz="4" w:space="0"/>
            </w:tcBorders>
          </w:tcPr>
          <w:p w14:paraId="5644B9A5">
            <w:pPr>
              <w:spacing w:before="156" w:beforeLines="50" w:after="156" w:afterLines="50"/>
              <w:rPr>
                <w:sz w:val="18"/>
                <w:szCs w:val="18"/>
              </w:rPr>
            </w:pPr>
            <w:r>
              <w:rPr>
                <w:sz w:val="18"/>
                <w:szCs w:val="18"/>
              </w:rPr>
              <w:t>2000</w:t>
            </w:r>
            <w:r>
              <w:rPr>
                <w:rFonts w:hint="eastAsia"/>
                <w:sz w:val="18"/>
                <w:szCs w:val="18"/>
              </w:rPr>
              <w:t>元及以上40</w:t>
            </w:r>
            <w:r>
              <w:rPr>
                <w:sz w:val="18"/>
                <w:szCs w:val="18"/>
              </w:rPr>
              <w:t>00</w:t>
            </w:r>
            <w:r>
              <w:rPr>
                <w:rFonts w:hint="eastAsia"/>
                <w:sz w:val="18"/>
                <w:szCs w:val="18"/>
              </w:rPr>
              <w:t>元以下</w:t>
            </w:r>
          </w:p>
        </w:tc>
      </w:tr>
      <w:tr w14:paraId="4EC8A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1CBFF62B">
            <w:pPr>
              <w:spacing w:before="156" w:beforeLines="50" w:after="156" w:afterLines="50"/>
              <w:jc w:val="left"/>
              <w:rPr>
                <w:rFonts w:ascii="宋体"/>
                <w:kern w:val="0"/>
                <w:sz w:val="18"/>
                <w:szCs w:val="18"/>
              </w:rPr>
            </w:pPr>
          </w:p>
        </w:tc>
        <w:tc>
          <w:tcPr>
            <w:tcW w:w="1429" w:type="dxa"/>
            <w:vMerge w:val="continue"/>
            <w:vAlign w:val="center"/>
          </w:tcPr>
          <w:p w14:paraId="44958B70">
            <w:pPr>
              <w:spacing w:before="156" w:beforeLines="50" w:after="156" w:afterLines="50"/>
              <w:jc w:val="left"/>
              <w:rPr>
                <w:rFonts w:ascii="宋体"/>
                <w:kern w:val="0"/>
                <w:sz w:val="18"/>
                <w:szCs w:val="18"/>
              </w:rPr>
            </w:pPr>
          </w:p>
        </w:tc>
        <w:tc>
          <w:tcPr>
            <w:tcW w:w="1428" w:type="dxa"/>
            <w:vMerge w:val="continue"/>
            <w:vAlign w:val="center"/>
          </w:tcPr>
          <w:p w14:paraId="65F589C8">
            <w:pPr>
              <w:widowControl/>
              <w:spacing w:before="156" w:beforeLines="50" w:after="156" w:afterLines="50"/>
              <w:jc w:val="left"/>
              <w:rPr>
                <w:rFonts w:ascii="宋体"/>
                <w:kern w:val="0"/>
                <w:sz w:val="18"/>
                <w:szCs w:val="18"/>
              </w:rPr>
            </w:pPr>
          </w:p>
        </w:tc>
        <w:tc>
          <w:tcPr>
            <w:tcW w:w="3000" w:type="dxa"/>
            <w:vMerge w:val="continue"/>
            <w:vAlign w:val="center"/>
          </w:tcPr>
          <w:p w14:paraId="16469ACB">
            <w:pPr>
              <w:spacing w:before="156" w:beforeLines="50" w:after="156" w:afterLines="50"/>
              <w:jc w:val="left"/>
              <w:rPr>
                <w:rFonts w:ascii="宋体"/>
                <w:kern w:val="0"/>
                <w:sz w:val="18"/>
                <w:szCs w:val="18"/>
              </w:rPr>
            </w:pPr>
          </w:p>
        </w:tc>
        <w:tc>
          <w:tcPr>
            <w:tcW w:w="714" w:type="dxa"/>
            <w:vMerge w:val="restart"/>
            <w:vAlign w:val="center"/>
          </w:tcPr>
          <w:p w14:paraId="28992D6B">
            <w:pPr>
              <w:spacing w:before="156" w:beforeLines="50" w:after="156" w:afterLines="50"/>
              <w:jc w:val="left"/>
              <w:rPr>
                <w:rFonts w:ascii="宋体"/>
                <w:kern w:val="0"/>
                <w:sz w:val="18"/>
                <w:szCs w:val="18"/>
              </w:rPr>
            </w:pPr>
            <w:r>
              <w:rPr>
                <w:rFonts w:hint="eastAsia" w:ascii="宋体"/>
                <w:kern w:val="0"/>
                <w:sz w:val="18"/>
                <w:szCs w:val="18"/>
              </w:rPr>
              <w:t>一般</w:t>
            </w:r>
          </w:p>
        </w:tc>
        <w:tc>
          <w:tcPr>
            <w:tcW w:w="3142" w:type="dxa"/>
            <w:vAlign w:val="center"/>
          </w:tcPr>
          <w:p w14:paraId="25429EBA">
            <w:pPr>
              <w:spacing w:before="156" w:beforeLines="50" w:after="156" w:afterLines="50"/>
              <w:rPr>
                <w:rFonts w:ascii="宋体"/>
                <w:kern w:val="0"/>
                <w:sz w:val="18"/>
                <w:szCs w:val="18"/>
              </w:rPr>
            </w:pPr>
            <w:r>
              <w:rPr>
                <w:rFonts w:hint="eastAsia"/>
                <w:sz w:val="18"/>
                <w:szCs w:val="18"/>
              </w:rPr>
              <w:t>船舶配置的防污染设备和器材数量不足；或配置的部分防污染设备和器材的功能、性能等不满足要求的。</w:t>
            </w:r>
          </w:p>
        </w:tc>
        <w:tc>
          <w:tcPr>
            <w:tcW w:w="3040" w:type="dxa"/>
            <w:tcBorders>
              <w:top w:val="single" w:color="auto" w:sz="4" w:space="0"/>
              <w:right w:val="single" w:color="auto" w:sz="4" w:space="0"/>
            </w:tcBorders>
            <w:vAlign w:val="center"/>
          </w:tcPr>
          <w:p w14:paraId="60089A56">
            <w:pPr>
              <w:spacing w:before="156" w:beforeLines="50" w:after="156" w:afterLines="50"/>
              <w:rPr>
                <w:sz w:val="18"/>
                <w:szCs w:val="18"/>
              </w:rPr>
            </w:pPr>
            <w:r>
              <w:rPr>
                <w:rFonts w:hint="eastAsia"/>
                <w:sz w:val="18"/>
                <w:szCs w:val="18"/>
              </w:rPr>
              <w:t>40</w:t>
            </w:r>
            <w:r>
              <w:rPr>
                <w:sz w:val="18"/>
                <w:szCs w:val="18"/>
              </w:rPr>
              <w:t>0</w:t>
            </w:r>
            <w:r>
              <w:rPr>
                <w:rFonts w:hint="eastAsia"/>
                <w:sz w:val="18"/>
                <w:szCs w:val="18"/>
              </w:rPr>
              <w:t>0元及以上60</w:t>
            </w:r>
            <w:r>
              <w:rPr>
                <w:sz w:val="18"/>
                <w:szCs w:val="18"/>
              </w:rPr>
              <w:t>00</w:t>
            </w:r>
            <w:r>
              <w:rPr>
                <w:rFonts w:hint="eastAsia"/>
                <w:sz w:val="18"/>
                <w:szCs w:val="18"/>
              </w:rPr>
              <w:t>元以下</w:t>
            </w:r>
          </w:p>
        </w:tc>
        <w:tc>
          <w:tcPr>
            <w:tcW w:w="3260" w:type="dxa"/>
            <w:tcBorders>
              <w:top w:val="single" w:color="auto" w:sz="4" w:space="0"/>
              <w:right w:val="single" w:color="auto" w:sz="4" w:space="0"/>
            </w:tcBorders>
            <w:vAlign w:val="center"/>
          </w:tcPr>
          <w:p w14:paraId="43474E0B">
            <w:pPr>
              <w:spacing w:before="156" w:beforeLines="50" w:after="156" w:afterLines="50"/>
              <w:rPr>
                <w:sz w:val="18"/>
                <w:szCs w:val="18"/>
              </w:rPr>
            </w:pPr>
            <w:r>
              <w:rPr>
                <w:rFonts w:hint="eastAsia"/>
                <w:sz w:val="18"/>
                <w:szCs w:val="18"/>
              </w:rPr>
              <w:t>40</w:t>
            </w:r>
            <w:r>
              <w:rPr>
                <w:sz w:val="18"/>
                <w:szCs w:val="18"/>
              </w:rPr>
              <w:t>00</w:t>
            </w:r>
            <w:r>
              <w:rPr>
                <w:rFonts w:hint="eastAsia"/>
                <w:sz w:val="18"/>
                <w:szCs w:val="18"/>
              </w:rPr>
              <w:t>元及以上70</w:t>
            </w:r>
            <w:r>
              <w:rPr>
                <w:sz w:val="18"/>
                <w:szCs w:val="18"/>
              </w:rPr>
              <w:t>00</w:t>
            </w:r>
            <w:r>
              <w:rPr>
                <w:rFonts w:hint="eastAsia"/>
                <w:sz w:val="18"/>
                <w:szCs w:val="18"/>
              </w:rPr>
              <w:t>元以下</w:t>
            </w:r>
          </w:p>
        </w:tc>
        <w:tc>
          <w:tcPr>
            <w:tcW w:w="2977" w:type="dxa"/>
            <w:tcBorders>
              <w:top w:val="single" w:color="auto" w:sz="4" w:space="0"/>
              <w:right w:val="single" w:color="auto" w:sz="4" w:space="0"/>
            </w:tcBorders>
            <w:vAlign w:val="center"/>
          </w:tcPr>
          <w:p w14:paraId="650912F0">
            <w:pPr>
              <w:spacing w:before="156" w:beforeLines="50" w:after="156" w:afterLines="50"/>
              <w:rPr>
                <w:sz w:val="18"/>
                <w:szCs w:val="18"/>
              </w:rPr>
            </w:pPr>
            <w:r>
              <w:rPr>
                <w:rFonts w:hint="eastAsia"/>
                <w:sz w:val="18"/>
                <w:szCs w:val="18"/>
              </w:rPr>
              <w:t>40</w:t>
            </w:r>
            <w:r>
              <w:rPr>
                <w:sz w:val="18"/>
                <w:szCs w:val="18"/>
              </w:rPr>
              <w:t>00</w:t>
            </w:r>
            <w:r>
              <w:rPr>
                <w:rFonts w:hint="eastAsia"/>
                <w:sz w:val="18"/>
                <w:szCs w:val="18"/>
              </w:rPr>
              <w:t>元及以上80</w:t>
            </w:r>
            <w:r>
              <w:rPr>
                <w:sz w:val="18"/>
                <w:szCs w:val="18"/>
              </w:rPr>
              <w:t>00</w:t>
            </w:r>
            <w:r>
              <w:rPr>
                <w:rFonts w:hint="eastAsia"/>
                <w:sz w:val="18"/>
                <w:szCs w:val="18"/>
              </w:rPr>
              <w:t>元以下</w:t>
            </w:r>
          </w:p>
        </w:tc>
      </w:tr>
      <w:tr w14:paraId="13DF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5DF072EE">
            <w:pPr>
              <w:spacing w:before="156" w:beforeLines="50" w:after="156" w:afterLines="50"/>
              <w:jc w:val="left"/>
              <w:rPr>
                <w:rFonts w:ascii="宋体"/>
                <w:kern w:val="0"/>
                <w:sz w:val="18"/>
                <w:szCs w:val="18"/>
              </w:rPr>
            </w:pPr>
          </w:p>
        </w:tc>
        <w:tc>
          <w:tcPr>
            <w:tcW w:w="1429" w:type="dxa"/>
            <w:vMerge w:val="continue"/>
            <w:vAlign w:val="center"/>
          </w:tcPr>
          <w:p w14:paraId="6AC4C026">
            <w:pPr>
              <w:spacing w:before="156" w:beforeLines="50" w:after="156" w:afterLines="50"/>
              <w:jc w:val="left"/>
              <w:rPr>
                <w:rFonts w:ascii="宋体"/>
                <w:kern w:val="0"/>
                <w:sz w:val="18"/>
                <w:szCs w:val="18"/>
              </w:rPr>
            </w:pPr>
          </w:p>
        </w:tc>
        <w:tc>
          <w:tcPr>
            <w:tcW w:w="1428" w:type="dxa"/>
            <w:vMerge w:val="continue"/>
            <w:vAlign w:val="center"/>
          </w:tcPr>
          <w:p w14:paraId="40642EAD">
            <w:pPr>
              <w:spacing w:before="156" w:beforeLines="50" w:after="156" w:afterLines="50"/>
              <w:jc w:val="left"/>
              <w:rPr>
                <w:rFonts w:ascii="宋体"/>
                <w:kern w:val="0"/>
                <w:sz w:val="18"/>
                <w:szCs w:val="18"/>
              </w:rPr>
            </w:pPr>
          </w:p>
        </w:tc>
        <w:tc>
          <w:tcPr>
            <w:tcW w:w="3000" w:type="dxa"/>
            <w:vMerge w:val="continue"/>
            <w:vAlign w:val="center"/>
          </w:tcPr>
          <w:p w14:paraId="56A95963">
            <w:pPr>
              <w:spacing w:before="156" w:beforeLines="50" w:after="156" w:afterLines="50"/>
              <w:jc w:val="left"/>
              <w:rPr>
                <w:rFonts w:ascii="宋体"/>
                <w:kern w:val="0"/>
                <w:sz w:val="18"/>
                <w:szCs w:val="18"/>
              </w:rPr>
            </w:pPr>
          </w:p>
        </w:tc>
        <w:tc>
          <w:tcPr>
            <w:tcW w:w="714" w:type="dxa"/>
            <w:vMerge w:val="continue"/>
            <w:vAlign w:val="center"/>
          </w:tcPr>
          <w:p w14:paraId="19B0C44B">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14:paraId="145579F5">
            <w:pPr>
              <w:spacing w:before="156" w:beforeLines="50" w:after="156" w:afterLines="50"/>
              <w:rPr>
                <w:sz w:val="18"/>
                <w:szCs w:val="18"/>
              </w:rPr>
            </w:pPr>
            <w:r>
              <w:rPr>
                <w:rFonts w:hint="eastAsia"/>
                <w:sz w:val="18"/>
                <w:szCs w:val="18"/>
              </w:rPr>
              <w:t>船舶未配置相应的防污染设备和器材的；或者，配置的防污染设备和器材的功能、性能等均不满足要求的。</w:t>
            </w:r>
          </w:p>
        </w:tc>
        <w:tc>
          <w:tcPr>
            <w:tcW w:w="3040" w:type="dxa"/>
            <w:tcBorders>
              <w:top w:val="single" w:color="auto" w:sz="4" w:space="0"/>
              <w:bottom w:val="single" w:color="auto" w:sz="4" w:space="0"/>
              <w:right w:val="single" w:color="auto" w:sz="4" w:space="0"/>
            </w:tcBorders>
            <w:vAlign w:val="center"/>
          </w:tcPr>
          <w:p w14:paraId="22D87AE4">
            <w:pPr>
              <w:spacing w:before="156" w:beforeLines="50" w:after="156" w:afterLines="50"/>
              <w:rPr>
                <w:sz w:val="18"/>
                <w:szCs w:val="18"/>
              </w:rPr>
            </w:pPr>
            <w:r>
              <w:rPr>
                <w:sz w:val="18"/>
                <w:szCs w:val="18"/>
              </w:rPr>
              <w:t>6</w:t>
            </w:r>
            <w:r>
              <w:rPr>
                <w:rFonts w:hint="eastAsia"/>
                <w:sz w:val="18"/>
                <w:szCs w:val="18"/>
              </w:rPr>
              <w:t>0</w:t>
            </w:r>
            <w:r>
              <w:rPr>
                <w:sz w:val="18"/>
                <w:szCs w:val="18"/>
              </w:rPr>
              <w:t>00</w:t>
            </w:r>
            <w:r>
              <w:rPr>
                <w:rFonts w:hint="eastAsia"/>
                <w:sz w:val="18"/>
                <w:szCs w:val="18"/>
              </w:rPr>
              <w:t>元及以上80</w:t>
            </w:r>
            <w:r>
              <w:rPr>
                <w:sz w:val="18"/>
                <w:szCs w:val="18"/>
              </w:rPr>
              <w:t>00</w:t>
            </w:r>
            <w:r>
              <w:rPr>
                <w:rFonts w:hint="eastAsia"/>
                <w:sz w:val="18"/>
                <w:szCs w:val="18"/>
              </w:rPr>
              <w:t>元以下</w:t>
            </w:r>
          </w:p>
        </w:tc>
        <w:tc>
          <w:tcPr>
            <w:tcW w:w="3260" w:type="dxa"/>
            <w:tcBorders>
              <w:top w:val="single" w:color="auto" w:sz="4" w:space="0"/>
              <w:bottom w:val="single" w:color="auto" w:sz="4" w:space="0"/>
              <w:right w:val="single" w:color="auto" w:sz="4" w:space="0"/>
            </w:tcBorders>
            <w:vAlign w:val="center"/>
          </w:tcPr>
          <w:p w14:paraId="208731CC">
            <w:pPr>
              <w:spacing w:before="156" w:beforeLines="50" w:after="156" w:afterLines="50"/>
              <w:rPr>
                <w:sz w:val="18"/>
                <w:szCs w:val="18"/>
              </w:rPr>
            </w:pPr>
            <w:r>
              <w:rPr>
                <w:rFonts w:hint="eastAsia"/>
                <w:sz w:val="18"/>
                <w:szCs w:val="18"/>
              </w:rPr>
              <w:t>70</w:t>
            </w:r>
            <w:r>
              <w:rPr>
                <w:sz w:val="18"/>
                <w:szCs w:val="18"/>
              </w:rPr>
              <w:t>00</w:t>
            </w:r>
            <w:r>
              <w:rPr>
                <w:rFonts w:hint="eastAsia"/>
                <w:sz w:val="18"/>
                <w:szCs w:val="18"/>
              </w:rPr>
              <w:t>元及以上90</w:t>
            </w:r>
            <w:r>
              <w:rPr>
                <w:sz w:val="18"/>
                <w:szCs w:val="18"/>
              </w:rPr>
              <w:t>00</w:t>
            </w:r>
            <w:r>
              <w:rPr>
                <w:rFonts w:hint="eastAsia"/>
                <w:sz w:val="18"/>
                <w:szCs w:val="18"/>
              </w:rPr>
              <w:t>元以下</w:t>
            </w:r>
          </w:p>
        </w:tc>
        <w:tc>
          <w:tcPr>
            <w:tcW w:w="2977" w:type="dxa"/>
            <w:tcBorders>
              <w:top w:val="single" w:color="auto" w:sz="4" w:space="0"/>
              <w:bottom w:val="single" w:color="auto" w:sz="4" w:space="0"/>
              <w:right w:val="single" w:color="auto" w:sz="4" w:space="0"/>
            </w:tcBorders>
            <w:vAlign w:val="center"/>
          </w:tcPr>
          <w:p w14:paraId="2E1D46AA">
            <w:pPr>
              <w:spacing w:before="156" w:beforeLines="50" w:after="156" w:afterLines="50"/>
              <w:rPr>
                <w:sz w:val="18"/>
                <w:szCs w:val="18"/>
              </w:rPr>
            </w:pPr>
            <w:r>
              <w:rPr>
                <w:rFonts w:hint="eastAsia"/>
                <w:sz w:val="18"/>
                <w:szCs w:val="18"/>
              </w:rPr>
              <w:t>80</w:t>
            </w:r>
            <w:r>
              <w:rPr>
                <w:sz w:val="18"/>
                <w:szCs w:val="18"/>
              </w:rPr>
              <w:t>00</w:t>
            </w:r>
            <w:r>
              <w:rPr>
                <w:rFonts w:hint="eastAsia"/>
                <w:sz w:val="18"/>
                <w:szCs w:val="18"/>
              </w:rPr>
              <w:t>元及以上1万元以下</w:t>
            </w:r>
          </w:p>
        </w:tc>
      </w:tr>
      <w:tr w14:paraId="5814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7986C2AC">
            <w:pPr>
              <w:spacing w:before="156" w:beforeLines="50" w:after="156" w:afterLines="50"/>
              <w:jc w:val="left"/>
              <w:rPr>
                <w:rFonts w:ascii="宋体"/>
                <w:kern w:val="0"/>
                <w:sz w:val="18"/>
                <w:szCs w:val="18"/>
              </w:rPr>
            </w:pPr>
          </w:p>
        </w:tc>
        <w:tc>
          <w:tcPr>
            <w:tcW w:w="1429" w:type="dxa"/>
            <w:vMerge w:val="continue"/>
            <w:vAlign w:val="center"/>
          </w:tcPr>
          <w:p w14:paraId="33FEBDF8">
            <w:pPr>
              <w:spacing w:before="156" w:beforeLines="50" w:after="156" w:afterLines="50"/>
              <w:jc w:val="left"/>
              <w:rPr>
                <w:rFonts w:ascii="宋体"/>
                <w:kern w:val="0"/>
                <w:sz w:val="18"/>
                <w:szCs w:val="18"/>
              </w:rPr>
            </w:pPr>
          </w:p>
        </w:tc>
        <w:tc>
          <w:tcPr>
            <w:tcW w:w="1428" w:type="dxa"/>
            <w:vMerge w:val="continue"/>
            <w:vAlign w:val="center"/>
          </w:tcPr>
          <w:p w14:paraId="0DE06457">
            <w:pPr>
              <w:spacing w:before="156" w:beforeLines="50" w:after="156" w:afterLines="50"/>
              <w:jc w:val="left"/>
              <w:rPr>
                <w:rFonts w:ascii="宋体"/>
                <w:kern w:val="0"/>
                <w:sz w:val="18"/>
                <w:szCs w:val="18"/>
              </w:rPr>
            </w:pPr>
          </w:p>
        </w:tc>
        <w:tc>
          <w:tcPr>
            <w:tcW w:w="3000" w:type="dxa"/>
            <w:vMerge w:val="continue"/>
            <w:vAlign w:val="center"/>
          </w:tcPr>
          <w:p w14:paraId="1016291E">
            <w:pPr>
              <w:spacing w:before="156" w:beforeLines="50" w:after="156" w:afterLines="50"/>
              <w:jc w:val="left"/>
              <w:rPr>
                <w:rFonts w:ascii="宋体"/>
                <w:kern w:val="0"/>
                <w:sz w:val="18"/>
                <w:szCs w:val="18"/>
              </w:rPr>
            </w:pPr>
          </w:p>
        </w:tc>
        <w:tc>
          <w:tcPr>
            <w:tcW w:w="714" w:type="dxa"/>
            <w:vMerge w:val="continue"/>
            <w:tcBorders>
              <w:bottom w:val="single" w:color="auto" w:sz="4" w:space="0"/>
            </w:tcBorders>
            <w:vAlign w:val="center"/>
          </w:tcPr>
          <w:p w14:paraId="2AACD4FB">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14:paraId="4E2A86A0">
            <w:pPr>
              <w:spacing w:before="156" w:beforeLines="50" w:after="156" w:afterLines="50"/>
              <w:rPr>
                <w:sz w:val="18"/>
                <w:szCs w:val="18"/>
              </w:rPr>
            </w:pPr>
            <w:r>
              <w:rPr>
                <w:rFonts w:hint="eastAsia"/>
                <w:sz w:val="18"/>
                <w:szCs w:val="18"/>
              </w:rPr>
              <w:t>船舶未配置相应的防污染设备和器材，造成污染事故，或者造成不良社会影响的。</w:t>
            </w:r>
          </w:p>
        </w:tc>
        <w:tc>
          <w:tcPr>
            <w:tcW w:w="3040" w:type="dxa"/>
            <w:tcBorders>
              <w:top w:val="single" w:color="auto" w:sz="4" w:space="0"/>
              <w:bottom w:val="single" w:color="auto" w:sz="4" w:space="0"/>
              <w:right w:val="single" w:color="auto" w:sz="4" w:space="0"/>
            </w:tcBorders>
            <w:vAlign w:val="center"/>
          </w:tcPr>
          <w:p w14:paraId="4DDD7E30">
            <w:pPr>
              <w:spacing w:before="156" w:beforeLines="50" w:after="156" w:afterLines="50"/>
              <w:rPr>
                <w:sz w:val="18"/>
                <w:szCs w:val="18"/>
              </w:rPr>
            </w:pPr>
            <w:r>
              <w:rPr>
                <w:rFonts w:hint="eastAsia"/>
                <w:sz w:val="18"/>
                <w:szCs w:val="18"/>
              </w:rPr>
              <w:t>8000元及以上</w:t>
            </w:r>
            <w:r>
              <w:rPr>
                <w:sz w:val="18"/>
                <w:szCs w:val="18"/>
              </w:rPr>
              <w:t>2</w:t>
            </w:r>
            <w:r>
              <w:rPr>
                <w:rFonts w:hint="eastAsia"/>
                <w:sz w:val="18"/>
                <w:szCs w:val="18"/>
              </w:rPr>
              <w:t>万元及以下</w:t>
            </w:r>
          </w:p>
        </w:tc>
        <w:tc>
          <w:tcPr>
            <w:tcW w:w="3260" w:type="dxa"/>
            <w:tcBorders>
              <w:top w:val="single" w:color="auto" w:sz="4" w:space="0"/>
              <w:bottom w:val="single" w:color="auto" w:sz="4" w:space="0"/>
              <w:right w:val="single" w:color="auto" w:sz="4" w:space="0"/>
            </w:tcBorders>
            <w:vAlign w:val="center"/>
          </w:tcPr>
          <w:p w14:paraId="6F30E4CC">
            <w:pPr>
              <w:spacing w:before="156" w:beforeLines="50" w:after="156" w:afterLines="50"/>
              <w:rPr>
                <w:sz w:val="18"/>
                <w:szCs w:val="18"/>
              </w:rPr>
            </w:pPr>
            <w:r>
              <w:rPr>
                <w:rFonts w:hint="eastAsia"/>
                <w:sz w:val="18"/>
                <w:szCs w:val="18"/>
              </w:rPr>
              <w:t>9000元及以上</w:t>
            </w:r>
            <w:r>
              <w:rPr>
                <w:sz w:val="18"/>
                <w:szCs w:val="18"/>
              </w:rPr>
              <w:t>2</w:t>
            </w:r>
            <w:r>
              <w:rPr>
                <w:rFonts w:hint="eastAsia"/>
                <w:sz w:val="18"/>
                <w:szCs w:val="18"/>
              </w:rPr>
              <w:t>万元及以下</w:t>
            </w:r>
          </w:p>
        </w:tc>
        <w:tc>
          <w:tcPr>
            <w:tcW w:w="2977" w:type="dxa"/>
            <w:tcBorders>
              <w:top w:val="single" w:color="auto" w:sz="4" w:space="0"/>
              <w:bottom w:val="single" w:color="auto" w:sz="4" w:space="0"/>
              <w:right w:val="single" w:color="auto" w:sz="4" w:space="0"/>
            </w:tcBorders>
            <w:vAlign w:val="center"/>
          </w:tcPr>
          <w:p w14:paraId="6AF0D038">
            <w:pPr>
              <w:spacing w:before="156" w:beforeLines="50" w:after="156" w:afterLines="50"/>
              <w:rPr>
                <w:sz w:val="18"/>
                <w:szCs w:val="18"/>
              </w:rPr>
            </w:pPr>
            <w:r>
              <w:rPr>
                <w:sz w:val="18"/>
                <w:szCs w:val="18"/>
              </w:rPr>
              <w:t>1.</w:t>
            </w:r>
            <w:r>
              <w:rPr>
                <w:rFonts w:hint="eastAsia"/>
                <w:sz w:val="18"/>
                <w:szCs w:val="18"/>
              </w:rPr>
              <w:t>万元及以上</w:t>
            </w:r>
            <w:r>
              <w:rPr>
                <w:sz w:val="18"/>
                <w:szCs w:val="18"/>
              </w:rPr>
              <w:t>2</w:t>
            </w:r>
            <w:r>
              <w:rPr>
                <w:rFonts w:hint="eastAsia"/>
                <w:sz w:val="18"/>
                <w:szCs w:val="18"/>
              </w:rPr>
              <w:t>万元及以下</w:t>
            </w:r>
          </w:p>
        </w:tc>
      </w:tr>
    </w:tbl>
    <w:p w14:paraId="275B61CF">
      <w:pPr>
        <w:widowControl/>
        <w:jc w:val="left"/>
        <w:rPr>
          <w:rFonts w:ascii="宋体"/>
          <w:b/>
          <w:sz w:val="18"/>
          <w:szCs w:val="18"/>
        </w:rPr>
      </w:pPr>
      <w:r>
        <w:rPr>
          <w:rFonts w:ascii="宋体"/>
          <w:b/>
          <w:sz w:val="18"/>
          <w:szCs w:val="18"/>
        </w:rPr>
        <w:br w:type="page"/>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713"/>
        <w:gridCol w:w="1486"/>
        <w:gridCol w:w="2472"/>
        <w:gridCol w:w="726"/>
        <w:gridCol w:w="4250"/>
        <w:gridCol w:w="9439"/>
      </w:tblGrid>
      <w:tr w14:paraId="4E3F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2C889417">
            <w:pPr>
              <w:spacing w:before="156" w:beforeLines="50" w:after="156" w:afterLines="50"/>
              <w:jc w:val="center"/>
              <w:rPr>
                <w:b/>
                <w:sz w:val="18"/>
                <w:szCs w:val="18"/>
              </w:rPr>
            </w:pPr>
            <w:r>
              <w:rPr>
                <w:rFonts w:hint="eastAsia"/>
                <w:b/>
                <w:sz w:val="18"/>
                <w:szCs w:val="18"/>
              </w:rPr>
              <w:t>序号</w:t>
            </w:r>
          </w:p>
        </w:tc>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02B7AC0F">
            <w:pPr>
              <w:spacing w:before="156" w:beforeLines="50" w:after="156" w:afterLines="50"/>
              <w:jc w:val="center"/>
              <w:rPr>
                <w:b/>
                <w:sz w:val="18"/>
                <w:szCs w:val="18"/>
              </w:rPr>
            </w:pPr>
            <w:r>
              <w:rPr>
                <w:rFonts w:hint="eastAsia"/>
                <w:b/>
                <w:sz w:val="18"/>
                <w:szCs w:val="18"/>
              </w:rPr>
              <w:t>案由</w:t>
            </w:r>
          </w:p>
        </w:tc>
        <w:tc>
          <w:tcPr>
            <w:tcW w:w="395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0BB649C">
            <w:pPr>
              <w:spacing w:before="156" w:beforeLines="50" w:after="156" w:afterLines="50"/>
              <w:jc w:val="center"/>
              <w:rPr>
                <w:b/>
                <w:sz w:val="18"/>
                <w:szCs w:val="18"/>
              </w:rPr>
            </w:pPr>
            <w:r>
              <w:rPr>
                <w:rFonts w:hint="eastAsia"/>
                <w:b/>
                <w:sz w:val="18"/>
                <w:szCs w:val="18"/>
              </w:rPr>
              <w:t>法律依据</w:t>
            </w: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14:paraId="7371F3C6">
            <w:pPr>
              <w:spacing w:before="156" w:beforeLines="50" w:after="156" w:afterLines="50"/>
              <w:jc w:val="center"/>
              <w:rPr>
                <w:b/>
                <w:sz w:val="18"/>
                <w:szCs w:val="18"/>
              </w:rPr>
            </w:pPr>
            <w:r>
              <w:rPr>
                <w:rFonts w:hint="eastAsia"/>
                <w:b/>
                <w:sz w:val="18"/>
                <w:szCs w:val="18"/>
              </w:rPr>
              <w:t>违法情节</w:t>
            </w:r>
          </w:p>
        </w:tc>
        <w:tc>
          <w:tcPr>
            <w:tcW w:w="4250" w:type="dxa"/>
            <w:vMerge w:val="restart"/>
            <w:tcBorders>
              <w:top w:val="single" w:color="000000" w:sz="4" w:space="0"/>
              <w:left w:val="single" w:color="000000" w:sz="4" w:space="0"/>
              <w:bottom w:val="single" w:color="000000" w:sz="4" w:space="0"/>
              <w:right w:val="single" w:color="000000" w:sz="4" w:space="0"/>
            </w:tcBorders>
            <w:vAlign w:val="center"/>
          </w:tcPr>
          <w:p w14:paraId="5AA29601">
            <w:pPr>
              <w:spacing w:before="156" w:beforeLines="50" w:after="156" w:afterLines="50"/>
              <w:jc w:val="left"/>
              <w:rPr>
                <w:b/>
                <w:sz w:val="18"/>
                <w:szCs w:val="18"/>
              </w:rPr>
            </w:pPr>
            <w:r>
              <w:rPr>
                <w:rFonts w:hint="eastAsia"/>
                <w:b/>
                <w:sz w:val="18"/>
                <w:szCs w:val="18"/>
              </w:rPr>
              <w:t>主要考虑因素（事实、性质、情节、危害程度和实际后果等）</w:t>
            </w:r>
          </w:p>
        </w:tc>
        <w:tc>
          <w:tcPr>
            <w:tcW w:w="9439" w:type="dxa"/>
            <w:tcBorders>
              <w:top w:val="single" w:color="000000" w:sz="4" w:space="0"/>
              <w:left w:val="single" w:color="000000" w:sz="4" w:space="0"/>
              <w:bottom w:val="single" w:color="auto" w:sz="4" w:space="0"/>
              <w:right w:val="single" w:color="auto" w:sz="4" w:space="0"/>
            </w:tcBorders>
            <w:vAlign w:val="center"/>
          </w:tcPr>
          <w:p w14:paraId="2DBE1B20">
            <w:pPr>
              <w:spacing w:before="156" w:beforeLines="50" w:after="156" w:afterLines="50"/>
              <w:jc w:val="center"/>
              <w:rPr>
                <w:b/>
                <w:sz w:val="18"/>
                <w:szCs w:val="18"/>
              </w:rPr>
            </w:pPr>
            <w:r>
              <w:rPr>
                <w:rFonts w:hint="eastAsia"/>
                <w:b/>
                <w:sz w:val="18"/>
                <w:szCs w:val="18"/>
              </w:rPr>
              <w:t>【法定幅度和种类】责令停止违法行为，处以5000元以上5万元以下的罚款。</w:t>
            </w:r>
          </w:p>
        </w:tc>
      </w:tr>
      <w:tr w14:paraId="1E1D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639587C9">
            <w:pPr>
              <w:spacing w:before="156" w:beforeLines="50" w:after="156" w:afterLines="50"/>
              <w:jc w:val="center"/>
              <w:rPr>
                <w:b/>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604F1593">
            <w:pPr>
              <w:spacing w:before="156" w:beforeLines="50" w:after="156" w:afterLines="50"/>
              <w:jc w:val="center"/>
              <w:rPr>
                <w:b/>
                <w:sz w:val="18"/>
                <w:szCs w:val="18"/>
              </w:rPr>
            </w:pPr>
          </w:p>
        </w:tc>
        <w:tc>
          <w:tcPr>
            <w:tcW w:w="395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9FA355">
            <w:pPr>
              <w:spacing w:before="156" w:beforeLines="50" w:after="156" w:afterLines="50"/>
              <w:jc w:val="center"/>
              <w:rPr>
                <w:b/>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14:paraId="320D690B">
            <w:pPr>
              <w:spacing w:before="156" w:beforeLines="50" w:after="156" w:afterLines="50"/>
              <w:jc w:val="left"/>
              <w:rPr>
                <w:b/>
                <w:sz w:val="18"/>
                <w:szCs w:val="18"/>
              </w:rPr>
            </w:pPr>
          </w:p>
        </w:tc>
        <w:tc>
          <w:tcPr>
            <w:tcW w:w="4250" w:type="dxa"/>
            <w:vMerge w:val="continue"/>
            <w:tcBorders>
              <w:top w:val="single" w:color="000000" w:sz="4" w:space="0"/>
              <w:left w:val="single" w:color="000000" w:sz="4" w:space="0"/>
              <w:bottom w:val="single" w:color="000000" w:sz="4" w:space="0"/>
              <w:right w:val="single" w:color="000000" w:sz="4" w:space="0"/>
            </w:tcBorders>
            <w:vAlign w:val="center"/>
          </w:tcPr>
          <w:p w14:paraId="7B7A18E0">
            <w:pPr>
              <w:spacing w:before="156" w:beforeLines="50" w:after="156" w:afterLines="50"/>
              <w:jc w:val="left"/>
              <w:rPr>
                <w:b/>
                <w:sz w:val="18"/>
                <w:szCs w:val="18"/>
              </w:rPr>
            </w:pPr>
          </w:p>
        </w:tc>
        <w:tc>
          <w:tcPr>
            <w:tcW w:w="9439" w:type="dxa"/>
            <w:tcBorders>
              <w:top w:val="single" w:color="auto" w:sz="4" w:space="0"/>
              <w:left w:val="single" w:color="000000" w:sz="4" w:space="0"/>
              <w:bottom w:val="single" w:color="auto" w:sz="4" w:space="0"/>
              <w:right w:val="single" w:color="auto" w:sz="4" w:space="0"/>
            </w:tcBorders>
            <w:vAlign w:val="center"/>
          </w:tcPr>
          <w:p w14:paraId="456EFB8A">
            <w:pPr>
              <w:spacing w:before="156" w:beforeLines="50" w:after="156" w:afterLines="50"/>
              <w:jc w:val="center"/>
              <w:rPr>
                <w:b/>
                <w:sz w:val="18"/>
                <w:szCs w:val="18"/>
              </w:rPr>
            </w:pPr>
            <w:r>
              <w:rPr>
                <w:rFonts w:hint="eastAsia"/>
                <w:b/>
                <w:sz w:val="18"/>
                <w:szCs w:val="18"/>
              </w:rPr>
              <w:t>处罚基准</w:t>
            </w:r>
          </w:p>
        </w:tc>
      </w:tr>
      <w:tr w14:paraId="27F2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704CE440">
            <w:pPr>
              <w:spacing w:before="156" w:beforeLines="50" w:after="156" w:afterLines="50"/>
              <w:jc w:val="center"/>
              <w:rPr>
                <w:b/>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613EBE88">
            <w:pPr>
              <w:spacing w:before="156" w:beforeLines="50" w:after="156" w:afterLines="50"/>
              <w:jc w:val="center"/>
              <w:rPr>
                <w:b/>
                <w:sz w:val="18"/>
                <w:szCs w:val="18"/>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2700576">
            <w:pPr>
              <w:spacing w:before="156" w:beforeLines="50" w:after="156" w:afterLines="50"/>
              <w:jc w:val="center"/>
              <w:rPr>
                <w:b/>
                <w:sz w:val="18"/>
                <w:szCs w:val="18"/>
              </w:rPr>
            </w:pPr>
            <w:r>
              <w:rPr>
                <w:rFonts w:hint="eastAsia"/>
                <w:b/>
                <w:sz w:val="18"/>
                <w:szCs w:val="18"/>
              </w:rPr>
              <w:t>违反条款</w:t>
            </w:r>
          </w:p>
        </w:tc>
        <w:tc>
          <w:tcPr>
            <w:tcW w:w="2472" w:type="dxa"/>
            <w:tcBorders>
              <w:top w:val="single" w:color="000000" w:sz="4" w:space="0"/>
              <w:left w:val="single" w:color="000000" w:sz="4" w:space="0"/>
              <w:bottom w:val="single" w:color="000000" w:sz="4" w:space="0"/>
              <w:right w:val="single" w:color="000000" w:sz="4" w:space="0"/>
            </w:tcBorders>
            <w:vAlign w:val="center"/>
          </w:tcPr>
          <w:p w14:paraId="2ABCFFC8">
            <w:pPr>
              <w:spacing w:before="156" w:beforeLines="50" w:after="156" w:afterLines="50"/>
              <w:jc w:val="center"/>
              <w:rPr>
                <w:b/>
                <w:sz w:val="18"/>
                <w:szCs w:val="18"/>
              </w:rPr>
            </w:pPr>
            <w:r>
              <w:rPr>
                <w:rFonts w:hint="eastAsia"/>
                <w:b/>
                <w:sz w:val="18"/>
                <w:szCs w:val="18"/>
              </w:rPr>
              <w:t>处罚依据</w:t>
            </w: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14:paraId="2753912E">
            <w:pPr>
              <w:spacing w:before="156" w:beforeLines="50" w:after="156" w:afterLines="50"/>
              <w:jc w:val="left"/>
              <w:rPr>
                <w:b/>
                <w:sz w:val="18"/>
                <w:szCs w:val="18"/>
              </w:rPr>
            </w:pPr>
          </w:p>
        </w:tc>
        <w:tc>
          <w:tcPr>
            <w:tcW w:w="4250" w:type="dxa"/>
            <w:vMerge w:val="continue"/>
            <w:tcBorders>
              <w:top w:val="single" w:color="000000" w:sz="4" w:space="0"/>
              <w:left w:val="single" w:color="000000" w:sz="4" w:space="0"/>
              <w:bottom w:val="single" w:color="000000" w:sz="4" w:space="0"/>
              <w:right w:val="single" w:color="000000" w:sz="4" w:space="0"/>
            </w:tcBorders>
            <w:vAlign w:val="center"/>
          </w:tcPr>
          <w:p w14:paraId="492BA28B">
            <w:pPr>
              <w:spacing w:before="156" w:beforeLines="50" w:after="156" w:afterLines="50"/>
              <w:jc w:val="left"/>
              <w:rPr>
                <w:b/>
                <w:sz w:val="18"/>
                <w:szCs w:val="18"/>
              </w:rPr>
            </w:pPr>
          </w:p>
        </w:tc>
        <w:tc>
          <w:tcPr>
            <w:tcW w:w="9439" w:type="dxa"/>
            <w:tcBorders>
              <w:top w:val="single" w:color="auto" w:sz="4" w:space="0"/>
              <w:left w:val="single" w:color="000000" w:sz="4" w:space="0"/>
              <w:bottom w:val="single" w:color="auto" w:sz="4" w:space="0"/>
              <w:right w:val="single" w:color="auto" w:sz="4" w:space="0"/>
            </w:tcBorders>
            <w:vAlign w:val="center"/>
          </w:tcPr>
          <w:p w14:paraId="2C849562">
            <w:pPr>
              <w:spacing w:before="156" w:beforeLines="50" w:after="156" w:afterLines="50"/>
              <w:jc w:val="left"/>
              <w:rPr>
                <w:b/>
                <w:sz w:val="18"/>
                <w:szCs w:val="18"/>
              </w:rPr>
            </w:pPr>
            <w:r>
              <w:rPr>
                <w:rFonts w:hint="eastAsia"/>
                <w:b/>
                <w:sz w:val="18"/>
                <w:szCs w:val="18"/>
              </w:rPr>
              <w:t>【对象】船舶所有人或经营人</w:t>
            </w:r>
          </w:p>
        </w:tc>
      </w:tr>
      <w:tr w14:paraId="7390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1B9ED50F">
            <w:pPr>
              <w:spacing w:before="156" w:beforeLines="50" w:after="156" w:afterLines="50"/>
              <w:jc w:val="center"/>
              <w:rPr>
                <w:sz w:val="18"/>
                <w:szCs w:val="18"/>
              </w:rPr>
            </w:pPr>
            <w:r>
              <w:rPr>
                <w:rFonts w:hint="eastAsia"/>
                <w:sz w:val="18"/>
                <w:szCs w:val="18"/>
              </w:rPr>
              <w:t>94</w:t>
            </w:r>
          </w:p>
        </w:tc>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2678365F">
            <w:pPr>
              <w:pStyle w:val="13"/>
              <w:spacing w:before="156" w:beforeLines="50" w:after="156" w:afterLines="50"/>
              <w:rPr>
                <w:sz w:val="18"/>
                <w:szCs w:val="18"/>
              </w:rPr>
            </w:pPr>
            <w:r>
              <w:rPr>
                <w:rFonts w:hint="eastAsia"/>
                <w:sz w:val="18"/>
                <w:szCs w:val="18"/>
              </w:rPr>
              <w:t>未经作业地海事管理机构批准，船舶进行散装液体污染危害性货物的过驳作业</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1305E4AA">
            <w:pPr>
              <w:pStyle w:val="13"/>
              <w:spacing w:before="156" w:beforeLines="50" w:after="156" w:afterLines="50"/>
              <w:rPr>
                <w:sz w:val="18"/>
                <w:szCs w:val="18"/>
              </w:rPr>
            </w:pPr>
            <w:r>
              <w:rPr>
                <w:rFonts w:hint="eastAsia"/>
                <w:sz w:val="18"/>
                <w:szCs w:val="18"/>
              </w:rPr>
              <w:t>《中华人民共和国水污染防治法》第六十二条第二款</w:t>
            </w:r>
          </w:p>
        </w:tc>
        <w:tc>
          <w:tcPr>
            <w:tcW w:w="2472" w:type="dxa"/>
            <w:vMerge w:val="restart"/>
            <w:tcBorders>
              <w:top w:val="single" w:color="000000" w:sz="4" w:space="0"/>
              <w:left w:val="single" w:color="000000" w:sz="4" w:space="0"/>
              <w:bottom w:val="single" w:color="000000" w:sz="4" w:space="0"/>
              <w:right w:val="single" w:color="000000" w:sz="4" w:space="0"/>
            </w:tcBorders>
            <w:vAlign w:val="center"/>
          </w:tcPr>
          <w:p w14:paraId="09F390AE">
            <w:pPr>
              <w:pStyle w:val="13"/>
              <w:spacing w:before="156" w:beforeLines="50" w:after="156" w:afterLines="50"/>
              <w:rPr>
                <w:sz w:val="18"/>
                <w:szCs w:val="18"/>
              </w:rPr>
            </w:pPr>
            <w:r>
              <w:rPr>
                <w:rFonts w:hint="eastAsia"/>
                <w:sz w:val="18"/>
                <w:szCs w:val="18"/>
              </w:rPr>
              <w:t>1.《中华人民共和国水污染防治法》第九十条第（二）项；</w:t>
            </w:r>
          </w:p>
          <w:p w14:paraId="0F5B2248">
            <w:pPr>
              <w:pStyle w:val="13"/>
              <w:spacing w:before="156" w:beforeLines="50" w:after="156" w:afterLines="50"/>
              <w:rPr>
                <w:sz w:val="18"/>
                <w:szCs w:val="18"/>
              </w:rPr>
            </w:pPr>
            <w:r>
              <w:rPr>
                <w:rFonts w:hint="eastAsia"/>
                <w:sz w:val="18"/>
                <w:szCs w:val="18"/>
              </w:rPr>
              <w:t>2.《中华人民共和国内河海事行政处罚规定》第三十四条第一款第（二）项、第二款；</w:t>
            </w:r>
          </w:p>
          <w:p w14:paraId="136036B0">
            <w:pPr>
              <w:pStyle w:val="13"/>
              <w:spacing w:before="156" w:beforeLines="50" w:after="156" w:afterLines="50"/>
              <w:rPr>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26" w:type="dxa"/>
            <w:tcBorders>
              <w:top w:val="single" w:color="000000" w:sz="4" w:space="0"/>
              <w:left w:val="single" w:color="000000" w:sz="4" w:space="0"/>
              <w:bottom w:val="single" w:color="000000" w:sz="4" w:space="0"/>
              <w:right w:val="single" w:color="000000" w:sz="4" w:space="0"/>
            </w:tcBorders>
            <w:vAlign w:val="center"/>
          </w:tcPr>
          <w:p w14:paraId="4157FC59">
            <w:pPr>
              <w:spacing w:before="156" w:beforeLines="50" w:after="156" w:afterLines="50"/>
              <w:jc w:val="left"/>
              <w:rPr>
                <w:sz w:val="18"/>
                <w:szCs w:val="18"/>
              </w:rPr>
            </w:pPr>
            <w:r>
              <w:rPr>
                <w:rFonts w:hint="eastAsia"/>
                <w:sz w:val="18"/>
                <w:szCs w:val="18"/>
              </w:rPr>
              <w:t>从轻</w:t>
            </w:r>
          </w:p>
        </w:tc>
        <w:tc>
          <w:tcPr>
            <w:tcW w:w="4250" w:type="dxa"/>
            <w:tcBorders>
              <w:top w:val="single" w:color="000000" w:sz="4" w:space="0"/>
              <w:left w:val="single" w:color="000000" w:sz="4" w:space="0"/>
              <w:bottom w:val="single" w:color="000000" w:sz="4" w:space="0"/>
              <w:right w:val="single" w:color="000000" w:sz="4" w:space="0"/>
            </w:tcBorders>
            <w:vAlign w:val="center"/>
          </w:tcPr>
          <w:p w14:paraId="338A235A">
            <w:pPr>
              <w:pStyle w:val="13"/>
              <w:spacing w:before="156" w:beforeLines="50" w:after="156" w:afterLines="50"/>
              <w:rPr>
                <w:rFonts w:ascii="宋体"/>
                <w:sz w:val="18"/>
                <w:szCs w:val="18"/>
              </w:rPr>
            </w:pPr>
            <w:r>
              <w:rPr>
                <w:rFonts w:hint="eastAsia"/>
                <w:sz w:val="18"/>
                <w:szCs w:val="18"/>
              </w:rPr>
              <w:t>具有法定从轻情节的。</w:t>
            </w:r>
          </w:p>
        </w:tc>
        <w:tc>
          <w:tcPr>
            <w:tcW w:w="9439" w:type="dxa"/>
            <w:tcBorders>
              <w:top w:val="single" w:color="000000" w:sz="4" w:space="0"/>
              <w:left w:val="single" w:color="000000" w:sz="4" w:space="0"/>
              <w:bottom w:val="single" w:color="auto" w:sz="4" w:space="0"/>
              <w:right w:val="single" w:color="auto" w:sz="4" w:space="0"/>
            </w:tcBorders>
            <w:vAlign w:val="center"/>
          </w:tcPr>
          <w:p w14:paraId="1AB6764A">
            <w:pPr>
              <w:pStyle w:val="13"/>
              <w:spacing w:before="156" w:beforeLines="50" w:after="156" w:afterLines="50"/>
              <w:ind w:firstLine="352"/>
              <w:jc w:val="center"/>
              <w:rPr>
                <w:rFonts w:ascii="宋体"/>
                <w:sz w:val="18"/>
                <w:szCs w:val="18"/>
              </w:rPr>
            </w:pPr>
            <w:r>
              <w:rPr>
                <w:rFonts w:hint="eastAsia" w:ascii="宋体"/>
                <w:sz w:val="18"/>
                <w:szCs w:val="18"/>
              </w:rPr>
              <w:t>5000元及以上</w:t>
            </w:r>
            <w:r>
              <w:rPr>
                <w:rFonts w:ascii="宋体"/>
                <w:sz w:val="18"/>
                <w:szCs w:val="18"/>
              </w:rPr>
              <w:t>1</w:t>
            </w:r>
            <w:r>
              <w:rPr>
                <w:rFonts w:hint="eastAsia" w:ascii="宋体"/>
                <w:sz w:val="18"/>
                <w:szCs w:val="18"/>
              </w:rPr>
              <w:t>万元以下</w:t>
            </w:r>
          </w:p>
        </w:tc>
      </w:tr>
      <w:tr w14:paraId="4BDD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19FDD154">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142210EE">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49416F89">
            <w:pPr>
              <w:widowControl/>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14:paraId="768A250A">
            <w:pPr>
              <w:spacing w:before="156" w:beforeLines="50" w:after="156" w:afterLines="50"/>
              <w:jc w:val="left"/>
              <w:rPr>
                <w:sz w:val="18"/>
                <w:szCs w:val="18"/>
              </w:rPr>
            </w:pPr>
          </w:p>
        </w:tc>
        <w:tc>
          <w:tcPr>
            <w:tcW w:w="726" w:type="dxa"/>
            <w:vMerge w:val="restart"/>
            <w:tcBorders>
              <w:top w:val="single" w:color="000000" w:sz="4" w:space="0"/>
              <w:left w:val="single" w:color="000000" w:sz="4" w:space="0"/>
              <w:right w:val="single" w:color="000000" w:sz="4" w:space="0"/>
            </w:tcBorders>
            <w:vAlign w:val="center"/>
          </w:tcPr>
          <w:p w14:paraId="599E0281">
            <w:pPr>
              <w:spacing w:before="156" w:beforeLines="50" w:after="156" w:afterLines="50"/>
              <w:jc w:val="left"/>
              <w:rPr>
                <w:sz w:val="18"/>
                <w:szCs w:val="18"/>
              </w:rPr>
            </w:pPr>
            <w:r>
              <w:rPr>
                <w:rFonts w:hint="eastAsia"/>
                <w:sz w:val="18"/>
                <w:szCs w:val="18"/>
              </w:rPr>
              <w:t>一般</w:t>
            </w:r>
          </w:p>
        </w:tc>
        <w:tc>
          <w:tcPr>
            <w:tcW w:w="4250" w:type="dxa"/>
            <w:tcBorders>
              <w:top w:val="single" w:color="auto" w:sz="4" w:space="0"/>
              <w:left w:val="single" w:color="000000" w:sz="4" w:space="0"/>
              <w:bottom w:val="single" w:color="auto" w:sz="4" w:space="0"/>
              <w:right w:val="single" w:color="000000" w:sz="4" w:space="0"/>
            </w:tcBorders>
            <w:vAlign w:val="center"/>
          </w:tcPr>
          <w:p w14:paraId="7F0101EB">
            <w:pPr>
              <w:pStyle w:val="13"/>
              <w:spacing w:before="156" w:beforeLines="50" w:after="156" w:afterLines="50"/>
              <w:rPr>
                <w:sz w:val="18"/>
                <w:szCs w:val="18"/>
              </w:rPr>
            </w:pPr>
            <w:r>
              <w:rPr>
                <w:rFonts w:hint="eastAsia"/>
                <w:sz w:val="18"/>
                <w:szCs w:val="18"/>
              </w:rPr>
              <w:t>未向作业地海事管理机构申请批准，而进行散装液体污染危害性货物的过驳作业。</w:t>
            </w:r>
          </w:p>
        </w:tc>
        <w:tc>
          <w:tcPr>
            <w:tcW w:w="9439" w:type="dxa"/>
            <w:tcBorders>
              <w:top w:val="single" w:color="000000" w:sz="4" w:space="0"/>
              <w:left w:val="single" w:color="000000" w:sz="4" w:space="0"/>
              <w:bottom w:val="single" w:color="000000" w:sz="4" w:space="0"/>
              <w:right w:val="single" w:color="auto" w:sz="4" w:space="0"/>
            </w:tcBorders>
            <w:vAlign w:val="center"/>
          </w:tcPr>
          <w:p w14:paraId="36F665E1">
            <w:pPr>
              <w:pStyle w:val="13"/>
              <w:spacing w:before="156" w:beforeLines="50" w:after="156" w:afterLines="50"/>
              <w:ind w:firstLine="352"/>
              <w:jc w:val="center"/>
              <w:rPr>
                <w:rFonts w:ascii="宋体"/>
                <w:sz w:val="18"/>
                <w:szCs w:val="18"/>
              </w:rPr>
            </w:pPr>
            <w:r>
              <w:rPr>
                <w:rFonts w:hint="eastAsia" w:ascii="宋体"/>
                <w:sz w:val="18"/>
                <w:szCs w:val="18"/>
              </w:rPr>
              <w:t>1万元及以上</w:t>
            </w:r>
            <w:r>
              <w:rPr>
                <w:rFonts w:ascii="宋体"/>
                <w:sz w:val="18"/>
                <w:szCs w:val="18"/>
              </w:rPr>
              <w:t>2</w:t>
            </w:r>
            <w:r>
              <w:rPr>
                <w:rFonts w:hint="eastAsia" w:ascii="宋体"/>
                <w:sz w:val="18"/>
                <w:szCs w:val="18"/>
              </w:rPr>
              <w:t>.5万元以下</w:t>
            </w:r>
          </w:p>
        </w:tc>
      </w:tr>
      <w:tr w14:paraId="194B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0D265042">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638B492B">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4EEC93D0">
            <w:pPr>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14:paraId="251B6D07">
            <w:pPr>
              <w:spacing w:before="156" w:beforeLines="50" w:after="156" w:afterLines="50"/>
              <w:jc w:val="left"/>
              <w:rPr>
                <w:sz w:val="18"/>
                <w:szCs w:val="18"/>
              </w:rPr>
            </w:pPr>
          </w:p>
        </w:tc>
        <w:tc>
          <w:tcPr>
            <w:tcW w:w="726" w:type="dxa"/>
            <w:vMerge w:val="continue"/>
            <w:tcBorders>
              <w:left w:val="single" w:color="000000" w:sz="4" w:space="0"/>
              <w:right w:val="single" w:color="000000" w:sz="4" w:space="0"/>
            </w:tcBorders>
            <w:vAlign w:val="center"/>
          </w:tcPr>
          <w:p w14:paraId="53A55F77">
            <w:pPr>
              <w:spacing w:before="156" w:beforeLines="50" w:after="156" w:afterLines="50"/>
              <w:jc w:val="left"/>
              <w:rPr>
                <w:sz w:val="18"/>
                <w:szCs w:val="18"/>
              </w:rPr>
            </w:pPr>
          </w:p>
        </w:tc>
        <w:tc>
          <w:tcPr>
            <w:tcW w:w="4250" w:type="dxa"/>
            <w:tcBorders>
              <w:top w:val="single" w:color="auto" w:sz="4" w:space="0"/>
              <w:left w:val="single" w:color="000000" w:sz="4" w:space="0"/>
              <w:right w:val="single" w:color="000000" w:sz="4" w:space="0"/>
            </w:tcBorders>
            <w:vAlign w:val="center"/>
          </w:tcPr>
          <w:p w14:paraId="18CFD074">
            <w:pPr>
              <w:pStyle w:val="13"/>
              <w:spacing w:before="156" w:beforeLines="50" w:after="156" w:afterLines="50"/>
              <w:rPr>
                <w:rFonts w:ascii="宋体"/>
                <w:sz w:val="18"/>
                <w:szCs w:val="18"/>
              </w:rPr>
            </w:pPr>
            <w:r>
              <w:rPr>
                <w:rFonts w:hint="eastAsia"/>
                <w:sz w:val="18"/>
                <w:szCs w:val="18"/>
              </w:rPr>
              <w:t>船舶虽向作业地海事管理机构申请进行散装液体污染危害性货物的过驳作业，但海事管理机构不予批准而强行进行作业的。</w:t>
            </w:r>
          </w:p>
        </w:tc>
        <w:tc>
          <w:tcPr>
            <w:tcW w:w="9439" w:type="dxa"/>
            <w:tcBorders>
              <w:top w:val="single" w:color="auto" w:sz="4" w:space="0"/>
              <w:left w:val="single" w:color="000000" w:sz="4" w:space="0"/>
              <w:right w:val="single" w:color="auto" w:sz="4" w:space="0"/>
            </w:tcBorders>
            <w:vAlign w:val="center"/>
          </w:tcPr>
          <w:p w14:paraId="60198A45">
            <w:pPr>
              <w:pStyle w:val="13"/>
              <w:spacing w:before="156" w:beforeLines="50" w:after="156" w:afterLines="50"/>
              <w:ind w:firstLine="352"/>
              <w:jc w:val="center"/>
              <w:rPr>
                <w:rFonts w:ascii="宋体"/>
                <w:sz w:val="18"/>
                <w:szCs w:val="18"/>
              </w:rPr>
            </w:pPr>
            <w:r>
              <w:rPr>
                <w:rFonts w:hint="eastAsia" w:ascii="宋体"/>
                <w:sz w:val="18"/>
                <w:szCs w:val="18"/>
              </w:rPr>
              <w:t>2.5万元及以上</w:t>
            </w:r>
            <w:r>
              <w:rPr>
                <w:rFonts w:ascii="宋体"/>
                <w:sz w:val="18"/>
                <w:szCs w:val="18"/>
              </w:rPr>
              <w:t>5</w:t>
            </w:r>
            <w:r>
              <w:rPr>
                <w:rFonts w:hint="eastAsia" w:ascii="宋体"/>
                <w:sz w:val="18"/>
                <w:szCs w:val="18"/>
              </w:rPr>
              <w:t>万元及以下</w:t>
            </w:r>
          </w:p>
        </w:tc>
      </w:tr>
      <w:tr w14:paraId="478E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27C02652">
            <w:pPr>
              <w:spacing w:before="156" w:beforeLines="50" w:after="156" w:afterLines="50"/>
              <w:jc w:val="left"/>
              <w:rPr>
                <w:sz w:val="18"/>
                <w:szCs w:val="18"/>
              </w:rPr>
            </w:pPr>
          </w:p>
        </w:tc>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5CBE63E6">
            <w:pPr>
              <w:spacing w:before="156" w:beforeLines="50" w:after="156" w:afterLines="50"/>
              <w:jc w:val="left"/>
              <w:rPr>
                <w:sz w:val="18"/>
                <w:szCs w:val="18"/>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68304DAA">
            <w:pPr>
              <w:spacing w:before="156" w:beforeLines="50" w:after="156" w:afterLines="50"/>
              <w:jc w:val="left"/>
              <w:rPr>
                <w:sz w:val="18"/>
                <w:szCs w:val="18"/>
              </w:rPr>
            </w:pPr>
          </w:p>
        </w:tc>
        <w:tc>
          <w:tcPr>
            <w:tcW w:w="2472" w:type="dxa"/>
            <w:vMerge w:val="continue"/>
            <w:tcBorders>
              <w:top w:val="single" w:color="000000" w:sz="4" w:space="0"/>
              <w:left w:val="single" w:color="000000" w:sz="4" w:space="0"/>
              <w:bottom w:val="single" w:color="000000" w:sz="4" w:space="0"/>
              <w:right w:val="single" w:color="000000" w:sz="4" w:space="0"/>
            </w:tcBorders>
            <w:vAlign w:val="center"/>
          </w:tcPr>
          <w:p w14:paraId="12532B7A">
            <w:pPr>
              <w:spacing w:before="156" w:beforeLines="50" w:after="156" w:afterLines="50"/>
              <w:jc w:val="left"/>
              <w:rPr>
                <w:sz w:val="18"/>
                <w:szCs w:val="18"/>
              </w:rPr>
            </w:pPr>
          </w:p>
        </w:tc>
        <w:tc>
          <w:tcPr>
            <w:tcW w:w="726" w:type="dxa"/>
            <w:vMerge w:val="continue"/>
            <w:tcBorders>
              <w:left w:val="single" w:color="000000" w:sz="4" w:space="0"/>
              <w:bottom w:val="single" w:color="000000" w:sz="4" w:space="0"/>
              <w:right w:val="single" w:color="000000" w:sz="4" w:space="0"/>
            </w:tcBorders>
            <w:vAlign w:val="center"/>
          </w:tcPr>
          <w:p w14:paraId="7775C99E">
            <w:pPr>
              <w:spacing w:before="156" w:beforeLines="50" w:after="156" w:afterLines="50"/>
              <w:jc w:val="left"/>
              <w:rPr>
                <w:sz w:val="18"/>
                <w:szCs w:val="18"/>
              </w:rPr>
            </w:pPr>
          </w:p>
        </w:tc>
        <w:tc>
          <w:tcPr>
            <w:tcW w:w="4250" w:type="dxa"/>
            <w:tcBorders>
              <w:top w:val="single" w:color="auto" w:sz="4" w:space="0"/>
              <w:left w:val="single" w:color="000000" w:sz="4" w:space="0"/>
              <w:bottom w:val="single" w:color="auto" w:sz="4" w:space="0"/>
              <w:right w:val="single" w:color="auto" w:sz="4" w:space="0"/>
            </w:tcBorders>
            <w:vAlign w:val="center"/>
          </w:tcPr>
          <w:p w14:paraId="04D18A2D">
            <w:pPr>
              <w:pStyle w:val="13"/>
              <w:spacing w:before="156" w:beforeLines="50" w:after="156" w:afterLines="50"/>
              <w:jc w:val="left"/>
              <w:rPr>
                <w:rFonts w:ascii="宋体"/>
                <w:sz w:val="18"/>
                <w:szCs w:val="18"/>
              </w:rPr>
            </w:pPr>
            <w:r>
              <w:rPr>
                <w:rFonts w:hint="eastAsia" w:ascii="宋体"/>
                <w:sz w:val="18"/>
                <w:szCs w:val="18"/>
              </w:rPr>
              <w:t>造成水污染事故的。</w:t>
            </w:r>
          </w:p>
        </w:tc>
        <w:tc>
          <w:tcPr>
            <w:tcW w:w="9439" w:type="dxa"/>
            <w:tcBorders>
              <w:top w:val="single" w:color="auto" w:sz="4" w:space="0"/>
              <w:left w:val="single" w:color="auto" w:sz="4" w:space="0"/>
              <w:bottom w:val="single" w:color="auto" w:sz="4" w:space="0"/>
              <w:right w:val="single" w:color="auto" w:sz="4" w:space="0"/>
            </w:tcBorders>
            <w:vAlign w:val="center"/>
          </w:tcPr>
          <w:p w14:paraId="014EA87D">
            <w:pPr>
              <w:pStyle w:val="13"/>
              <w:spacing w:before="156" w:beforeLines="50" w:after="156" w:afterLines="50"/>
              <w:rPr>
                <w:rFonts w:ascii="宋体"/>
                <w:sz w:val="18"/>
                <w:szCs w:val="18"/>
              </w:rPr>
            </w:pPr>
            <w:r>
              <w:rPr>
                <w:rFonts w:hint="eastAsia" w:ascii="宋体"/>
                <w:sz w:val="18"/>
                <w:szCs w:val="18"/>
              </w:rPr>
              <w:t>造成一般或者较大水污染事故的，处以直接损失的20％的罚款；造成重大或者特大水污染事故的，处以直接损失的30％的罚款。</w:t>
            </w:r>
          </w:p>
        </w:tc>
      </w:tr>
    </w:tbl>
    <w:p w14:paraId="3D7363E5">
      <w:pPr>
        <w:widowControl/>
        <w:jc w:val="left"/>
        <w:rPr>
          <w:sz w:val="18"/>
          <w:szCs w:val="18"/>
        </w:rPr>
      </w:pPr>
      <w:r>
        <w:rPr>
          <w:sz w:val="18"/>
          <w:szCs w:val="18"/>
        </w:rPr>
        <w:br w:type="page"/>
      </w:r>
    </w:p>
    <w:tbl>
      <w:tblPr>
        <w:tblStyle w:val="6"/>
        <w:tblpPr w:leftFromText="180" w:rightFromText="180" w:vertAnchor="text" w:horzAnchor="margin" w:tblpXSpec="center" w:tblpY="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1"/>
        <w:gridCol w:w="1857"/>
        <w:gridCol w:w="1260"/>
        <w:gridCol w:w="1890"/>
        <w:gridCol w:w="790"/>
        <w:gridCol w:w="1661"/>
        <w:gridCol w:w="2085"/>
        <w:gridCol w:w="2127"/>
        <w:gridCol w:w="2126"/>
        <w:gridCol w:w="2268"/>
        <w:gridCol w:w="2410"/>
        <w:gridCol w:w="2273"/>
      </w:tblGrid>
      <w:tr w14:paraId="3ECC1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771" w:type="dxa"/>
            <w:vMerge w:val="restart"/>
            <w:vAlign w:val="center"/>
          </w:tcPr>
          <w:p w14:paraId="04F9A1A2">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857" w:type="dxa"/>
            <w:vMerge w:val="restart"/>
            <w:vAlign w:val="center"/>
          </w:tcPr>
          <w:p w14:paraId="1325019E">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3150" w:type="dxa"/>
            <w:gridSpan w:val="2"/>
            <w:vMerge w:val="restart"/>
            <w:vAlign w:val="center"/>
          </w:tcPr>
          <w:p w14:paraId="142A3556">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90" w:type="dxa"/>
            <w:vMerge w:val="restart"/>
            <w:vAlign w:val="center"/>
          </w:tcPr>
          <w:p w14:paraId="31CC1F44">
            <w:pPr>
              <w:spacing w:before="156" w:beforeLines="50" w:after="156" w:afterLines="50"/>
              <w:jc w:val="left"/>
              <w:rPr>
                <w:rFonts w:ascii="宋体"/>
                <w:b/>
                <w:kern w:val="0"/>
                <w:sz w:val="18"/>
                <w:szCs w:val="18"/>
              </w:rPr>
            </w:pPr>
            <w:r>
              <w:rPr>
                <w:rFonts w:hint="eastAsia" w:ascii="宋体"/>
                <w:b/>
                <w:kern w:val="0"/>
                <w:sz w:val="18"/>
                <w:szCs w:val="18"/>
              </w:rPr>
              <w:t>违法行为情节</w:t>
            </w:r>
          </w:p>
        </w:tc>
        <w:tc>
          <w:tcPr>
            <w:tcW w:w="1661" w:type="dxa"/>
            <w:vMerge w:val="restart"/>
            <w:vAlign w:val="center"/>
          </w:tcPr>
          <w:p w14:paraId="421A460B">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3289" w:type="dxa"/>
            <w:gridSpan w:val="6"/>
            <w:vAlign w:val="center"/>
          </w:tcPr>
          <w:p w14:paraId="4DC090F8">
            <w:pPr>
              <w:spacing w:before="156" w:beforeLines="50" w:after="156" w:afterLines="50"/>
              <w:rPr>
                <w:rFonts w:ascii="宋体"/>
                <w:b/>
                <w:kern w:val="0"/>
                <w:sz w:val="18"/>
                <w:szCs w:val="18"/>
              </w:rPr>
            </w:pPr>
            <w:r>
              <w:rPr>
                <w:rFonts w:hint="eastAsia" w:ascii="宋体"/>
                <w:b/>
                <w:kern w:val="0"/>
                <w:sz w:val="18"/>
                <w:szCs w:val="18"/>
              </w:rPr>
              <w:t>【法定幅度和种类】</w:t>
            </w:r>
            <w:r>
              <w:rPr>
                <w:rFonts w:hint="eastAsia" w:ascii="宋体"/>
                <w:b/>
                <w:sz w:val="18"/>
                <w:szCs w:val="18"/>
              </w:rPr>
              <w:t>责令停止作业或者航行，对负有责任的主管人员或者其他直接责任人员处</w:t>
            </w:r>
            <w:r>
              <w:rPr>
                <w:rFonts w:ascii="宋体"/>
                <w:b/>
                <w:sz w:val="18"/>
                <w:szCs w:val="18"/>
              </w:rPr>
              <w:t>2</w:t>
            </w:r>
            <w:r>
              <w:rPr>
                <w:rFonts w:hint="eastAsia" w:ascii="宋体"/>
                <w:b/>
                <w:sz w:val="18"/>
                <w:szCs w:val="18"/>
              </w:rPr>
              <w:t>万元以上</w:t>
            </w:r>
            <w:r>
              <w:rPr>
                <w:rFonts w:ascii="宋体"/>
                <w:b/>
                <w:sz w:val="18"/>
                <w:szCs w:val="18"/>
              </w:rPr>
              <w:t>10</w:t>
            </w:r>
            <w:r>
              <w:rPr>
                <w:rFonts w:hint="eastAsia" w:ascii="宋体"/>
                <w:b/>
                <w:sz w:val="18"/>
                <w:szCs w:val="18"/>
              </w:rPr>
              <w:t>万元以下的罚款；属于船员的，并给予暂扣适任证书或者其他适任证件</w:t>
            </w:r>
            <w:r>
              <w:rPr>
                <w:rFonts w:ascii="宋体"/>
                <w:b/>
                <w:sz w:val="18"/>
                <w:szCs w:val="18"/>
              </w:rPr>
              <w:t>6</w:t>
            </w:r>
            <w:r>
              <w:rPr>
                <w:rFonts w:hint="eastAsia" w:ascii="宋体"/>
                <w:b/>
                <w:sz w:val="18"/>
                <w:szCs w:val="18"/>
              </w:rPr>
              <w:t>个月以上直至吊销适任证书或者其他适任证件的处罚。</w:t>
            </w:r>
          </w:p>
        </w:tc>
      </w:tr>
      <w:tr w14:paraId="501065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14:paraId="11632725">
            <w:pPr>
              <w:spacing w:before="156" w:beforeLines="50" w:after="156" w:afterLines="50"/>
              <w:jc w:val="center"/>
              <w:rPr>
                <w:rFonts w:ascii="宋体"/>
                <w:b/>
                <w:kern w:val="0"/>
                <w:sz w:val="18"/>
                <w:szCs w:val="18"/>
              </w:rPr>
            </w:pPr>
          </w:p>
        </w:tc>
        <w:tc>
          <w:tcPr>
            <w:tcW w:w="1857" w:type="dxa"/>
            <w:vMerge w:val="continue"/>
            <w:vAlign w:val="center"/>
          </w:tcPr>
          <w:p w14:paraId="098A3A2F">
            <w:pPr>
              <w:spacing w:before="156" w:beforeLines="50" w:after="156" w:afterLines="50"/>
              <w:jc w:val="center"/>
              <w:rPr>
                <w:rFonts w:ascii="宋体"/>
                <w:b/>
                <w:kern w:val="0"/>
                <w:sz w:val="18"/>
                <w:szCs w:val="18"/>
              </w:rPr>
            </w:pPr>
          </w:p>
        </w:tc>
        <w:tc>
          <w:tcPr>
            <w:tcW w:w="3150" w:type="dxa"/>
            <w:gridSpan w:val="2"/>
            <w:vMerge w:val="continue"/>
            <w:vAlign w:val="center"/>
          </w:tcPr>
          <w:p w14:paraId="509BA767">
            <w:pPr>
              <w:spacing w:before="156" w:beforeLines="50" w:after="156" w:afterLines="50"/>
              <w:jc w:val="center"/>
              <w:rPr>
                <w:rFonts w:ascii="宋体"/>
                <w:b/>
                <w:kern w:val="0"/>
                <w:sz w:val="18"/>
                <w:szCs w:val="18"/>
              </w:rPr>
            </w:pPr>
          </w:p>
        </w:tc>
        <w:tc>
          <w:tcPr>
            <w:tcW w:w="790" w:type="dxa"/>
            <w:vMerge w:val="continue"/>
            <w:vAlign w:val="center"/>
          </w:tcPr>
          <w:p w14:paraId="773408DE">
            <w:pPr>
              <w:spacing w:before="156" w:beforeLines="50" w:after="156" w:afterLines="50"/>
              <w:jc w:val="left"/>
              <w:rPr>
                <w:rFonts w:ascii="宋体"/>
                <w:b/>
                <w:kern w:val="0"/>
                <w:sz w:val="18"/>
                <w:szCs w:val="18"/>
              </w:rPr>
            </w:pPr>
          </w:p>
        </w:tc>
        <w:tc>
          <w:tcPr>
            <w:tcW w:w="1661" w:type="dxa"/>
            <w:vMerge w:val="continue"/>
            <w:vAlign w:val="center"/>
          </w:tcPr>
          <w:p w14:paraId="2E9897F9">
            <w:pPr>
              <w:spacing w:before="156" w:beforeLines="50" w:after="156" w:afterLines="50"/>
              <w:jc w:val="left"/>
              <w:rPr>
                <w:rFonts w:ascii="宋体"/>
                <w:b/>
                <w:kern w:val="0"/>
                <w:sz w:val="18"/>
                <w:szCs w:val="18"/>
              </w:rPr>
            </w:pPr>
          </w:p>
        </w:tc>
        <w:tc>
          <w:tcPr>
            <w:tcW w:w="8606" w:type="dxa"/>
            <w:gridSpan w:val="4"/>
            <w:vAlign w:val="center"/>
          </w:tcPr>
          <w:p w14:paraId="0A77B672">
            <w:pPr>
              <w:spacing w:before="156" w:beforeLines="50" w:after="156" w:afterLines="50"/>
              <w:jc w:val="center"/>
              <w:rPr>
                <w:rFonts w:ascii="宋体"/>
                <w:b/>
                <w:kern w:val="0"/>
                <w:sz w:val="18"/>
                <w:szCs w:val="18"/>
              </w:rPr>
            </w:pPr>
            <w:r>
              <w:rPr>
                <w:rFonts w:hint="eastAsia" w:ascii="宋体"/>
                <w:b/>
                <w:kern w:val="0"/>
                <w:sz w:val="18"/>
                <w:szCs w:val="18"/>
              </w:rPr>
              <w:t>处罚基准</w:t>
            </w:r>
          </w:p>
        </w:tc>
        <w:tc>
          <w:tcPr>
            <w:tcW w:w="4683" w:type="dxa"/>
            <w:gridSpan w:val="2"/>
            <w:vAlign w:val="center"/>
          </w:tcPr>
          <w:p w14:paraId="7DDD1CE3">
            <w:pPr>
              <w:spacing w:before="156" w:beforeLines="50" w:after="156" w:afterLines="50"/>
              <w:jc w:val="center"/>
              <w:rPr>
                <w:rFonts w:ascii="宋体"/>
                <w:b/>
                <w:kern w:val="0"/>
                <w:sz w:val="18"/>
                <w:szCs w:val="18"/>
              </w:rPr>
            </w:pPr>
            <w:r>
              <w:rPr>
                <w:rFonts w:hint="eastAsia" w:ascii="宋体"/>
                <w:b/>
                <w:kern w:val="0"/>
                <w:sz w:val="18"/>
                <w:szCs w:val="18"/>
              </w:rPr>
              <w:t>减轻处罚基准</w:t>
            </w:r>
          </w:p>
        </w:tc>
      </w:tr>
      <w:tr w14:paraId="274B35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14:paraId="03E14752">
            <w:pPr>
              <w:spacing w:before="156" w:beforeLines="50" w:after="156" w:afterLines="50"/>
              <w:jc w:val="center"/>
              <w:rPr>
                <w:rFonts w:ascii="宋体"/>
                <w:b/>
                <w:kern w:val="0"/>
                <w:sz w:val="18"/>
                <w:szCs w:val="18"/>
              </w:rPr>
            </w:pPr>
          </w:p>
        </w:tc>
        <w:tc>
          <w:tcPr>
            <w:tcW w:w="1857" w:type="dxa"/>
            <w:vMerge w:val="continue"/>
            <w:vAlign w:val="center"/>
          </w:tcPr>
          <w:p w14:paraId="1E610E5F">
            <w:pPr>
              <w:spacing w:before="156" w:beforeLines="50" w:after="156" w:afterLines="50"/>
              <w:jc w:val="center"/>
              <w:rPr>
                <w:rFonts w:ascii="宋体"/>
                <w:b/>
                <w:kern w:val="0"/>
                <w:sz w:val="18"/>
                <w:szCs w:val="18"/>
              </w:rPr>
            </w:pPr>
          </w:p>
        </w:tc>
        <w:tc>
          <w:tcPr>
            <w:tcW w:w="1260" w:type="dxa"/>
            <w:vMerge w:val="restart"/>
            <w:vAlign w:val="center"/>
          </w:tcPr>
          <w:p w14:paraId="64EF0F38">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1890" w:type="dxa"/>
            <w:vMerge w:val="restart"/>
            <w:vAlign w:val="center"/>
          </w:tcPr>
          <w:p w14:paraId="04A3A7DE">
            <w:pPr>
              <w:spacing w:before="156" w:beforeLines="50" w:after="156" w:afterLines="50"/>
              <w:jc w:val="center"/>
              <w:rPr>
                <w:rFonts w:ascii="宋体"/>
                <w:b/>
                <w:kern w:val="0"/>
                <w:sz w:val="18"/>
                <w:szCs w:val="18"/>
              </w:rPr>
            </w:pPr>
            <w:r>
              <w:rPr>
                <w:rFonts w:hint="eastAsia" w:ascii="宋体"/>
                <w:b/>
                <w:kern w:val="0"/>
                <w:sz w:val="18"/>
                <w:szCs w:val="18"/>
              </w:rPr>
              <w:t>处罚依据</w:t>
            </w:r>
          </w:p>
        </w:tc>
        <w:tc>
          <w:tcPr>
            <w:tcW w:w="790" w:type="dxa"/>
            <w:vMerge w:val="continue"/>
            <w:vAlign w:val="center"/>
          </w:tcPr>
          <w:p w14:paraId="0F764024">
            <w:pPr>
              <w:spacing w:before="156" w:beforeLines="50" w:after="156" w:afterLines="50"/>
              <w:jc w:val="left"/>
              <w:rPr>
                <w:rFonts w:ascii="宋体"/>
                <w:b/>
                <w:kern w:val="0"/>
                <w:sz w:val="18"/>
                <w:szCs w:val="18"/>
              </w:rPr>
            </w:pPr>
          </w:p>
        </w:tc>
        <w:tc>
          <w:tcPr>
            <w:tcW w:w="1661" w:type="dxa"/>
            <w:vMerge w:val="continue"/>
            <w:vAlign w:val="center"/>
          </w:tcPr>
          <w:p w14:paraId="2D60F3CC">
            <w:pPr>
              <w:spacing w:before="156" w:beforeLines="50" w:after="156" w:afterLines="50"/>
              <w:jc w:val="left"/>
              <w:rPr>
                <w:rFonts w:ascii="宋体"/>
                <w:b/>
                <w:kern w:val="0"/>
                <w:sz w:val="18"/>
                <w:szCs w:val="18"/>
              </w:rPr>
            </w:pPr>
          </w:p>
        </w:tc>
        <w:tc>
          <w:tcPr>
            <w:tcW w:w="8606" w:type="dxa"/>
            <w:gridSpan w:val="4"/>
            <w:vAlign w:val="center"/>
          </w:tcPr>
          <w:p w14:paraId="3A59D6BD">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c>
          <w:tcPr>
            <w:tcW w:w="4683" w:type="dxa"/>
            <w:gridSpan w:val="2"/>
            <w:vAlign w:val="center"/>
          </w:tcPr>
          <w:p w14:paraId="1940718C">
            <w:pPr>
              <w:spacing w:before="156" w:beforeLines="50" w:after="156" w:afterLines="50"/>
              <w:jc w:val="center"/>
              <w:rPr>
                <w:rFonts w:ascii="宋体"/>
                <w:b/>
                <w:kern w:val="0"/>
                <w:sz w:val="18"/>
                <w:szCs w:val="18"/>
              </w:rPr>
            </w:pPr>
            <w:r>
              <w:rPr>
                <w:rFonts w:hint="eastAsia" w:ascii="宋体"/>
                <w:b/>
                <w:kern w:val="0"/>
                <w:sz w:val="18"/>
                <w:szCs w:val="18"/>
              </w:rPr>
              <w:t>【对象】</w:t>
            </w:r>
            <w:r>
              <w:rPr>
                <w:rFonts w:hint="eastAsia" w:ascii="宋体"/>
                <w:b/>
                <w:sz w:val="18"/>
                <w:szCs w:val="18"/>
              </w:rPr>
              <w:t>负有责任的主管人员或者其他直接责任人员、负有责任的船员</w:t>
            </w:r>
          </w:p>
        </w:tc>
      </w:tr>
      <w:tr w14:paraId="1C8DB9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904" w:hRule="atLeast"/>
          <w:jc w:val="center"/>
        </w:trPr>
        <w:tc>
          <w:tcPr>
            <w:tcW w:w="771" w:type="dxa"/>
            <w:vMerge w:val="continue"/>
            <w:vAlign w:val="center"/>
          </w:tcPr>
          <w:p w14:paraId="0232032B">
            <w:pPr>
              <w:spacing w:before="156" w:beforeLines="50" w:after="156" w:afterLines="50"/>
              <w:jc w:val="left"/>
              <w:rPr>
                <w:rFonts w:ascii="宋体"/>
                <w:b/>
                <w:kern w:val="0"/>
                <w:sz w:val="18"/>
                <w:szCs w:val="18"/>
              </w:rPr>
            </w:pPr>
          </w:p>
        </w:tc>
        <w:tc>
          <w:tcPr>
            <w:tcW w:w="1857" w:type="dxa"/>
            <w:vMerge w:val="continue"/>
            <w:vAlign w:val="center"/>
          </w:tcPr>
          <w:p w14:paraId="17A4F086">
            <w:pPr>
              <w:spacing w:before="156" w:beforeLines="50" w:after="156" w:afterLines="50"/>
              <w:jc w:val="left"/>
              <w:rPr>
                <w:rFonts w:ascii="宋体"/>
                <w:b/>
                <w:kern w:val="0"/>
                <w:sz w:val="18"/>
                <w:szCs w:val="18"/>
              </w:rPr>
            </w:pPr>
          </w:p>
        </w:tc>
        <w:tc>
          <w:tcPr>
            <w:tcW w:w="1260" w:type="dxa"/>
            <w:vMerge w:val="continue"/>
            <w:vAlign w:val="center"/>
          </w:tcPr>
          <w:p w14:paraId="4B28124C">
            <w:pPr>
              <w:spacing w:before="156" w:beforeLines="50" w:after="156" w:afterLines="50"/>
              <w:jc w:val="left"/>
              <w:rPr>
                <w:rFonts w:ascii="宋体"/>
                <w:b/>
                <w:kern w:val="0"/>
                <w:sz w:val="18"/>
                <w:szCs w:val="18"/>
              </w:rPr>
            </w:pPr>
          </w:p>
        </w:tc>
        <w:tc>
          <w:tcPr>
            <w:tcW w:w="1890" w:type="dxa"/>
            <w:vMerge w:val="continue"/>
            <w:vAlign w:val="center"/>
          </w:tcPr>
          <w:p w14:paraId="3C8CD07E">
            <w:pPr>
              <w:spacing w:before="156" w:beforeLines="50" w:after="156" w:afterLines="50"/>
              <w:jc w:val="left"/>
              <w:rPr>
                <w:rFonts w:ascii="宋体"/>
                <w:b/>
                <w:kern w:val="0"/>
                <w:sz w:val="18"/>
                <w:szCs w:val="18"/>
              </w:rPr>
            </w:pPr>
          </w:p>
        </w:tc>
        <w:tc>
          <w:tcPr>
            <w:tcW w:w="790" w:type="dxa"/>
            <w:vMerge w:val="continue"/>
            <w:vAlign w:val="center"/>
          </w:tcPr>
          <w:p w14:paraId="33F677B5">
            <w:pPr>
              <w:spacing w:before="156" w:beforeLines="50" w:after="156" w:afterLines="50"/>
              <w:jc w:val="left"/>
              <w:rPr>
                <w:rFonts w:ascii="宋体"/>
                <w:b/>
                <w:kern w:val="0"/>
                <w:sz w:val="18"/>
                <w:szCs w:val="18"/>
              </w:rPr>
            </w:pPr>
          </w:p>
        </w:tc>
        <w:tc>
          <w:tcPr>
            <w:tcW w:w="1661" w:type="dxa"/>
            <w:vMerge w:val="continue"/>
            <w:vAlign w:val="center"/>
          </w:tcPr>
          <w:p w14:paraId="35C90390">
            <w:pPr>
              <w:spacing w:before="156" w:beforeLines="50" w:after="156" w:afterLines="50"/>
              <w:jc w:val="left"/>
              <w:rPr>
                <w:rFonts w:ascii="宋体"/>
                <w:b/>
                <w:kern w:val="0"/>
                <w:sz w:val="18"/>
                <w:szCs w:val="18"/>
              </w:rPr>
            </w:pPr>
          </w:p>
        </w:tc>
        <w:tc>
          <w:tcPr>
            <w:tcW w:w="2085" w:type="dxa"/>
            <w:vAlign w:val="center"/>
          </w:tcPr>
          <w:p w14:paraId="6D1B977E">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127" w:type="dxa"/>
            <w:vAlign w:val="center"/>
          </w:tcPr>
          <w:p w14:paraId="5E487B95">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2126" w:type="dxa"/>
            <w:vAlign w:val="center"/>
          </w:tcPr>
          <w:p w14:paraId="414E45A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c>
          <w:tcPr>
            <w:tcW w:w="2268" w:type="dxa"/>
            <w:vAlign w:val="center"/>
          </w:tcPr>
          <w:p w14:paraId="4D466BF9">
            <w:pPr>
              <w:spacing w:before="156" w:beforeLines="50" w:after="156" w:afterLines="50"/>
              <w:rPr>
                <w:rFonts w:ascii="宋体"/>
                <w:b/>
                <w:sz w:val="18"/>
                <w:szCs w:val="18"/>
              </w:rPr>
            </w:pPr>
            <w:r>
              <w:rPr>
                <w:rFonts w:hint="eastAsia" w:ascii="宋体"/>
                <w:b/>
                <w:sz w:val="18"/>
                <w:szCs w:val="18"/>
              </w:rPr>
              <w:t>【对象】责任船员</w:t>
            </w:r>
          </w:p>
        </w:tc>
        <w:tc>
          <w:tcPr>
            <w:tcW w:w="2410" w:type="dxa"/>
            <w:vAlign w:val="center"/>
          </w:tcPr>
          <w:p w14:paraId="708293CD">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以下；沿海船舶500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以下</w:t>
            </w:r>
          </w:p>
        </w:tc>
        <w:tc>
          <w:tcPr>
            <w:tcW w:w="2273" w:type="dxa"/>
            <w:vAlign w:val="center"/>
          </w:tcPr>
          <w:p w14:paraId="5A1748D0">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沿海船舶500</w:t>
            </w:r>
            <w:r>
              <w:rPr>
                <w:rFonts w:ascii="宋体"/>
                <w:b/>
                <w:sz w:val="18"/>
                <w:szCs w:val="18"/>
              </w:rPr>
              <w:t>GT</w:t>
            </w:r>
            <w:r>
              <w:rPr>
                <w:rFonts w:hint="eastAsia" w:ascii="宋体"/>
                <w:b/>
                <w:sz w:val="18"/>
                <w:szCs w:val="18"/>
              </w:rPr>
              <w:t>∕750</w:t>
            </w:r>
            <w:r>
              <w:rPr>
                <w:rFonts w:ascii="宋体"/>
                <w:b/>
                <w:sz w:val="18"/>
                <w:szCs w:val="18"/>
              </w:rPr>
              <w:t>KW</w:t>
            </w:r>
            <w:r>
              <w:rPr>
                <w:rFonts w:hint="eastAsia" w:ascii="宋体"/>
                <w:b/>
                <w:sz w:val="18"/>
                <w:szCs w:val="18"/>
              </w:rPr>
              <w:t>及以上3000GT∕3000KW以下</w:t>
            </w:r>
          </w:p>
        </w:tc>
      </w:tr>
      <w:tr w14:paraId="0BB971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restart"/>
            <w:vAlign w:val="center"/>
          </w:tcPr>
          <w:p w14:paraId="47E50F51">
            <w:pPr>
              <w:spacing w:before="156" w:beforeLines="50" w:after="156" w:afterLines="50"/>
              <w:jc w:val="center"/>
              <w:rPr>
                <w:rFonts w:ascii="宋体"/>
                <w:kern w:val="0"/>
                <w:sz w:val="18"/>
                <w:szCs w:val="18"/>
              </w:rPr>
            </w:pPr>
            <w:r>
              <w:rPr>
                <w:rFonts w:hint="eastAsia" w:ascii="宋体"/>
                <w:kern w:val="0"/>
                <w:sz w:val="18"/>
                <w:szCs w:val="18"/>
              </w:rPr>
              <w:t>95</w:t>
            </w:r>
          </w:p>
        </w:tc>
        <w:tc>
          <w:tcPr>
            <w:tcW w:w="1857" w:type="dxa"/>
            <w:vMerge w:val="restart"/>
            <w:vAlign w:val="center"/>
          </w:tcPr>
          <w:p w14:paraId="41B57EA6">
            <w:pPr>
              <w:widowControl/>
              <w:spacing w:before="156" w:beforeLines="50" w:after="156" w:afterLines="50"/>
              <w:rPr>
                <w:rFonts w:ascii="宋体"/>
                <w:sz w:val="18"/>
                <w:szCs w:val="18"/>
              </w:rPr>
            </w:pPr>
            <w:r>
              <w:rPr>
                <w:rFonts w:hint="eastAsia" w:ascii="宋体"/>
                <w:sz w:val="18"/>
                <w:szCs w:val="18"/>
              </w:rPr>
              <w:t>船舶载运危险货物进出港，未经海事管理机构同意的</w:t>
            </w:r>
          </w:p>
        </w:tc>
        <w:tc>
          <w:tcPr>
            <w:tcW w:w="1260" w:type="dxa"/>
            <w:vMerge w:val="restart"/>
            <w:vAlign w:val="center"/>
          </w:tcPr>
          <w:p w14:paraId="6B7151D3">
            <w:pPr>
              <w:spacing w:before="156" w:beforeLines="50" w:after="156" w:afterLines="50"/>
              <w:rPr>
                <w:rFonts w:ascii="宋体"/>
                <w:sz w:val="18"/>
                <w:szCs w:val="18"/>
              </w:rPr>
            </w:pPr>
            <w:r>
              <w:rPr>
                <w:rFonts w:hint="eastAsia" w:ascii="宋体"/>
                <w:kern w:val="0"/>
                <w:sz w:val="18"/>
                <w:szCs w:val="18"/>
              </w:rPr>
              <w:t>《</w:t>
            </w:r>
            <w:r>
              <w:rPr>
                <w:rFonts w:hint="eastAsia" w:ascii="宋体"/>
                <w:sz w:val="18"/>
                <w:szCs w:val="18"/>
              </w:rPr>
              <w:t>中华人民共和国</w:t>
            </w:r>
            <w:r>
              <w:rPr>
                <w:rFonts w:hint="eastAsia" w:ascii="宋体"/>
                <w:kern w:val="0"/>
                <w:sz w:val="18"/>
                <w:szCs w:val="18"/>
              </w:rPr>
              <w:t>内河交通安全管理条例》第三十二条</w:t>
            </w:r>
          </w:p>
        </w:tc>
        <w:tc>
          <w:tcPr>
            <w:tcW w:w="1890" w:type="dxa"/>
            <w:vMerge w:val="restart"/>
            <w:vAlign w:val="center"/>
          </w:tcPr>
          <w:p w14:paraId="4FAA4AA5">
            <w:pPr>
              <w:spacing w:before="156" w:beforeLines="50" w:after="156" w:afterLines="50"/>
              <w:rPr>
                <w:rFonts w:ascii="宋体"/>
                <w:kern w:val="0"/>
                <w:sz w:val="18"/>
                <w:szCs w:val="18"/>
              </w:rPr>
            </w:pPr>
            <w:r>
              <w:rPr>
                <w:rFonts w:hint="eastAsia" w:ascii="宋体"/>
                <w:kern w:val="0"/>
                <w:sz w:val="18"/>
                <w:szCs w:val="18"/>
              </w:rPr>
              <w:t>1.</w:t>
            </w:r>
            <w:r>
              <w:rPr>
                <w:rFonts w:hint="eastAsia" w:ascii="宋体"/>
                <w:sz w:val="18"/>
                <w:szCs w:val="18"/>
              </w:rPr>
              <w:t>《中华人民共和国内河交通安全管理条例》第七十一条第一款第（二）项；</w:t>
            </w:r>
          </w:p>
          <w:p w14:paraId="1515F9EA">
            <w:pPr>
              <w:spacing w:before="156" w:beforeLines="50" w:after="156" w:afterLines="50"/>
              <w:rPr>
                <w:rFonts w:ascii="宋体"/>
                <w:sz w:val="18"/>
                <w:szCs w:val="18"/>
              </w:rPr>
            </w:pPr>
            <w:r>
              <w:rPr>
                <w:rFonts w:hint="eastAsia" w:ascii="宋体"/>
                <w:kern w:val="0"/>
                <w:sz w:val="18"/>
                <w:szCs w:val="18"/>
              </w:rPr>
              <w:t>2.</w:t>
            </w:r>
            <w:r>
              <w:rPr>
                <w:rFonts w:hint="eastAsia" w:ascii="宋体"/>
                <w:sz w:val="18"/>
                <w:szCs w:val="18"/>
              </w:rPr>
              <w:t>《中华人民共和国内河海事行政处罚规定》第二十一条第（二）项；</w:t>
            </w:r>
          </w:p>
          <w:p w14:paraId="7DABC299">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90" w:type="dxa"/>
            <w:vAlign w:val="center"/>
          </w:tcPr>
          <w:p w14:paraId="6F6CA7BC">
            <w:pPr>
              <w:spacing w:before="156" w:beforeLines="50" w:after="156" w:afterLines="50"/>
              <w:jc w:val="left"/>
              <w:rPr>
                <w:rFonts w:ascii="宋体"/>
                <w:kern w:val="0"/>
                <w:sz w:val="18"/>
                <w:szCs w:val="18"/>
              </w:rPr>
            </w:pPr>
            <w:r>
              <w:rPr>
                <w:rFonts w:hint="eastAsia" w:ascii="宋体"/>
                <w:kern w:val="0"/>
                <w:sz w:val="18"/>
                <w:szCs w:val="18"/>
              </w:rPr>
              <w:t>从轻</w:t>
            </w:r>
          </w:p>
        </w:tc>
        <w:tc>
          <w:tcPr>
            <w:tcW w:w="1661" w:type="dxa"/>
            <w:vAlign w:val="center"/>
          </w:tcPr>
          <w:p w14:paraId="07BF58BB">
            <w:pPr>
              <w:widowControl/>
              <w:spacing w:before="156" w:beforeLines="50" w:after="156" w:afterLines="50"/>
              <w:jc w:val="left"/>
              <w:rPr>
                <w:rFonts w:ascii="宋体"/>
                <w:kern w:val="0"/>
                <w:sz w:val="18"/>
                <w:szCs w:val="18"/>
              </w:rPr>
            </w:pPr>
            <w:r>
              <w:rPr>
                <w:rFonts w:hint="eastAsia" w:ascii="宋体"/>
                <w:sz w:val="18"/>
                <w:szCs w:val="18"/>
              </w:rPr>
              <w:t>具有法定从轻情节的。</w:t>
            </w:r>
          </w:p>
        </w:tc>
        <w:tc>
          <w:tcPr>
            <w:tcW w:w="2085" w:type="dxa"/>
            <w:vAlign w:val="center"/>
          </w:tcPr>
          <w:p w14:paraId="530C07A4">
            <w:pPr>
              <w:spacing w:before="156" w:beforeLines="50" w:after="156" w:afterLines="50"/>
              <w:jc w:val="left"/>
              <w:rPr>
                <w:rFonts w:ascii="宋体"/>
                <w:sz w:val="18"/>
                <w:szCs w:val="18"/>
              </w:rPr>
            </w:pPr>
            <w:r>
              <w:rPr>
                <w:rFonts w:hint="eastAsia" w:ascii="宋体"/>
                <w:sz w:val="18"/>
                <w:szCs w:val="18"/>
              </w:rPr>
              <w:t>2万元及以上3万元以下</w:t>
            </w:r>
          </w:p>
        </w:tc>
        <w:tc>
          <w:tcPr>
            <w:tcW w:w="2127" w:type="dxa"/>
            <w:vAlign w:val="center"/>
          </w:tcPr>
          <w:p w14:paraId="67511B6B">
            <w:pPr>
              <w:spacing w:before="156" w:beforeLines="50" w:after="156" w:afterLines="50"/>
              <w:rPr>
                <w:rFonts w:ascii="宋体"/>
                <w:sz w:val="18"/>
                <w:szCs w:val="18"/>
              </w:rPr>
            </w:pPr>
            <w:r>
              <w:rPr>
                <w:rFonts w:hint="eastAsia" w:ascii="宋体"/>
                <w:sz w:val="18"/>
                <w:szCs w:val="18"/>
              </w:rPr>
              <w:t>2万元及以上3万元以下</w:t>
            </w:r>
          </w:p>
        </w:tc>
        <w:tc>
          <w:tcPr>
            <w:tcW w:w="2126" w:type="dxa"/>
            <w:vAlign w:val="center"/>
          </w:tcPr>
          <w:p w14:paraId="2FCA12B5">
            <w:pPr>
              <w:spacing w:before="156" w:beforeLines="50" w:after="156" w:afterLines="50"/>
              <w:rPr>
                <w:rFonts w:ascii="宋体"/>
                <w:sz w:val="18"/>
                <w:szCs w:val="18"/>
              </w:rPr>
            </w:pPr>
            <w:r>
              <w:rPr>
                <w:rFonts w:hint="eastAsia" w:ascii="宋体"/>
                <w:sz w:val="18"/>
                <w:szCs w:val="18"/>
              </w:rPr>
              <w:t>2万元及以上3万元以下</w:t>
            </w:r>
          </w:p>
        </w:tc>
        <w:tc>
          <w:tcPr>
            <w:tcW w:w="2268" w:type="dxa"/>
            <w:vAlign w:val="center"/>
          </w:tcPr>
          <w:p w14:paraId="342DF1FC">
            <w:pPr>
              <w:spacing w:before="156" w:beforeLines="50" w:after="156" w:afterLines="50"/>
              <w:rPr>
                <w:rFonts w:ascii="宋体"/>
                <w:sz w:val="18"/>
                <w:szCs w:val="18"/>
              </w:rPr>
            </w:pPr>
            <w:r>
              <w:rPr>
                <w:rFonts w:hint="eastAsia" w:ascii="宋体"/>
                <w:sz w:val="18"/>
                <w:szCs w:val="18"/>
              </w:rPr>
              <w:t>暂扣适任证书或者其他适任证件</w:t>
            </w:r>
            <w:r>
              <w:rPr>
                <w:rFonts w:ascii="宋体"/>
                <w:sz w:val="18"/>
                <w:szCs w:val="18"/>
              </w:rPr>
              <w:t>6</w:t>
            </w:r>
            <w:r>
              <w:rPr>
                <w:rFonts w:hint="eastAsia" w:ascii="宋体"/>
                <w:sz w:val="18"/>
                <w:szCs w:val="18"/>
              </w:rPr>
              <w:t>个月的处罚</w:t>
            </w:r>
          </w:p>
        </w:tc>
        <w:tc>
          <w:tcPr>
            <w:tcW w:w="2410" w:type="dxa"/>
            <w:vMerge w:val="restart"/>
            <w:vAlign w:val="center"/>
          </w:tcPr>
          <w:p w14:paraId="0C80EF0B">
            <w:pPr>
              <w:spacing w:before="156" w:beforeLines="50" w:after="156" w:afterLines="50"/>
              <w:rPr>
                <w:rFonts w:ascii="宋体"/>
                <w:sz w:val="18"/>
                <w:szCs w:val="18"/>
              </w:rPr>
            </w:pPr>
            <w:r>
              <w:rPr>
                <w:rFonts w:hint="eastAsia" w:ascii="宋体"/>
                <w:sz w:val="18"/>
                <w:szCs w:val="18"/>
              </w:rPr>
              <w:t>单个航次未经海事管理机构同意的：5</w:t>
            </w:r>
            <w:r>
              <w:rPr>
                <w:rFonts w:ascii="宋体"/>
                <w:sz w:val="18"/>
                <w:szCs w:val="18"/>
              </w:rPr>
              <w:t>000</w:t>
            </w:r>
            <w:r>
              <w:rPr>
                <w:rFonts w:hint="eastAsia" w:ascii="宋体"/>
                <w:sz w:val="18"/>
                <w:szCs w:val="18"/>
              </w:rPr>
              <w:t>元及以上1万元以下，属于船员的，并给予暂扣适任证书或者其他适任证件6个月的处罚。</w:t>
            </w:r>
          </w:p>
        </w:tc>
        <w:tc>
          <w:tcPr>
            <w:tcW w:w="2273" w:type="dxa"/>
            <w:vMerge w:val="restart"/>
            <w:vAlign w:val="center"/>
          </w:tcPr>
          <w:p w14:paraId="26AEDA17">
            <w:pPr>
              <w:spacing w:before="156" w:beforeLines="50" w:after="156" w:afterLines="50"/>
              <w:rPr>
                <w:rFonts w:ascii="宋体"/>
                <w:sz w:val="18"/>
                <w:szCs w:val="18"/>
              </w:rPr>
            </w:pPr>
            <w:r>
              <w:rPr>
                <w:rFonts w:hint="eastAsia" w:ascii="宋体"/>
                <w:sz w:val="18"/>
                <w:szCs w:val="18"/>
              </w:rPr>
              <w:t>单个航次未经海事管理机构同意的：6</w:t>
            </w:r>
            <w:r>
              <w:rPr>
                <w:rFonts w:ascii="宋体"/>
                <w:sz w:val="18"/>
                <w:szCs w:val="18"/>
              </w:rPr>
              <w:t>000</w:t>
            </w:r>
            <w:r>
              <w:rPr>
                <w:rFonts w:hint="eastAsia" w:ascii="宋体"/>
                <w:sz w:val="18"/>
                <w:szCs w:val="18"/>
              </w:rPr>
              <w:t>元及以上2万元以下，属于船员的，并给予暂扣适任证书或者其他适任证件6个月的处罚。</w:t>
            </w:r>
          </w:p>
        </w:tc>
      </w:tr>
      <w:tr w14:paraId="44A1FC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771" w:type="dxa"/>
            <w:vMerge w:val="continue"/>
            <w:vAlign w:val="center"/>
          </w:tcPr>
          <w:p w14:paraId="1698AB27">
            <w:pPr>
              <w:spacing w:before="156" w:beforeLines="50" w:after="156" w:afterLines="50"/>
              <w:jc w:val="left"/>
              <w:rPr>
                <w:rFonts w:ascii="宋体"/>
                <w:kern w:val="0"/>
                <w:sz w:val="18"/>
                <w:szCs w:val="18"/>
              </w:rPr>
            </w:pPr>
          </w:p>
        </w:tc>
        <w:tc>
          <w:tcPr>
            <w:tcW w:w="1857" w:type="dxa"/>
            <w:vMerge w:val="continue"/>
            <w:vAlign w:val="center"/>
          </w:tcPr>
          <w:p w14:paraId="3BBA5710">
            <w:pPr>
              <w:spacing w:before="156" w:beforeLines="50" w:after="156" w:afterLines="50"/>
              <w:jc w:val="left"/>
              <w:rPr>
                <w:rFonts w:ascii="宋体"/>
                <w:kern w:val="0"/>
                <w:sz w:val="18"/>
                <w:szCs w:val="18"/>
              </w:rPr>
            </w:pPr>
          </w:p>
        </w:tc>
        <w:tc>
          <w:tcPr>
            <w:tcW w:w="1260" w:type="dxa"/>
            <w:vMerge w:val="continue"/>
            <w:vAlign w:val="center"/>
          </w:tcPr>
          <w:p w14:paraId="0C9953DF">
            <w:pPr>
              <w:widowControl/>
              <w:spacing w:before="156" w:beforeLines="50" w:after="156" w:afterLines="50"/>
              <w:jc w:val="left"/>
              <w:rPr>
                <w:rFonts w:ascii="宋体"/>
                <w:kern w:val="0"/>
                <w:sz w:val="18"/>
                <w:szCs w:val="18"/>
              </w:rPr>
            </w:pPr>
          </w:p>
        </w:tc>
        <w:tc>
          <w:tcPr>
            <w:tcW w:w="1890" w:type="dxa"/>
            <w:vMerge w:val="continue"/>
            <w:vAlign w:val="center"/>
          </w:tcPr>
          <w:p w14:paraId="615EFD66">
            <w:pPr>
              <w:spacing w:before="156" w:beforeLines="50" w:after="156" w:afterLines="50"/>
              <w:jc w:val="left"/>
              <w:rPr>
                <w:rFonts w:ascii="宋体"/>
                <w:kern w:val="0"/>
                <w:sz w:val="18"/>
                <w:szCs w:val="18"/>
              </w:rPr>
            </w:pPr>
          </w:p>
        </w:tc>
        <w:tc>
          <w:tcPr>
            <w:tcW w:w="790" w:type="dxa"/>
            <w:vMerge w:val="restart"/>
            <w:vAlign w:val="center"/>
          </w:tcPr>
          <w:p w14:paraId="6995B82F">
            <w:pPr>
              <w:spacing w:before="156" w:beforeLines="50" w:after="156" w:afterLines="50"/>
              <w:jc w:val="left"/>
              <w:rPr>
                <w:rFonts w:ascii="宋体"/>
                <w:kern w:val="0"/>
                <w:sz w:val="18"/>
                <w:szCs w:val="18"/>
              </w:rPr>
            </w:pPr>
            <w:r>
              <w:rPr>
                <w:rFonts w:hint="eastAsia" w:ascii="宋体"/>
                <w:kern w:val="0"/>
                <w:sz w:val="18"/>
                <w:szCs w:val="18"/>
              </w:rPr>
              <w:t>一般</w:t>
            </w:r>
          </w:p>
        </w:tc>
        <w:tc>
          <w:tcPr>
            <w:tcW w:w="1661" w:type="dxa"/>
            <w:vAlign w:val="center"/>
          </w:tcPr>
          <w:p w14:paraId="5ACB5133">
            <w:pPr>
              <w:widowControl/>
              <w:spacing w:before="156" w:beforeLines="50" w:after="156" w:afterLines="50"/>
              <w:jc w:val="left"/>
              <w:rPr>
                <w:rFonts w:ascii="宋体"/>
                <w:kern w:val="0"/>
                <w:sz w:val="18"/>
                <w:szCs w:val="18"/>
              </w:rPr>
            </w:pPr>
            <w:r>
              <w:rPr>
                <w:rFonts w:hint="eastAsia" w:ascii="宋体"/>
                <w:kern w:val="0"/>
                <w:sz w:val="18"/>
                <w:szCs w:val="18"/>
              </w:rPr>
              <w:t>单个航次</w:t>
            </w:r>
            <w:r>
              <w:rPr>
                <w:rFonts w:hint="eastAsia" w:ascii="宋体"/>
                <w:sz w:val="18"/>
                <w:szCs w:val="18"/>
              </w:rPr>
              <w:t>未经海事管理机构同意的</w:t>
            </w:r>
            <w:r>
              <w:rPr>
                <w:rFonts w:hint="eastAsia" w:ascii="宋体"/>
                <w:kern w:val="0"/>
                <w:sz w:val="18"/>
                <w:szCs w:val="18"/>
              </w:rPr>
              <w:t>。</w:t>
            </w:r>
          </w:p>
        </w:tc>
        <w:tc>
          <w:tcPr>
            <w:tcW w:w="2085" w:type="dxa"/>
            <w:vAlign w:val="center"/>
          </w:tcPr>
          <w:p w14:paraId="5E199745">
            <w:pPr>
              <w:spacing w:before="156" w:beforeLines="50" w:after="156" w:afterLines="50"/>
              <w:jc w:val="left"/>
              <w:rPr>
                <w:rFonts w:ascii="宋体"/>
                <w:sz w:val="18"/>
                <w:szCs w:val="18"/>
              </w:rPr>
            </w:pPr>
            <w:r>
              <w:rPr>
                <w:rFonts w:hint="eastAsia" w:ascii="宋体"/>
                <w:sz w:val="18"/>
                <w:szCs w:val="18"/>
              </w:rPr>
              <w:t>3万元及以上5万元以下</w:t>
            </w:r>
          </w:p>
        </w:tc>
        <w:tc>
          <w:tcPr>
            <w:tcW w:w="2127" w:type="dxa"/>
            <w:vAlign w:val="center"/>
          </w:tcPr>
          <w:p w14:paraId="7997F2B3">
            <w:pPr>
              <w:spacing w:before="156" w:beforeLines="50" w:after="156" w:afterLines="50"/>
              <w:rPr>
                <w:rFonts w:ascii="宋体"/>
                <w:sz w:val="18"/>
                <w:szCs w:val="18"/>
              </w:rPr>
            </w:pPr>
            <w:r>
              <w:rPr>
                <w:rFonts w:hint="eastAsia" w:ascii="宋体"/>
                <w:sz w:val="18"/>
                <w:szCs w:val="18"/>
              </w:rPr>
              <w:t>3万元及以上5.5万元以下</w:t>
            </w:r>
          </w:p>
        </w:tc>
        <w:tc>
          <w:tcPr>
            <w:tcW w:w="2126" w:type="dxa"/>
            <w:vAlign w:val="center"/>
          </w:tcPr>
          <w:p w14:paraId="5CFA01FB">
            <w:pPr>
              <w:spacing w:before="156" w:beforeLines="50" w:after="156" w:afterLines="50"/>
              <w:rPr>
                <w:rFonts w:ascii="宋体"/>
                <w:sz w:val="18"/>
                <w:szCs w:val="18"/>
              </w:rPr>
            </w:pPr>
            <w:r>
              <w:rPr>
                <w:rFonts w:hint="eastAsia" w:ascii="宋体"/>
                <w:sz w:val="18"/>
                <w:szCs w:val="18"/>
              </w:rPr>
              <w:t>3万元及以上6万元以下</w:t>
            </w:r>
          </w:p>
        </w:tc>
        <w:tc>
          <w:tcPr>
            <w:tcW w:w="2268" w:type="dxa"/>
            <w:vAlign w:val="center"/>
          </w:tcPr>
          <w:p w14:paraId="6DF44EDD">
            <w:pPr>
              <w:spacing w:before="156" w:beforeLines="50" w:after="156" w:afterLines="50"/>
              <w:rPr>
                <w:rFonts w:ascii="宋体"/>
                <w:sz w:val="18"/>
                <w:szCs w:val="18"/>
              </w:rPr>
            </w:pPr>
            <w:r>
              <w:rPr>
                <w:rFonts w:hint="eastAsia" w:ascii="宋体"/>
                <w:sz w:val="18"/>
                <w:szCs w:val="18"/>
              </w:rPr>
              <w:t>暂扣适任证书或者其他适任证件6个月的处罚</w:t>
            </w:r>
          </w:p>
        </w:tc>
        <w:tc>
          <w:tcPr>
            <w:tcW w:w="2410" w:type="dxa"/>
            <w:vMerge w:val="continue"/>
            <w:vAlign w:val="center"/>
          </w:tcPr>
          <w:p w14:paraId="55A46BC6">
            <w:pPr>
              <w:spacing w:before="156" w:beforeLines="50" w:after="156" w:afterLines="50"/>
              <w:jc w:val="left"/>
              <w:rPr>
                <w:rFonts w:ascii="宋体"/>
                <w:kern w:val="0"/>
                <w:sz w:val="18"/>
                <w:szCs w:val="18"/>
              </w:rPr>
            </w:pPr>
          </w:p>
        </w:tc>
        <w:tc>
          <w:tcPr>
            <w:tcW w:w="2273" w:type="dxa"/>
            <w:vMerge w:val="continue"/>
            <w:vAlign w:val="center"/>
          </w:tcPr>
          <w:p w14:paraId="0FA31ED0">
            <w:pPr>
              <w:spacing w:before="156" w:beforeLines="50" w:after="156" w:afterLines="50"/>
              <w:jc w:val="left"/>
              <w:rPr>
                <w:rFonts w:ascii="宋体"/>
                <w:kern w:val="0"/>
                <w:sz w:val="18"/>
                <w:szCs w:val="18"/>
              </w:rPr>
            </w:pPr>
          </w:p>
        </w:tc>
      </w:tr>
      <w:tr w14:paraId="590454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75" w:hRule="atLeast"/>
          <w:jc w:val="center"/>
        </w:trPr>
        <w:tc>
          <w:tcPr>
            <w:tcW w:w="771" w:type="dxa"/>
            <w:vMerge w:val="continue"/>
            <w:vAlign w:val="center"/>
          </w:tcPr>
          <w:p w14:paraId="1840231D">
            <w:pPr>
              <w:spacing w:before="156" w:beforeLines="50" w:after="156" w:afterLines="50"/>
              <w:jc w:val="left"/>
              <w:rPr>
                <w:rFonts w:ascii="宋体"/>
                <w:kern w:val="0"/>
                <w:sz w:val="18"/>
                <w:szCs w:val="18"/>
              </w:rPr>
            </w:pPr>
          </w:p>
        </w:tc>
        <w:tc>
          <w:tcPr>
            <w:tcW w:w="1857" w:type="dxa"/>
            <w:vMerge w:val="continue"/>
            <w:vAlign w:val="center"/>
          </w:tcPr>
          <w:p w14:paraId="45E27E3E">
            <w:pPr>
              <w:spacing w:before="156" w:beforeLines="50" w:after="156" w:afterLines="50"/>
              <w:jc w:val="left"/>
              <w:rPr>
                <w:rFonts w:ascii="宋体"/>
                <w:kern w:val="0"/>
                <w:sz w:val="18"/>
                <w:szCs w:val="18"/>
              </w:rPr>
            </w:pPr>
          </w:p>
        </w:tc>
        <w:tc>
          <w:tcPr>
            <w:tcW w:w="1260" w:type="dxa"/>
            <w:vMerge w:val="continue"/>
            <w:vAlign w:val="center"/>
          </w:tcPr>
          <w:p w14:paraId="25DBAC04">
            <w:pPr>
              <w:spacing w:before="156" w:beforeLines="50" w:after="156" w:afterLines="50"/>
              <w:jc w:val="left"/>
              <w:rPr>
                <w:rFonts w:ascii="宋体"/>
                <w:kern w:val="0"/>
                <w:sz w:val="18"/>
                <w:szCs w:val="18"/>
              </w:rPr>
            </w:pPr>
          </w:p>
        </w:tc>
        <w:tc>
          <w:tcPr>
            <w:tcW w:w="1890" w:type="dxa"/>
            <w:vMerge w:val="continue"/>
            <w:vAlign w:val="center"/>
          </w:tcPr>
          <w:p w14:paraId="6E85FAEC">
            <w:pPr>
              <w:spacing w:before="156" w:beforeLines="50" w:after="156" w:afterLines="50"/>
              <w:jc w:val="left"/>
              <w:rPr>
                <w:rFonts w:ascii="宋体"/>
                <w:kern w:val="0"/>
                <w:sz w:val="18"/>
                <w:szCs w:val="18"/>
              </w:rPr>
            </w:pPr>
          </w:p>
        </w:tc>
        <w:tc>
          <w:tcPr>
            <w:tcW w:w="790" w:type="dxa"/>
            <w:vMerge w:val="continue"/>
            <w:vAlign w:val="center"/>
          </w:tcPr>
          <w:p w14:paraId="1EC46DD4">
            <w:pPr>
              <w:spacing w:before="156" w:beforeLines="50" w:after="156" w:afterLines="50"/>
              <w:jc w:val="left"/>
              <w:rPr>
                <w:rFonts w:ascii="宋体"/>
                <w:kern w:val="0"/>
                <w:sz w:val="18"/>
                <w:szCs w:val="18"/>
              </w:rPr>
            </w:pPr>
          </w:p>
        </w:tc>
        <w:tc>
          <w:tcPr>
            <w:tcW w:w="1661" w:type="dxa"/>
            <w:vAlign w:val="center"/>
          </w:tcPr>
          <w:p w14:paraId="3B92F3BB">
            <w:pPr>
              <w:widowControl/>
              <w:spacing w:before="156" w:beforeLines="50" w:after="156" w:afterLines="50"/>
              <w:jc w:val="left"/>
              <w:rPr>
                <w:rFonts w:ascii="宋体"/>
                <w:kern w:val="0"/>
                <w:sz w:val="18"/>
                <w:szCs w:val="18"/>
              </w:rPr>
            </w:pPr>
            <w:r>
              <w:rPr>
                <w:rFonts w:hint="eastAsia" w:ascii="宋体"/>
                <w:sz w:val="18"/>
                <w:szCs w:val="18"/>
              </w:rPr>
              <w:t>多个航次未经海事管理机构同意,的。</w:t>
            </w:r>
          </w:p>
        </w:tc>
        <w:tc>
          <w:tcPr>
            <w:tcW w:w="2085" w:type="dxa"/>
            <w:vAlign w:val="center"/>
          </w:tcPr>
          <w:p w14:paraId="4A65DA07">
            <w:pPr>
              <w:spacing w:before="156" w:beforeLines="50" w:after="156" w:afterLines="50"/>
              <w:jc w:val="left"/>
              <w:rPr>
                <w:rFonts w:ascii="宋体"/>
                <w:sz w:val="18"/>
                <w:szCs w:val="18"/>
              </w:rPr>
            </w:pPr>
            <w:r>
              <w:rPr>
                <w:rFonts w:hint="eastAsia" w:ascii="宋体"/>
                <w:sz w:val="18"/>
                <w:szCs w:val="18"/>
              </w:rPr>
              <w:t>5万元及以上</w:t>
            </w:r>
            <w:r>
              <w:rPr>
                <w:rFonts w:ascii="宋体"/>
                <w:sz w:val="18"/>
                <w:szCs w:val="18"/>
              </w:rPr>
              <w:t>10</w:t>
            </w:r>
            <w:r>
              <w:rPr>
                <w:rFonts w:hint="eastAsia" w:ascii="宋体"/>
                <w:sz w:val="18"/>
                <w:szCs w:val="18"/>
              </w:rPr>
              <w:t>万元及以下</w:t>
            </w:r>
          </w:p>
        </w:tc>
        <w:tc>
          <w:tcPr>
            <w:tcW w:w="2127" w:type="dxa"/>
            <w:vAlign w:val="center"/>
          </w:tcPr>
          <w:p w14:paraId="7EEE41E3">
            <w:pPr>
              <w:spacing w:before="156" w:beforeLines="50" w:after="156" w:afterLines="50"/>
              <w:jc w:val="left"/>
              <w:rPr>
                <w:rFonts w:ascii="宋体"/>
                <w:sz w:val="18"/>
                <w:szCs w:val="18"/>
              </w:rPr>
            </w:pPr>
            <w:r>
              <w:rPr>
                <w:rFonts w:hint="eastAsia" w:ascii="宋体"/>
                <w:sz w:val="18"/>
                <w:szCs w:val="18"/>
              </w:rPr>
              <w:t>5.</w:t>
            </w: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126" w:type="dxa"/>
            <w:vAlign w:val="center"/>
          </w:tcPr>
          <w:p w14:paraId="7BDC575E">
            <w:pPr>
              <w:spacing w:before="156" w:beforeLines="50" w:after="156" w:afterLines="50"/>
              <w:jc w:val="left"/>
              <w:rPr>
                <w:rFonts w:ascii="宋体"/>
                <w:sz w:val="18"/>
                <w:szCs w:val="18"/>
              </w:rPr>
            </w:pPr>
            <w:r>
              <w:rPr>
                <w:rFonts w:hint="eastAsia" w:ascii="宋体"/>
                <w:sz w:val="18"/>
                <w:szCs w:val="18"/>
              </w:rPr>
              <w:t>6万元及以上</w:t>
            </w:r>
            <w:r>
              <w:rPr>
                <w:rFonts w:ascii="宋体"/>
                <w:sz w:val="18"/>
                <w:szCs w:val="18"/>
              </w:rPr>
              <w:t>10</w:t>
            </w:r>
            <w:r>
              <w:rPr>
                <w:rFonts w:hint="eastAsia" w:ascii="宋体"/>
                <w:sz w:val="18"/>
                <w:szCs w:val="18"/>
              </w:rPr>
              <w:t>万元及以下</w:t>
            </w:r>
          </w:p>
        </w:tc>
        <w:tc>
          <w:tcPr>
            <w:tcW w:w="2268" w:type="dxa"/>
            <w:vAlign w:val="center"/>
          </w:tcPr>
          <w:p w14:paraId="48481759">
            <w:pPr>
              <w:spacing w:before="156" w:beforeLines="50" w:after="156" w:afterLines="50"/>
              <w:rPr>
                <w:rFonts w:ascii="宋体"/>
                <w:sz w:val="18"/>
                <w:szCs w:val="18"/>
              </w:rPr>
            </w:pPr>
            <w:r>
              <w:rPr>
                <w:rFonts w:hint="eastAsia" w:ascii="宋体"/>
                <w:sz w:val="18"/>
                <w:szCs w:val="18"/>
              </w:rPr>
              <w:t>暂扣适任证书或者其他适任证件9个月以上直至吊销适任证书或者其他适任证件的处罚</w:t>
            </w:r>
          </w:p>
        </w:tc>
        <w:tc>
          <w:tcPr>
            <w:tcW w:w="2410" w:type="dxa"/>
            <w:vMerge w:val="continue"/>
            <w:vAlign w:val="center"/>
          </w:tcPr>
          <w:p w14:paraId="24166E00">
            <w:pPr>
              <w:spacing w:before="156" w:beforeLines="50" w:after="156" w:afterLines="50"/>
              <w:jc w:val="left"/>
              <w:rPr>
                <w:rFonts w:ascii="宋体"/>
                <w:kern w:val="0"/>
                <w:sz w:val="18"/>
                <w:szCs w:val="18"/>
              </w:rPr>
            </w:pPr>
          </w:p>
        </w:tc>
        <w:tc>
          <w:tcPr>
            <w:tcW w:w="2273" w:type="dxa"/>
            <w:vMerge w:val="continue"/>
            <w:vAlign w:val="center"/>
          </w:tcPr>
          <w:p w14:paraId="13AFA514">
            <w:pPr>
              <w:spacing w:before="156" w:beforeLines="50" w:after="156" w:afterLines="50"/>
              <w:jc w:val="left"/>
              <w:rPr>
                <w:rFonts w:ascii="宋体"/>
                <w:kern w:val="0"/>
                <w:sz w:val="18"/>
                <w:szCs w:val="18"/>
              </w:rPr>
            </w:pPr>
          </w:p>
        </w:tc>
      </w:tr>
      <w:tr w14:paraId="1444D4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21518" w:type="dxa"/>
            <w:gridSpan w:val="12"/>
            <w:vAlign w:val="center"/>
          </w:tcPr>
          <w:p w14:paraId="07A74762">
            <w:pPr>
              <w:spacing w:before="156" w:beforeLines="50" w:after="156" w:afterLines="50"/>
              <w:rPr>
                <w:rFonts w:ascii="宋体"/>
                <w:b/>
                <w:sz w:val="18"/>
                <w:szCs w:val="18"/>
              </w:rPr>
            </w:pPr>
            <w:r>
              <w:rPr>
                <w:rFonts w:hint="eastAsia" w:ascii="宋体"/>
                <w:b/>
                <w:sz w:val="18"/>
                <w:szCs w:val="18"/>
              </w:rPr>
              <w:t>注：当事人具有以下减轻情节的，可以按减轻处罚基准执行：</w:t>
            </w:r>
          </w:p>
          <w:p w14:paraId="5B4FC534">
            <w:pPr>
              <w:spacing w:before="156" w:beforeLines="50" w:after="156" w:afterLines="50"/>
              <w:rPr>
                <w:rFonts w:ascii="宋体"/>
                <w:b/>
                <w:sz w:val="18"/>
                <w:szCs w:val="18"/>
              </w:rPr>
            </w:pPr>
            <w:r>
              <w:rPr>
                <w:rFonts w:hint="eastAsia" w:ascii="宋体"/>
                <w:b/>
                <w:sz w:val="18"/>
                <w:szCs w:val="18"/>
              </w:rPr>
              <w:t>1.积极配合海事管理机构调查，并主动交代未报告情况的；2.检举并配合海事管理机构查处他船海事行政违法行为有立功表现的；3.其他可以给予减轻的情形。</w:t>
            </w:r>
          </w:p>
        </w:tc>
      </w:tr>
    </w:tbl>
    <w:p w14:paraId="5F32279D">
      <w:pPr>
        <w:spacing w:before="156" w:beforeLines="50" w:after="156" w:afterLines="50"/>
        <w:jc w:val="left"/>
        <w:rPr>
          <w:sz w:val="18"/>
          <w:szCs w:val="18"/>
        </w:rPr>
      </w:pPr>
      <w:r>
        <w:rPr>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429"/>
        <w:gridCol w:w="1428"/>
        <w:gridCol w:w="3000"/>
        <w:gridCol w:w="714"/>
        <w:gridCol w:w="3142"/>
        <w:gridCol w:w="2331"/>
        <w:gridCol w:w="2552"/>
        <w:gridCol w:w="6057"/>
      </w:tblGrid>
      <w:tr w14:paraId="6844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680" w:type="dxa"/>
            <w:vMerge w:val="restart"/>
            <w:vAlign w:val="center"/>
          </w:tcPr>
          <w:p w14:paraId="3FD97718">
            <w:pPr>
              <w:spacing w:before="156" w:beforeLines="50" w:after="156" w:afterLines="50"/>
              <w:jc w:val="center"/>
              <w:rPr>
                <w:rFonts w:ascii="宋体"/>
                <w:b/>
                <w:kern w:val="0"/>
                <w:sz w:val="18"/>
                <w:szCs w:val="18"/>
              </w:rPr>
            </w:pPr>
            <w:r>
              <w:rPr>
                <w:rFonts w:hint="eastAsia" w:ascii="宋体"/>
                <w:b/>
                <w:kern w:val="0"/>
                <w:sz w:val="18"/>
                <w:szCs w:val="18"/>
              </w:rPr>
              <w:t>序号</w:t>
            </w:r>
          </w:p>
        </w:tc>
        <w:tc>
          <w:tcPr>
            <w:tcW w:w="1429" w:type="dxa"/>
            <w:vMerge w:val="restart"/>
            <w:vAlign w:val="center"/>
          </w:tcPr>
          <w:p w14:paraId="0ADEE656">
            <w:pPr>
              <w:spacing w:before="156" w:beforeLines="50" w:after="156" w:afterLines="50"/>
              <w:jc w:val="center"/>
              <w:rPr>
                <w:rFonts w:ascii="宋体"/>
                <w:b/>
                <w:kern w:val="0"/>
                <w:sz w:val="18"/>
                <w:szCs w:val="18"/>
              </w:rPr>
            </w:pPr>
            <w:r>
              <w:rPr>
                <w:rFonts w:hint="eastAsia" w:ascii="宋体"/>
                <w:b/>
                <w:kern w:val="0"/>
                <w:sz w:val="18"/>
                <w:szCs w:val="18"/>
              </w:rPr>
              <w:t>案由</w:t>
            </w:r>
          </w:p>
        </w:tc>
        <w:tc>
          <w:tcPr>
            <w:tcW w:w="4428" w:type="dxa"/>
            <w:gridSpan w:val="2"/>
            <w:vMerge w:val="restart"/>
            <w:vAlign w:val="center"/>
          </w:tcPr>
          <w:p w14:paraId="082BC32D">
            <w:pPr>
              <w:spacing w:before="156" w:beforeLines="50" w:after="156" w:afterLines="50"/>
              <w:jc w:val="center"/>
              <w:rPr>
                <w:rFonts w:ascii="宋体"/>
                <w:b/>
                <w:kern w:val="0"/>
                <w:sz w:val="18"/>
                <w:szCs w:val="18"/>
              </w:rPr>
            </w:pPr>
            <w:r>
              <w:rPr>
                <w:rFonts w:hint="eastAsia" w:ascii="宋体"/>
                <w:b/>
                <w:kern w:val="0"/>
                <w:sz w:val="18"/>
                <w:szCs w:val="18"/>
              </w:rPr>
              <w:t>法律依据</w:t>
            </w:r>
          </w:p>
        </w:tc>
        <w:tc>
          <w:tcPr>
            <w:tcW w:w="714" w:type="dxa"/>
            <w:vMerge w:val="restart"/>
            <w:vAlign w:val="center"/>
          </w:tcPr>
          <w:p w14:paraId="5EE37A72">
            <w:pPr>
              <w:spacing w:before="156" w:beforeLines="50" w:after="156" w:afterLines="50"/>
              <w:jc w:val="left"/>
              <w:rPr>
                <w:rFonts w:ascii="宋体"/>
                <w:b/>
                <w:kern w:val="0"/>
                <w:sz w:val="18"/>
                <w:szCs w:val="18"/>
              </w:rPr>
            </w:pPr>
            <w:r>
              <w:rPr>
                <w:rFonts w:hint="eastAsia" w:ascii="宋体"/>
                <w:b/>
                <w:kern w:val="0"/>
                <w:sz w:val="18"/>
                <w:szCs w:val="18"/>
              </w:rPr>
              <w:t>违法情节</w:t>
            </w:r>
          </w:p>
        </w:tc>
        <w:tc>
          <w:tcPr>
            <w:tcW w:w="3142" w:type="dxa"/>
            <w:vMerge w:val="restart"/>
            <w:vAlign w:val="center"/>
          </w:tcPr>
          <w:p w14:paraId="557DAFC4">
            <w:pPr>
              <w:spacing w:before="156" w:beforeLines="50" w:after="156" w:afterLines="50"/>
              <w:jc w:val="left"/>
              <w:rPr>
                <w:rFonts w:ascii="宋体"/>
                <w:b/>
                <w:kern w:val="0"/>
                <w:sz w:val="18"/>
                <w:szCs w:val="18"/>
              </w:rPr>
            </w:pPr>
            <w:r>
              <w:rPr>
                <w:rFonts w:hint="eastAsia" w:ascii="宋体"/>
                <w:b/>
                <w:kern w:val="0"/>
                <w:sz w:val="18"/>
                <w:szCs w:val="18"/>
              </w:rPr>
              <w:t>主要考虑因素（事实、性质、情节、危害程度和实际后果等）</w:t>
            </w:r>
          </w:p>
        </w:tc>
        <w:tc>
          <w:tcPr>
            <w:tcW w:w="10940" w:type="dxa"/>
            <w:gridSpan w:val="3"/>
            <w:tcBorders>
              <w:bottom w:val="single" w:color="auto" w:sz="4" w:space="0"/>
              <w:right w:val="single" w:color="auto" w:sz="4" w:space="0"/>
            </w:tcBorders>
            <w:vAlign w:val="center"/>
          </w:tcPr>
          <w:p w14:paraId="64DB5895">
            <w:pPr>
              <w:spacing w:before="156" w:beforeLines="50" w:after="156" w:afterLines="50"/>
              <w:jc w:val="left"/>
              <w:rPr>
                <w:rFonts w:ascii="宋体"/>
                <w:b/>
                <w:kern w:val="0"/>
                <w:sz w:val="18"/>
                <w:szCs w:val="18"/>
              </w:rPr>
            </w:pPr>
            <w:r>
              <w:rPr>
                <w:rFonts w:hint="eastAsia" w:ascii="宋体"/>
                <w:b/>
                <w:kern w:val="0"/>
                <w:sz w:val="18"/>
                <w:szCs w:val="18"/>
              </w:rPr>
              <w:t>【法定幅度和种类】</w:t>
            </w:r>
            <w:r>
              <w:rPr>
                <w:rFonts w:hint="eastAsia" w:ascii="等线" w:hAnsi="等线"/>
                <w:b/>
                <w:sz w:val="18"/>
                <w:szCs w:val="18"/>
              </w:rPr>
              <w:t>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tc>
      </w:tr>
      <w:tr w14:paraId="7C564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12EFF51B">
            <w:pPr>
              <w:spacing w:before="156" w:beforeLines="50" w:after="156" w:afterLines="50"/>
              <w:jc w:val="center"/>
              <w:rPr>
                <w:rFonts w:ascii="宋体"/>
                <w:b/>
                <w:kern w:val="0"/>
                <w:sz w:val="18"/>
                <w:szCs w:val="18"/>
              </w:rPr>
            </w:pPr>
          </w:p>
        </w:tc>
        <w:tc>
          <w:tcPr>
            <w:tcW w:w="1429" w:type="dxa"/>
            <w:vMerge w:val="continue"/>
            <w:vAlign w:val="center"/>
          </w:tcPr>
          <w:p w14:paraId="44AC7954">
            <w:pPr>
              <w:spacing w:before="156" w:beforeLines="50" w:after="156" w:afterLines="50"/>
              <w:jc w:val="center"/>
              <w:rPr>
                <w:rFonts w:ascii="宋体"/>
                <w:b/>
                <w:kern w:val="0"/>
                <w:sz w:val="18"/>
                <w:szCs w:val="18"/>
              </w:rPr>
            </w:pPr>
          </w:p>
        </w:tc>
        <w:tc>
          <w:tcPr>
            <w:tcW w:w="4428" w:type="dxa"/>
            <w:gridSpan w:val="2"/>
            <w:vMerge w:val="continue"/>
            <w:vAlign w:val="center"/>
          </w:tcPr>
          <w:p w14:paraId="01BFB197">
            <w:pPr>
              <w:spacing w:before="156" w:beforeLines="50" w:after="156" w:afterLines="50"/>
              <w:jc w:val="center"/>
              <w:rPr>
                <w:rFonts w:ascii="宋体"/>
                <w:b/>
                <w:kern w:val="0"/>
                <w:sz w:val="18"/>
                <w:szCs w:val="18"/>
              </w:rPr>
            </w:pPr>
          </w:p>
        </w:tc>
        <w:tc>
          <w:tcPr>
            <w:tcW w:w="714" w:type="dxa"/>
            <w:vMerge w:val="continue"/>
            <w:vAlign w:val="center"/>
          </w:tcPr>
          <w:p w14:paraId="5C4B7D91">
            <w:pPr>
              <w:spacing w:before="156" w:beforeLines="50" w:after="156" w:afterLines="50"/>
              <w:jc w:val="left"/>
              <w:rPr>
                <w:rFonts w:ascii="宋体"/>
                <w:b/>
                <w:kern w:val="0"/>
                <w:sz w:val="18"/>
                <w:szCs w:val="18"/>
              </w:rPr>
            </w:pPr>
          </w:p>
        </w:tc>
        <w:tc>
          <w:tcPr>
            <w:tcW w:w="3142" w:type="dxa"/>
            <w:vMerge w:val="continue"/>
            <w:vAlign w:val="center"/>
          </w:tcPr>
          <w:p w14:paraId="50F19186">
            <w:pPr>
              <w:spacing w:before="156" w:beforeLines="50" w:after="156" w:afterLines="50"/>
              <w:jc w:val="left"/>
              <w:rPr>
                <w:rFonts w:ascii="宋体"/>
                <w:b/>
                <w:kern w:val="0"/>
                <w:sz w:val="18"/>
                <w:szCs w:val="18"/>
              </w:rPr>
            </w:pPr>
          </w:p>
        </w:tc>
        <w:tc>
          <w:tcPr>
            <w:tcW w:w="10940" w:type="dxa"/>
            <w:gridSpan w:val="3"/>
            <w:tcBorders>
              <w:top w:val="single" w:color="auto" w:sz="4" w:space="0"/>
              <w:right w:val="single" w:color="auto" w:sz="4" w:space="0"/>
            </w:tcBorders>
            <w:vAlign w:val="center"/>
          </w:tcPr>
          <w:p w14:paraId="31756B42">
            <w:pPr>
              <w:spacing w:before="156" w:beforeLines="50" w:after="156" w:afterLines="50"/>
              <w:jc w:val="center"/>
              <w:rPr>
                <w:rFonts w:ascii="宋体"/>
                <w:b/>
                <w:kern w:val="0"/>
                <w:sz w:val="18"/>
                <w:szCs w:val="18"/>
              </w:rPr>
            </w:pPr>
            <w:r>
              <w:rPr>
                <w:rFonts w:hint="eastAsia" w:ascii="宋体"/>
                <w:b/>
                <w:kern w:val="0"/>
                <w:sz w:val="18"/>
                <w:szCs w:val="18"/>
              </w:rPr>
              <w:t>处罚基准</w:t>
            </w:r>
          </w:p>
        </w:tc>
      </w:tr>
      <w:tr w14:paraId="6BB6B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680" w:type="dxa"/>
            <w:vMerge w:val="continue"/>
            <w:vAlign w:val="center"/>
          </w:tcPr>
          <w:p w14:paraId="6FE7FC43">
            <w:pPr>
              <w:spacing w:before="156" w:beforeLines="50" w:after="156" w:afterLines="50"/>
              <w:jc w:val="center"/>
              <w:rPr>
                <w:rFonts w:ascii="宋体"/>
                <w:b/>
                <w:kern w:val="0"/>
                <w:sz w:val="18"/>
                <w:szCs w:val="18"/>
              </w:rPr>
            </w:pPr>
          </w:p>
        </w:tc>
        <w:tc>
          <w:tcPr>
            <w:tcW w:w="1429" w:type="dxa"/>
            <w:vMerge w:val="continue"/>
            <w:vAlign w:val="center"/>
          </w:tcPr>
          <w:p w14:paraId="5557BE3A">
            <w:pPr>
              <w:spacing w:before="156" w:beforeLines="50" w:after="156" w:afterLines="50"/>
              <w:jc w:val="center"/>
              <w:rPr>
                <w:rFonts w:ascii="宋体"/>
                <w:b/>
                <w:kern w:val="0"/>
                <w:sz w:val="18"/>
                <w:szCs w:val="18"/>
              </w:rPr>
            </w:pPr>
          </w:p>
        </w:tc>
        <w:tc>
          <w:tcPr>
            <w:tcW w:w="1428" w:type="dxa"/>
            <w:vMerge w:val="restart"/>
            <w:vAlign w:val="center"/>
          </w:tcPr>
          <w:p w14:paraId="38FBB75B">
            <w:pPr>
              <w:spacing w:before="156" w:beforeLines="50" w:after="156" w:afterLines="50"/>
              <w:jc w:val="center"/>
              <w:rPr>
                <w:rFonts w:ascii="宋体"/>
                <w:b/>
                <w:kern w:val="0"/>
                <w:sz w:val="18"/>
                <w:szCs w:val="18"/>
              </w:rPr>
            </w:pPr>
            <w:r>
              <w:rPr>
                <w:rFonts w:hint="eastAsia" w:ascii="宋体"/>
                <w:b/>
                <w:kern w:val="0"/>
                <w:sz w:val="18"/>
                <w:szCs w:val="18"/>
              </w:rPr>
              <w:t>违反条款</w:t>
            </w:r>
          </w:p>
        </w:tc>
        <w:tc>
          <w:tcPr>
            <w:tcW w:w="3000" w:type="dxa"/>
            <w:vMerge w:val="restart"/>
            <w:vAlign w:val="center"/>
          </w:tcPr>
          <w:p w14:paraId="3C637404">
            <w:pPr>
              <w:spacing w:before="156" w:beforeLines="50" w:after="156" w:afterLines="50"/>
              <w:jc w:val="center"/>
              <w:rPr>
                <w:rFonts w:ascii="宋体"/>
                <w:b/>
                <w:kern w:val="0"/>
                <w:sz w:val="18"/>
                <w:szCs w:val="18"/>
              </w:rPr>
            </w:pPr>
            <w:r>
              <w:rPr>
                <w:rFonts w:hint="eastAsia" w:ascii="宋体"/>
                <w:b/>
                <w:kern w:val="0"/>
                <w:sz w:val="18"/>
                <w:szCs w:val="18"/>
              </w:rPr>
              <w:t>处</w:t>
            </w:r>
            <w:r>
              <w:rPr>
                <w:rFonts w:ascii="宋体"/>
                <w:b/>
                <w:kern w:val="0"/>
                <w:sz w:val="18"/>
                <w:szCs w:val="18"/>
              </w:rPr>
              <w:t xml:space="preserve"> </w:t>
            </w:r>
            <w:r>
              <w:rPr>
                <w:rFonts w:hint="eastAsia" w:ascii="宋体"/>
                <w:b/>
                <w:kern w:val="0"/>
                <w:sz w:val="18"/>
                <w:szCs w:val="18"/>
              </w:rPr>
              <w:t>罚</w:t>
            </w:r>
            <w:r>
              <w:rPr>
                <w:rFonts w:ascii="宋体"/>
                <w:b/>
                <w:kern w:val="0"/>
                <w:sz w:val="18"/>
                <w:szCs w:val="18"/>
              </w:rPr>
              <w:t xml:space="preserve"> </w:t>
            </w:r>
            <w:r>
              <w:rPr>
                <w:rFonts w:hint="eastAsia" w:ascii="宋体"/>
                <w:b/>
                <w:kern w:val="0"/>
                <w:sz w:val="18"/>
                <w:szCs w:val="18"/>
              </w:rPr>
              <w:t>依</w:t>
            </w:r>
            <w:r>
              <w:rPr>
                <w:rFonts w:ascii="宋体"/>
                <w:b/>
                <w:kern w:val="0"/>
                <w:sz w:val="18"/>
                <w:szCs w:val="18"/>
              </w:rPr>
              <w:t xml:space="preserve"> </w:t>
            </w:r>
            <w:r>
              <w:rPr>
                <w:rFonts w:hint="eastAsia" w:ascii="宋体"/>
                <w:b/>
                <w:kern w:val="0"/>
                <w:sz w:val="18"/>
                <w:szCs w:val="18"/>
              </w:rPr>
              <w:t>据</w:t>
            </w:r>
          </w:p>
        </w:tc>
        <w:tc>
          <w:tcPr>
            <w:tcW w:w="714" w:type="dxa"/>
            <w:vMerge w:val="continue"/>
            <w:vAlign w:val="center"/>
          </w:tcPr>
          <w:p w14:paraId="4C83DBE6">
            <w:pPr>
              <w:spacing w:before="156" w:beforeLines="50" w:after="156" w:afterLines="50"/>
              <w:jc w:val="left"/>
              <w:rPr>
                <w:rFonts w:ascii="宋体"/>
                <w:b/>
                <w:kern w:val="0"/>
                <w:sz w:val="18"/>
                <w:szCs w:val="18"/>
              </w:rPr>
            </w:pPr>
          </w:p>
        </w:tc>
        <w:tc>
          <w:tcPr>
            <w:tcW w:w="3142" w:type="dxa"/>
            <w:vMerge w:val="continue"/>
            <w:vAlign w:val="center"/>
          </w:tcPr>
          <w:p w14:paraId="12D7D74F">
            <w:pPr>
              <w:spacing w:before="156" w:beforeLines="50" w:after="156" w:afterLines="50"/>
              <w:jc w:val="left"/>
              <w:rPr>
                <w:rFonts w:ascii="宋体"/>
                <w:b/>
                <w:kern w:val="0"/>
                <w:sz w:val="18"/>
                <w:szCs w:val="18"/>
              </w:rPr>
            </w:pPr>
          </w:p>
        </w:tc>
        <w:tc>
          <w:tcPr>
            <w:tcW w:w="10940" w:type="dxa"/>
            <w:gridSpan w:val="3"/>
            <w:tcBorders>
              <w:top w:val="single" w:color="auto" w:sz="4" w:space="0"/>
              <w:bottom w:val="single" w:color="auto" w:sz="4" w:space="0"/>
              <w:right w:val="single" w:color="auto" w:sz="4" w:space="0"/>
            </w:tcBorders>
            <w:vAlign w:val="center"/>
          </w:tcPr>
          <w:p w14:paraId="650FE81C">
            <w:pPr>
              <w:spacing w:before="156" w:beforeLines="50" w:after="156" w:afterLines="50"/>
              <w:jc w:val="center"/>
              <w:rPr>
                <w:rFonts w:ascii="宋体"/>
                <w:b/>
                <w:kern w:val="0"/>
                <w:sz w:val="18"/>
                <w:szCs w:val="18"/>
              </w:rPr>
            </w:pPr>
            <w:r>
              <w:rPr>
                <w:rFonts w:hint="eastAsia" w:ascii="宋体"/>
                <w:b/>
                <w:kern w:val="0"/>
                <w:sz w:val="18"/>
                <w:szCs w:val="18"/>
              </w:rPr>
              <w:t>【对象】船舶所有人或经营人</w:t>
            </w:r>
          </w:p>
        </w:tc>
      </w:tr>
      <w:tr w14:paraId="7C7F4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680" w:type="dxa"/>
            <w:vMerge w:val="continue"/>
            <w:vAlign w:val="center"/>
          </w:tcPr>
          <w:p w14:paraId="0B4C15CB">
            <w:pPr>
              <w:spacing w:before="156" w:beforeLines="50" w:after="156" w:afterLines="50"/>
              <w:jc w:val="left"/>
              <w:rPr>
                <w:rFonts w:ascii="宋体"/>
                <w:b/>
                <w:kern w:val="0"/>
                <w:sz w:val="18"/>
                <w:szCs w:val="18"/>
              </w:rPr>
            </w:pPr>
          </w:p>
        </w:tc>
        <w:tc>
          <w:tcPr>
            <w:tcW w:w="1429" w:type="dxa"/>
            <w:vMerge w:val="continue"/>
            <w:vAlign w:val="center"/>
          </w:tcPr>
          <w:p w14:paraId="338A0494">
            <w:pPr>
              <w:spacing w:before="156" w:beforeLines="50" w:after="156" w:afterLines="50"/>
              <w:jc w:val="left"/>
              <w:rPr>
                <w:rFonts w:ascii="宋体"/>
                <w:b/>
                <w:kern w:val="0"/>
                <w:sz w:val="18"/>
                <w:szCs w:val="18"/>
              </w:rPr>
            </w:pPr>
          </w:p>
        </w:tc>
        <w:tc>
          <w:tcPr>
            <w:tcW w:w="1428" w:type="dxa"/>
            <w:vMerge w:val="continue"/>
            <w:vAlign w:val="center"/>
          </w:tcPr>
          <w:p w14:paraId="4C2AAE2B">
            <w:pPr>
              <w:spacing w:before="156" w:beforeLines="50" w:after="156" w:afterLines="50"/>
              <w:jc w:val="left"/>
              <w:rPr>
                <w:rFonts w:ascii="宋体"/>
                <w:b/>
                <w:kern w:val="0"/>
                <w:sz w:val="18"/>
                <w:szCs w:val="18"/>
              </w:rPr>
            </w:pPr>
          </w:p>
        </w:tc>
        <w:tc>
          <w:tcPr>
            <w:tcW w:w="3000" w:type="dxa"/>
            <w:vMerge w:val="continue"/>
            <w:vAlign w:val="center"/>
          </w:tcPr>
          <w:p w14:paraId="2F600D92">
            <w:pPr>
              <w:spacing w:before="156" w:beforeLines="50" w:after="156" w:afterLines="50"/>
              <w:jc w:val="left"/>
              <w:rPr>
                <w:rFonts w:ascii="宋体"/>
                <w:b/>
                <w:kern w:val="0"/>
                <w:sz w:val="18"/>
                <w:szCs w:val="18"/>
              </w:rPr>
            </w:pPr>
          </w:p>
        </w:tc>
        <w:tc>
          <w:tcPr>
            <w:tcW w:w="714" w:type="dxa"/>
            <w:vMerge w:val="continue"/>
            <w:vAlign w:val="center"/>
          </w:tcPr>
          <w:p w14:paraId="572F4C53">
            <w:pPr>
              <w:spacing w:before="156" w:beforeLines="50" w:after="156" w:afterLines="50"/>
              <w:jc w:val="left"/>
              <w:rPr>
                <w:rFonts w:ascii="宋体"/>
                <w:b/>
                <w:kern w:val="0"/>
                <w:sz w:val="18"/>
                <w:szCs w:val="18"/>
              </w:rPr>
            </w:pPr>
          </w:p>
        </w:tc>
        <w:tc>
          <w:tcPr>
            <w:tcW w:w="3142" w:type="dxa"/>
            <w:vMerge w:val="continue"/>
            <w:tcBorders>
              <w:bottom w:val="single" w:color="auto" w:sz="4" w:space="0"/>
            </w:tcBorders>
            <w:vAlign w:val="center"/>
          </w:tcPr>
          <w:p w14:paraId="405CA543">
            <w:pPr>
              <w:spacing w:before="156" w:beforeLines="50" w:after="156" w:afterLines="50"/>
              <w:jc w:val="left"/>
              <w:rPr>
                <w:rFonts w:ascii="宋体"/>
                <w:b/>
                <w:kern w:val="0"/>
                <w:sz w:val="18"/>
                <w:szCs w:val="18"/>
              </w:rPr>
            </w:pPr>
          </w:p>
        </w:tc>
        <w:tc>
          <w:tcPr>
            <w:tcW w:w="2331" w:type="dxa"/>
            <w:tcBorders>
              <w:top w:val="single" w:color="auto" w:sz="4" w:space="0"/>
              <w:bottom w:val="single" w:color="auto" w:sz="4" w:space="0"/>
              <w:right w:val="single" w:color="auto" w:sz="4" w:space="0"/>
            </w:tcBorders>
            <w:vAlign w:val="center"/>
          </w:tcPr>
          <w:p w14:paraId="21B33063">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w:t>
            </w:r>
            <w:r>
              <w:rPr>
                <w:rFonts w:ascii="宋体"/>
                <w:b/>
                <w:sz w:val="18"/>
                <w:szCs w:val="18"/>
              </w:rPr>
              <w:t>150KW</w:t>
            </w:r>
            <w:r>
              <w:rPr>
                <w:rFonts w:hint="eastAsia" w:ascii="宋体"/>
                <w:b/>
                <w:sz w:val="18"/>
                <w:szCs w:val="18"/>
              </w:rPr>
              <w:t>以下；沿海船舶</w:t>
            </w:r>
            <w:r>
              <w:rPr>
                <w:rFonts w:ascii="宋体"/>
                <w:b/>
                <w:sz w:val="18"/>
                <w:szCs w:val="18"/>
              </w:rPr>
              <w:t>500GT</w:t>
            </w:r>
            <w:r>
              <w:rPr>
                <w:rFonts w:hint="eastAsia" w:ascii="宋体"/>
                <w:b/>
                <w:sz w:val="18"/>
                <w:szCs w:val="18"/>
              </w:rPr>
              <w:t>∕</w:t>
            </w:r>
            <w:r>
              <w:rPr>
                <w:rFonts w:ascii="宋体"/>
                <w:b/>
                <w:sz w:val="18"/>
                <w:szCs w:val="18"/>
              </w:rPr>
              <w:t>750KW</w:t>
            </w:r>
            <w:r>
              <w:rPr>
                <w:rFonts w:hint="eastAsia" w:ascii="宋体"/>
                <w:b/>
                <w:sz w:val="18"/>
                <w:szCs w:val="18"/>
              </w:rPr>
              <w:t>以下</w:t>
            </w:r>
          </w:p>
        </w:tc>
        <w:tc>
          <w:tcPr>
            <w:tcW w:w="2552" w:type="dxa"/>
            <w:tcBorders>
              <w:top w:val="single" w:color="auto" w:sz="4" w:space="0"/>
              <w:bottom w:val="single" w:color="auto" w:sz="4" w:space="0"/>
              <w:right w:val="single" w:color="auto" w:sz="4" w:space="0"/>
            </w:tcBorders>
            <w:vAlign w:val="center"/>
          </w:tcPr>
          <w:p w14:paraId="12B3F031">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300GT</w:t>
            </w:r>
            <w:r>
              <w:rPr>
                <w:rFonts w:hint="eastAsia" w:ascii="宋体"/>
                <w:b/>
                <w:sz w:val="18"/>
                <w:szCs w:val="18"/>
              </w:rPr>
              <w:t>及以上</w:t>
            </w:r>
            <w:r>
              <w:rPr>
                <w:rFonts w:ascii="宋体"/>
                <w:b/>
                <w:sz w:val="18"/>
                <w:szCs w:val="18"/>
              </w:rPr>
              <w:t>1000GT</w:t>
            </w:r>
            <w:r>
              <w:rPr>
                <w:rFonts w:hint="eastAsia" w:ascii="宋体"/>
                <w:b/>
                <w:sz w:val="18"/>
                <w:szCs w:val="18"/>
              </w:rPr>
              <w:t>以下∕</w:t>
            </w:r>
            <w:r>
              <w:rPr>
                <w:rFonts w:ascii="宋体"/>
                <w:b/>
                <w:sz w:val="18"/>
                <w:szCs w:val="18"/>
              </w:rPr>
              <w:t>150KW</w:t>
            </w:r>
            <w:r>
              <w:rPr>
                <w:rFonts w:hint="eastAsia" w:ascii="宋体"/>
                <w:b/>
                <w:sz w:val="18"/>
                <w:szCs w:val="18"/>
              </w:rPr>
              <w:t>及以上</w:t>
            </w:r>
            <w:r>
              <w:rPr>
                <w:rFonts w:ascii="宋体"/>
                <w:b/>
                <w:sz w:val="18"/>
                <w:szCs w:val="18"/>
              </w:rPr>
              <w:t>500KW</w:t>
            </w:r>
            <w:r>
              <w:rPr>
                <w:rFonts w:hint="eastAsia" w:ascii="宋体"/>
                <w:b/>
                <w:sz w:val="18"/>
                <w:szCs w:val="18"/>
              </w:rPr>
              <w:t>以下；沿海船舶</w:t>
            </w:r>
            <w:r>
              <w:rPr>
                <w:rFonts w:ascii="宋体"/>
                <w:b/>
                <w:sz w:val="18"/>
                <w:szCs w:val="18"/>
              </w:rPr>
              <w:t>500GT</w:t>
            </w:r>
            <w:r>
              <w:rPr>
                <w:rFonts w:hint="eastAsia" w:ascii="宋体"/>
                <w:b/>
                <w:sz w:val="18"/>
                <w:szCs w:val="18"/>
              </w:rPr>
              <w:t>及以上</w:t>
            </w:r>
            <w:r>
              <w:rPr>
                <w:rFonts w:ascii="宋体"/>
                <w:b/>
                <w:sz w:val="18"/>
                <w:szCs w:val="18"/>
              </w:rPr>
              <w:t>3000GT</w:t>
            </w:r>
            <w:r>
              <w:rPr>
                <w:rFonts w:hint="eastAsia" w:ascii="宋体"/>
                <w:b/>
                <w:sz w:val="18"/>
                <w:szCs w:val="18"/>
              </w:rPr>
              <w:t>以下∕</w:t>
            </w:r>
            <w:r>
              <w:rPr>
                <w:rFonts w:ascii="宋体"/>
                <w:b/>
                <w:sz w:val="18"/>
                <w:szCs w:val="18"/>
              </w:rPr>
              <w:t>750KW</w:t>
            </w:r>
            <w:r>
              <w:rPr>
                <w:rFonts w:hint="eastAsia" w:ascii="宋体"/>
                <w:b/>
                <w:sz w:val="18"/>
                <w:szCs w:val="18"/>
              </w:rPr>
              <w:t>及以上</w:t>
            </w:r>
            <w:r>
              <w:rPr>
                <w:rFonts w:ascii="宋体"/>
                <w:b/>
                <w:sz w:val="18"/>
                <w:szCs w:val="18"/>
              </w:rPr>
              <w:t>3000KW</w:t>
            </w:r>
            <w:r>
              <w:rPr>
                <w:rFonts w:hint="eastAsia" w:ascii="宋体"/>
                <w:b/>
                <w:sz w:val="18"/>
                <w:szCs w:val="18"/>
              </w:rPr>
              <w:t>以下</w:t>
            </w:r>
          </w:p>
        </w:tc>
        <w:tc>
          <w:tcPr>
            <w:tcW w:w="6057" w:type="dxa"/>
            <w:tcBorders>
              <w:top w:val="single" w:color="auto" w:sz="4" w:space="0"/>
              <w:bottom w:val="single" w:color="auto" w:sz="4" w:space="0"/>
              <w:right w:val="single" w:color="auto" w:sz="4" w:space="0"/>
            </w:tcBorders>
            <w:vAlign w:val="center"/>
          </w:tcPr>
          <w:p w14:paraId="6EDE45A6">
            <w:pPr>
              <w:spacing w:before="156" w:beforeLines="50" w:after="156" w:afterLines="50"/>
              <w:rPr>
                <w:rFonts w:ascii="宋体"/>
                <w:b/>
                <w:sz w:val="18"/>
                <w:szCs w:val="18"/>
              </w:rPr>
            </w:pPr>
            <w:r>
              <w:rPr>
                <w:rFonts w:hint="eastAsia" w:ascii="宋体"/>
                <w:b/>
                <w:sz w:val="18"/>
                <w:szCs w:val="18"/>
              </w:rPr>
              <w:t>内河船舶</w:t>
            </w:r>
            <w:r>
              <w:rPr>
                <w:rFonts w:ascii="宋体"/>
                <w:b/>
                <w:sz w:val="18"/>
                <w:szCs w:val="18"/>
              </w:rPr>
              <w:t>1000GT</w:t>
            </w:r>
            <w:r>
              <w:rPr>
                <w:rFonts w:hint="eastAsia" w:ascii="宋体"/>
                <w:b/>
                <w:sz w:val="18"/>
                <w:szCs w:val="18"/>
              </w:rPr>
              <w:t>∕</w:t>
            </w:r>
            <w:r>
              <w:rPr>
                <w:rFonts w:ascii="宋体"/>
                <w:b/>
                <w:sz w:val="18"/>
                <w:szCs w:val="18"/>
              </w:rPr>
              <w:t>500KW</w:t>
            </w:r>
            <w:r>
              <w:rPr>
                <w:rFonts w:hint="eastAsia" w:ascii="宋体"/>
                <w:b/>
                <w:sz w:val="18"/>
                <w:szCs w:val="18"/>
              </w:rPr>
              <w:t>及以上；</w:t>
            </w:r>
            <w:r>
              <w:rPr>
                <w:rFonts w:ascii="宋体"/>
                <w:b/>
                <w:sz w:val="18"/>
                <w:szCs w:val="18"/>
              </w:rPr>
              <w:t xml:space="preserve"> </w:t>
            </w:r>
            <w:r>
              <w:rPr>
                <w:rFonts w:hint="eastAsia" w:ascii="宋体"/>
                <w:b/>
                <w:sz w:val="18"/>
                <w:szCs w:val="18"/>
              </w:rPr>
              <w:t>沿海船舶</w:t>
            </w:r>
            <w:r>
              <w:rPr>
                <w:rFonts w:ascii="宋体"/>
                <w:b/>
                <w:sz w:val="18"/>
                <w:szCs w:val="18"/>
              </w:rPr>
              <w:t>3000GT</w:t>
            </w:r>
            <w:r>
              <w:rPr>
                <w:rFonts w:hint="eastAsia" w:ascii="宋体"/>
                <w:b/>
                <w:sz w:val="18"/>
                <w:szCs w:val="18"/>
              </w:rPr>
              <w:t>∕</w:t>
            </w:r>
            <w:r>
              <w:rPr>
                <w:rFonts w:ascii="宋体"/>
                <w:b/>
                <w:sz w:val="18"/>
                <w:szCs w:val="18"/>
              </w:rPr>
              <w:t>3000KW</w:t>
            </w:r>
            <w:r>
              <w:rPr>
                <w:rFonts w:hint="eastAsia" w:ascii="宋体"/>
                <w:b/>
                <w:sz w:val="18"/>
                <w:szCs w:val="18"/>
              </w:rPr>
              <w:t>及以上</w:t>
            </w:r>
          </w:p>
        </w:tc>
      </w:tr>
      <w:tr w14:paraId="14A9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80" w:type="dxa"/>
            <w:vMerge w:val="restart"/>
            <w:vAlign w:val="center"/>
          </w:tcPr>
          <w:p w14:paraId="36D4EAF2">
            <w:pPr>
              <w:spacing w:before="156" w:beforeLines="50" w:after="156" w:afterLines="50"/>
              <w:jc w:val="center"/>
              <w:rPr>
                <w:rFonts w:ascii="宋体"/>
                <w:kern w:val="0"/>
                <w:sz w:val="18"/>
                <w:szCs w:val="18"/>
              </w:rPr>
            </w:pPr>
            <w:r>
              <w:rPr>
                <w:rFonts w:hint="eastAsia" w:ascii="宋体"/>
                <w:kern w:val="0"/>
                <w:sz w:val="18"/>
                <w:szCs w:val="18"/>
              </w:rPr>
              <w:t>96</w:t>
            </w:r>
          </w:p>
        </w:tc>
        <w:tc>
          <w:tcPr>
            <w:tcW w:w="1429" w:type="dxa"/>
            <w:vMerge w:val="restart"/>
            <w:vAlign w:val="center"/>
          </w:tcPr>
          <w:p w14:paraId="644AA57F">
            <w:pPr>
              <w:spacing w:before="156" w:beforeLines="50" w:after="156" w:afterLines="50"/>
              <w:rPr>
                <w:sz w:val="18"/>
                <w:szCs w:val="18"/>
              </w:rPr>
            </w:pPr>
            <w:r>
              <w:rPr>
                <w:rFonts w:hint="eastAsia" w:ascii="宋体"/>
                <w:sz w:val="18"/>
                <w:szCs w:val="18"/>
              </w:rPr>
              <w:t>船舶向水体倾倒或者排放船舶的残油、废油</w:t>
            </w:r>
          </w:p>
        </w:tc>
        <w:tc>
          <w:tcPr>
            <w:tcW w:w="1428" w:type="dxa"/>
            <w:vMerge w:val="restart"/>
            <w:vAlign w:val="center"/>
          </w:tcPr>
          <w:p w14:paraId="4F296A24">
            <w:pPr>
              <w:widowControl/>
              <w:spacing w:before="156" w:beforeLines="50" w:after="156" w:afterLines="50"/>
              <w:rPr>
                <w:rFonts w:ascii="宋体"/>
                <w:sz w:val="18"/>
                <w:szCs w:val="18"/>
              </w:rPr>
            </w:pPr>
            <w:r>
              <w:rPr>
                <w:rFonts w:hint="eastAsia" w:ascii="宋体"/>
                <w:kern w:val="0"/>
                <w:sz w:val="18"/>
                <w:szCs w:val="18"/>
              </w:rPr>
              <w:t>《中华人民共和国</w:t>
            </w:r>
            <w:r>
              <w:rPr>
                <w:rFonts w:hint="eastAsia" w:ascii="宋体"/>
                <w:sz w:val="18"/>
                <w:szCs w:val="18"/>
              </w:rPr>
              <w:t>水污染防治法》第五十九条第二款</w:t>
            </w:r>
          </w:p>
        </w:tc>
        <w:tc>
          <w:tcPr>
            <w:tcW w:w="3000" w:type="dxa"/>
            <w:vMerge w:val="restart"/>
            <w:vAlign w:val="center"/>
          </w:tcPr>
          <w:p w14:paraId="1E8AEAAD">
            <w:pPr>
              <w:spacing w:before="156" w:beforeLines="50" w:after="156" w:afterLines="50"/>
              <w:rPr>
                <w:rFonts w:ascii="宋体"/>
                <w:sz w:val="18"/>
                <w:szCs w:val="18"/>
              </w:rPr>
            </w:pPr>
            <w:r>
              <w:rPr>
                <w:rFonts w:hint="eastAsia" w:ascii="宋体"/>
                <w:kern w:val="0"/>
                <w:sz w:val="18"/>
                <w:szCs w:val="18"/>
              </w:rPr>
              <w:t>1.《中华人民共和国</w:t>
            </w:r>
            <w:r>
              <w:rPr>
                <w:rFonts w:hint="eastAsia" w:ascii="宋体"/>
                <w:sz w:val="18"/>
                <w:szCs w:val="18"/>
              </w:rPr>
              <w:t>水污染防治法</w:t>
            </w:r>
            <w:r>
              <w:rPr>
                <w:rFonts w:hint="eastAsia" w:ascii="宋体"/>
                <w:kern w:val="0"/>
                <w:sz w:val="18"/>
                <w:szCs w:val="18"/>
              </w:rPr>
              <w:t>》</w:t>
            </w:r>
            <w:r>
              <w:rPr>
                <w:rFonts w:hint="eastAsia" w:ascii="宋体"/>
                <w:sz w:val="18"/>
                <w:szCs w:val="18"/>
              </w:rPr>
              <w:t>第九十条第（一）项；</w:t>
            </w:r>
          </w:p>
          <w:p w14:paraId="0189E95C">
            <w:pPr>
              <w:spacing w:before="156" w:beforeLines="50" w:after="156" w:afterLines="50"/>
              <w:rPr>
                <w:rFonts w:ascii="宋体"/>
                <w:sz w:val="18"/>
                <w:szCs w:val="18"/>
              </w:rPr>
            </w:pPr>
            <w:r>
              <w:rPr>
                <w:rFonts w:hint="eastAsia" w:ascii="宋体"/>
                <w:sz w:val="18"/>
                <w:szCs w:val="18"/>
              </w:rPr>
              <w:t>2.《中华人民共和国内河海事处罚规定》第三十四条第一款第（一）项和第二款；</w:t>
            </w:r>
          </w:p>
          <w:p w14:paraId="4797FC28">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714" w:type="dxa"/>
            <w:vAlign w:val="center"/>
          </w:tcPr>
          <w:p w14:paraId="3ADA394A">
            <w:pPr>
              <w:spacing w:before="156" w:beforeLines="50" w:after="156" w:afterLines="50"/>
              <w:jc w:val="left"/>
              <w:rPr>
                <w:rFonts w:ascii="宋体"/>
                <w:kern w:val="0"/>
                <w:sz w:val="18"/>
                <w:szCs w:val="18"/>
              </w:rPr>
            </w:pPr>
            <w:r>
              <w:rPr>
                <w:rFonts w:hint="eastAsia" w:ascii="宋体"/>
                <w:kern w:val="0"/>
                <w:sz w:val="18"/>
                <w:szCs w:val="18"/>
              </w:rPr>
              <w:t>从轻</w:t>
            </w:r>
          </w:p>
        </w:tc>
        <w:tc>
          <w:tcPr>
            <w:tcW w:w="3142" w:type="dxa"/>
            <w:tcBorders>
              <w:bottom w:val="single" w:color="auto" w:sz="4" w:space="0"/>
            </w:tcBorders>
            <w:vAlign w:val="center"/>
          </w:tcPr>
          <w:p w14:paraId="684748B0">
            <w:pPr>
              <w:widowControl/>
              <w:spacing w:before="156" w:beforeLines="50" w:after="156" w:afterLines="50"/>
              <w:jc w:val="left"/>
              <w:rPr>
                <w:rFonts w:ascii="宋体"/>
                <w:kern w:val="0"/>
                <w:sz w:val="18"/>
                <w:szCs w:val="18"/>
              </w:rPr>
            </w:pPr>
            <w:r>
              <w:rPr>
                <w:rFonts w:hint="eastAsia"/>
                <w:sz w:val="18"/>
                <w:szCs w:val="18"/>
              </w:rPr>
              <w:t>具有法定从轻情节的。</w:t>
            </w:r>
          </w:p>
        </w:tc>
        <w:tc>
          <w:tcPr>
            <w:tcW w:w="2331" w:type="dxa"/>
            <w:tcBorders>
              <w:bottom w:val="single" w:color="auto" w:sz="4" w:space="0"/>
              <w:right w:val="single" w:color="auto" w:sz="4" w:space="0"/>
            </w:tcBorders>
            <w:vAlign w:val="center"/>
          </w:tcPr>
          <w:p w14:paraId="32A53F6E">
            <w:pPr>
              <w:spacing w:before="156" w:beforeLines="50" w:after="156" w:afterLines="50"/>
              <w:rPr>
                <w:rFonts w:ascii="宋体"/>
                <w:sz w:val="18"/>
                <w:szCs w:val="18"/>
              </w:rPr>
            </w:pPr>
            <w:r>
              <w:rPr>
                <w:rFonts w:ascii="宋体"/>
                <w:sz w:val="18"/>
                <w:szCs w:val="18"/>
              </w:rPr>
              <w:t>1</w:t>
            </w:r>
            <w:r>
              <w:rPr>
                <w:rFonts w:hint="eastAsia" w:ascii="宋体"/>
                <w:sz w:val="18"/>
                <w:szCs w:val="18"/>
              </w:rPr>
              <w:t>万元及以上</w:t>
            </w:r>
            <w:r>
              <w:rPr>
                <w:rFonts w:ascii="宋体"/>
                <w:sz w:val="18"/>
                <w:szCs w:val="18"/>
              </w:rPr>
              <w:t>1.5</w:t>
            </w:r>
            <w:r>
              <w:rPr>
                <w:rFonts w:hint="eastAsia" w:ascii="宋体"/>
                <w:sz w:val="18"/>
                <w:szCs w:val="18"/>
              </w:rPr>
              <w:t>万元以下</w:t>
            </w:r>
          </w:p>
        </w:tc>
        <w:tc>
          <w:tcPr>
            <w:tcW w:w="2552" w:type="dxa"/>
            <w:tcBorders>
              <w:bottom w:val="single" w:color="auto" w:sz="4" w:space="0"/>
              <w:right w:val="single" w:color="auto" w:sz="4" w:space="0"/>
            </w:tcBorders>
            <w:vAlign w:val="center"/>
          </w:tcPr>
          <w:p w14:paraId="68896B45">
            <w:pPr>
              <w:spacing w:before="156" w:beforeLines="50" w:after="156" w:afterLines="50"/>
              <w:rPr>
                <w:rFonts w:ascii="宋体"/>
                <w:sz w:val="18"/>
                <w:szCs w:val="18"/>
              </w:rPr>
            </w:pPr>
            <w:r>
              <w:rPr>
                <w:rFonts w:ascii="宋体"/>
                <w:sz w:val="18"/>
                <w:szCs w:val="18"/>
              </w:rPr>
              <w:t>1.2</w:t>
            </w:r>
            <w:r>
              <w:rPr>
                <w:rFonts w:hint="eastAsia" w:ascii="宋体"/>
                <w:sz w:val="18"/>
                <w:szCs w:val="18"/>
              </w:rPr>
              <w:t>万元及以上</w:t>
            </w:r>
            <w:r>
              <w:rPr>
                <w:rFonts w:ascii="宋体"/>
                <w:sz w:val="18"/>
                <w:szCs w:val="18"/>
              </w:rPr>
              <w:t>1.8</w:t>
            </w:r>
            <w:r>
              <w:rPr>
                <w:rFonts w:hint="eastAsia" w:ascii="宋体"/>
                <w:sz w:val="18"/>
                <w:szCs w:val="18"/>
              </w:rPr>
              <w:t>万元以下</w:t>
            </w:r>
          </w:p>
        </w:tc>
        <w:tc>
          <w:tcPr>
            <w:tcW w:w="6057" w:type="dxa"/>
            <w:tcBorders>
              <w:bottom w:val="single" w:color="auto" w:sz="4" w:space="0"/>
              <w:right w:val="single" w:color="auto" w:sz="4" w:space="0"/>
            </w:tcBorders>
            <w:vAlign w:val="center"/>
          </w:tcPr>
          <w:p w14:paraId="50727737">
            <w:pPr>
              <w:spacing w:before="156" w:beforeLines="50" w:after="156" w:afterLines="50"/>
              <w:rPr>
                <w:rFonts w:ascii="宋体"/>
                <w:sz w:val="18"/>
                <w:szCs w:val="18"/>
              </w:rPr>
            </w:pPr>
            <w:r>
              <w:rPr>
                <w:rFonts w:ascii="宋体"/>
                <w:sz w:val="18"/>
                <w:szCs w:val="18"/>
              </w:rPr>
              <w:t>1.5</w:t>
            </w:r>
            <w:r>
              <w:rPr>
                <w:rFonts w:hint="eastAsia" w:ascii="宋体"/>
                <w:sz w:val="18"/>
                <w:szCs w:val="18"/>
              </w:rPr>
              <w:t>万元及以上</w:t>
            </w:r>
            <w:r>
              <w:rPr>
                <w:rFonts w:ascii="宋体"/>
                <w:sz w:val="18"/>
                <w:szCs w:val="18"/>
              </w:rPr>
              <w:t>2</w:t>
            </w:r>
            <w:r>
              <w:rPr>
                <w:rFonts w:hint="eastAsia" w:ascii="宋体"/>
                <w:sz w:val="18"/>
                <w:szCs w:val="18"/>
              </w:rPr>
              <w:t>万元以下</w:t>
            </w:r>
          </w:p>
        </w:tc>
      </w:tr>
      <w:tr w14:paraId="02FC5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17B6879A">
            <w:pPr>
              <w:spacing w:before="156" w:beforeLines="50" w:after="156" w:afterLines="50"/>
              <w:jc w:val="left"/>
              <w:rPr>
                <w:rFonts w:ascii="宋体"/>
                <w:kern w:val="0"/>
                <w:sz w:val="18"/>
                <w:szCs w:val="18"/>
              </w:rPr>
            </w:pPr>
          </w:p>
        </w:tc>
        <w:tc>
          <w:tcPr>
            <w:tcW w:w="1429" w:type="dxa"/>
            <w:vMerge w:val="continue"/>
            <w:vAlign w:val="center"/>
          </w:tcPr>
          <w:p w14:paraId="62FFA3B4">
            <w:pPr>
              <w:spacing w:before="156" w:beforeLines="50" w:after="156" w:afterLines="50"/>
              <w:jc w:val="left"/>
              <w:rPr>
                <w:rFonts w:ascii="宋体"/>
                <w:kern w:val="0"/>
                <w:sz w:val="18"/>
                <w:szCs w:val="18"/>
              </w:rPr>
            </w:pPr>
          </w:p>
        </w:tc>
        <w:tc>
          <w:tcPr>
            <w:tcW w:w="1428" w:type="dxa"/>
            <w:vMerge w:val="continue"/>
            <w:vAlign w:val="center"/>
          </w:tcPr>
          <w:p w14:paraId="66BAAC90">
            <w:pPr>
              <w:widowControl/>
              <w:spacing w:before="156" w:beforeLines="50" w:after="156" w:afterLines="50"/>
              <w:jc w:val="left"/>
              <w:rPr>
                <w:rFonts w:ascii="宋体"/>
                <w:kern w:val="0"/>
                <w:sz w:val="18"/>
                <w:szCs w:val="18"/>
              </w:rPr>
            </w:pPr>
          </w:p>
        </w:tc>
        <w:tc>
          <w:tcPr>
            <w:tcW w:w="3000" w:type="dxa"/>
            <w:vMerge w:val="continue"/>
            <w:vAlign w:val="center"/>
          </w:tcPr>
          <w:p w14:paraId="6C2292B2">
            <w:pPr>
              <w:spacing w:before="156" w:beforeLines="50" w:after="156" w:afterLines="50"/>
              <w:jc w:val="left"/>
              <w:rPr>
                <w:rFonts w:ascii="宋体"/>
                <w:kern w:val="0"/>
                <w:sz w:val="18"/>
                <w:szCs w:val="18"/>
              </w:rPr>
            </w:pPr>
          </w:p>
        </w:tc>
        <w:tc>
          <w:tcPr>
            <w:tcW w:w="714" w:type="dxa"/>
            <w:vMerge w:val="restart"/>
            <w:vAlign w:val="center"/>
          </w:tcPr>
          <w:p w14:paraId="410F799D">
            <w:pPr>
              <w:spacing w:before="156" w:beforeLines="50" w:after="156" w:afterLines="50"/>
              <w:jc w:val="left"/>
              <w:rPr>
                <w:rFonts w:ascii="宋体"/>
                <w:kern w:val="0"/>
                <w:sz w:val="18"/>
                <w:szCs w:val="18"/>
              </w:rPr>
            </w:pPr>
            <w:r>
              <w:rPr>
                <w:rFonts w:hint="eastAsia" w:ascii="宋体"/>
                <w:kern w:val="0"/>
                <w:sz w:val="18"/>
                <w:szCs w:val="18"/>
              </w:rPr>
              <w:t>一般</w:t>
            </w:r>
          </w:p>
        </w:tc>
        <w:tc>
          <w:tcPr>
            <w:tcW w:w="3142" w:type="dxa"/>
            <w:vAlign w:val="center"/>
          </w:tcPr>
          <w:p w14:paraId="76D95B6A">
            <w:pPr>
              <w:spacing w:before="156" w:beforeLines="50" w:after="156" w:afterLines="50"/>
              <w:rPr>
                <w:rFonts w:ascii="宋体"/>
                <w:sz w:val="18"/>
                <w:szCs w:val="18"/>
              </w:rPr>
            </w:pPr>
            <w:r>
              <w:rPr>
                <w:rFonts w:hint="eastAsia" w:ascii="宋体"/>
                <w:sz w:val="18"/>
                <w:szCs w:val="18"/>
              </w:rPr>
              <w:t>向水体倾倒或者排放船舶的残油、废油50公斤及以下的。</w:t>
            </w:r>
          </w:p>
        </w:tc>
        <w:tc>
          <w:tcPr>
            <w:tcW w:w="2331" w:type="dxa"/>
            <w:tcBorders>
              <w:top w:val="single" w:color="auto" w:sz="4" w:space="0"/>
              <w:right w:val="single" w:color="auto" w:sz="4" w:space="0"/>
            </w:tcBorders>
            <w:vAlign w:val="center"/>
          </w:tcPr>
          <w:p w14:paraId="5A2828D2">
            <w:pPr>
              <w:spacing w:before="156" w:beforeLines="50" w:after="156" w:afterLines="50"/>
              <w:rPr>
                <w:rFonts w:ascii="宋体"/>
                <w:sz w:val="18"/>
                <w:szCs w:val="18"/>
              </w:rPr>
            </w:pPr>
            <w:r>
              <w:rPr>
                <w:rFonts w:ascii="宋体"/>
                <w:sz w:val="18"/>
                <w:szCs w:val="18"/>
              </w:rPr>
              <w:t>2</w:t>
            </w:r>
            <w:r>
              <w:rPr>
                <w:rFonts w:hint="eastAsia" w:ascii="宋体"/>
                <w:sz w:val="18"/>
                <w:szCs w:val="18"/>
              </w:rPr>
              <w:t>万元及以上</w:t>
            </w:r>
            <w:r>
              <w:rPr>
                <w:rFonts w:ascii="宋体"/>
                <w:sz w:val="18"/>
                <w:szCs w:val="18"/>
              </w:rPr>
              <w:t>3</w:t>
            </w:r>
            <w:r>
              <w:rPr>
                <w:rFonts w:hint="eastAsia" w:ascii="宋体"/>
                <w:sz w:val="18"/>
                <w:szCs w:val="18"/>
              </w:rPr>
              <w:t>万元以下</w:t>
            </w:r>
          </w:p>
        </w:tc>
        <w:tc>
          <w:tcPr>
            <w:tcW w:w="2552" w:type="dxa"/>
            <w:tcBorders>
              <w:top w:val="single" w:color="auto" w:sz="4" w:space="0"/>
              <w:right w:val="single" w:color="auto" w:sz="4" w:space="0"/>
            </w:tcBorders>
            <w:vAlign w:val="center"/>
          </w:tcPr>
          <w:p w14:paraId="4A8573A4">
            <w:pPr>
              <w:spacing w:before="156" w:beforeLines="50" w:after="156" w:afterLines="50"/>
              <w:rPr>
                <w:rFonts w:ascii="宋体"/>
                <w:sz w:val="18"/>
                <w:szCs w:val="18"/>
              </w:rPr>
            </w:pPr>
            <w:r>
              <w:rPr>
                <w:rFonts w:ascii="宋体"/>
                <w:sz w:val="18"/>
                <w:szCs w:val="18"/>
              </w:rPr>
              <w:t>2.5</w:t>
            </w:r>
            <w:r>
              <w:rPr>
                <w:rFonts w:hint="eastAsia" w:ascii="宋体"/>
                <w:sz w:val="18"/>
                <w:szCs w:val="18"/>
              </w:rPr>
              <w:t>元及以上</w:t>
            </w:r>
            <w:r>
              <w:rPr>
                <w:rFonts w:ascii="宋体"/>
                <w:sz w:val="18"/>
                <w:szCs w:val="18"/>
              </w:rPr>
              <w:t>4</w:t>
            </w:r>
            <w:r>
              <w:rPr>
                <w:rFonts w:hint="eastAsia" w:ascii="宋体"/>
                <w:sz w:val="18"/>
                <w:szCs w:val="18"/>
              </w:rPr>
              <w:t>万元以下</w:t>
            </w:r>
          </w:p>
        </w:tc>
        <w:tc>
          <w:tcPr>
            <w:tcW w:w="6057" w:type="dxa"/>
            <w:tcBorders>
              <w:top w:val="single" w:color="auto" w:sz="4" w:space="0"/>
              <w:right w:val="single" w:color="auto" w:sz="4" w:space="0"/>
            </w:tcBorders>
            <w:vAlign w:val="center"/>
          </w:tcPr>
          <w:p w14:paraId="2791CEE5">
            <w:pPr>
              <w:spacing w:before="156" w:beforeLines="50" w:after="156" w:afterLines="50"/>
              <w:rPr>
                <w:rFonts w:ascii="宋体"/>
                <w:sz w:val="18"/>
                <w:szCs w:val="18"/>
              </w:rPr>
            </w:pPr>
            <w:r>
              <w:rPr>
                <w:rFonts w:ascii="宋体"/>
                <w:sz w:val="18"/>
                <w:szCs w:val="18"/>
              </w:rPr>
              <w:t>3</w:t>
            </w:r>
            <w:r>
              <w:rPr>
                <w:rFonts w:hint="eastAsia" w:ascii="宋体"/>
                <w:sz w:val="18"/>
                <w:szCs w:val="18"/>
              </w:rPr>
              <w:t>元及以上</w:t>
            </w:r>
            <w:r>
              <w:rPr>
                <w:rFonts w:ascii="宋体"/>
                <w:sz w:val="18"/>
                <w:szCs w:val="18"/>
              </w:rPr>
              <w:t>5</w:t>
            </w:r>
            <w:r>
              <w:rPr>
                <w:rFonts w:hint="eastAsia" w:ascii="宋体"/>
                <w:sz w:val="18"/>
                <w:szCs w:val="18"/>
              </w:rPr>
              <w:t>万元以下</w:t>
            </w:r>
          </w:p>
        </w:tc>
      </w:tr>
      <w:tr w14:paraId="5B24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034952B9">
            <w:pPr>
              <w:spacing w:before="156" w:beforeLines="50" w:after="156" w:afterLines="50"/>
              <w:jc w:val="left"/>
              <w:rPr>
                <w:rFonts w:ascii="宋体"/>
                <w:kern w:val="0"/>
                <w:sz w:val="18"/>
                <w:szCs w:val="18"/>
              </w:rPr>
            </w:pPr>
          </w:p>
        </w:tc>
        <w:tc>
          <w:tcPr>
            <w:tcW w:w="1429" w:type="dxa"/>
            <w:vMerge w:val="continue"/>
            <w:vAlign w:val="center"/>
          </w:tcPr>
          <w:p w14:paraId="49EF7C48">
            <w:pPr>
              <w:spacing w:before="156" w:beforeLines="50" w:after="156" w:afterLines="50"/>
              <w:jc w:val="left"/>
              <w:rPr>
                <w:rFonts w:ascii="宋体"/>
                <w:kern w:val="0"/>
                <w:sz w:val="18"/>
                <w:szCs w:val="18"/>
              </w:rPr>
            </w:pPr>
          </w:p>
        </w:tc>
        <w:tc>
          <w:tcPr>
            <w:tcW w:w="1428" w:type="dxa"/>
            <w:vMerge w:val="continue"/>
            <w:vAlign w:val="center"/>
          </w:tcPr>
          <w:p w14:paraId="4A02FDD7">
            <w:pPr>
              <w:spacing w:before="156" w:beforeLines="50" w:after="156" w:afterLines="50"/>
              <w:jc w:val="left"/>
              <w:rPr>
                <w:rFonts w:ascii="宋体"/>
                <w:kern w:val="0"/>
                <w:sz w:val="18"/>
                <w:szCs w:val="18"/>
              </w:rPr>
            </w:pPr>
          </w:p>
        </w:tc>
        <w:tc>
          <w:tcPr>
            <w:tcW w:w="3000" w:type="dxa"/>
            <w:vMerge w:val="continue"/>
            <w:vAlign w:val="center"/>
          </w:tcPr>
          <w:p w14:paraId="68259165">
            <w:pPr>
              <w:spacing w:before="156" w:beforeLines="50" w:after="156" w:afterLines="50"/>
              <w:jc w:val="left"/>
              <w:rPr>
                <w:rFonts w:ascii="宋体"/>
                <w:kern w:val="0"/>
                <w:sz w:val="18"/>
                <w:szCs w:val="18"/>
              </w:rPr>
            </w:pPr>
          </w:p>
        </w:tc>
        <w:tc>
          <w:tcPr>
            <w:tcW w:w="714" w:type="dxa"/>
            <w:vMerge w:val="continue"/>
            <w:vAlign w:val="center"/>
          </w:tcPr>
          <w:p w14:paraId="247BDAAD">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14:paraId="7382058A">
            <w:pPr>
              <w:spacing w:before="156" w:beforeLines="50" w:after="156" w:afterLines="50"/>
              <w:rPr>
                <w:rFonts w:ascii="宋体"/>
                <w:sz w:val="18"/>
                <w:szCs w:val="18"/>
              </w:rPr>
            </w:pPr>
            <w:r>
              <w:rPr>
                <w:rFonts w:hint="eastAsia" w:ascii="宋体"/>
                <w:sz w:val="18"/>
                <w:szCs w:val="18"/>
              </w:rPr>
              <w:t>向水体倾倒或者排放船舶的残油、废油50公斤以上100公斤及以下的。</w:t>
            </w:r>
          </w:p>
        </w:tc>
        <w:tc>
          <w:tcPr>
            <w:tcW w:w="2331" w:type="dxa"/>
            <w:tcBorders>
              <w:top w:val="single" w:color="auto" w:sz="4" w:space="0"/>
              <w:bottom w:val="single" w:color="auto" w:sz="4" w:space="0"/>
              <w:right w:val="single" w:color="auto" w:sz="4" w:space="0"/>
            </w:tcBorders>
            <w:vAlign w:val="center"/>
          </w:tcPr>
          <w:p w14:paraId="5B33BE1D">
            <w:pPr>
              <w:spacing w:before="156" w:beforeLines="50" w:after="156" w:afterLines="50"/>
              <w:rPr>
                <w:rFonts w:ascii="宋体"/>
                <w:sz w:val="18"/>
                <w:szCs w:val="18"/>
              </w:rPr>
            </w:pPr>
            <w:r>
              <w:rPr>
                <w:rFonts w:ascii="宋体"/>
                <w:sz w:val="18"/>
                <w:szCs w:val="18"/>
              </w:rPr>
              <w:t>3</w:t>
            </w:r>
            <w:r>
              <w:rPr>
                <w:rFonts w:hint="eastAsia" w:ascii="宋体"/>
                <w:sz w:val="18"/>
                <w:szCs w:val="18"/>
              </w:rPr>
              <w:t>万元及以上</w:t>
            </w:r>
            <w:r>
              <w:rPr>
                <w:rFonts w:ascii="宋体"/>
                <w:sz w:val="18"/>
                <w:szCs w:val="18"/>
              </w:rPr>
              <w:t>6</w:t>
            </w:r>
            <w:r>
              <w:rPr>
                <w:rFonts w:hint="eastAsia" w:ascii="宋体"/>
                <w:sz w:val="18"/>
                <w:szCs w:val="18"/>
              </w:rPr>
              <w:t>万元以下</w:t>
            </w:r>
          </w:p>
        </w:tc>
        <w:tc>
          <w:tcPr>
            <w:tcW w:w="2552" w:type="dxa"/>
            <w:tcBorders>
              <w:top w:val="single" w:color="auto" w:sz="4" w:space="0"/>
              <w:bottom w:val="single" w:color="auto" w:sz="4" w:space="0"/>
              <w:right w:val="single" w:color="auto" w:sz="4" w:space="0"/>
            </w:tcBorders>
            <w:vAlign w:val="center"/>
          </w:tcPr>
          <w:p w14:paraId="6319A797">
            <w:pPr>
              <w:spacing w:before="156" w:beforeLines="50" w:after="156" w:afterLines="50"/>
              <w:rPr>
                <w:rFonts w:ascii="宋体"/>
                <w:sz w:val="18"/>
                <w:szCs w:val="18"/>
              </w:rPr>
            </w:pPr>
            <w:r>
              <w:rPr>
                <w:rFonts w:ascii="宋体"/>
                <w:sz w:val="18"/>
                <w:szCs w:val="18"/>
              </w:rPr>
              <w:t>4</w:t>
            </w:r>
            <w:r>
              <w:rPr>
                <w:rFonts w:hint="eastAsia" w:ascii="宋体"/>
                <w:sz w:val="18"/>
                <w:szCs w:val="18"/>
              </w:rPr>
              <w:t>万元及以上</w:t>
            </w:r>
            <w:r>
              <w:rPr>
                <w:rFonts w:ascii="宋体"/>
                <w:sz w:val="18"/>
                <w:szCs w:val="18"/>
              </w:rPr>
              <w:t>7</w:t>
            </w:r>
            <w:r>
              <w:rPr>
                <w:rFonts w:hint="eastAsia" w:ascii="宋体"/>
                <w:sz w:val="18"/>
                <w:szCs w:val="18"/>
              </w:rPr>
              <w:t>万元以下</w:t>
            </w:r>
          </w:p>
        </w:tc>
        <w:tc>
          <w:tcPr>
            <w:tcW w:w="6057" w:type="dxa"/>
            <w:tcBorders>
              <w:top w:val="single" w:color="auto" w:sz="4" w:space="0"/>
              <w:bottom w:val="single" w:color="auto" w:sz="4" w:space="0"/>
              <w:right w:val="single" w:color="auto" w:sz="4" w:space="0"/>
            </w:tcBorders>
            <w:vAlign w:val="center"/>
          </w:tcPr>
          <w:p w14:paraId="751C7C1F">
            <w:pPr>
              <w:spacing w:before="156" w:beforeLines="50" w:after="156" w:afterLines="50"/>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8</w:t>
            </w:r>
            <w:r>
              <w:rPr>
                <w:rFonts w:hint="eastAsia" w:ascii="宋体"/>
                <w:sz w:val="18"/>
                <w:szCs w:val="18"/>
              </w:rPr>
              <w:t>万元以下</w:t>
            </w:r>
          </w:p>
        </w:tc>
      </w:tr>
      <w:tr w14:paraId="459E6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680" w:type="dxa"/>
            <w:vMerge w:val="continue"/>
            <w:vAlign w:val="center"/>
          </w:tcPr>
          <w:p w14:paraId="5301B641">
            <w:pPr>
              <w:spacing w:before="156" w:beforeLines="50" w:after="156" w:afterLines="50"/>
              <w:jc w:val="left"/>
              <w:rPr>
                <w:rFonts w:ascii="宋体"/>
                <w:kern w:val="0"/>
                <w:sz w:val="18"/>
                <w:szCs w:val="18"/>
              </w:rPr>
            </w:pPr>
          </w:p>
        </w:tc>
        <w:tc>
          <w:tcPr>
            <w:tcW w:w="1429" w:type="dxa"/>
            <w:vMerge w:val="continue"/>
            <w:vAlign w:val="center"/>
          </w:tcPr>
          <w:p w14:paraId="4336E4B5">
            <w:pPr>
              <w:spacing w:before="156" w:beforeLines="50" w:after="156" w:afterLines="50"/>
              <w:jc w:val="left"/>
              <w:rPr>
                <w:rFonts w:ascii="宋体"/>
                <w:kern w:val="0"/>
                <w:sz w:val="18"/>
                <w:szCs w:val="18"/>
              </w:rPr>
            </w:pPr>
          </w:p>
        </w:tc>
        <w:tc>
          <w:tcPr>
            <w:tcW w:w="1428" w:type="dxa"/>
            <w:vMerge w:val="continue"/>
            <w:vAlign w:val="center"/>
          </w:tcPr>
          <w:p w14:paraId="68B8EA1F">
            <w:pPr>
              <w:spacing w:before="156" w:beforeLines="50" w:after="156" w:afterLines="50"/>
              <w:jc w:val="left"/>
              <w:rPr>
                <w:rFonts w:ascii="宋体"/>
                <w:kern w:val="0"/>
                <w:sz w:val="18"/>
                <w:szCs w:val="18"/>
              </w:rPr>
            </w:pPr>
          </w:p>
        </w:tc>
        <w:tc>
          <w:tcPr>
            <w:tcW w:w="3000" w:type="dxa"/>
            <w:vMerge w:val="continue"/>
            <w:vAlign w:val="center"/>
          </w:tcPr>
          <w:p w14:paraId="1A8D18CF">
            <w:pPr>
              <w:spacing w:before="156" w:beforeLines="50" w:after="156" w:afterLines="50"/>
              <w:jc w:val="left"/>
              <w:rPr>
                <w:rFonts w:ascii="宋体"/>
                <w:kern w:val="0"/>
                <w:sz w:val="18"/>
                <w:szCs w:val="18"/>
              </w:rPr>
            </w:pPr>
          </w:p>
        </w:tc>
        <w:tc>
          <w:tcPr>
            <w:tcW w:w="714" w:type="dxa"/>
            <w:vMerge w:val="continue"/>
            <w:vAlign w:val="center"/>
          </w:tcPr>
          <w:p w14:paraId="62CE0CD3">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14:paraId="4EFD9088">
            <w:pPr>
              <w:spacing w:before="156" w:beforeLines="50" w:after="156" w:afterLines="50"/>
              <w:rPr>
                <w:rFonts w:ascii="宋体"/>
                <w:sz w:val="18"/>
                <w:szCs w:val="18"/>
              </w:rPr>
            </w:pPr>
            <w:r>
              <w:rPr>
                <w:rFonts w:hint="eastAsia" w:ascii="宋体"/>
                <w:sz w:val="18"/>
                <w:szCs w:val="18"/>
              </w:rPr>
              <w:t>向水体倾倒或者排放船舶的残油、废油</w:t>
            </w:r>
            <w:r>
              <w:rPr>
                <w:rFonts w:ascii="宋体"/>
                <w:sz w:val="18"/>
                <w:szCs w:val="18"/>
              </w:rPr>
              <w:t>1</w:t>
            </w:r>
            <w:r>
              <w:rPr>
                <w:rFonts w:hint="eastAsia" w:ascii="宋体"/>
                <w:sz w:val="18"/>
                <w:szCs w:val="18"/>
              </w:rPr>
              <w:t>00公斤以上的。</w:t>
            </w:r>
          </w:p>
          <w:p w14:paraId="6545CBCB">
            <w:pPr>
              <w:spacing w:before="156" w:beforeLines="50" w:after="156" w:afterLines="50"/>
              <w:rPr>
                <w:rFonts w:ascii="宋体"/>
                <w:sz w:val="18"/>
                <w:szCs w:val="18"/>
              </w:rPr>
            </w:pPr>
          </w:p>
        </w:tc>
        <w:tc>
          <w:tcPr>
            <w:tcW w:w="2331" w:type="dxa"/>
            <w:tcBorders>
              <w:top w:val="single" w:color="auto" w:sz="4" w:space="0"/>
              <w:bottom w:val="single" w:color="auto" w:sz="4" w:space="0"/>
              <w:right w:val="single" w:color="auto" w:sz="4" w:space="0"/>
            </w:tcBorders>
            <w:vAlign w:val="center"/>
          </w:tcPr>
          <w:p w14:paraId="4FD1996C">
            <w:pPr>
              <w:spacing w:before="156" w:beforeLines="50" w:after="156" w:afterLines="50"/>
              <w:rPr>
                <w:rFonts w:ascii="宋体"/>
                <w:sz w:val="18"/>
                <w:szCs w:val="18"/>
              </w:rPr>
            </w:pPr>
            <w:r>
              <w:rPr>
                <w:rFonts w:ascii="宋体"/>
                <w:sz w:val="18"/>
                <w:szCs w:val="18"/>
              </w:rPr>
              <w:t>5</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2552" w:type="dxa"/>
            <w:tcBorders>
              <w:top w:val="single" w:color="auto" w:sz="4" w:space="0"/>
              <w:bottom w:val="single" w:color="auto" w:sz="4" w:space="0"/>
              <w:right w:val="single" w:color="auto" w:sz="4" w:space="0"/>
            </w:tcBorders>
            <w:vAlign w:val="center"/>
          </w:tcPr>
          <w:p w14:paraId="683D5785">
            <w:pPr>
              <w:spacing w:before="156" w:beforeLines="50" w:after="156" w:afterLines="50"/>
              <w:rPr>
                <w:rFonts w:ascii="宋体"/>
                <w:sz w:val="18"/>
                <w:szCs w:val="18"/>
              </w:rPr>
            </w:pPr>
            <w:r>
              <w:rPr>
                <w:rFonts w:ascii="宋体"/>
                <w:sz w:val="18"/>
                <w:szCs w:val="18"/>
              </w:rPr>
              <w:t>6</w:t>
            </w:r>
            <w:r>
              <w:rPr>
                <w:rFonts w:hint="eastAsia" w:ascii="宋体"/>
                <w:sz w:val="18"/>
                <w:szCs w:val="18"/>
              </w:rPr>
              <w:t>万元及以上</w:t>
            </w:r>
            <w:r>
              <w:rPr>
                <w:rFonts w:ascii="宋体"/>
                <w:sz w:val="18"/>
                <w:szCs w:val="18"/>
              </w:rPr>
              <w:t>10</w:t>
            </w:r>
            <w:r>
              <w:rPr>
                <w:rFonts w:hint="eastAsia" w:ascii="宋体"/>
                <w:sz w:val="18"/>
                <w:szCs w:val="18"/>
              </w:rPr>
              <w:t>万元及以下</w:t>
            </w:r>
          </w:p>
        </w:tc>
        <w:tc>
          <w:tcPr>
            <w:tcW w:w="6057" w:type="dxa"/>
            <w:tcBorders>
              <w:top w:val="single" w:color="auto" w:sz="4" w:space="0"/>
              <w:bottom w:val="single" w:color="auto" w:sz="4" w:space="0"/>
              <w:right w:val="single" w:color="auto" w:sz="4" w:space="0"/>
            </w:tcBorders>
            <w:vAlign w:val="center"/>
          </w:tcPr>
          <w:p w14:paraId="44E34B57">
            <w:pPr>
              <w:spacing w:before="156" w:beforeLines="50" w:after="156" w:afterLines="50"/>
              <w:rPr>
                <w:rFonts w:ascii="宋体"/>
                <w:sz w:val="18"/>
                <w:szCs w:val="18"/>
              </w:rPr>
            </w:pPr>
            <w:r>
              <w:rPr>
                <w:rFonts w:ascii="宋体"/>
                <w:sz w:val="18"/>
                <w:szCs w:val="18"/>
              </w:rPr>
              <w:t>7</w:t>
            </w:r>
            <w:r>
              <w:rPr>
                <w:rFonts w:hint="eastAsia" w:ascii="宋体"/>
                <w:sz w:val="18"/>
                <w:szCs w:val="18"/>
              </w:rPr>
              <w:t>万元及以上</w:t>
            </w:r>
            <w:r>
              <w:rPr>
                <w:rFonts w:ascii="宋体"/>
                <w:sz w:val="18"/>
                <w:szCs w:val="18"/>
              </w:rPr>
              <w:t>10</w:t>
            </w:r>
            <w:r>
              <w:rPr>
                <w:rFonts w:hint="eastAsia" w:ascii="宋体"/>
                <w:sz w:val="18"/>
                <w:szCs w:val="18"/>
              </w:rPr>
              <w:t>万元及以下</w:t>
            </w:r>
          </w:p>
        </w:tc>
      </w:tr>
      <w:tr w14:paraId="604A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680" w:type="dxa"/>
            <w:vMerge w:val="continue"/>
            <w:vAlign w:val="center"/>
          </w:tcPr>
          <w:p w14:paraId="693972BF">
            <w:pPr>
              <w:spacing w:before="156" w:beforeLines="50" w:after="156" w:afterLines="50"/>
              <w:jc w:val="left"/>
              <w:rPr>
                <w:rFonts w:ascii="宋体"/>
                <w:kern w:val="0"/>
                <w:sz w:val="18"/>
                <w:szCs w:val="18"/>
              </w:rPr>
            </w:pPr>
          </w:p>
        </w:tc>
        <w:tc>
          <w:tcPr>
            <w:tcW w:w="1429" w:type="dxa"/>
            <w:vMerge w:val="continue"/>
            <w:vAlign w:val="center"/>
          </w:tcPr>
          <w:p w14:paraId="1CDFCF8F">
            <w:pPr>
              <w:spacing w:before="156" w:beforeLines="50" w:after="156" w:afterLines="50"/>
              <w:jc w:val="left"/>
              <w:rPr>
                <w:rFonts w:ascii="宋体"/>
                <w:kern w:val="0"/>
                <w:sz w:val="18"/>
                <w:szCs w:val="18"/>
              </w:rPr>
            </w:pPr>
          </w:p>
        </w:tc>
        <w:tc>
          <w:tcPr>
            <w:tcW w:w="1428" w:type="dxa"/>
            <w:vMerge w:val="continue"/>
            <w:vAlign w:val="center"/>
          </w:tcPr>
          <w:p w14:paraId="02761534">
            <w:pPr>
              <w:spacing w:before="156" w:beforeLines="50" w:after="156" w:afterLines="50"/>
              <w:jc w:val="left"/>
              <w:rPr>
                <w:rFonts w:ascii="宋体"/>
                <w:kern w:val="0"/>
                <w:sz w:val="18"/>
                <w:szCs w:val="18"/>
              </w:rPr>
            </w:pPr>
          </w:p>
        </w:tc>
        <w:tc>
          <w:tcPr>
            <w:tcW w:w="3000" w:type="dxa"/>
            <w:vMerge w:val="continue"/>
            <w:vAlign w:val="center"/>
          </w:tcPr>
          <w:p w14:paraId="2FB4416E">
            <w:pPr>
              <w:spacing w:before="156" w:beforeLines="50" w:after="156" w:afterLines="50"/>
              <w:jc w:val="left"/>
              <w:rPr>
                <w:rFonts w:ascii="宋体"/>
                <w:kern w:val="0"/>
                <w:sz w:val="18"/>
                <w:szCs w:val="18"/>
              </w:rPr>
            </w:pPr>
          </w:p>
        </w:tc>
        <w:tc>
          <w:tcPr>
            <w:tcW w:w="714" w:type="dxa"/>
            <w:vMerge w:val="continue"/>
            <w:vAlign w:val="center"/>
          </w:tcPr>
          <w:p w14:paraId="62C4E9AF">
            <w:pPr>
              <w:spacing w:before="156" w:beforeLines="50" w:after="156" w:afterLines="50"/>
              <w:jc w:val="left"/>
              <w:rPr>
                <w:rFonts w:ascii="宋体"/>
                <w:kern w:val="0"/>
                <w:sz w:val="18"/>
                <w:szCs w:val="18"/>
              </w:rPr>
            </w:pPr>
          </w:p>
        </w:tc>
        <w:tc>
          <w:tcPr>
            <w:tcW w:w="3142" w:type="dxa"/>
            <w:tcBorders>
              <w:top w:val="single" w:color="auto" w:sz="4" w:space="0"/>
              <w:bottom w:val="single" w:color="auto" w:sz="4" w:space="0"/>
            </w:tcBorders>
            <w:vAlign w:val="center"/>
          </w:tcPr>
          <w:p w14:paraId="782D00CF">
            <w:pPr>
              <w:spacing w:before="156" w:beforeLines="50" w:after="156" w:afterLines="50"/>
              <w:rPr>
                <w:rFonts w:ascii="宋体"/>
                <w:sz w:val="18"/>
                <w:szCs w:val="18"/>
              </w:rPr>
            </w:pPr>
            <w:r>
              <w:rPr>
                <w:rFonts w:hint="eastAsia" w:ascii="宋体"/>
                <w:sz w:val="18"/>
                <w:szCs w:val="18"/>
              </w:rPr>
              <w:t>向水体倾倒或者排放船舶的残油、废油，造成水污染的。</w:t>
            </w:r>
          </w:p>
        </w:tc>
        <w:tc>
          <w:tcPr>
            <w:tcW w:w="2331" w:type="dxa"/>
            <w:tcBorders>
              <w:top w:val="single" w:color="auto" w:sz="4" w:space="0"/>
              <w:bottom w:val="single" w:color="auto" w:sz="4" w:space="0"/>
              <w:right w:val="single" w:color="auto" w:sz="4" w:space="0"/>
            </w:tcBorders>
            <w:vAlign w:val="center"/>
          </w:tcPr>
          <w:p w14:paraId="1E329127">
            <w:pPr>
              <w:spacing w:before="156" w:beforeLines="50" w:after="156" w:afterLines="50"/>
              <w:rPr>
                <w:rFonts w:ascii="宋体"/>
                <w:sz w:val="18"/>
                <w:szCs w:val="18"/>
              </w:rPr>
            </w:pPr>
            <w:r>
              <w:rPr>
                <w:rFonts w:hint="eastAsia" w:ascii="等线" w:hAnsi="等线" w:eastAsia="等线"/>
                <w:sz w:val="18"/>
                <w:szCs w:val="18"/>
              </w:rPr>
              <w:t>2万元及以上</w:t>
            </w:r>
            <w:r>
              <w:rPr>
                <w:rFonts w:ascii="等线" w:hAnsi="等线" w:eastAsia="等线"/>
                <w:sz w:val="18"/>
                <w:szCs w:val="18"/>
              </w:rPr>
              <w:t>10</w:t>
            </w:r>
            <w:r>
              <w:rPr>
                <w:rFonts w:hint="eastAsia" w:ascii="等线" w:hAnsi="等线" w:eastAsia="等线"/>
                <w:sz w:val="18"/>
                <w:szCs w:val="18"/>
              </w:rPr>
              <w:t>万元以下</w:t>
            </w:r>
          </w:p>
        </w:tc>
        <w:tc>
          <w:tcPr>
            <w:tcW w:w="2552" w:type="dxa"/>
            <w:tcBorders>
              <w:top w:val="single" w:color="auto" w:sz="4" w:space="0"/>
              <w:bottom w:val="single" w:color="auto" w:sz="4" w:space="0"/>
              <w:right w:val="single" w:color="auto" w:sz="4" w:space="0"/>
            </w:tcBorders>
            <w:vAlign w:val="center"/>
          </w:tcPr>
          <w:p w14:paraId="6DBE9721">
            <w:pPr>
              <w:spacing w:before="156" w:beforeLines="50" w:after="156" w:afterLines="50"/>
              <w:rPr>
                <w:rFonts w:ascii="宋体"/>
                <w:sz w:val="18"/>
                <w:szCs w:val="18"/>
              </w:rPr>
            </w:pPr>
            <w:r>
              <w:rPr>
                <w:rFonts w:ascii="等线" w:hAnsi="等线" w:eastAsia="等线"/>
                <w:sz w:val="18"/>
                <w:szCs w:val="18"/>
              </w:rPr>
              <w:t>5</w:t>
            </w:r>
            <w:r>
              <w:rPr>
                <w:rFonts w:hint="eastAsia" w:ascii="等线" w:hAnsi="等线" w:eastAsia="等线"/>
                <w:sz w:val="18"/>
                <w:szCs w:val="18"/>
              </w:rPr>
              <w:t>万元及以上</w:t>
            </w:r>
            <w:r>
              <w:rPr>
                <w:rFonts w:ascii="等线" w:hAnsi="等线" w:eastAsia="等线"/>
                <w:sz w:val="18"/>
                <w:szCs w:val="18"/>
              </w:rPr>
              <w:t>15</w:t>
            </w:r>
            <w:r>
              <w:rPr>
                <w:rFonts w:hint="eastAsia" w:ascii="等线" w:hAnsi="等线" w:eastAsia="等线"/>
                <w:sz w:val="18"/>
                <w:szCs w:val="18"/>
              </w:rPr>
              <w:t>万元及以下</w:t>
            </w:r>
          </w:p>
        </w:tc>
        <w:tc>
          <w:tcPr>
            <w:tcW w:w="6057" w:type="dxa"/>
            <w:tcBorders>
              <w:top w:val="single" w:color="auto" w:sz="4" w:space="0"/>
              <w:bottom w:val="single" w:color="auto" w:sz="4" w:space="0"/>
              <w:right w:val="single" w:color="auto" w:sz="4" w:space="0"/>
            </w:tcBorders>
            <w:vAlign w:val="center"/>
          </w:tcPr>
          <w:p w14:paraId="59C7B3ED">
            <w:pPr>
              <w:spacing w:before="156" w:beforeLines="50" w:after="156" w:afterLines="50"/>
              <w:rPr>
                <w:rFonts w:ascii="宋体"/>
                <w:sz w:val="18"/>
                <w:szCs w:val="18"/>
              </w:rPr>
            </w:pPr>
            <w:r>
              <w:rPr>
                <w:rFonts w:ascii="等线" w:hAnsi="等线" w:eastAsia="等线"/>
                <w:sz w:val="18"/>
                <w:szCs w:val="18"/>
              </w:rPr>
              <w:t>10</w:t>
            </w:r>
            <w:r>
              <w:rPr>
                <w:rFonts w:hint="eastAsia" w:ascii="等线" w:hAnsi="等线" w:eastAsia="等线"/>
                <w:sz w:val="18"/>
                <w:szCs w:val="18"/>
              </w:rPr>
              <w:t>万元及以上</w:t>
            </w:r>
            <w:r>
              <w:rPr>
                <w:rFonts w:ascii="等线" w:hAnsi="等线" w:eastAsia="等线"/>
                <w:sz w:val="18"/>
                <w:szCs w:val="18"/>
              </w:rPr>
              <w:t>20</w:t>
            </w:r>
            <w:r>
              <w:rPr>
                <w:rFonts w:hint="eastAsia" w:ascii="等线" w:hAnsi="等线" w:eastAsia="等线"/>
                <w:sz w:val="18"/>
                <w:szCs w:val="18"/>
              </w:rPr>
              <w:t>万元及以下</w:t>
            </w:r>
          </w:p>
        </w:tc>
      </w:tr>
      <w:tr w14:paraId="7DD8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80" w:type="dxa"/>
            <w:vMerge w:val="continue"/>
            <w:vAlign w:val="center"/>
          </w:tcPr>
          <w:p w14:paraId="2C82925D">
            <w:pPr>
              <w:spacing w:before="156" w:beforeLines="50" w:after="156" w:afterLines="50"/>
              <w:jc w:val="left"/>
              <w:rPr>
                <w:rFonts w:ascii="宋体"/>
                <w:kern w:val="0"/>
                <w:sz w:val="18"/>
                <w:szCs w:val="18"/>
              </w:rPr>
            </w:pPr>
          </w:p>
        </w:tc>
        <w:tc>
          <w:tcPr>
            <w:tcW w:w="1429" w:type="dxa"/>
            <w:vMerge w:val="continue"/>
            <w:vAlign w:val="center"/>
          </w:tcPr>
          <w:p w14:paraId="2D1B78D9">
            <w:pPr>
              <w:spacing w:before="156" w:beforeLines="50" w:after="156" w:afterLines="50"/>
              <w:jc w:val="left"/>
              <w:rPr>
                <w:rFonts w:ascii="宋体"/>
                <w:kern w:val="0"/>
                <w:sz w:val="18"/>
                <w:szCs w:val="18"/>
              </w:rPr>
            </w:pPr>
          </w:p>
        </w:tc>
        <w:tc>
          <w:tcPr>
            <w:tcW w:w="1428" w:type="dxa"/>
            <w:vMerge w:val="continue"/>
            <w:vAlign w:val="center"/>
          </w:tcPr>
          <w:p w14:paraId="68157112">
            <w:pPr>
              <w:spacing w:before="156" w:beforeLines="50" w:after="156" w:afterLines="50"/>
              <w:jc w:val="left"/>
              <w:rPr>
                <w:rFonts w:ascii="宋体"/>
                <w:kern w:val="0"/>
                <w:sz w:val="18"/>
                <w:szCs w:val="18"/>
              </w:rPr>
            </w:pPr>
          </w:p>
        </w:tc>
        <w:tc>
          <w:tcPr>
            <w:tcW w:w="3000" w:type="dxa"/>
            <w:vMerge w:val="continue"/>
            <w:vAlign w:val="center"/>
          </w:tcPr>
          <w:p w14:paraId="38C5850A">
            <w:pPr>
              <w:spacing w:before="156" w:beforeLines="50" w:after="156" w:afterLines="50"/>
              <w:jc w:val="left"/>
              <w:rPr>
                <w:rFonts w:ascii="宋体"/>
                <w:kern w:val="0"/>
                <w:sz w:val="18"/>
                <w:szCs w:val="18"/>
              </w:rPr>
            </w:pPr>
          </w:p>
        </w:tc>
        <w:tc>
          <w:tcPr>
            <w:tcW w:w="714" w:type="dxa"/>
            <w:vMerge w:val="continue"/>
            <w:vAlign w:val="center"/>
          </w:tcPr>
          <w:p w14:paraId="3AC7718D">
            <w:pPr>
              <w:spacing w:before="156" w:beforeLines="50" w:after="156" w:afterLines="50"/>
              <w:jc w:val="left"/>
              <w:rPr>
                <w:rFonts w:ascii="宋体"/>
                <w:kern w:val="0"/>
                <w:sz w:val="18"/>
                <w:szCs w:val="18"/>
              </w:rPr>
            </w:pPr>
          </w:p>
        </w:tc>
        <w:tc>
          <w:tcPr>
            <w:tcW w:w="3142" w:type="dxa"/>
            <w:tcBorders>
              <w:top w:val="single" w:color="auto" w:sz="4" w:space="0"/>
            </w:tcBorders>
            <w:vAlign w:val="center"/>
          </w:tcPr>
          <w:p w14:paraId="7DFABBEA">
            <w:pPr>
              <w:spacing w:before="156" w:beforeLines="50" w:after="156" w:afterLines="50"/>
              <w:rPr>
                <w:rFonts w:ascii="宋体"/>
                <w:sz w:val="18"/>
                <w:szCs w:val="18"/>
              </w:rPr>
            </w:pPr>
            <w:r>
              <w:rPr>
                <w:rFonts w:hint="eastAsia" w:ascii="宋体"/>
                <w:sz w:val="18"/>
                <w:szCs w:val="18"/>
              </w:rPr>
              <w:t>造成水污染事故的。</w:t>
            </w:r>
          </w:p>
        </w:tc>
        <w:tc>
          <w:tcPr>
            <w:tcW w:w="2331" w:type="dxa"/>
            <w:tcBorders>
              <w:top w:val="single" w:color="auto" w:sz="4" w:space="0"/>
              <w:right w:val="single" w:color="auto" w:sz="4" w:space="0"/>
            </w:tcBorders>
            <w:vAlign w:val="center"/>
          </w:tcPr>
          <w:p w14:paraId="5D59DBE0">
            <w:pPr>
              <w:spacing w:before="156" w:beforeLines="50" w:after="156" w:afterLines="50"/>
              <w:rPr>
                <w:rFonts w:ascii="宋体"/>
                <w:sz w:val="18"/>
                <w:szCs w:val="18"/>
              </w:rPr>
            </w:pPr>
            <w:r>
              <w:rPr>
                <w:rFonts w:hint="eastAsia" w:ascii="宋体"/>
                <w:sz w:val="18"/>
                <w:szCs w:val="18"/>
              </w:rPr>
              <w:t>造成一般或者较大水污染事故的，处以直接损失的20％的罚款；造成重大或者特大水污染事故的，处以直接损失的30％的罚款。</w:t>
            </w:r>
          </w:p>
        </w:tc>
        <w:tc>
          <w:tcPr>
            <w:tcW w:w="2552" w:type="dxa"/>
            <w:tcBorders>
              <w:top w:val="single" w:color="auto" w:sz="4" w:space="0"/>
              <w:right w:val="single" w:color="auto" w:sz="4" w:space="0"/>
            </w:tcBorders>
            <w:vAlign w:val="center"/>
          </w:tcPr>
          <w:p w14:paraId="6A767BD9">
            <w:pPr>
              <w:spacing w:before="156" w:beforeLines="50" w:after="156" w:afterLines="50"/>
              <w:rPr>
                <w:rFonts w:ascii="宋体"/>
                <w:sz w:val="18"/>
                <w:szCs w:val="18"/>
              </w:rPr>
            </w:pPr>
          </w:p>
        </w:tc>
        <w:tc>
          <w:tcPr>
            <w:tcW w:w="6057" w:type="dxa"/>
            <w:tcBorders>
              <w:top w:val="single" w:color="auto" w:sz="4" w:space="0"/>
              <w:right w:val="single" w:color="auto" w:sz="4" w:space="0"/>
            </w:tcBorders>
            <w:vAlign w:val="center"/>
          </w:tcPr>
          <w:p w14:paraId="09E60F6C">
            <w:pPr>
              <w:spacing w:before="156" w:beforeLines="50" w:after="156" w:afterLines="50"/>
              <w:rPr>
                <w:rFonts w:ascii="宋体"/>
                <w:sz w:val="18"/>
                <w:szCs w:val="18"/>
              </w:rPr>
            </w:pPr>
          </w:p>
        </w:tc>
      </w:tr>
    </w:tbl>
    <w:p w14:paraId="58C705C5">
      <w:pPr>
        <w:widowControl/>
        <w:jc w:val="left"/>
        <w:rPr>
          <w:sz w:val="18"/>
          <w:szCs w:val="18"/>
        </w:rPr>
      </w:pPr>
      <w:r>
        <w:rPr>
          <w:sz w:val="18"/>
          <w:szCs w:val="18"/>
        </w:rPr>
        <w:br w:type="page"/>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166"/>
        <w:gridCol w:w="1842"/>
        <w:gridCol w:w="1985"/>
        <w:gridCol w:w="830"/>
        <w:gridCol w:w="3827"/>
        <w:gridCol w:w="2484"/>
        <w:gridCol w:w="2381"/>
        <w:gridCol w:w="2126"/>
        <w:gridCol w:w="3931"/>
      </w:tblGrid>
      <w:tr w14:paraId="0FAF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761" w:type="dxa"/>
            <w:vMerge w:val="restart"/>
            <w:tcBorders>
              <w:top w:val="single" w:color="000000" w:sz="4" w:space="0"/>
              <w:left w:val="single" w:color="000000" w:sz="4" w:space="0"/>
              <w:right w:val="single" w:color="000000" w:sz="4" w:space="0"/>
            </w:tcBorders>
            <w:vAlign w:val="center"/>
          </w:tcPr>
          <w:p w14:paraId="0713BBDA">
            <w:pPr>
              <w:spacing w:before="156" w:beforeLines="50" w:after="156" w:afterLines="50"/>
              <w:jc w:val="center"/>
              <w:rPr>
                <w:rFonts w:ascii="等线" w:hAnsi="等线"/>
                <w:b/>
                <w:sz w:val="18"/>
                <w:szCs w:val="18"/>
              </w:rPr>
            </w:pPr>
            <w:r>
              <w:rPr>
                <w:rFonts w:hint="eastAsia" w:ascii="等线" w:hAnsi="等线"/>
                <w:b/>
                <w:sz w:val="18"/>
                <w:szCs w:val="18"/>
              </w:rPr>
              <w:t>序号</w:t>
            </w:r>
          </w:p>
        </w:tc>
        <w:tc>
          <w:tcPr>
            <w:tcW w:w="1166" w:type="dxa"/>
            <w:vMerge w:val="restart"/>
            <w:tcBorders>
              <w:top w:val="single" w:color="000000" w:sz="4" w:space="0"/>
              <w:left w:val="single" w:color="000000" w:sz="4" w:space="0"/>
              <w:right w:val="single" w:color="000000" w:sz="4" w:space="0"/>
            </w:tcBorders>
            <w:vAlign w:val="center"/>
          </w:tcPr>
          <w:p w14:paraId="21E25D19">
            <w:pPr>
              <w:spacing w:before="156" w:beforeLines="50" w:after="156" w:afterLines="50"/>
              <w:jc w:val="center"/>
              <w:rPr>
                <w:rFonts w:ascii="等线" w:hAnsi="等线"/>
                <w:b/>
                <w:sz w:val="18"/>
                <w:szCs w:val="18"/>
              </w:rPr>
            </w:pPr>
            <w:r>
              <w:rPr>
                <w:rFonts w:hint="eastAsia" w:ascii="等线" w:hAnsi="等线"/>
                <w:b/>
                <w:sz w:val="18"/>
                <w:szCs w:val="18"/>
              </w:rPr>
              <w:t>案由</w:t>
            </w:r>
          </w:p>
        </w:tc>
        <w:tc>
          <w:tcPr>
            <w:tcW w:w="38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E119E3C">
            <w:pPr>
              <w:spacing w:before="156" w:beforeLines="50" w:after="156" w:afterLines="50"/>
              <w:jc w:val="center"/>
              <w:rPr>
                <w:rFonts w:ascii="等线" w:hAnsi="等线"/>
                <w:b/>
                <w:sz w:val="18"/>
                <w:szCs w:val="18"/>
              </w:rPr>
            </w:pPr>
            <w:r>
              <w:rPr>
                <w:rFonts w:hint="eastAsia" w:ascii="等线" w:hAnsi="等线"/>
                <w:b/>
                <w:sz w:val="18"/>
                <w:szCs w:val="18"/>
              </w:rPr>
              <w:t>法律依据</w:t>
            </w:r>
          </w:p>
        </w:tc>
        <w:tc>
          <w:tcPr>
            <w:tcW w:w="830" w:type="dxa"/>
            <w:vMerge w:val="restart"/>
            <w:tcBorders>
              <w:top w:val="single" w:color="000000" w:sz="4" w:space="0"/>
              <w:left w:val="single" w:color="000000" w:sz="4" w:space="0"/>
              <w:right w:val="single" w:color="000000" w:sz="4" w:space="0"/>
            </w:tcBorders>
            <w:vAlign w:val="center"/>
          </w:tcPr>
          <w:p w14:paraId="3A3E91F6">
            <w:pPr>
              <w:spacing w:before="156" w:beforeLines="50" w:after="156" w:afterLines="50"/>
              <w:jc w:val="center"/>
              <w:rPr>
                <w:rFonts w:ascii="等线" w:hAnsi="等线"/>
                <w:b/>
                <w:sz w:val="18"/>
                <w:szCs w:val="18"/>
              </w:rPr>
            </w:pPr>
            <w:r>
              <w:rPr>
                <w:rFonts w:hint="eastAsia" w:ascii="等线" w:hAnsi="等线"/>
                <w:b/>
                <w:sz w:val="18"/>
                <w:szCs w:val="18"/>
              </w:rPr>
              <w:t>违法情节</w:t>
            </w:r>
          </w:p>
        </w:tc>
        <w:tc>
          <w:tcPr>
            <w:tcW w:w="3827" w:type="dxa"/>
            <w:vMerge w:val="restart"/>
            <w:tcBorders>
              <w:top w:val="single" w:color="000000" w:sz="4" w:space="0"/>
              <w:left w:val="single" w:color="000000" w:sz="4" w:space="0"/>
              <w:right w:val="single" w:color="000000" w:sz="4" w:space="0"/>
            </w:tcBorders>
            <w:vAlign w:val="center"/>
          </w:tcPr>
          <w:p w14:paraId="5B99DAD2">
            <w:pPr>
              <w:spacing w:before="156" w:beforeLines="50" w:after="156" w:afterLines="50"/>
              <w:jc w:val="center"/>
              <w:rPr>
                <w:rFonts w:ascii="等线" w:hAnsi="等线"/>
                <w:b/>
                <w:sz w:val="18"/>
                <w:szCs w:val="18"/>
              </w:rPr>
            </w:pPr>
            <w:r>
              <w:rPr>
                <w:rFonts w:hint="eastAsia" w:ascii="等线" w:hAnsi="等线"/>
                <w:b/>
                <w:sz w:val="18"/>
                <w:szCs w:val="18"/>
              </w:rPr>
              <w:t>主要考虑因素</w:t>
            </w:r>
          </w:p>
          <w:p w14:paraId="69BA0F3C">
            <w:pPr>
              <w:spacing w:before="156" w:beforeLines="50" w:after="156" w:afterLines="50"/>
              <w:jc w:val="center"/>
              <w:rPr>
                <w:rFonts w:ascii="等线" w:hAnsi="等线"/>
                <w:b/>
                <w:sz w:val="18"/>
                <w:szCs w:val="18"/>
              </w:rPr>
            </w:pPr>
            <w:r>
              <w:rPr>
                <w:rFonts w:hint="eastAsia" w:ascii="等线" w:hAnsi="等线"/>
                <w:b/>
                <w:sz w:val="18"/>
                <w:szCs w:val="18"/>
              </w:rPr>
              <w:t>（事实、性质、情节、危害程度和实际后果等）</w:t>
            </w:r>
          </w:p>
        </w:tc>
        <w:tc>
          <w:tcPr>
            <w:tcW w:w="10922" w:type="dxa"/>
            <w:gridSpan w:val="4"/>
            <w:tcBorders>
              <w:top w:val="single" w:color="000000" w:sz="4" w:space="0"/>
              <w:left w:val="single" w:color="000000" w:sz="4" w:space="0"/>
              <w:bottom w:val="single" w:color="auto" w:sz="4" w:space="0"/>
              <w:right w:val="single" w:color="auto" w:sz="4" w:space="0"/>
            </w:tcBorders>
            <w:vAlign w:val="center"/>
          </w:tcPr>
          <w:p w14:paraId="61456A99">
            <w:pPr>
              <w:spacing w:before="156" w:beforeLines="50" w:after="156" w:afterLines="50"/>
              <w:rPr>
                <w:rFonts w:ascii="等线" w:hAnsi="等线"/>
                <w:b/>
                <w:sz w:val="18"/>
                <w:szCs w:val="18"/>
              </w:rPr>
            </w:pPr>
            <w:r>
              <w:rPr>
                <w:rFonts w:hint="eastAsia" w:ascii="等线" w:hAnsi="等线"/>
                <w:b/>
                <w:sz w:val="18"/>
                <w:szCs w:val="18"/>
              </w:rPr>
              <w:t>【法定幅度和种类】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tc>
      </w:tr>
      <w:tr w14:paraId="4810A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761" w:type="dxa"/>
            <w:vMerge w:val="continue"/>
            <w:tcBorders>
              <w:left w:val="single" w:color="000000" w:sz="4" w:space="0"/>
              <w:right w:val="single" w:color="000000" w:sz="4" w:space="0"/>
            </w:tcBorders>
            <w:vAlign w:val="center"/>
          </w:tcPr>
          <w:p w14:paraId="081FCBF2">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14:paraId="355C9D92">
            <w:pPr>
              <w:spacing w:before="156" w:beforeLines="50" w:after="156" w:afterLines="50"/>
              <w:jc w:val="center"/>
              <w:rPr>
                <w:rFonts w:ascii="等线" w:hAnsi="等线"/>
                <w:b/>
                <w:sz w:val="18"/>
                <w:szCs w:val="18"/>
              </w:rPr>
            </w:pPr>
          </w:p>
        </w:tc>
        <w:tc>
          <w:tcPr>
            <w:tcW w:w="38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6375E4">
            <w:pPr>
              <w:spacing w:before="156" w:beforeLines="50" w:after="156" w:afterLines="50"/>
              <w:jc w:val="center"/>
              <w:rPr>
                <w:rFonts w:ascii="等线" w:hAnsi="等线"/>
                <w:b/>
                <w:sz w:val="18"/>
                <w:szCs w:val="18"/>
              </w:rPr>
            </w:pPr>
          </w:p>
        </w:tc>
        <w:tc>
          <w:tcPr>
            <w:tcW w:w="830" w:type="dxa"/>
            <w:vMerge w:val="continue"/>
            <w:tcBorders>
              <w:left w:val="single" w:color="000000" w:sz="4" w:space="0"/>
              <w:right w:val="single" w:color="000000" w:sz="4" w:space="0"/>
            </w:tcBorders>
            <w:vAlign w:val="center"/>
          </w:tcPr>
          <w:p w14:paraId="66C74C35">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14:paraId="5E9C06C2">
            <w:pPr>
              <w:spacing w:before="156" w:beforeLines="50" w:after="156" w:afterLines="50"/>
              <w:jc w:val="left"/>
              <w:rPr>
                <w:rFonts w:ascii="等线" w:hAnsi="等线"/>
                <w:b/>
                <w:sz w:val="18"/>
                <w:szCs w:val="18"/>
              </w:rPr>
            </w:pPr>
          </w:p>
        </w:tc>
        <w:tc>
          <w:tcPr>
            <w:tcW w:w="10922" w:type="dxa"/>
            <w:gridSpan w:val="4"/>
            <w:tcBorders>
              <w:top w:val="single" w:color="auto" w:sz="4" w:space="0"/>
              <w:left w:val="single" w:color="000000" w:sz="4" w:space="0"/>
              <w:bottom w:val="single" w:color="auto" w:sz="4" w:space="0"/>
              <w:right w:val="single" w:color="auto" w:sz="4" w:space="0"/>
            </w:tcBorders>
            <w:vAlign w:val="center"/>
          </w:tcPr>
          <w:p w14:paraId="75BD0DC0">
            <w:pPr>
              <w:spacing w:before="156" w:beforeLines="50" w:after="156" w:afterLines="50"/>
              <w:jc w:val="center"/>
              <w:rPr>
                <w:rFonts w:ascii="等线" w:hAnsi="等线"/>
                <w:b/>
                <w:sz w:val="18"/>
                <w:szCs w:val="18"/>
              </w:rPr>
            </w:pPr>
            <w:r>
              <w:rPr>
                <w:rFonts w:hint="eastAsia" w:ascii="等线" w:hAnsi="等线"/>
                <w:b/>
                <w:sz w:val="18"/>
                <w:szCs w:val="18"/>
              </w:rPr>
              <w:t>处罚基准</w:t>
            </w:r>
          </w:p>
        </w:tc>
      </w:tr>
      <w:tr w14:paraId="67E80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61" w:type="dxa"/>
            <w:vMerge w:val="continue"/>
            <w:tcBorders>
              <w:left w:val="single" w:color="000000" w:sz="4" w:space="0"/>
              <w:right w:val="single" w:color="000000" w:sz="4" w:space="0"/>
            </w:tcBorders>
            <w:vAlign w:val="center"/>
          </w:tcPr>
          <w:p w14:paraId="746C0572">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14:paraId="5AEBAAA8">
            <w:pPr>
              <w:spacing w:before="156" w:beforeLines="50" w:after="156" w:afterLines="50"/>
              <w:jc w:val="center"/>
              <w:rPr>
                <w:rFonts w:ascii="等线" w:hAnsi="等线"/>
                <w:b/>
                <w:sz w:val="18"/>
                <w:szCs w:val="18"/>
              </w:rPr>
            </w:pPr>
          </w:p>
        </w:tc>
        <w:tc>
          <w:tcPr>
            <w:tcW w:w="1842" w:type="dxa"/>
            <w:vMerge w:val="restart"/>
            <w:tcBorders>
              <w:top w:val="single" w:color="000000" w:sz="4" w:space="0"/>
              <w:left w:val="single" w:color="000000" w:sz="4" w:space="0"/>
              <w:right w:val="single" w:color="000000" w:sz="4" w:space="0"/>
            </w:tcBorders>
            <w:vAlign w:val="center"/>
          </w:tcPr>
          <w:p w14:paraId="45CF4393">
            <w:pPr>
              <w:spacing w:before="156" w:beforeLines="50" w:after="156" w:afterLines="50"/>
              <w:jc w:val="center"/>
              <w:rPr>
                <w:rFonts w:ascii="等线" w:hAnsi="等线"/>
                <w:b/>
                <w:sz w:val="18"/>
                <w:szCs w:val="18"/>
              </w:rPr>
            </w:pPr>
            <w:r>
              <w:rPr>
                <w:rFonts w:hint="eastAsia" w:ascii="等线" w:hAnsi="等线"/>
                <w:b/>
                <w:sz w:val="18"/>
                <w:szCs w:val="18"/>
              </w:rPr>
              <w:t>违反条款</w:t>
            </w:r>
          </w:p>
        </w:tc>
        <w:tc>
          <w:tcPr>
            <w:tcW w:w="1985" w:type="dxa"/>
            <w:vMerge w:val="restart"/>
            <w:tcBorders>
              <w:top w:val="single" w:color="000000" w:sz="4" w:space="0"/>
              <w:left w:val="single" w:color="000000" w:sz="4" w:space="0"/>
              <w:right w:val="single" w:color="000000" w:sz="4" w:space="0"/>
            </w:tcBorders>
            <w:vAlign w:val="center"/>
          </w:tcPr>
          <w:p w14:paraId="641CAEFA">
            <w:pPr>
              <w:spacing w:before="156" w:beforeLines="50" w:after="156" w:afterLines="50"/>
              <w:jc w:val="center"/>
              <w:rPr>
                <w:rFonts w:ascii="等线" w:hAnsi="等线"/>
                <w:b/>
                <w:sz w:val="18"/>
                <w:szCs w:val="18"/>
              </w:rPr>
            </w:pPr>
            <w:r>
              <w:rPr>
                <w:rFonts w:hint="eastAsia" w:ascii="等线" w:hAnsi="等线"/>
                <w:b/>
                <w:sz w:val="18"/>
                <w:szCs w:val="18"/>
              </w:rPr>
              <w:t>处罚依据</w:t>
            </w:r>
          </w:p>
        </w:tc>
        <w:tc>
          <w:tcPr>
            <w:tcW w:w="830" w:type="dxa"/>
            <w:vMerge w:val="continue"/>
            <w:tcBorders>
              <w:left w:val="single" w:color="000000" w:sz="4" w:space="0"/>
              <w:right w:val="single" w:color="000000" w:sz="4" w:space="0"/>
            </w:tcBorders>
            <w:vAlign w:val="center"/>
          </w:tcPr>
          <w:p w14:paraId="5333621A">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14:paraId="0B4CA9E4">
            <w:pPr>
              <w:spacing w:before="156" w:beforeLines="50" w:after="156" w:afterLines="50"/>
              <w:jc w:val="left"/>
              <w:rPr>
                <w:rFonts w:ascii="等线" w:hAnsi="等线"/>
                <w:b/>
                <w:sz w:val="18"/>
                <w:szCs w:val="18"/>
              </w:rPr>
            </w:pPr>
          </w:p>
        </w:tc>
        <w:tc>
          <w:tcPr>
            <w:tcW w:w="10922" w:type="dxa"/>
            <w:gridSpan w:val="4"/>
            <w:tcBorders>
              <w:top w:val="single" w:color="auto" w:sz="4" w:space="0"/>
              <w:left w:val="single" w:color="000000" w:sz="4" w:space="0"/>
              <w:bottom w:val="single" w:color="auto" w:sz="4" w:space="0"/>
              <w:right w:val="single" w:color="auto" w:sz="4" w:space="0"/>
            </w:tcBorders>
            <w:vAlign w:val="center"/>
          </w:tcPr>
          <w:p w14:paraId="3FA91276">
            <w:pPr>
              <w:spacing w:before="156" w:beforeLines="50" w:after="156" w:afterLines="50"/>
              <w:jc w:val="center"/>
              <w:rPr>
                <w:rFonts w:ascii="等线" w:hAnsi="等线"/>
                <w:b/>
                <w:sz w:val="18"/>
                <w:szCs w:val="18"/>
              </w:rPr>
            </w:pPr>
            <w:r>
              <w:rPr>
                <w:rFonts w:hint="eastAsia" w:ascii="等线" w:hAnsi="等线"/>
                <w:b/>
                <w:sz w:val="18"/>
                <w:szCs w:val="18"/>
              </w:rPr>
              <w:t>【对象】船舶所有人或经营人</w:t>
            </w:r>
          </w:p>
        </w:tc>
      </w:tr>
      <w:tr w14:paraId="4DF8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761" w:type="dxa"/>
            <w:vMerge w:val="continue"/>
            <w:tcBorders>
              <w:left w:val="single" w:color="000000" w:sz="4" w:space="0"/>
              <w:right w:val="single" w:color="000000" w:sz="4" w:space="0"/>
            </w:tcBorders>
            <w:vAlign w:val="center"/>
          </w:tcPr>
          <w:p w14:paraId="28C261F2">
            <w:pPr>
              <w:spacing w:before="156" w:beforeLines="50" w:after="156" w:afterLines="50"/>
              <w:jc w:val="center"/>
              <w:rPr>
                <w:rFonts w:ascii="等线" w:hAnsi="等线"/>
                <w:b/>
                <w:sz w:val="18"/>
                <w:szCs w:val="18"/>
              </w:rPr>
            </w:pPr>
          </w:p>
        </w:tc>
        <w:tc>
          <w:tcPr>
            <w:tcW w:w="1166" w:type="dxa"/>
            <w:vMerge w:val="continue"/>
            <w:tcBorders>
              <w:left w:val="single" w:color="000000" w:sz="4" w:space="0"/>
              <w:right w:val="single" w:color="000000" w:sz="4" w:space="0"/>
            </w:tcBorders>
            <w:vAlign w:val="center"/>
          </w:tcPr>
          <w:p w14:paraId="004421C6">
            <w:pPr>
              <w:spacing w:before="156" w:beforeLines="50" w:after="156" w:afterLines="50"/>
              <w:jc w:val="center"/>
              <w:rPr>
                <w:rFonts w:ascii="等线" w:hAnsi="等线"/>
                <w:b/>
                <w:sz w:val="18"/>
                <w:szCs w:val="18"/>
              </w:rPr>
            </w:pPr>
          </w:p>
        </w:tc>
        <w:tc>
          <w:tcPr>
            <w:tcW w:w="1842" w:type="dxa"/>
            <w:vMerge w:val="continue"/>
            <w:tcBorders>
              <w:left w:val="single" w:color="000000" w:sz="4" w:space="0"/>
              <w:right w:val="single" w:color="000000" w:sz="4" w:space="0"/>
            </w:tcBorders>
            <w:vAlign w:val="center"/>
          </w:tcPr>
          <w:p w14:paraId="3B37A1BE">
            <w:pPr>
              <w:spacing w:before="156" w:beforeLines="50" w:after="156" w:afterLines="50"/>
              <w:jc w:val="center"/>
              <w:rPr>
                <w:rFonts w:ascii="等线" w:hAnsi="等线"/>
                <w:b/>
                <w:sz w:val="18"/>
                <w:szCs w:val="18"/>
              </w:rPr>
            </w:pPr>
          </w:p>
        </w:tc>
        <w:tc>
          <w:tcPr>
            <w:tcW w:w="1985" w:type="dxa"/>
            <w:vMerge w:val="continue"/>
            <w:tcBorders>
              <w:left w:val="single" w:color="000000" w:sz="4" w:space="0"/>
              <w:right w:val="single" w:color="000000" w:sz="4" w:space="0"/>
            </w:tcBorders>
            <w:vAlign w:val="center"/>
          </w:tcPr>
          <w:p w14:paraId="027713D3">
            <w:pPr>
              <w:spacing w:before="156" w:beforeLines="50" w:after="156" w:afterLines="50"/>
              <w:jc w:val="center"/>
              <w:rPr>
                <w:rFonts w:ascii="等线" w:hAnsi="等线"/>
                <w:b/>
                <w:sz w:val="18"/>
                <w:szCs w:val="18"/>
              </w:rPr>
            </w:pPr>
          </w:p>
        </w:tc>
        <w:tc>
          <w:tcPr>
            <w:tcW w:w="830" w:type="dxa"/>
            <w:vMerge w:val="continue"/>
            <w:tcBorders>
              <w:left w:val="single" w:color="000000" w:sz="4" w:space="0"/>
              <w:right w:val="single" w:color="000000" w:sz="4" w:space="0"/>
            </w:tcBorders>
            <w:vAlign w:val="center"/>
          </w:tcPr>
          <w:p w14:paraId="5D494FAC">
            <w:pPr>
              <w:spacing w:before="156" w:beforeLines="50" w:after="156" w:afterLines="50"/>
              <w:jc w:val="left"/>
              <w:rPr>
                <w:rFonts w:ascii="等线" w:hAnsi="等线"/>
                <w:b/>
                <w:sz w:val="18"/>
                <w:szCs w:val="18"/>
              </w:rPr>
            </w:pPr>
          </w:p>
        </w:tc>
        <w:tc>
          <w:tcPr>
            <w:tcW w:w="3827" w:type="dxa"/>
            <w:vMerge w:val="continue"/>
            <w:tcBorders>
              <w:left w:val="single" w:color="000000" w:sz="4" w:space="0"/>
              <w:right w:val="single" w:color="000000" w:sz="4" w:space="0"/>
            </w:tcBorders>
            <w:vAlign w:val="center"/>
          </w:tcPr>
          <w:p w14:paraId="5C67B199">
            <w:pPr>
              <w:spacing w:before="156" w:beforeLines="50" w:after="156" w:afterLines="50"/>
              <w:jc w:val="left"/>
              <w:rPr>
                <w:rFonts w:ascii="等线" w:hAnsi="等线"/>
                <w:b/>
                <w:sz w:val="18"/>
                <w:szCs w:val="18"/>
              </w:rPr>
            </w:pPr>
          </w:p>
        </w:tc>
        <w:tc>
          <w:tcPr>
            <w:tcW w:w="6991" w:type="dxa"/>
            <w:gridSpan w:val="3"/>
            <w:tcBorders>
              <w:top w:val="single" w:color="auto" w:sz="4" w:space="0"/>
              <w:left w:val="single" w:color="000000" w:sz="4" w:space="0"/>
              <w:bottom w:val="single" w:color="auto" w:sz="4" w:space="0"/>
              <w:right w:val="single" w:color="000000" w:sz="4" w:space="0"/>
            </w:tcBorders>
            <w:vAlign w:val="center"/>
          </w:tcPr>
          <w:p w14:paraId="1C46A6E3">
            <w:pPr>
              <w:spacing w:before="156" w:beforeLines="50" w:after="156" w:afterLines="50"/>
              <w:jc w:val="center"/>
              <w:rPr>
                <w:rFonts w:ascii="等线" w:hAnsi="等线"/>
                <w:b/>
                <w:sz w:val="18"/>
                <w:szCs w:val="18"/>
              </w:rPr>
            </w:pPr>
            <w:r>
              <w:rPr>
                <w:rFonts w:hint="eastAsia" w:ascii="等线" w:hAnsi="等线"/>
                <w:b/>
                <w:sz w:val="18"/>
                <w:szCs w:val="18"/>
              </w:rPr>
              <w:t>船舶垃圾</w:t>
            </w:r>
          </w:p>
        </w:tc>
        <w:tc>
          <w:tcPr>
            <w:tcW w:w="3931" w:type="dxa"/>
            <w:vMerge w:val="restart"/>
            <w:tcBorders>
              <w:top w:val="single" w:color="auto" w:sz="4" w:space="0"/>
              <w:left w:val="single" w:color="000000" w:sz="4" w:space="0"/>
              <w:right w:val="single" w:color="auto" w:sz="4" w:space="0"/>
            </w:tcBorders>
            <w:vAlign w:val="center"/>
          </w:tcPr>
          <w:p w14:paraId="74E36023">
            <w:pPr>
              <w:spacing w:before="156" w:beforeLines="50" w:after="156" w:afterLines="50"/>
              <w:jc w:val="center"/>
              <w:rPr>
                <w:rFonts w:ascii="等线" w:hAnsi="等线"/>
                <w:b/>
                <w:sz w:val="18"/>
                <w:szCs w:val="18"/>
              </w:rPr>
            </w:pPr>
            <w:r>
              <w:rPr>
                <w:rFonts w:hint="eastAsia" w:ascii="等线" w:hAnsi="等线"/>
                <w:b/>
                <w:sz w:val="18"/>
                <w:szCs w:val="18"/>
              </w:rPr>
              <w:t>船舶垃圾以外的禁排污染物</w:t>
            </w:r>
          </w:p>
        </w:tc>
      </w:tr>
      <w:tr w14:paraId="4AEBE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761" w:type="dxa"/>
            <w:vMerge w:val="continue"/>
            <w:tcBorders>
              <w:left w:val="single" w:color="000000" w:sz="4" w:space="0"/>
              <w:bottom w:val="single" w:color="000000" w:sz="4" w:space="0"/>
              <w:right w:val="single" w:color="000000" w:sz="4" w:space="0"/>
            </w:tcBorders>
            <w:vAlign w:val="center"/>
          </w:tcPr>
          <w:p w14:paraId="2CCEE11B">
            <w:pPr>
              <w:spacing w:before="156" w:beforeLines="50" w:after="156" w:afterLines="50"/>
              <w:jc w:val="center"/>
              <w:rPr>
                <w:rFonts w:ascii="等线" w:hAnsi="等线"/>
                <w:b/>
                <w:sz w:val="18"/>
                <w:szCs w:val="18"/>
              </w:rPr>
            </w:pPr>
          </w:p>
        </w:tc>
        <w:tc>
          <w:tcPr>
            <w:tcW w:w="1166" w:type="dxa"/>
            <w:vMerge w:val="continue"/>
            <w:tcBorders>
              <w:left w:val="single" w:color="000000" w:sz="4" w:space="0"/>
              <w:bottom w:val="single" w:color="000000" w:sz="4" w:space="0"/>
              <w:right w:val="single" w:color="000000" w:sz="4" w:space="0"/>
            </w:tcBorders>
            <w:vAlign w:val="center"/>
          </w:tcPr>
          <w:p w14:paraId="5E74670E">
            <w:pPr>
              <w:spacing w:before="156" w:beforeLines="50" w:after="156" w:afterLines="50"/>
              <w:jc w:val="center"/>
              <w:rPr>
                <w:rFonts w:ascii="等线" w:hAnsi="等线"/>
                <w:b/>
                <w:sz w:val="18"/>
                <w:szCs w:val="18"/>
              </w:rPr>
            </w:pPr>
          </w:p>
        </w:tc>
        <w:tc>
          <w:tcPr>
            <w:tcW w:w="1842" w:type="dxa"/>
            <w:vMerge w:val="continue"/>
            <w:tcBorders>
              <w:left w:val="single" w:color="000000" w:sz="4" w:space="0"/>
              <w:bottom w:val="single" w:color="000000" w:sz="4" w:space="0"/>
              <w:right w:val="single" w:color="000000" w:sz="4" w:space="0"/>
            </w:tcBorders>
            <w:vAlign w:val="center"/>
          </w:tcPr>
          <w:p w14:paraId="073E3A61">
            <w:pPr>
              <w:spacing w:before="156" w:beforeLines="50" w:after="156" w:afterLines="50"/>
              <w:jc w:val="center"/>
              <w:rPr>
                <w:rFonts w:ascii="等线" w:hAnsi="等线"/>
                <w:b/>
                <w:sz w:val="18"/>
                <w:szCs w:val="18"/>
              </w:rPr>
            </w:pPr>
          </w:p>
        </w:tc>
        <w:tc>
          <w:tcPr>
            <w:tcW w:w="1985" w:type="dxa"/>
            <w:vMerge w:val="continue"/>
            <w:tcBorders>
              <w:left w:val="single" w:color="000000" w:sz="4" w:space="0"/>
              <w:bottom w:val="single" w:color="000000" w:sz="4" w:space="0"/>
              <w:right w:val="single" w:color="000000" w:sz="4" w:space="0"/>
            </w:tcBorders>
            <w:vAlign w:val="center"/>
          </w:tcPr>
          <w:p w14:paraId="2574F40C">
            <w:pPr>
              <w:spacing w:before="156" w:beforeLines="50" w:after="156" w:afterLines="50"/>
              <w:jc w:val="center"/>
              <w:rPr>
                <w:rFonts w:ascii="等线" w:hAnsi="等线"/>
                <w:b/>
                <w:sz w:val="18"/>
                <w:szCs w:val="18"/>
              </w:rPr>
            </w:pPr>
          </w:p>
        </w:tc>
        <w:tc>
          <w:tcPr>
            <w:tcW w:w="830" w:type="dxa"/>
            <w:vMerge w:val="continue"/>
            <w:tcBorders>
              <w:left w:val="single" w:color="000000" w:sz="4" w:space="0"/>
              <w:bottom w:val="single" w:color="000000" w:sz="4" w:space="0"/>
              <w:right w:val="single" w:color="000000" w:sz="4" w:space="0"/>
            </w:tcBorders>
            <w:vAlign w:val="center"/>
          </w:tcPr>
          <w:p w14:paraId="4FEF8B89">
            <w:pPr>
              <w:spacing w:before="156" w:beforeLines="50" w:after="156" w:afterLines="50"/>
              <w:jc w:val="left"/>
              <w:rPr>
                <w:rFonts w:ascii="等线" w:hAnsi="等线"/>
                <w:b/>
                <w:sz w:val="18"/>
                <w:szCs w:val="18"/>
              </w:rPr>
            </w:pPr>
          </w:p>
        </w:tc>
        <w:tc>
          <w:tcPr>
            <w:tcW w:w="3827" w:type="dxa"/>
            <w:vMerge w:val="continue"/>
            <w:tcBorders>
              <w:left w:val="single" w:color="000000" w:sz="4" w:space="0"/>
              <w:bottom w:val="single" w:color="000000" w:sz="4" w:space="0"/>
              <w:right w:val="single" w:color="000000" w:sz="4" w:space="0"/>
            </w:tcBorders>
            <w:vAlign w:val="center"/>
          </w:tcPr>
          <w:p w14:paraId="17C3EFF9">
            <w:pPr>
              <w:spacing w:before="156" w:beforeLines="50" w:after="156" w:afterLines="50"/>
              <w:jc w:val="left"/>
              <w:rPr>
                <w:rFonts w:ascii="等线" w:hAnsi="等线"/>
                <w:b/>
                <w:sz w:val="18"/>
                <w:szCs w:val="18"/>
              </w:rPr>
            </w:pPr>
          </w:p>
        </w:tc>
        <w:tc>
          <w:tcPr>
            <w:tcW w:w="2484" w:type="dxa"/>
            <w:tcBorders>
              <w:top w:val="single" w:color="auto" w:sz="4" w:space="0"/>
              <w:left w:val="single" w:color="000000" w:sz="4" w:space="0"/>
              <w:bottom w:val="single" w:color="auto" w:sz="4" w:space="0"/>
              <w:right w:val="single" w:color="auto" w:sz="4" w:space="0"/>
            </w:tcBorders>
            <w:vAlign w:val="center"/>
          </w:tcPr>
          <w:p w14:paraId="0FEA776C">
            <w:pPr>
              <w:spacing w:before="156" w:beforeLines="50" w:after="156" w:afterLines="50"/>
              <w:jc w:val="center"/>
              <w:rPr>
                <w:rFonts w:ascii="等线" w:hAnsi="等线"/>
                <w:b/>
                <w:sz w:val="18"/>
                <w:szCs w:val="18"/>
              </w:rPr>
            </w:pPr>
            <w:r>
              <w:rPr>
                <w:rFonts w:hint="eastAsia" w:ascii="宋体"/>
                <w:b/>
                <w:sz w:val="18"/>
                <w:szCs w:val="18"/>
              </w:rPr>
              <w:t>食品废弃物</w:t>
            </w:r>
          </w:p>
        </w:tc>
        <w:tc>
          <w:tcPr>
            <w:tcW w:w="2381" w:type="dxa"/>
            <w:tcBorders>
              <w:top w:val="single" w:color="auto" w:sz="4" w:space="0"/>
              <w:left w:val="single" w:color="000000" w:sz="4" w:space="0"/>
              <w:bottom w:val="single" w:color="auto" w:sz="4" w:space="0"/>
              <w:right w:val="single" w:color="auto" w:sz="4" w:space="0"/>
            </w:tcBorders>
            <w:vAlign w:val="center"/>
          </w:tcPr>
          <w:p w14:paraId="730FA23B">
            <w:pPr>
              <w:spacing w:before="156" w:beforeLines="50" w:after="156" w:afterLines="50"/>
              <w:jc w:val="center"/>
              <w:rPr>
                <w:rFonts w:ascii="等线" w:hAnsi="等线"/>
                <w:b/>
                <w:sz w:val="18"/>
                <w:szCs w:val="18"/>
              </w:rPr>
            </w:pPr>
            <w:r>
              <w:rPr>
                <w:rFonts w:hint="eastAsia" w:ascii="等线" w:hAnsi="等线"/>
                <w:b/>
                <w:sz w:val="18"/>
                <w:szCs w:val="18"/>
              </w:rPr>
              <w:t>其他垃圾</w:t>
            </w:r>
          </w:p>
        </w:tc>
        <w:tc>
          <w:tcPr>
            <w:tcW w:w="2126" w:type="dxa"/>
            <w:tcBorders>
              <w:left w:val="single" w:color="000000" w:sz="4" w:space="0"/>
              <w:bottom w:val="single" w:color="auto" w:sz="4" w:space="0"/>
              <w:right w:val="single" w:color="000000" w:sz="4" w:space="0"/>
            </w:tcBorders>
          </w:tcPr>
          <w:p w14:paraId="61200BA4">
            <w:pPr>
              <w:spacing w:before="156" w:beforeLines="50" w:after="156" w:afterLines="50"/>
              <w:jc w:val="center"/>
              <w:rPr>
                <w:rFonts w:ascii="等线" w:hAnsi="等线"/>
                <w:b/>
                <w:sz w:val="18"/>
                <w:szCs w:val="18"/>
              </w:rPr>
            </w:pPr>
            <w:r>
              <w:rPr>
                <w:rFonts w:hint="eastAsia" w:ascii="宋体"/>
                <w:b/>
                <w:sz w:val="18"/>
                <w:szCs w:val="18"/>
              </w:rPr>
              <w:t>塑料、有害水上环境的货物残余物、食用油</w:t>
            </w:r>
          </w:p>
        </w:tc>
        <w:tc>
          <w:tcPr>
            <w:tcW w:w="3931" w:type="dxa"/>
            <w:vMerge w:val="continue"/>
            <w:tcBorders>
              <w:left w:val="single" w:color="000000" w:sz="4" w:space="0"/>
              <w:bottom w:val="single" w:color="auto" w:sz="4" w:space="0"/>
              <w:right w:val="single" w:color="auto" w:sz="4" w:space="0"/>
            </w:tcBorders>
            <w:vAlign w:val="center"/>
          </w:tcPr>
          <w:p w14:paraId="38A50E3A">
            <w:pPr>
              <w:spacing w:before="156" w:beforeLines="50" w:after="156" w:afterLines="50"/>
              <w:jc w:val="center"/>
              <w:rPr>
                <w:rFonts w:ascii="等线" w:hAnsi="等线"/>
                <w:b/>
                <w:sz w:val="18"/>
                <w:szCs w:val="18"/>
              </w:rPr>
            </w:pPr>
          </w:p>
        </w:tc>
      </w:tr>
      <w:tr w14:paraId="52CC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61" w:type="dxa"/>
            <w:vMerge w:val="restart"/>
            <w:tcBorders>
              <w:top w:val="single" w:color="000000" w:sz="4" w:space="0"/>
              <w:left w:val="single" w:color="000000" w:sz="4" w:space="0"/>
              <w:bottom w:val="single" w:color="000000" w:sz="4" w:space="0"/>
              <w:right w:val="single" w:color="000000" w:sz="4" w:space="0"/>
            </w:tcBorders>
            <w:vAlign w:val="center"/>
          </w:tcPr>
          <w:p w14:paraId="1F8F1F10">
            <w:pPr>
              <w:spacing w:before="156" w:beforeLines="50" w:after="156" w:afterLines="50"/>
              <w:jc w:val="center"/>
              <w:rPr>
                <w:rFonts w:ascii="宋体"/>
                <w:sz w:val="18"/>
                <w:szCs w:val="18"/>
              </w:rPr>
            </w:pPr>
            <w:r>
              <w:rPr>
                <w:rFonts w:hint="eastAsia" w:ascii="宋体"/>
                <w:sz w:val="18"/>
                <w:szCs w:val="18"/>
              </w:rPr>
              <w:t>97</w:t>
            </w:r>
          </w:p>
        </w:tc>
        <w:tc>
          <w:tcPr>
            <w:tcW w:w="1166" w:type="dxa"/>
            <w:vMerge w:val="restart"/>
            <w:tcBorders>
              <w:top w:val="single" w:color="000000" w:sz="4" w:space="0"/>
              <w:left w:val="single" w:color="000000" w:sz="4" w:space="0"/>
              <w:bottom w:val="single" w:color="000000" w:sz="4" w:space="0"/>
              <w:right w:val="single" w:color="000000" w:sz="4" w:space="0"/>
            </w:tcBorders>
            <w:vAlign w:val="center"/>
          </w:tcPr>
          <w:p w14:paraId="3BD0471A">
            <w:pPr>
              <w:pStyle w:val="13"/>
              <w:spacing w:before="156" w:beforeLines="50" w:after="156" w:afterLines="50"/>
              <w:rPr>
                <w:rFonts w:ascii="宋体"/>
                <w:kern w:val="2"/>
                <w:sz w:val="18"/>
                <w:szCs w:val="18"/>
              </w:rPr>
            </w:pPr>
            <w:r>
              <w:rPr>
                <w:rFonts w:hint="eastAsia" w:ascii="宋体"/>
                <w:kern w:val="2"/>
                <w:sz w:val="18"/>
                <w:szCs w:val="18"/>
              </w:rPr>
              <w:t>船舶向水体倾倒垃圾的</w:t>
            </w:r>
          </w:p>
        </w:tc>
        <w:tc>
          <w:tcPr>
            <w:tcW w:w="1842" w:type="dxa"/>
            <w:vMerge w:val="restart"/>
            <w:tcBorders>
              <w:top w:val="single" w:color="000000" w:sz="4" w:space="0"/>
              <w:left w:val="single" w:color="000000" w:sz="4" w:space="0"/>
              <w:bottom w:val="single" w:color="000000" w:sz="4" w:space="0"/>
              <w:right w:val="single" w:color="000000" w:sz="4" w:space="0"/>
            </w:tcBorders>
            <w:vAlign w:val="center"/>
          </w:tcPr>
          <w:p w14:paraId="6B9540F9">
            <w:pPr>
              <w:pStyle w:val="13"/>
              <w:spacing w:before="156" w:beforeLines="50" w:after="156" w:afterLines="50"/>
              <w:rPr>
                <w:rFonts w:ascii="宋体"/>
                <w:kern w:val="2"/>
                <w:sz w:val="18"/>
                <w:szCs w:val="18"/>
              </w:rPr>
            </w:pPr>
            <w:r>
              <w:rPr>
                <w:rFonts w:hint="eastAsia" w:ascii="宋体"/>
                <w:kern w:val="2"/>
                <w:sz w:val="18"/>
                <w:szCs w:val="18"/>
              </w:rPr>
              <w:t>《中华人民共和国水污染防治法》第五十九条第三款</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14:paraId="3E9CC473">
            <w:pPr>
              <w:pStyle w:val="13"/>
              <w:spacing w:before="156" w:beforeLines="50" w:after="156" w:afterLines="50"/>
              <w:rPr>
                <w:rFonts w:ascii="宋体"/>
                <w:kern w:val="2"/>
                <w:sz w:val="18"/>
                <w:szCs w:val="18"/>
              </w:rPr>
            </w:pPr>
            <w:r>
              <w:rPr>
                <w:rFonts w:hint="eastAsia" w:ascii="宋体"/>
                <w:kern w:val="2"/>
                <w:sz w:val="18"/>
                <w:szCs w:val="18"/>
              </w:rPr>
              <w:t>1.《中华人民共和国水污染防治法》第九十条第（一）项；</w:t>
            </w:r>
          </w:p>
          <w:p w14:paraId="0F4F0CFE">
            <w:pPr>
              <w:spacing w:before="156" w:beforeLines="50" w:after="156" w:afterLines="50"/>
              <w:rPr>
                <w:rFonts w:ascii="宋体"/>
                <w:sz w:val="18"/>
                <w:szCs w:val="18"/>
              </w:rPr>
            </w:pPr>
            <w:r>
              <w:rPr>
                <w:rFonts w:hint="eastAsia" w:ascii="宋体"/>
                <w:sz w:val="18"/>
                <w:szCs w:val="18"/>
              </w:rPr>
              <w:t>2.《中华人民共和国内河海事处罚规定》第三十四条第一款第（一）项和第二款；</w:t>
            </w:r>
          </w:p>
          <w:p w14:paraId="3A22C9DB">
            <w:pPr>
              <w:spacing w:before="156" w:beforeLines="50" w:after="156" w:afterLines="50"/>
              <w:rPr>
                <w:rFonts w:ascii="宋体"/>
                <w:sz w:val="18"/>
                <w:szCs w:val="18"/>
              </w:rPr>
            </w:pPr>
            <w:r>
              <w:rPr>
                <w:rFonts w:hint="eastAsia" w:ascii="宋体"/>
                <w:sz w:val="18"/>
                <w:szCs w:val="18"/>
              </w:rPr>
              <w:t>3</w:t>
            </w:r>
            <w:r>
              <w:rPr>
                <w:rFonts w:ascii="宋体"/>
                <w:sz w:val="18"/>
                <w:szCs w:val="18"/>
              </w:rPr>
              <w:t>.</w:t>
            </w:r>
            <w:r>
              <w:rPr>
                <w:rFonts w:hint="eastAsia" w:ascii="宋体"/>
                <w:sz w:val="18"/>
                <w:szCs w:val="18"/>
              </w:rPr>
              <w:t>《中华人民共和国行政处罚法》第三十二条（从轻）。</w:t>
            </w:r>
          </w:p>
        </w:tc>
        <w:tc>
          <w:tcPr>
            <w:tcW w:w="830" w:type="dxa"/>
            <w:tcBorders>
              <w:top w:val="single" w:color="000000" w:sz="4" w:space="0"/>
              <w:left w:val="single" w:color="000000" w:sz="4" w:space="0"/>
              <w:bottom w:val="single" w:color="000000" w:sz="4" w:space="0"/>
              <w:right w:val="single" w:color="000000" w:sz="4" w:space="0"/>
            </w:tcBorders>
            <w:vAlign w:val="center"/>
          </w:tcPr>
          <w:p w14:paraId="77A3F6A6">
            <w:pPr>
              <w:spacing w:before="156" w:beforeLines="50" w:after="156" w:afterLines="50"/>
              <w:rPr>
                <w:rFonts w:ascii="宋体"/>
                <w:sz w:val="18"/>
                <w:szCs w:val="18"/>
              </w:rPr>
            </w:pPr>
            <w:r>
              <w:rPr>
                <w:rFonts w:hint="eastAsia" w:ascii="宋体"/>
                <w:sz w:val="18"/>
                <w:szCs w:val="18"/>
              </w:rPr>
              <w:t>从轻</w:t>
            </w:r>
          </w:p>
        </w:tc>
        <w:tc>
          <w:tcPr>
            <w:tcW w:w="3827" w:type="dxa"/>
            <w:tcBorders>
              <w:top w:val="single" w:color="000000" w:sz="4" w:space="0"/>
              <w:left w:val="single" w:color="000000" w:sz="4" w:space="0"/>
              <w:bottom w:val="single" w:color="000000" w:sz="4" w:space="0"/>
              <w:right w:val="single" w:color="000000" w:sz="4" w:space="0"/>
            </w:tcBorders>
            <w:vAlign w:val="center"/>
          </w:tcPr>
          <w:p w14:paraId="003E8604">
            <w:pPr>
              <w:pStyle w:val="13"/>
              <w:spacing w:before="156" w:beforeLines="50" w:after="156" w:afterLines="50"/>
              <w:rPr>
                <w:rFonts w:ascii="宋体"/>
                <w:kern w:val="2"/>
                <w:sz w:val="18"/>
                <w:szCs w:val="18"/>
              </w:rPr>
            </w:pPr>
            <w:r>
              <w:rPr>
                <w:rFonts w:hint="eastAsia" w:ascii="宋体"/>
                <w:kern w:val="2"/>
                <w:sz w:val="18"/>
                <w:szCs w:val="18"/>
              </w:rPr>
              <w:t>具有法定从轻情节的。</w:t>
            </w:r>
          </w:p>
        </w:tc>
        <w:tc>
          <w:tcPr>
            <w:tcW w:w="10922" w:type="dxa"/>
            <w:gridSpan w:val="4"/>
            <w:tcBorders>
              <w:top w:val="single" w:color="000000" w:sz="4" w:space="0"/>
              <w:left w:val="single" w:color="000000" w:sz="4" w:space="0"/>
              <w:bottom w:val="single" w:color="auto" w:sz="4" w:space="0"/>
              <w:right w:val="single" w:color="auto" w:sz="4" w:space="0"/>
            </w:tcBorders>
            <w:vAlign w:val="center"/>
          </w:tcPr>
          <w:p w14:paraId="36BD32B9">
            <w:pPr>
              <w:pStyle w:val="13"/>
              <w:spacing w:before="156" w:beforeLines="50" w:after="156" w:afterLines="50"/>
              <w:rPr>
                <w:rFonts w:ascii="宋体"/>
                <w:kern w:val="2"/>
                <w:sz w:val="18"/>
                <w:szCs w:val="18"/>
              </w:rPr>
            </w:pPr>
            <w:r>
              <w:rPr>
                <w:rFonts w:hint="eastAsia" w:ascii="宋体"/>
                <w:kern w:val="2"/>
                <w:sz w:val="18"/>
                <w:szCs w:val="18"/>
              </w:rPr>
              <w:t>1万元及以上2万元以下</w:t>
            </w:r>
          </w:p>
        </w:tc>
      </w:tr>
      <w:tr w14:paraId="70ED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73823745">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F61CE21">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06BF2853">
            <w:pPr>
              <w:widowControl/>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3D154131">
            <w:pPr>
              <w:spacing w:before="156" w:beforeLines="50" w:after="156" w:afterLines="50"/>
              <w:rPr>
                <w:rFonts w:ascii="宋体"/>
                <w:sz w:val="18"/>
                <w:szCs w:val="18"/>
              </w:rPr>
            </w:pPr>
          </w:p>
        </w:tc>
        <w:tc>
          <w:tcPr>
            <w:tcW w:w="830" w:type="dxa"/>
            <w:vMerge w:val="restart"/>
            <w:tcBorders>
              <w:top w:val="single" w:color="000000" w:sz="4" w:space="0"/>
              <w:left w:val="single" w:color="000000" w:sz="4" w:space="0"/>
              <w:right w:val="single" w:color="000000" w:sz="4" w:space="0"/>
            </w:tcBorders>
            <w:vAlign w:val="center"/>
          </w:tcPr>
          <w:p w14:paraId="733909A7">
            <w:pPr>
              <w:spacing w:before="156" w:beforeLines="50" w:after="156" w:afterLines="50"/>
              <w:rPr>
                <w:rFonts w:ascii="宋体"/>
                <w:sz w:val="18"/>
                <w:szCs w:val="18"/>
              </w:rPr>
            </w:pPr>
            <w:r>
              <w:rPr>
                <w:rFonts w:hint="eastAsia" w:ascii="宋体"/>
                <w:sz w:val="18"/>
                <w:szCs w:val="18"/>
              </w:rPr>
              <w:t>一般</w:t>
            </w:r>
          </w:p>
        </w:tc>
        <w:tc>
          <w:tcPr>
            <w:tcW w:w="3827" w:type="dxa"/>
            <w:tcBorders>
              <w:top w:val="single" w:color="auto" w:sz="4" w:space="0"/>
              <w:left w:val="single" w:color="000000" w:sz="4" w:space="0"/>
              <w:right w:val="single" w:color="000000" w:sz="4" w:space="0"/>
            </w:tcBorders>
            <w:vAlign w:val="center"/>
          </w:tcPr>
          <w:p w14:paraId="507B0468">
            <w:pPr>
              <w:pStyle w:val="13"/>
              <w:spacing w:before="156" w:beforeLines="50" w:after="156" w:afterLines="50"/>
              <w:rPr>
                <w:rFonts w:ascii="宋体"/>
                <w:kern w:val="2"/>
                <w:sz w:val="18"/>
                <w:szCs w:val="18"/>
              </w:rPr>
            </w:pPr>
            <w:r>
              <w:rPr>
                <w:rFonts w:hint="eastAsia" w:ascii="宋体"/>
                <w:kern w:val="2"/>
                <w:sz w:val="18"/>
                <w:szCs w:val="18"/>
              </w:rPr>
              <w:t>向水体倾倒垃圾，没有造成水污染的。</w:t>
            </w:r>
          </w:p>
        </w:tc>
        <w:tc>
          <w:tcPr>
            <w:tcW w:w="2484" w:type="dxa"/>
            <w:tcBorders>
              <w:top w:val="single" w:color="000000" w:sz="4" w:space="0"/>
              <w:left w:val="single" w:color="000000" w:sz="4" w:space="0"/>
              <w:right w:val="single" w:color="auto" w:sz="4" w:space="0"/>
            </w:tcBorders>
            <w:vAlign w:val="center"/>
          </w:tcPr>
          <w:p w14:paraId="1F67B967">
            <w:pPr>
              <w:pStyle w:val="13"/>
              <w:spacing w:before="156" w:beforeLines="50" w:after="156" w:afterLines="50"/>
              <w:rPr>
                <w:rFonts w:ascii="宋体"/>
                <w:kern w:val="2"/>
                <w:sz w:val="18"/>
                <w:szCs w:val="18"/>
              </w:rPr>
            </w:pPr>
            <w:r>
              <w:rPr>
                <w:rFonts w:hint="eastAsia" w:ascii="宋体"/>
                <w:kern w:val="2"/>
                <w:sz w:val="18"/>
                <w:szCs w:val="18"/>
              </w:rPr>
              <w:t>2万元及以上</w:t>
            </w:r>
            <w:r>
              <w:rPr>
                <w:rFonts w:ascii="宋体"/>
                <w:kern w:val="2"/>
                <w:sz w:val="18"/>
                <w:szCs w:val="18"/>
              </w:rPr>
              <w:t>5</w:t>
            </w:r>
            <w:r>
              <w:rPr>
                <w:rFonts w:hint="eastAsia" w:ascii="宋体"/>
                <w:kern w:val="2"/>
                <w:sz w:val="18"/>
                <w:szCs w:val="18"/>
              </w:rPr>
              <w:t>万元以下</w:t>
            </w:r>
          </w:p>
        </w:tc>
        <w:tc>
          <w:tcPr>
            <w:tcW w:w="2381" w:type="dxa"/>
            <w:tcBorders>
              <w:top w:val="single" w:color="000000" w:sz="4" w:space="0"/>
              <w:left w:val="single" w:color="000000" w:sz="4" w:space="0"/>
              <w:right w:val="single" w:color="auto" w:sz="4" w:space="0"/>
            </w:tcBorders>
            <w:vAlign w:val="center"/>
          </w:tcPr>
          <w:p w14:paraId="40CA6AC6">
            <w:pPr>
              <w:pStyle w:val="13"/>
              <w:spacing w:before="156" w:beforeLines="50" w:after="156" w:afterLines="50"/>
              <w:rPr>
                <w:rFonts w:ascii="宋体"/>
                <w:kern w:val="2"/>
                <w:sz w:val="18"/>
                <w:szCs w:val="18"/>
              </w:rPr>
            </w:pPr>
            <w:r>
              <w:rPr>
                <w:rFonts w:hint="eastAsia" w:ascii="宋体"/>
                <w:kern w:val="2"/>
                <w:sz w:val="18"/>
                <w:szCs w:val="18"/>
              </w:rPr>
              <w:t>2</w:t>
            </w:r>
            <w:r>
              <w:rPr>
                <w:rFonts w:ascii="宋体"/>
                <w:kern w:val="2"/>
                <w:sz w:val="18"/>
                <w:szCs w:val="18"/>
              </w:rPr>
              <w:t>.5</w:t>
            </w:r>
            <w:r>
              <w:rPr>
                <w:rFonts w:hint="eastAsia" w:ascii="宋体"/>
                <w:kern w:val="2"/>
                <w:sz w:val="18"/>
                <w:szCs w:val="18"/>
              </w:rPr>
              <w:t>万元及以上</w:t>
            </w:r>
            <w:r>
              <w:rPr>
                <w:rFonts w:ascii="宋体"/>
                <w:kern w:val="2"/>
                <w:sz w:val="18"/>
                <w:szCs w:val="18"/>
              </w:rPr>
              <w:t>6</w:t>
            </w:r>
            <w:r>
              <w:rPr>
                <w:rFonts w:hint="eastAsia" w:ascii="宋体"/>
                <w:kern w:val="2"/>
                <w:sz w:val="18"/>
                <w:szCs w:val="18"/>
              </w:rPr>
              <w:t>万元以下</w:t>
            </w:r>
          </w:p>
        </w:tc>
        <w:tc>
          <w:tcPr>
            <w:tcW w:w="2126" w:type="dxa"/>
            <w:tcBorders>
              <w:top w:val="single" w:color="000000" w:sz="4" w:space="0"/>
              <w:left w:val="single" w:color="000000" w:sz="4" w:space="0"/>
              <w:right w:val="single" w:color="000000" w:sz="4" w:space="0"/>
            </w:tcBorders>
            <w:vAlign w:val="center"/>
          </w:tcPr>
          <w:p w14:paraId="5E797422">
            <w:pPr>
              <w:pStyle w:val="13"/>
              <w:spacing w:before="156" w:beforeLines="50" w:after="156" w:afterLines="50"/>
              <w:rPr>
                <w:rFonts w:ascii="宋体"/>
                <w:kern w:val="2"/>
                <w:sz w:val="18"/>
                <w:szCs w:val="18"/>
              </w:rPr>
            </w:pPr>
            <w:r>
              <w:rPr>
                <w:rFonts w:ascii="宋体"/>
                <w:kern w:val="2"/>
                <w:sz w:val="18"/>
                <w:szCs w:val="18"/>
              </w:rPr>
              <w:t>3</w:t>
            </w:r>
            <w:r>
              <w:rPr>
                <w:rFonts w:hint="eastAsia" w:ascii="宋体"/>
                <w:kern w:val="2"/>
                <w:sz w:val="18"/>
                <w:szCs w:val="18"/>
              </w:rPr>
              <w:t>万元及以上</w:t>
            </w:r>
            <w:r>
              <w:rPr>
                <w:rFonts w:ascii="宋体"/>
                <w:kern w:val="2"/>
                <w:sz w:val="18"/>
                <w:szCs w:val="18"/>
              </w:rPr>
              <w:t>8</w:t>
            </w:r>
            <w:r>
              <w:rPr>
                <w:rFonts w:hint="eastAsia" w:ascii="宋体"/>
                <w:kern w:val="2"/>
                <w:sz w:val="18"/>
                <w:szCs w:val="18"/>
              </w:rPr>
              <w:t>万元以下</w:t>
            </w:r>
          </w:p>
        </w:tc>
        <w:tc>
          <w:tcPr>
            <w:tcW w:w="3931" w:type="dxa"/>
            <w:tcBorders>
              <w:top w:val="single" w:color="000000" w:sz="4" w:space="0"/>
              <w:left w:val="single" w:color="000000" w:sz="4" w:space="0"/>
              <w:right w:val="single" w:color="auto" w:sz="4" w:space="0"/>
            </w:tcBorders>
            <w:vAlign w:val="center"/>
          </w:tcPr>
          <w:p w14:paraId="0E169CA4">
            <w:pPr>
              <w:pStyle w:val="13"/>
              <w:spacing w:before="156" w:beforeLines="50" w:after="156" w:afterLines="50"/>
              <w:rPr>
                <w:rFonts w:ascii="宋体"/>
                <w:kern w:val="2"/>
                <w:sz w:val="18"/>
                <w:szCs w:val="18"/>
              </w:rPr>
            </w:pPr>
            <w:r>
              <w:rPr>
                <w:rFonts w:ascii="宋体"/>
                <w:kern w:val="2"/>
                <w:sz w:val="18"/>
                <w:szCs w:val="18"/>
              </w:rPr>
              <w:t>3.5</w:t>
            </w:r>
            <w:r>
              <w:rPr>
                <w:rFonts w:hint="eastAsia" w:ascii="宋体"/>
                <w:kern w:val="2"/>
                <w:sz w:val="18"/>
                <w:szCs w:val="18"/>
              </w:rPr>
              <w:t>万元及以上</w:t>
            </w:r>
            <w:r>
              <w:rPr>
                <w:rFonts w:ascii="宋体"/>
                <w:kern w:val="2"/>
                <w:sz w:val="18"/>
                <w:szCs w:val="18"/>
              </w:rPr>
              <w:t>10</w:t>
            </w:r>
            <w:r>
              <w:rPr>
                <w:rFonts w:hint="eastAsia" w:ascii="宋体"/>
                <w:kern w:val="2"/>
                <w:sz w:val="18"/>
                <w:szCs w:val="18"/>
              </w:rPr>
              <w:t>万元及以下</w:t>
            </w:r>
          </w:p>
        </w:tc>
      </w:tr>
      <w:tr w14:paraId="7E76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D26CBFF">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A55C41">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3B8DE57A">
            <w:pPr>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26419624">
            <w:pPr>
              <w:spacing w:before="156" w:beforeLines="50" w:after="156" w:afterLines="50"/>
              <w:rPr>
                <w:rFonts w:ascii="宋体"/>
                <w:sz w:val="18"/>
                <w:szCs w:val="18"/>
              </w:rPr>
            </w:pPr>
          </w:p>
        </w:tc>
        <w:tc>
          <w:tcPr>
            <w:tcW w:w="830" w:type="dxa"/>
            <w:vMerge w:val="continue"/>
            <w:tcBorders>
              <w:left w:val="single" w:color="000000" w:sz="4" w:space="0"/>
              <w:right w:val="single" w:color="000000" w:sz="4" w:space="0"/>
            </w:tcBorders>
            <w:vAlign w:val="center"/>
          </w:tcPr>
          <w:p w14:paraId="2DAF0C35">
            <w:pPr>
              <w:spacing w:before="156" w:beforeLines="50" w:after="156" w:afterLines="50"/>
              <w:rPr>
                <w:rFonts w:ascii="宋体"/>
                <w:sz w:val="18"/>
                <w:szCs w:val="18"/>
              </w:rPr>
            </w:pPr>
          </w:p>
        </w:tc>
        <w:tc>
          <w:tcPr>
            <w:tcW w:w="3827" w:type="dxa"/>
            <w:tcBorders>
              <w:top w:val="single" w:color="auto" w:sz="4" w:space="0"/>
              <w:left w:val="single" w:color="000000" w:sz="4" w:space="0"/>
              <w:right w:val="single" w:color="auto" w:sz="4" w:space="0"/>
            </w:tcBorders>
            <w:vAlign w:val="center"/>
          </w:tcPr>
          <w:p w14:paraId="4890D91B">
            <w:pPr>
              <w:pStyle w:val="13"/>
              <w:spacing w:before="156" w:beforeLines="50" w:after="156" w:afterLines="50"/>
              <w:rPr>
                <w:rFonts w:ascii="宋体"/>
                <w:kern w:val="2"/>
                <w:sz w:val="18"/>
                <w:szCs w:val="18"/>
              </w:rPr>
            </w:pPr>
            <w:r>
              <w:rPr>
                <w:rFonts w:hint="eastAsia" w:ascii="宋体"/>
                <w:kern w:val="2"/>
                <w:sz w:val="18"/>
                <w:szCs w:val="18"/>
              </w:rPr>
              <w:t>向水体倾倒垃圾，造成水污染的。</w:t>
            </w:r>
          </w:p>
        </w:tc>
        <w:tc>
          <w:tcPr>
            <w:tcW w:w="2484" w:type="dxa"/>
            <w:tcBorders>
              <w:top w:val="single" w:color="auto" w:sz="4" w:space="0"/>
              <w:left w:val="single" w:color="auto" w:sz="4" w:space="0"/>
              <w:right w:val="single" w:color="auto" w:sz="4" w:space="0"/>
            </w:tcBorders>
            <w:vAlign w:val="center"/>
          </w:tcPr>
          <w:p w14:paraId="746EB836">
            <w:pPr>
              <w:pStyle w:val="13"/>
              <w:spacing w:before="156" w:beforeLines="50" w:after="156" w:afterLines="50"/>
              <w:rPr>
                <w:rFonts w:ascii="宋体"/>
                <w:kern w:val="2"/>
                <w:sz w:val="18"/>
                <w:szCs w:val="18"/>
              </w:rPr>
            </w:pPr>
            <w:r>
              <w:rPr>
                <w:rFonts w:hint="eastAsia" w:ascii="宋体"/>
                <w:kern w:val="2"/>
                <w:sz w:val="18"/>
                <w:szCs w:val="18"/>
              </w:rPr>
              <w:t>2万元及以上</w:t>
            </w:r>
            <w:r>
              <w:rPr>
                <w:rFonts w:ascii="宋体"/>
                <w:kern w:val="2"/>
                <w:sz w:val="18"/>
                <w:szCs w:val="18"/>
              </w:rPr>
              <w:t>8</w:t>
            </w:r>
            <w:r>
              <w:rPr>
                <w:rFonts w:hint="eastAsia" w:ascii="宋体"/>
                <w:kern w:val="2"/>
                <w:sz w:val="18"/>
                <w:szCs w:val="18"/>
              </w:rPr>
              <w:t>万元以下</w:t>
            </w:r>
          </w:p>
        </w:tc>
        <w:tc>
          <w:tcPr>
            <w:tcW w:w="2381" w:type="dxa"/>
            <w:tcBorders>
              <w:top w:val="single" w:color="auto" w:sz="4" w:space="0"/>
              <w:left w:val="single" w:color="auto" w:sz="4" w:space="0"/>
              <w:right w:val="single" w:color="auto" w:sz="4" w:space="0"/>
            </w:tcBorders>
            <w:vAlign w:val="center"/>
          </w:tcPr>
          <w:p w14:paraId="3CA84B51">
            <w:pPr>
              <w:pStyle w:val="13"/>
              <w:spacing w:before="156" w:beforeLines="50" w:after="156" w:afterLines="50"/>
              <w:rPr>
                <w:rFonts w:ascii="宋体"/>
                <w:kern w:val="2"/>
                <w:sz w:val="18"/>
                <w:szCs w:val="18"/>
              </w:rPr>
            </w:pPr>
            <w:r>
              <w:rPr>
                <w:rFonts w:ascii="宋体"/>
                <w:kern w:val="2"/>
                <w:sz w:val="18"/>
                <w:szCs w:val="18"/>
              </w:rPr>
              <w:t>5</w:t>
            </w:r>
            <w:r>
              <w:rPr>
                <w:rFonts w:hint="eastAsia" w:ascii="宋体"/>
                <w:kern w:val="2"/>
                <w:sz w:val="18"/>
                <w:szCs w:val="18"/>
              </w:rPr>
              <w:t>万元及以上</w:t>
            </w:r>
            <w:r>
              <w:rPr>
                <w:rFonts w:ascii="宋体"/>
                <w:kern w:val="2"/>
                <w:sz w:val="18"/>
                <w:szCs w:val="18"/>
              </w:rPr>
              <w:t>10</w:t>
            </w:r>
            <w:r>
              <w:rPr>
                <w:rFonts w:hint="eastAsia" w:ascii="宋体"/>
                <w:kern w:val="2"/>
                <w:sz w:val="18"/>
                <w:szCs w:val="18"/>
              </w:rPr>
              <w:t>万元及以下</w:t>
            </w:r>
          </w:p>
        </w:tc>
        <w:tc>
          <w:tcPr>
            <w:tcW w:w="2126" w:type="dxa"/>
            <w:tcBorders>
              <w:top w:val="single" w:color="auto" w:sz="4" w:space="0"/>
              <w:left w:val="single" w:color="auto" w:sz="4" w:space="0"/>
              <w:right w:val="single" w:color="auto" w:sz="4" w:space="0"/>
            </w:tcBorders>
            <w:vAlign w:val="center"/>
          </w:tcPr>
          <w:p w14:paraId="5A7B2AEF">
            <w:pPr>
              <w:pStyle w:val="13"/>
              <w:spacing w:before="156" w:beforeLines="50" w:after="156" w:afterLines="50"/>
              <w:rPr>
                <w:rFonts w:ascii="宋体"/>
                <w:kern w:val="2"/>
                <w:sz w:val="18"/>
                <w:szCs w:val="18"/>
              </w:rPr>
            </w:pPr>
            <w:r>
              <w:rPr>
                <w:rFonts w:ascii="宋体"/>
                <w:kern w:val="2"/>
                <w:sz w:val="18"/>
                <w:szCs w:val="18"/>
              </w:rPr>
              <w:t>8</w:t>
            </w:r>
            <w:r>
              <w:rPr>
                <w:rFonts w:hint="eastAsia" w:ascii="宋体"/>
                <w:kern w:val="2"/>
                <w:sz w:val="18"/>
                <w:szCs w:val="18"/>
              </w:rPr>
              <w:t>万元及以上</w:t>
            </w:r>
            <w:r>
              <w:rPr>
                <w:rFonts w:ascii="宋体"/>
                <w:kern w:val="2"/>
                <w:sz w:val="18"/>
                <w:szCs w:val="18"/>
              </w:rPr>
              <w:t>15</w:t>
            </w:r>
            <w:r>
              <w:rPr>
                <w:rFonts w:hint="eastAsia" w:ascii="宋体"/>
                <w:kern w:val="2"/>
                <w:sz w:val="18"/>
                <w:szCs w:val="18"/>
              </w:rPr>
              <w:t>万元及以下</w:t>
            </w:r>
          </w:p>
        </w:tc>
        <w:tc>
          <w:tcPr>
            <w:tcW w:w="3931" w:type="dxa"/>
            <w:tcBorders>
              <w:top w:val="single" w:color="auto" w:sz="4" w:space="0"/>
              <w:left w:val="single" w:color="auto" w:sz="4" w:space="0"/>
              <w:right w:val="single" w:color="auto" w:sz="4" w:space="0"/>
            </w:tcBorders>
            <w:vAlign w:val="center"/>
          </w:tcPr>
          <w:p w14:paraId="3C49D0DF">
            <w:pPr>
              <w:pStyle w:val="13"/>
              <w:spacing w:before="156" w:beforeLines="50" w:after="156" w:afterLines="50"/>
              <w:rPr>
                <w:rFonts w:ascii="宋体"/>
                <w:kern w:val="2"/>
                <w:sz w:val="18"/>
                <w:szCs w:val="18"/>
              </w:rPr>
            </w:pPr>
            <w:r>
              <w:rPr>
                <w:rFonts w:ascii="宋体"/>
                <w:kern w:val="2"/>
                <w:sz w:val="18"/>
                <w:szCs w:val="18"/>
              </w:rPr>
              <w:t>10</w:t>
            </w:r>
            <w:r>
              <w:rPr>
                <w:rFonts w:hint="eastAsia" w:ascii="宋体"/>
                <w:kern w:val="2"/>
                <w:sz w:val="18"/>
                <w:szCs w:val="18"/>
              </w:rPr>
              <w:t>万元及以上</w:t>
            </w:r>
            <w:r>
              <w:rPr>
                <w:rFonts w:ascii="宋体"/>
                <w:kern w:val="2"/>
                <w:sz w:val="18"/>
                <w:szCs w:val="18"/>
              </w:rPr>
              <w:t>20</w:t>
            </w:r>
            <w:r>
              <w:rPr>
                <w:rFonts w:hint="eastAsia" w:ascii="宋体"/>
                <w:kern w:val="2"/>
                <w:sz w:val="18"/>
                <w:szCs w:val="18"/>
              </w:rPr>
              <w:t>万元及以下</w:t>
            </w:r>
          </w:p>
        </w:tc>
      </w:tr>
      <w:tr w14:paraId="1623E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trPr>
        <w:tc>
          <w:tcPr>
            <w:tcW w:w="761" w:type="dxa"/>
            <w:vMerge w:val="continue"/>
            <w:tcBorders>
              <w:top w:val="single" w:color="000000" w:sz="4" w:space="0"/>
              <w:left w:val="single" w:color="000000" w:sz="4" w:space="0"/>
              <w:bottom w:val="single" w:color="000000" w:sz="4" w:space="0"/>
              <w:right w:val="single" w:color="000000" w:sz="4" w:space="0"/>
            </w:tcBorders>
            <w:vAlign w:val="center"/>
          </w:tcPr>
          <w:p w14:paraId="624A0800">
            <w:pPr>
              <w:spacing w:before="156" w:beforeLines="50" w:after="156" w:afterLines="50"/>
              <w:rPr>
                <w:rFonts w:ascii="宋体"/>
                <w:sz w:val="18"/>
                <w:szCs w:val="18"/>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C5D20D7">
            <w:pPr>
              <w:spacing w:before="156" w:beforeLines="50" w:after="156" w:afterLines="50"/>
              <w:rPr>
                <w:rFonts w:ascii="宋体"/>
                <w:sz w:val="18"/>
                <w:szCs w:val="18"/>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14:paraId="3C04DC81">
            <w:pPr>
              <w:spacing w:before="156" w:beforeLines="50" w:after="156" w:afterLines="50"/>
              <w:rPr>
                <w:rFonts w:ascii="宋体"/>
                <w:sz w:val="18"/>
                <w:szCs w:val="18"/>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2EC815D1">
            <w:pPr>
              <w:spacing w:before="156" w:beforeLines="50" w:after="156" w:afterLines="50"/>
              <w:rPr>
                <w:rFonts w:ascii="宋体"/>
                <w:sz w:val="18"/>
                <w:szCs w:val="18"/>
              </w:rPr>
            </w:pPr>
          </w:p>
        </w:tc>
        <w:tc>
          <w:tcPr>
            <w:tcW w:w="830" w:type="dxa"/>
            <w:vMerge w:val="continue"/>
            <w:tcBorders>
              <w:left w:val="single" w:color="000000" w:sz="4" w:space="0"/>
              <w:bottom w:val="single" w:color="000000" w:sz="4" w:space="0"/>
              <w:right w:val="single" w:color="000000" w:sz="4" w:space="0"/>
            </w:tcBorders>
            <w:vAlign w:val="center"/>
          </w:tcPr>
          <w:p w14:paraId="6A4F79CC">
            <w:pPr>
              <w:spacing w:before="156" w:beforeLines="50" w:after="156" w:afterLines="50"/>
              <w:rPr>
                <w:rFonts w:ascii="宋体"/>
                <w:sz w:val="18"/>
                <w:szCs w:val="18"/>
              </w:rPr>
            </w:pPr>
          </w:p>
        </w:tc>
        <w:tc>
          <w:tcPr>
            <w:tcW w:w="3827" w:type="dxa"/>
            <w:tcBorders>
              <w:top w:val="single" w:color="auto" w:sz="4" w:space="0"/>
              <w:left w:val="single" w:color="000000" w:sz="4" w:space="0"/>
              <w:bottom w:val="single" w:color="auto" w:sz="4" w:space="0"/>
              <w:right w:val="single" w:color="auto" w:sz="4" w:space="0"/>
            </w:tcBorders>
            <w:vAlign w:val="center"/>
          </w:tcPr>
          <w:p w14:paraId="55FAF9F6">
            <w:pPr>
              <w:pStyle w:val="13"/>
              <w:spacing w:before="156" w:beforeLines="50" w:after="156" w:afterLines="50"/>
              <w:rPr>
                <w:rFonts w:ascii="宋体"/>
                <w:kern w:val="2"/>
                <w:sz w:val="18"/>
                <w:szCs w:val="18"/>
              </w:rPr>
            </w:pPr>
            <w:r>
              <w:rPr>
                <w:rFonts w:hint="eastAsia" w:ascii="宋体"/>
                <w:kern w:val="2"/>
                <w:sz w:val="18"/>
                <w:szCs w:val="18"/>
              </w:rPr>
              <w:t>造成水污染事故的。</w:t>
            </w:r>
          </w:p>
        </w:tc>
        <w:tc>
          <w:tcPr>
            <w:tcW w:w="10922" w:type="dxa"/>
            <w:gridSpan w:val="4"/>
            <w:tcBorders>
              <w:top w:val="single" w:color="auto" w:sz="4" w:space="0"/>
              <w:left w:val="single" w:color="auto" w:sz="4" w:space="0"/>
              <w:bottom w:val="single" w:color="auto" w:sz="4" w:space="0"/>
              <w:right w:val="single" w:color="auto" w:sz="4" w:space="0"/>
            </w:tcBorders>
            <w:vAlign w:val="center"/>
          </w:tcPr>
          <w:p w14:paraId="06E042BE">
            <w:pPr>
              <w:pStyle w:val="13"/>
              <w:spacing w:before="156" w:beforeLines="50" w:after="156" w:afterLines="50"/>
              <w:rPr>
                <w:rFonts w:ascii="宋体"/>
                <w:kern w:val="2"/>
                <w:sz w:val="18"/>
                <w:szCs w:val="18"/>
              </w:rPr>
            </w:pPr>
            <w:r>
              <w:rPr>
                <w:rFonts w:hint="eastAsia" w:ascii="宋体"/>
                <w:kern w:val="2"/>
                <w:sz w:val="18"/>
                <w:szCs w:val="18"/>
              </w:rPr>
              <w:t>造成一般或者较大水污染事故的，处以直接损失的20％的罚款；造成重大或者特大水污染事故的，处以直接损失的30％的罚款。</w:t>
            </w:r>
          </w:p>
        </w:tc>
      </w:tr>
    </w:tbl>
    <w:p w14:paraId="17B01D89">
      <w:pPr>
        <w:widowControl/>
        <w:jc w:val="left"/>
        <w:rPr>
          <w:sz w:val="18"/>
          <w:szCs w:val="18"/>
        </w:rPr>
      </w:pPr>
      <w:r>
        <w:rPr>
          <w:sz w:val="18"/>
          <w:szCs w:val="18"/>
        </w:rPr>
        <w:br w:type="page"/>
      </w:r>
    </w:p>
    <w:tbl>
      <w:tblPr>
        <w:tblStyle w:val="6"/>
        <w:tblpPr w:leftFromText="180" w:rightFromText="180" w:vertAnchor="page" w:horzAnchor="margin" w:tblpY="207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9"/>
        <w:gridCol w:w="1560"/>
        <w:gridCol w:w="1394"/>
        <w:gridCol w:w="3271"/>
        <w:gridCol w:w="2422"/>
        <w:gridCol w:w="2509"/>
        <w:gridCol w:w="6650"/>
      </w:tblGrid>
      <w:tr w14:paraId="4434B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708" w:type="dxa"/>
            <w:vMerge w:val="restart"/>
            <w:vAlign w:val="center"/>
          </w:tcPr>
          <w:p w14:paraId="06B10778">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23" w:type="dxa"/>
            <w:vMerge w:val="restart"/>
            <w:vAlign w:val="center"/>
          </w:tcPr>
          <w:p w14:paraId="28B66AE1">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3039" w:type="dxa"/>
            <w:gridSpan w:val="2"/>
            <w:vMerge w:val="restart"/>
            <w:vAlign w:val="center"/>
          </w:tcPr>
          <w:p w14:paraId="58B15D88">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1394" w:type="dxa"/>
            <w:vMerge w:val="restart"/>
            <w:vAlign w:val="center"/>
          </w:tcPr>
          <w:p w14:paraId="74E2A9A2">
            <w:pPr>
              <w:spacing w:before="156" w:beforeLines="50" w:after="156" w:afterLines="50"/>
              <w:jc w:val="left"/>
              <w:rPr>
                <w:rFonts w:ascii="等线" w:hAnsi="等线"/>
                <w:b/>
                <w:kern w:val="0"/>
                <w:sz w:val="18"/>
                <w:szCs w:val="18"/>
              </w:rPr>
            </w:pPr>
            <w:r>
              <w:rPr>
                <w:rFonts w:hint="eastAsia" w:ascii="等线" w:hAnsi="等线"/>
                <w:b/>
                <w:kern w:val="0"/>
                <w:sz w:val="18"/>
                <w:szCs w:val="18"/>
              </w:rPr>
              <w:t>违法情节</w:t>
            </w:r>
          </w:p>
        </w:tc>
        <w:tc>
          <w:tcPr>
            <w:tcW w:w="3271" w:type="dxa"/>
            <w:vMerge w:val="restart"/>
            <w:vAlign w:val="center"/>
          </w:tcPr>
          <w:p w14:paraId="764775BF">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14:paraId="59A481DD">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11581" w:type="dxa"/>
            <w:gridSpan w:val="3"/>
            <w:vAlign w:val="center"/>
          </w:tcPr>
          <w:p w14:paraId="7C91B99E">
            <w:pPr>
              <w:spacing w:before="156" w:beforeLines="50" w:after="156" w:afterLines="50"/>
              <w:jc w:val="center"/>
              <w:rPr>
                <w:rFonts w:ascii="等线" w:hAnsi="等线"/>
                <w:b/>
                <w:kern w:val="0"/>
                <w:sz w:val="18"/>
                <w:szCs w:val="18"/>
              </w:rPr>
            </w:pPr>
            <w:r>
              <w:rPr>
                <w:rFonts w:hint="eastAsia" w:ascii="等线" w:hAnsi="等线"/>
                <w:b/>
                <w:kern w:val="0"/>
                <w:sz w:val="18"/>
                <w:szCs w:val="18"/>
              </w:rPr>
              <w:t>【法定幅度和种类】由海事管理机构责令改正，处二千元以上二万元以下的罚款。</w:t>
            </w:r>
          </w:p>
        </w:tc>
      </w:tr>
      <w:tr w14:paraId="3056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708" w:type="dxa"/>
            <w:vMerge w:val="continue"/>
            <w:vAlign w:val="center"/>
          </w:tcPr>
          <w:p w14:paraId="7C6604FB">
            <w:pPr>
              <w:spacing w:before="156" w:beforeLines="50" w:after="156" w:afterLines="50"/>
              <w:jc w:val="center"/>
              <w:rPr>
                <w:rFonts w:ascii="等线" w:hAnsi="等线"/>
                <w:b/>
                <w:kern w:val="0"/>
                <w:sz w:val="18"/>
                <w:szCs w:val="18"/>
              </w:rPr>
            </w:pPr>
          </w:p>
        </w:tc>
        <w:tc>
          <w:tcPr>
            <w:tcW w:w="1323" w:type="dxa"/>
            <w:vMerge w:val="continue"/>
            <w:vAlign w:val="center"/>
          </w:tcPr>
          <w:p w14:paraId="487E24D7">
            <w:pPr>
              <w:spacing w:before="156" w:beforeLines="50" w:after="156" w:afterLines="50"/>
              <w:jc w:val="center"/>
              <w:rPr>
                <w:rFonts w:ascii="等线" w:hAnsi="等线"/>
                <w:b/>
                <w:kern w:val="0"/>
                <w:sz w:val="18"/>
                <w:szCs w:val="18"/>
              </w:rPr>
            </w:pPr>
          </w:p>
        </w:tc>
        <w:tc>
          <w:tcPr>
            <w:tcW w:w="3039" w:type="dxa"/>
            <w:gridSpan w:val="2"/>
            <w:vMerge w:val="continue"/>
            <w:vAlign w:val="center"/>
          </w:tcPr>
          <w:p w14:paraId="333AC23E">
            <w:pPr>
              <w:spacing w:before="156" w:beforeLines="50" w:after="156" w:afterLines="50"/>
              <w:jc w:val="center"/>
              <w:rPr>
                <w:rFonts w:ascii="等线" w:hAnsi="等线"/>
                <w:b/>
                <w:kern w:val="0"/>
                <w:sz w:val="18"/>
                <w:szCs w:val="18"/>
              </w:rPr>
            </w:pPr>
          </w:p>
        </w:tc>
        <w:tc>
          <w:tcPr>
            <w:tcW w:w="1394" w:type="dxa"/>
            <w:vMerge w:val="continue"/>
            <w:vAlign w:val="center"/>
          </w:tcPr>
          <w:p w14:paraId="3F577FE8">
            <w:pPr>
              <w:spacing w:before="156" w:beforeLines="50" w:after="156" w:afterLines="50"/>
              <w:jc w:val="left"/>
              <w:rPr>
                <w:rFonts w:ascii="等线" w:hAnsi="等线"/>
                <w:b/>
                <w:kern w:val="0"/>
                <w:sz w:val="18"/>
                <w:szCs w:val="18"/>
              </w:rPr>
            </w:pPr>
          </w:p>
        </w:tc>
        <w:tc>
          <w:tcPr>
            <w:tcW w:w="3271" w:type="dxa"/>
            <w:vMerge w:val="continue"/>
            <w:vAlign w:val="center"/>
          </w:tcPr>
          <w:p w14:paraId="45200C0D">
            <w:pPr>
              <w:spacing w:before="156" w:beforeLines="50" w:after="156" w:afterLines="50"/>
              <w:jc w:val="left"/>
              <w:rPr>
                <w:rFonts w:ascii="等线" w:hAnsi="等线"/>
                <w:b/>
                <w:kern w:val="0"/>
                <w:sz w:val="18"/>
                <w:szCs w:val="18"/>
              </w:rPr>
            </w:pPr>
          </w:p>
        </w:tc>
        <w:tc>
          <w:tcPr>
            <w:tcW w:w="11581" w:type="dxa"/>
            <w:gridSpan w:val="3"/>
            <w:vAlign w:val="center"/>
          </w:tcPr>
          <w:p w14:paraId="6CE1E26D">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14:paraId="5770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708" w:type="dxa"/>
            <w:vMerge w:val="continue"/>
            <w:vAlign w:val="center"/>
          </w:tcPr>
          <w:p w14:paraId="7BEFE764">
            <w:pPr>
              <w:spacing w:before="156" w:beforeLines="50" w:after="156" w:afterLines="50"/>
              <w:jc w:val="center"/>
              <w:rPr>
                <w:rFonts w:ascii="等线" w:hAnsi="等线"/>
                <w:b/>
                <w:kern w:val="0"/>
                <w:sz w:val="18"/>
                <w:szCs w:val="18"/>
              </w:rPr>
            </w:pPr>
          </w:p>
        </w:tc>
        <w:tc>
          <w:tcPr>
            <w:tcW w:w="1323" w:type="dxa"/>
            <w:vMerge w:val="continue"/>
            <w:vAlign w:val="center"/>
          </w:tcPr>
          <w:p w14:paraId="67599B92">
            <w:pPr>
              <w:spacing w:before="156" w:beforeLines="50" w:after="156" w:afterLines="50"/>
              <w:jc w:val="center"/>
              <w:rPr>
                <w:rFonts w:ascii="等线" w:hAnsi="等线"/>
                <w:b/>
                <w:kern w:val="0"/>
                <w:sz w:val="18"/>
                <w:szCs w:val="18"/>
              </w:rPr>
            </w:pPr>
          </w:p>
        </w:tc>
        <w:tc>
          <w:tcPr>
            <w:tcW w:w="1479" w:type="dxa"/>
            <w:vMerge w:val="restart"/>
            <w:vAlign w:val="center"/>
          </w:tcPr>
          <w:p w14:paraId="74367212">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1560" w:type="dxa"/>
            <w:vMerge w:val="restart"/>
            <w:vAlign w:val="center"/>
          </w:tcPr>
          <w:p w14:paraId="4C56A4D6">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1394" w:type="dxa"/>
            <w:vMerge w:val="continue"/>
            <w:vAlign w:val="center"/>
          </w:tcPr>
          <w:p w14:paraId="61398975">
            <w:pPr>
              <w:spacing w:before="156" w:beforeLines="50" w:after="156" w:afterLines="50"/>
              <w:jc w:val="left"/>
              <w:rPr>
                <w:rFonts w:ascii="等线" w:hAnsi="等线"/>
                <w:b/>
                <w:kern w:val="0"/>
                <w:sz w:val="18"/>
                <w:szCs w:val="18"/>
              </w:rPr>
            </w:pPr>
          </w:p>
        </w:tc>
        <w:tc>
          <w:tcPr>
            <w:tcW w:w="3271" w:type="dxa"/>
            <w:vMerge w:val="continue"/>
            <w:vAlign w:val="center"/>
          </w:tcPr>
          <w:p w14:paraId="33A755BC">
            <w:pPr>
              <w:spacing w:before="156" w:beforeLines="50" w:after="156" w:afterLines="50"/>
              <w:jc w:val="left"/>
              <w:rPr>
                <w:rFonts w:ascii="等线" w:hAnsi="等线"/>
                <w:b/>
                <w:kern w:val="0"/>
                <w:sz w:val="18"/>
                <w:szCs w:val="18"/>
              </w:rPr>
            </w:pPr>
          </w:p>
        </w:tc>
        <w:tc>
          <w:tcPr>
            <w:tcW w:w="11581" w:type="dxa"/>
            <w:gridSpan w:val="3"/>
            <w:vAlign w:val="center"/>
          </w:tcPr>
          <w:p w14:paraId="2873C98A">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14:paraId="002B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708" w:type="dxa"/>
            <w:vMerge w:val="continue"/>
            <w:vAlign w:val="center"/>
          </w:tcPr>
          <w:p w14:paraId="2738192B">
            <w:pPr>
              <w:spacing w:before="156" w:beforeLines="50" w:after="156" w:afterLines="50"/>
              <w:jc w:val="left"/>
              <w:rPr>
                <w:rFonts w:ascii="等线" w:hAnsi="等线"/>
                <w:b/>
                <w:kern w:val="0"/>
                <w:sz w:val="18"/>
                <w:szCs w:val="18"/>
              </w:rPr>
            </w:pPr>
          </w:p>
        </w:tc>
        <w:tc>
          <w:tcPr>
            <w:tcW w:w="1323" w:type="dxa"/>
            <w:vMerge w:val="continue"/>
            <w:vAlign w:val="center"/>
          </w:tcPr>
          <w:p w14:paraId="72025CE4">
            <w:pPr>
              <w:spacing w:before="156" w:beforeLines="50" w:after="156" w:afterLines="50"/>
              <w:jc w:val="left"/>
              <w:rPr>
                <w:rFonts w:ascii="等线" w:hAnsi="等线"/>
                <w:b/>
                <w:kern w:val="0"/>
                <w:sz w:val="18"/>
                <w:szCs w:val="18"/>
              </w:rPr>
            </w:pPr>
          </w:p>
        </w:tc>
        <w:tc>
          <w:tcPr>
            <w:tcW w:w="1479" w:type="dxa"/>
            <w:vMerge w:val="continue"/>
            <w:vAlign w:val="center"/>
          </w:tcPr>
          <w:p w14:paraId="68737DE8">
            <w:pPr>
              <w:spacing w:before="156" w:beforeLines="50" w:after="156" w:afterLines="50"/>
              <w:jc w:val="left"/>
              <w:rPr>
                <w:rFonts w:ascii="等线" w:hAnsi="等线"/>
                <w:b/>
                <w:kern w:val="0"/>
                <w:sz w:val="18"/>
                <w:szCs w:val="18"/>
              </w:rPr>
            </w:pPr>
          </w:p>
        </w:tc>
        <w:tc>
          <w:tcPr>
            <w:tcW w:w="1560" w:type="dxa"/>
            <w:vMerge w:val="continue"/>
            <w:vAlign w:val="center"/>
          </w:tcPr>
          <w:p w14:paraId="3A7BF6BE">
            <w:pPr>
              <w:spacing w:before="156" w:beforeLines="50" w:after="156" w:afterLines="50"/>
              <w:jc w:val="left"/>
              <w:rPr>
                <w:rFonts w:ascii="等线" w:hAnsi="等线"/>
                <w:b/>
                <w:kern w:val="0"/>
                <w:sz w:val="18"/>
                <w:szCs w:val="18"/>
              </w:rPr>
            </w:pPr>
          </w:p>
        </w:tc>
        <w:tc>
          <w:tcPr>
            <w:tcW w:w="1394" w:type="dxa"/>
            <w:vMerge w:val="continue"/>
            <w:vAlign w:val="center"/>
          </w:tcPr>
          <w:p w14:paraId="3DC2013F">
            <w:pPr>
              <w:spacing w:before="156" w:beforeLines="50" w:after="156" w:afterLines="50"/>
              <w:jc w:val="left"/>
              <w:rPr>
                <w:rFonts w:ascii="等线" w:hAnsi="等线"/>
                <w:b/>
                <w:kern w:val="0"/>
                <w:sz w:val="18"/>
                <w:szCs w:val="18"/>
              </w:rPr>
            </w:pPr>
          </w:p>
        </w:tc>
        <w:tc>
          <w:tcPr>
            <w:tcW w:w="3271" w:type="dxa"/>
            <w:vMerge w:val="continue"/>
            <w:vAlign w:val="center"/>
          </w:tcPr>
          <w:p w14:paraId="3C42A3BC">
            <w:pPr>
              <w:spacing w:before="156" w:beforeLines="50" w:after="156" w:afterLines="50"/>
              <w:jc w:val="left"/>
              <w:rPr>
                <w:rFonts w:ascii="等线" w:hAnsi="等线"/>
                <w:b/>
                <w:kern w:val="0"/>
                <w:sz w:val="18"/>
                <w:szCs w:val="18"/>
              </w:rPr>
            </w:pPr>
          </w:p>
        </w:tc>
        <w:tc>
          <w:tcPr>
            <w:tcW w:w="2422" w:type="dxa"/>
            <w:vAlign w:val="center"/>
          </w:tcPr>
          <w:p w14:paraId="78806027">
            <w:pPr>
              <w:spacing w:before="156" w:beforeLines="50" w:after="156" w:afterLines="50"/>
              <w:rPr>
                <w:rFonts w:ascii="等线" w:hAnsi="等线"/>
                <w:b/>
                <w:sz w:val="18"/>
                <w:szCs w:val="18"/>
              </w:rPr>
            </w:pPr>
            <w:r>
              <w:rPr>
                <w:rFonts w:hint="eastAsia" w:ascii="等线" w:hAnsi="等线"/>
                <w:b/>
                <w:sz w:val="18"/>
                <w:szCs w:val="18"/>
              </w:rPr>
              <w:t>内河船舶300GT∕150KW以下；沿海船舶500GT∕750KW以下</w:t>
            </w:r>
          </w:p>
        </w:tc>
        <w:tc>
          <w:tcPr>
            <w:tcW w:w="2509" w:type="dxa"/>
            <w:vAlign w:val="center"/>
          </w:tcPr>
          <w:p w14:paraId="19E3E05A">
            <w:pPr>
              <w:spacing w:before="156" w:beforeLines="50" w:after="156" w:afterLines="50"/>
              <w:rPr>
                <w:rFonts w:ascii="等线" w:hAnsi="等线"/>
                <w:b/>
                <w:sz w:val="18"/>
                <w:szCs w:val="18"/>
              </w:rPr>
            </w:pPr>
            <w:r>
              <w:rPr>
                <w:rFonts w:hint="eastAsia" w:ascii="宋体"/>
                <w:b/>
                <w:sz w:val="18"/>
                <w:szCs w:val="18"/>
              </w:rPr>
              <w:t>内河船舶300GT及以上1000GT以下∕150KW及以上500KW以下；沿海船舶500GT及以上3000GT以下∕750KW及以上3000KW以下</w:t>
            </w:r>
          </w:p>
        </w:tc>
        <w:tc>
          <w:tcPr>
            <w:tcW w:w="6650" w:type="dxa"/>
            <w:vAlign w:val="center"/>
          </w:tcPr>
          <w:p w14:paraId="362592DF">
            <w:pPr>
              <w:spacing w:before="156" w:beforeLines="50" w:after="156" w:afterLines="50"/>
              <w:rPr>
                <w:rFonts w:ascii="等线" w:hAnsi="等线"/>
                <w:b/>
                <w:sz w:val="18"/>
                <w:szCs w:val="18"/>
              </w:rPr>
            </w:pPr>
            <w:r>
              <w:rPr>
                <w:rFonts w:hint="eastAsia" w:ascii="等线" w:hAnsi="等线"/>
                <w:b/>
                <w:sz w:val="18"/>
                <w:szCs w:val="18"/>
              </w:rPr>
              <w:t>内河船舶1000GT∕500KW及以上；沿海船舶3000GT∕3000KW及以上</w:t>
            </w:r>
          </w:p>
        </w:tc>
      </w:tr>
      <w:tr w14:paraId="38C4A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708" w:type="dxa"/>
            <w:vMerge w:val="restart"/>
            <w:vAlign w:val="center"/>
          </w:tcPr>
          <w:p w14:paraId="230D6ADF">
            <w:pPr>
              <w:spacing w:before="156" w:beforeLines="50" w:after="156" w:afterLines="50"/>
              <w:jc w:val="center"/>
              <w:rPr>
                <w:rFonts w:ascii="等线" w:hAnsi="等线"/>
                <w:kern w:val="0"/>
                <w:sz w:val="18"/>
                <w:szCs w:val="18"/>
              </w:rPr>
            </w:pPr>
            <w:r>
              <w:rPr>
                <w:rFonts w:hint="eastAsia" w:ascii="等线" w:hAnsi="等线"/>
                <w:kern w:val="0"/>
                <w:sz w:val="18"/>
                <w:szCs w:val="18"/>
              </w:rPr>
              <w:t>98</w:t>
            </w:r>
          </w:p>
        </w:tc>
        <w:tc>
          <w:tcPr>
            <w:tcW w:w="1323" w:type="dxa"/>
            <w:vMerge w:val="restart"/>
            <w:vAlign w:val="center"/>
          </w:tcPr>
          <w:p w14:paraId="2371EF08">
            <w:pPr>
              <w:widowControl/>
              <w:spacing w:before="156" w:beforeLines="50" w:after="156" w:afterLines="50"/>
              <w:jc w:val="left"/>
              <w:rPr>
                <w:rFonts w:ascii="等线" w:hAnsi="等线"/>
                <w:sz w:val="18"/>
                <w:szCs w:val="18"/>
              </w:rPr>
            </w:pPr>
            <w:r>
              <w:rPr>
                <w:rFonts w:hint="eastAsia" w:ascii="等线" w:hAnsi="等线"/>
                <w:sz w:val="18"/>
                <w:szCs w:val="18"/>
              </w:rPr>
              <w:t>船舶进行涉及污染物排放的作业，未遵守操作规程</w:t>
            </w:r>
          </w:p>
        </w:tc>
        <w:tc>
          <w:tcPr>
            <w:tcW w:w="1479" w:type="dxa"/>
            <w:vMerge w:val="restart"/>
            <w:vAlign w:val="center"/>
          </w:tcPr>
          <w:p w14:paraId="546529E1">
            <w:pPr>
              <w:widowControl/>
              <w:spacing w:before="156" w:beforeLines="50" w:after="156" w:afterLines="50"/>
              <w:jc w:val="left"/>
              <w:rPr>
                <w:rStyle w:val="8"/>
                <w:rFonts w:ascii="等线" w:hAnsi="等线"/>
                <w:sz w:val="18"/>
                <w:szCs w:val="18"/>
              </w:rPr>
            </w:pPr>
            <w:r>
              <w:rPr>
                <w:rStyle w:val="8"/>
                <w:rFonts w:hint="eastAsia" w:ascii="等线" w:hAnsi="等线"/>
                <w:sz w:val="18"/>
                <w:szCs w:val="18"/>
              </w:rPr>
              <w:t>《中华人民共和国</w:t>
            </w:r>
            <w:r>
              <w:rPr>
                <w:rFonts w:hint="eastAsia" w:ascii="等线" w:hAnsi="等线"/>
                <w:bCs/>
                <w:sz w:val="18"/>
                <w:szCs w:val="18"/>
              </w:rPr>
              <w:t>水污染防治法》第六十条第二款</w:t>
            </w:r>
          </w:p>
        </w:tc>
        <w:tc>
          <w:tcPr>
            <w:tcW w:w="1560" w:type="dxa"/>
            <w:vMerge w:val="restart"/>
            <w:vAlign w:val="center"/>
          </w:tcPr>
          <w:p w14:paraId="45D491F3">
            <w:pPr>
              <w:spacing w:before="156" w:beforeLines="50" w:after="156" w:afterLines="50"/>
              <w:jc w:val="left"/>
              <w:rPr>
                <w:rStyle w:val="8"/>
                <w:rFonts w:ascii="等线" w:hAnsi="等线"/>
                <w:sz w:val="18"/>
                <w:szCs w:val="18"/>
              </w:rPr>
            </w:pPr>
            <w:r>
              <w:rPr>
                <w:rStyle w:val="8"/>
                <w:rFonts w:hint="eastAsia" w:ascii="等线" w:hAnsi="等线"/>
                <w:sz w:val="18"/>
                <w:szCs w:val="18"/>
              </w:rPr>
              <w:t>《中华人民共和国水污染防治法》第八十九条第二款</w:t>
            </w:r>
          </w:p>
        </w:tc>
        <w:tc>
          <w:tcPr>
            <w:tcW w:w="1394" w:type="dxa"/>
            <w:vAlign w:val="center"/>
          </w:tcPr>
          <w:p w14:paraId="79508629">
            <w:pPr>
              <w:spacing w:before="156" w:beforeLines="50" w:after="156" w:afterLines="50"/>
              <w:jc w:val="left"/>
              <w:rPr>
                <w:rFonts w:ascii="等线" w:hAnsi="等线"/>
                <w:kern w:val="0"/>
                <w:sz w:val="18"/>
                <w:szCs w:val="18"/>
              </w:rPr>
            </w:pPr>
            <w:r>
              <w:rPr>
                <w:rFonts w:hint="eastAsia" w:ascii="等线" w:hAnsi="等线"/>
                <w:kern w:val="0"/>
                <w:sz w:val="18"/>
                <w:szCs w:val="18"/>
              </w:rPr>
              <w:t>从轻</w:t>
            </w:r>
          </w:p>
        </w:tc>
        <w:tc>
          <w:tcPr>
            <w:tcW w:w="3271" w:type="dxa"/>
            <w:vAlign w:val="center"/>
          </w:tcPr>
          <w:p w14:paraId="0A07816B">
            <w:pPr>
              <w:widowControl/>
              <w:spacing w:before="156" w:beforeLines="50" w:after="156" w:afterLines="50"/>
              <w:rPr>
                <w:rFonts w:ascii="等线" w:hAnsi="等线"/>
                <w:kern w:val="0"/>
                <w:sz w:val="18"/>
                <w:szCs w:val="18"/>
              </w:rPr>
            </w:pPr>
            <w:r>
              <w:rPr>
                <w:rFonts w:hint="eastAsia" w:ascii="等线" w:hAnsi="等线"/>
                <w:sz w:val="18"/>
                <w:szCs w:val="18"/>
              </w:rPr>
              <w:t>具有法定从轻情节的。</w:t>
            </w:r>
          </w:p>
        </w:tc>
        <w:tc>
          <w:tcPr>
            <w:tcW w:w="2422" w:type="dxa"/>
            <w:vAlign w:val="center"/>
          </w:tcPr>
          <w:p w14:paraId="2A058FD7">
            <w:pPr>
              <w:spacing w:before="156" w:beforeLines="50" w:after="156" w:afterLines="50"/>
              <w:rPr>
                <w:rFonts w:ascii="等线" w:hAnsi="等线"/>
                <w:sz w:val="18"/>
                <w:szCs w:val="18"/>
              </w:rPr>
            </w:pPr>
            <w:r>
              <w:rPr>
                <w:rFonts w:hint="eastAsia" w:ascii="等线" w:hAnsi="等线"/>
                <w:sz w:val="18"/>
                <w:szCs w:val="18"/>
              </w:rPr>
              <w:t>2000元及以上3000元以下</w:t>
            </w:r>
          </w:p>
        </w:tc>
        <w:tc>
          <w:tcPr>
            <w:tcW w:w="2509" w:type="dxa"/>
            <w:vAlign w:val="center"/>
          </w:tcPr>
          <w:p w14:paraId="04CD5ADB">
            <w:pPr>
              <w:spacing w:before="156" w:beforeLines="50" w:after="156" w:afterLines="50"/>
              <w:rPr>
                <w:rFonts w:ascii="等线" w:hAnsi="等线"/>
                <w:sz w:val="18"/>
                <w:szCs w:val="18"/>
              </w:rPr>
            </w:pPr>
            <w:r>
              <w:rPr>
                <w:rFonts w:hint="eastAsia" w:ascii="等线" w:hAnsi="等线"/>
                <w:sz w:val="18"/>
                <w:szCs w:val="18"/>
              </w:rPr>
              <w:t>2000元及以上</w:t>
            </w:r>
            <w:r>
              <w:rPr>
                <w:rFonts w:ascii="等线" w:hAnsi="等线"/>
                <w:sz w:val="18"/>
                <w:szCs w:val="18"/>
              </w:rPr>
              <w:t>4</w:t>
            </w:r>
            <w:r>
              <w:rPr>
                <w:rFonts w:hint="eastAsia" w:ascii="等线" w:hAnsi="等线"/>
                <w:sz w:val="18"/>
                <w:szCs w:val="18"/>
              </w:rPr>
              <w:t>000元以下</w:t>
            </w:r>
          </w:p>
        </w:tc>
        <w:tc>
          <w:tcPr>
            <w:tcW w:w="6650" w:type="dxa"/>
            <w:vAlign w:val="center"/>
          </w:tcPr>
          <w:p w14:paraId="00A6314A">
            <w:pPr>
              <w:spacing w:before="156" w:beforeLines="50" w:after="156" w:afterLines="50"/>
              <w:rPr>
                <w:rFonts w:ascii="等线" w:hAnsi="等线"/>
                <w:sz w:val="18"/>
                <w:szCs w:val="18"/>
              </w:rPr>
            </w:pPr>
            <w:r>
              <w:rPr>
                <w:rFonts w:hint="eastAsia" w:ascii="等线" w:hAnsi="等线"/>
                <w:sz w:val="18"/>
                <w:szCs w:val="18"/>
              </w:rPr>
              <w:t>2000元及以上</w:t>
            </w:r>
            <w:r>
              <w:rPr>
                <w:rFonts w:ascii="等线" w:hAnsi="等线"/>
                <w:sz w:val="18"/>
                <w:szCs w:val="18"/>
              </w:rPr>
              <w:t>5</w:t>
            </w:r>
            <w:r>
              <w:rPr>
                <w:rFonts w:hint="eastAsia" w:ascii="等线" w:hAnsi="等线"/>
                <w:sz w:val="18"/>
                <w:szCs w:val="18"/>
              </w:rPr>
              <w:t>000元以下</w:t>
            </w:r>
          </w:p>
        </w:tc>
      </w:tr>
      <w:tr w14:paraId="4DA1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708" w:type="dxa"/>
            <w:vMerge w:val="continue"/>
            <w:vAlign w:val="center"/>
          </w:tcPr>
          <w:p w14:paraId="2EAC833A">
            <w:pPr>
              <w:spacing w:before="156" w:beforeLines="50" w:after="156" w:afterLines="50"/>
              <w:jc w:val="left"/>
              <w:rPr>
                <w:rFonts w:ascii="等线" w:hAnsi="等线"/>
                <w:kern w:val="0"/>
                <w:sz w:val="18"/>
                <w:szCs w:val="18"/>
              </w:rPr>
            </w:pPr>
          </w:p>
        </w:tc>
        <w:tc>
          <w:tcPr>
            <w:tcW w:w="1323" w:type="dxa"/>
            <w:vMerge w:val="continue"/>
            <w:vAlign w:val="center"/>
          </w:tcPr>
          <w:p w14:paraId="723BAA87">
            <w:pPr>
              <w:spacing w:before="156" w:beforeLines="50" w:after="156" w:afterLines="50"/>
              <w:jc w:val="left"/>
              <w:rPr>
                <w:rFonts w:ascii="等线" w:hAnsi="等线"/>
                <w:kern w:val="0"/>
                <w:sz w:val="18"/>
                <w:szCs w:val="18"/>
              </w:rPr>
            </w:pPr>
          </w:p>
        </w:tc>
        <w:tc>
          <w:tcPr>
            <w:tcW w:w="1479" w:type="dxa"/>
            <w:vMerge w:val="continue"/>
            <w:vAlign w:val="center"/>
          </w:tcPr>
          <w:p w14:paraId="7E68AF30">
            <w:pPr>
              <w:widowControl/>
              <w:spacing w:before="156" w:beforeLines="50" w:after="156" w:afterLines="50"/>
              <w:jc w:val="left"/>
              <w:rPr>
                <w:rFonts w:ascii="等线" w:hAnsi="等线"/>
                <w:kern w:val="0"/>
                <w:sz w:val="18"/>
                <w:szCs w:val="18"/>
              </w:rPr>
            </w:pPr>
          </w:p>
        </w:tc>
        <w:tc>
          <w:tcPr>
            <w:tcW w:w="1560" w:type="dxa"/>
            <w:vMerge w:val="continue"/>
            <w:vAlign w:val="center"/>
          </w:tcPr>
          <w:p w14:paraId="641066E0">
            <w:pPr>
              <w:spacing w:before="156" w:beforeLines="50" w:after="156" w:afterLines="50"/>
              <w:jc w:val="left"/>
              <w:rPr>
                <w:rFonts w:ascii="等线" w:hAnsi="等线"/>
                <w:kern w:val="0"/>
                <w:sz w:val="18"/>
                <w:szCs w:val="18"/>
              </w:rPr>
            </w:pPr>
          </w:p>
        </w:tc>
        <w:tc>
          <w:tcPr>
            <w:tcW w:w="1394" w:type="dxa"/>
            <w:vMerge w:val="restart"/>
            <w:vAlign w:val="center"/>
          </w:tcPr>
          <w:p w14:paraId="116056AA">
            <w:pPr>
              <w:spacing w:before="156" w:beforeLines="50" w:after="156" w:afterLines="50"/>
              <w:jc w:val="left"/>
              <w:rPr>
                <w:rFonts w:ascii="等线" w:hAnsi="等线"/>
                <w:kern w:val="0"/>
                <w:sz w:val="18"/>
                <w:szCs w:val="18"/>
              </w:rPr>
            </w:pPr>
            <w:r>
              <w:rPr>
                <w:rFonts w:hint="eastAsia" w:ascii="等线" w:hAnsi="等线"/>
                <w:kern w:val="0"/>
                <w:sz w:val="18"/>
                <w:szCs w:val="18"/>
              </w:rPr>
              <w:t>一般</w:t>
            </w:r>
          </w:p>
        </w:tc>
        <w:tc>
          <w:tcPr>
            <w:tcW w:w="3271" w:type="dxa"/>
            <w:vAlign w:val="center"/>
          </w:tcPr>
          <w:p w14:paraId="4A12A99D">
            <w:pPr>
              <w:spacing w:before="156" w:beforeLines="50" w:after="156" w:afterLines="50"/>
              <w:jc w:val="left"/>
              <w:rPr>
                <w:rFonts w:ascii="等线" w:hAnsi="等线"/>
                <w:kern w:val="0"/>
                <w:sz w:val="18"/>
                <w:szCs w:val="18"/>
              </w:rPr>
            </w:pPr>
            <w:r>
              <w:rPr>
                <w:rFonts w:hint="eastAsia" w:ascii="等线" w:hAnsi="等线"/>
                <w:kern w:val="0"/>
                <w:sz w:val="18"/>
                <w:szCs w:val="18"/>
              </w:rPr>
              <w:t>船舶使用防污设备、器材排放污染物未遵守操作规程，但能提供已经达标排放的证据的。</w:t>
            </w:r>
          </w:p>
        </w:tc>
        <w:tc>
          <w:tcPr>
            <w:tcW w:w="2422" w:type="dxa"/>
            <w:vAlign w:val="center"/>
          </w:tcPr>
          <w:p w14:paraId="675D8B8A">
            <w:pPr>
              <w:spacing w:before="156" w:beforeLines="50" w:after="156" w:afterLines="50"/>
              <w:rPr>
                <w:rFonts w:ascii="等线" w:hAnsi="等线"/>
                <w:sz w:val="18"/>
                <w:szCs w:val="18"/>
              </w:rPr>
            </w:pPr>
            <w:r>
              <w:rPr>
                <w:rFonts w:hint="eastAsia" w:ascii="等线" w:hAnsi="等线"/>
                <w:sz w:val="18"/>
                <w:szCs w:val="18"/>
              </w:rPr>
              <w:t>3000元及以上5000元以下</w:t>
            </w:r>
          </w:p>
        </w:tc>
        <w:tc>
          <w:tcPr>
            <w:tcW w:w="2509" w:type="dxa"/>
            <w:vAlign w:val="center"/>
          </w:tcPr>
          <w:p w14:paraId="16651BD6">
            <w:pPr>
              <w:spacing w:before="156" w:beforeLines="50" w:after="156" w:afterLines="50"/>
              <w:rPr>
                <w:rFonts w:ascii="等线" w:hAnsi="等线"/>
                <w:sz w:val="18"/>
                <w:szCs w:val="18"/>
              </w:rPr>
            </w:pPr>
            <w:r>
              <w:rPr>
                <w:rFonts w:hint="eastAsia" w:ascii="等线" w:hAnsi="等线"/>
                <w:sz w:val="18"/>
                <w:szCs w:val="18"/>
              </w:rPr>
              <w:t>4000元及以上6000元以下</w:t>
            </w:r>
          </w:p>
        </w:tc>
        <w:tc>
          <w:tcPr>
            <w:tcW w:w="6650" w:type="dxa"/>
            <w:vAlign w:val="center"/>
          </w:tcPr>
          <w:p w14:paraId="5C9F20B1">
            <w:pPr>
              <w:spacing w:before="156" w:beforeLines="50" w:after="156" w:afterLines="50"/>
              <w:rPr>
                <w:rFonts w:ascii="等线" w:hAnsi="等线"/>
                <w:sz w:val="18"/>
                <w:szCs w:val="18"/>
              </w:rPr>
            </w:pPr>
            <w:r>
              <w:rPr>
                <w:rFonts w:hint="eastAsia" w:ascii="等线" w:hAnsi="等线"/>
                <w:sz w:val="18"/>
                <w:szCs w:val="18"/>
              </w:rPr>
              <w:t>5000元及以上7000元以下</w:t>
            </w:r>
          </w:p>
        </w:tc>
      </w:tr>
      <w:tr w14:paraId="5758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708" w:type="dxa"/>
            <w:vMerge w:val="continue"/>
            <w:vAlign w:val="center"/>
          </w:tcPr>
          <w:p w14:paraId="13B33297">
            <w:pPr>
              <w:spacing w:before="156" w:beforeLines="50" w:after="156" w:afterLines="50"/>
              <w:jc w:val="left"/>
              <w:rPr>
                <w:rFonts w:ascii="等线" w:hAnsi="等线"/>
                <w:kern w:val="0"/>
                <w:sz w:val="18"/>
                <w:szCs w:val="18"/>
              </w:rPr>
            </w:pPr>
          </w:p>
        </w:tc>
        <w:tc>
          <w:tcPr>
            <w:tcW w:w="1323" w:type="dxa"/>
            <w:vMerge w:val="continue"/>
            <w:vAlign w:val="center"/>
          </w:tcPr>
          <w:p w14:paraId="0D9FD7BD">
            <w:pPr>
              <w:spacing w:before="156" w:beforeLines="50" w:after="156" w:afterLines="50"/>
              <w:jc w:val="left"/>
              <w:rPr>
                <w:rFonts w:ascii="等线" w:hAnsi="等线"/>
                <w:kern w:val="0"/>
                <w:sz w:val="18"/>
                <w:szCs w:val="18"/>
              </w:rPr>
            </w:pPr>
          </w:p>
        </w:tc>
        <w:tc>
          <w:tcPr>
            <w:tcW w:w="1479" w:type="dxa"/>
            <w:vMerge w:val="continue"/>
            <w:vAlign w:val="center"/>
          </w:tcPr>
          <w:p w14:paraId="6918BC67">
            <w:pPr>
              <w:spacing w:before="156" w:beforeLines="50" w:after="156" w:afterLines="50"/>
              <w:jc w:val="left"/>
              <w:rPr>
                <w:rFonts w:ascii="等线" w:hAnsi="等线"/>
                <w:kern w:val="0"/>
                <w:sz w:val="18"/>
                <w:szCs w:val="18"/>
              </w:rPr>
            </w:pPr>
          </w:p>
        </w:tc>
        <w:tc>
          <w:tcPr>
            <w:tcW w:w="1560" w:type="dxa"/>
            <w:vMerge w:val="continue"/>
            <w:vAlign w:val="center"/>
          </w:tcPr>
          <w:p w14:paraId="5C805500">
            <w:pPr>
              <w:spacing w:before="156" w:beforeLines="50" w:after="156" w:afterLines="50"/>
              <w:jc w:val="left"/>
              <w:rPr>
                <w:rFonts w:ascii="等线" w:hAnsi="等线"/>
                <w:kern w:val="0"/>
                <w:sz w:val="18"/>
                <w:szCs w:val="18"/>
              </w:rPr>
            </w:pPr>
          </w:p>
        </w:tc>
        <w:tc>
          <w:tcPr>
            <w:tcW w:w="1394" w:type="dxa"/>
            <w:vMerge w:val="continue"/>
            <w:vAlign w:val="center"/>
          </w:tcPr>
          <w:p w14:paraId="7E08A920">
            <w:pPr>
              <w:spacing w:before="156" w:beforeLines="50" w:after="156" w:afterLines="50"/>
              <w:jc w:val="left"/>
              <w:rPr>
                <w:rFonts w:ascii="等线" w:hAnsi="等线"/>
                <w:kern w:val="0"/>
                <w:sz w:val="18"/>
                <w:szCs w:val="18"/>
              </w:rPr>
            </w:pPr>
          </w:p>
        </w:tc>
        <w:tc>
          <w:tcPr>
            <w:tcW w:w="3271" w:type="dxa"/>
            <w:vAlign w:val="center"/>
          </w:tcPr>
          <w:p w14:paraId="2FA9FDC9">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船舶使用防污设备、器材排放污染物未遵守操作规程，同时不能提供已经达标排放的证据的。</w:t>
            </w:r>
          </w:p>
        </w:tc>
        <w:tc>
          <w:tcPr>
            <w:tcW w:w="2422" w:type="dxa"/>
            <w:vAlign w:val="center"/>
          </w:tcPr>
          <w:p w14:paraId="0D550EDE">
            <w:pPr>
              <w:spacing w:before="156" w:beforeLines="50" w:after="156" w:afterLines="50"/>
              <w:rPr>
                <w:rFonts w:ascii="等线" w:hAnsi="等线"/>
                <w:sz w:val="18"/>
                <w:szCs w:val="18"/>
              </w:rPr>
            </w:pPr>
            <w:r>
              <w:rPr>
                <w:rFonts w:hint="eastAsia" w:ascii="等线" w:hAnsi="等线"/>
                <w:sz w:val="18"/>
                <w:szCs w:val="18"/>
              </w:rPr>
              <w:t>5000元及以上8000元以下</w:t>
            </w:r>
          </w:p>
        </w:tc>
        <w:tc>
          <w:tcPr>
            <w:tcW w:w="2509" w:type="dxa"/>
            <w:vAlign w:val="center"/>
          </w:tcPr>
          <w:p w14:paraId="4DDCC7D3">
            <w:pPr>
              <w:spacing w:before="156" w:beforeLines="50" w:after="156" w:afterLines="50"/>
              <w:rPr>
                <w:rFonts w:ascii="等线" w:hAnsi="等线"/>
                <w:sz w:val="18"/>
                <w:szCs w:val="18"/>
              </w:rPr>
            </w:pPr>
            <w:r>
              <w:rPr>
                <w:rFonts w:hint="eastAsia" w:ascii="等线" w:hAnsi="等线"/>
                <w:sz w:val="18"/>
                <w:szCs w:val="18"/>
              </w:rPr>
              <w:t>6000元及以上9000元以下</w:t>
            </w:r>
          </w:p>
        </w:tc>
        <w:tc>
          <w:tcPr>
            <w:tcW w:w="6650" w:type="dxa"/>
            <w:vAlign w:val="center"/>
          </w:tcPr>
          <w:p w14:paraId="06B42FDB">
            <w:pPr>
              <w:spacing w:before="156" w:beforeLines="50" w:after="156" w:afterLines="50"/>
              <w:rPr>
                <w:rFonts w:ascii="等线" w:hAnsi="等线"/>
                <w:sz w:val="18"/>
                <w:szCs w:val="18"/>
              </w:rPr>
            </w:pPr>
            <w:r>
              <w:rPr>
                <w:rFonts w:hint="eastAsia" w:ascii="等线" w:hAnsi="等线"/>
                <w:sz w:val="18"/>
                <w:szCs w:val="18"/>
              </w:rPr>
              <w:t>7000元及以上1万元以下</w:t>
            </w:r>
          </w:p>
        </w:tc>
      </w:tr>
      <w:tr w14:paraId="32E4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708" w:type="dxa"/>
            <w:vMerge w:val="continue"/>
            <w:vAlign w:val="center"/>
          </w:tcPr>
          <w:p w14:paraId="7DB43E02">
            <w:pPr>
              <w:spacing w:before="156" w:beforeLines="50" w:after="156" w:afterLines="50"/>
              <w:jc w:val="left"/>
              <w:rPr>
                <w:rFonts w:ascii="等线" w:hAnsi="等线"/>
                <w:kern w:val="0"/>
                <w:sz w:val="18"/>
                <w:szCs w:val="18"/>
              </w:rPr>
            </w:pPr>
          </w:p>
        </w:tc>
        <w:tc>
          <w:tcPr>
            <w:tcW w:w="1323" w:type="dxa"/>
            <w:vMerge w:val="continue"/>
            <w:vAlign w:val="center"/>
          </w:tcPr>
          <w:p w14:paraId="48C50721">
            <w:pPr>
              <w:spacing w:before="156" w:beforeLines="50" w:after="156" w:afterLines="50"/>
              <w:jc w:val="left"/>
              <w:rPr>
                <w:rFonts w:ascii="等线" w:hAnsi="等线"/>
                <w:kern w:val="0"/>
                <w:sz w:val="18"/>
                <w:szCs w:val="18"/>
              </w:rPr>
            </w:pPr>
          </w:p>
        </w:tc>
        <w:tc>
          <w:tcPr>
            <w:tcW w:w="1479" w:type="dxa"/>
            <w:vMerge w:val="continue"/>
            <w:vAlign w:val="center"/>
          </w:tcPr>
          <w:p w14:paraId="38D8F53C">
            <w:pPr>
              <w:spacing w:before="156" w:beforeLines="50" w:after="156" w:afterLines="50"/>
              <w:jc w:val="left"/>
              <w:rPr>
                <w:rFonts w:ascii="等线" w:hAnsi="等线"/>
                <w:kern w:val="0"/>
                <w:sz w:val="18"/>
                <w:szCs w:val="18"/>
              </w:rPr>
            </w:pPr>
          </w:p>
        </w:tc>
        <w:tc>
          <w:tcPr>
            <w:tcW w:w="1560" w:type="dxa"/>
            <w:vMerge w:val="continue"/>
            <w:vAlign w:val="center"/>
          </w:tcPr>
          <w:p w14:paraId="5F9DA2E8">
            <w:pPr>
              <w:spacing w:before="156" w:beforeLines="50" w:after="156" w:afterLines="50"/>
              <w:jc w:val="left"/>
              <w:rPr>
                <w:rFonts w:ascii="等线" w:hAnsi="等线"/>
                <w:kern w:val="0"/>
                <w:sz w:val="18"/>
                <w:szCs w:val="18"/>
              </w:rPr>
            </w:pPr>
          </w:p>
        </w:tc>
        <w:tc>
          <w:tcPr>
            <w:tcW w:w="1394" w:type="dxa"/>
            <w:vMerge w:val="continue"/>
            <w:vAlign w:val="center"/>
          </w:tcPr>
          <w:p w14:paraId="437534A6">
            <w:pPr>
              <w:spacing w:before="156" w:beforeLines="50" w:after="156" w:afterLines="50"/>
              <w:jc w:val="left"/>
              <w:rPr>
                <w:rFonts w:ascii="等线" w:hAnsi="等线"/>
                <w:kern w:val="0"/>
                <w:sz w:val="18"/>
                <w:szCs w:val="18"/>
              </w:rPr>
            </w:pPr>
          </w:p>
        </w:tc>
        <w:tc>
          <w:tcPr>
            <w:tcW w:w="3271" w:type="dxa"/>
            <w:vAlign w:val="center"/>
          </w:tcPr>
          <w:p w14:paraId="2BFE0ED4">
            <w:pPr>
              <w:spacing w:before="156" w:beforeLines="50" w:after="156" w:afterLines="50"/>
              <w:jc w:val="left"/>
              <w:rPr>
                <w:rFonts w:ascii="等线" w:hAnsi="等线"/>
                <w:kern w:val="0"/>
                <w:sz w:val="18"/>
                <w:szCs w:val="18"/>
              </w:rPr>
            </w:pPr>
            <w:r>
              <w:rPr>
                <w:rFonts w:hint="eastAsia" w:ascii="等线" w:hAnsi="等线"/>
                <w:kern w:val="0"/>
                <w:sz w:val="18"/>
                <w:szCs w:val="18"/>
              </w:rPr>
              <w:t>船舶未按操作规程使用生活污水、含油污水处理设备和器材，致使闲置的；</w:t>
            </w:r>
          </w:p>
          <w:p w14:paraId="755E5C18">
            <w:pPr>
              <w:spacing w:before="156" w:beforeLines="50" w:after="156" w:afterLines="50"/>
              <w:jc w:val="left"/>
              <w:rPr>
                <w:rFonts w:ascii="等线" w:hAnsi="等线"/>
                <w:kern w:val="0"/>
                <w:sz w:val="18"/>
                <w:szCs w:val="18"/>
              </w:rPr>
            </w:pPr>
            <w:r>
              <w:rPr>
                <w:rFonts w:hint="eastAsia" w:ascii="等线" w:hAnsi="等线"/>
                <w:kern w:val="0"/>
                <w:sz w:val="18"/>
                <w:szCs w:val="18"/>
              </w:rPr>
              <w:t>或有证据表明，船舶未经防污设备处理直接向内河水域排放生活污水、含油污水的；</w:t>
            </w:r>
          </w:p>
          <w:p w14:paraId="6D713E59">
            <w:pPr>
              <w:spacing w:before="156" w:beforeLines="50" w:after="156" w:afterLines="50"/>
              <w:jc w:val="left"/>
              <w:rPr>
                <w:rFonts w:ascii="等线" w:hAnsi="等线"/>
                <w:kern w:val="0"/>
                <w:sz w:val="18"/>
                <w:szCs w:val="18"/>
              </w:rPr>
            </w:pPr>
            <w:r>
              <w:rPr>
                <w:rFonts w:hint="eastAsia" w:ascii="等线" w:hAnsi="等线"/>
                <w:kern w:val="0"/>
                <w:sz w:val="18"/>
                <w:szCs w:val="18"/>
              </w:rPr>
              <w:t>或船舶存在故意违反操作规程，弄虚作假等情形的。</w:t>
            </w:r>
          </w:p>
        </w:tc>
        <w:tc>
          <w:tcPr>
            <w:tcW w:w="2422" w:type="dxa"/>
            <w:vAlign w:val="center"/>
          </w:tcPr>
          <w:p w14:paraId="68899DBC">
            <w:pPr>
              <w:spacing w:before="156" w:beforeLines="50" w:after="156" w:afterLines="50"/>
              <w:rPr>
                <w:rFonts w:ascii="等线" w:hAnsi="等线"/>
                <w:sz w:val="18"/>
                <w:szCs w:val="18"/>
              </w:rPr>
            </w:pPr>
            <w:r>
              <w:rPr>
                <w:rFonts w:ascii="等线" w:hAnsi="等线"/>
                <w:sz w:val="18"/>
                <w:szCs w:val="18"/>
              </w:rPr>
              <w:t>8000</w:t>
            </w:r>
            <w:r>
              <w:rPr>
                <w:rFonts w:hint="eastAsia" w:ascii="等线" w:hAnsi="等线"/>
                <w:sz w:val="18"/>
                <w:szCs w:val="18"/>
              </w:rPr>
              <w:t>元及以上2万元及以下</w:t>
            </w:r>
          </w:p>
        </w:tc>
        <w:tc>
          <w:tcPr>
            <w:tcW w:w="2509" w:type="dxa"/>
            <w:vAlign w:val="center"/>
          </w:tcPr>
          <w:p w14:paraId="4EC4B09B">
            <w:pPr>
              <w:spacing w:before="156" w:beforeLines="50" w:after="156" w:afterLines="50"/>
              <w:rPr>
                <w:rFonts w:ascii="等线" w:hAnsi="等线"/>
                <w:sz w:val="18"/>
                <w:szCs w:val="18"/>
              </w:rPr>
            </w:pPr>
            <w:r>
              <w:rPr>
                <w:rFonts w:ascii="等线" w:hAnsi="等线"/>
                <w:sz w:val="18"/>
                <w:szCs w:val="18"/>
              </w:rPr>
              <w:t>9000</w:t>
            </w:r>
            <w:r>
              <w:rPr>
                <w:rFonts w:hint="eastAsia" w:ascii="等线" w:hAnsi="等线"/>
                <w:sz w:val="18"/>
                <w:szCs w:val="18"/>
              </w:rPr>
              <w:t>元及以上2万元及以下</w:t>
            </w:r>
          </w:p>
        </w:tc>
        <w:tc>
          <w:tcPr>
            <w:tcW w:w="6650" w:type="dxa"/>
            <w:vAlign w:val="center"/>
          </w:tcPr>
          <w:p w14:paraId="22EABB7A">
            <w:pPr>
              <w:spacing w:before="156" w:beforeLines="50" w:after="156" w:afterLines="50"/>
              <w:rPr>
                <w:rFonts w:ascii="等线" w:hAnsi="等线"/>
                <w:sz w:val="18"/>
                <w:szCs w:val="18"/>
              </w:rPr>
            </w:pPr>
            <w:r>
              <w:rPr>
                <w:rFonts w:ascii="等线" w:hAnsi="等线"/>
                <w:sz w:val="18"/>
                <w:szCs w:val="18"/>
              </w:rPr>
              <w:t>1</w:t>
            </w:r>
            <w:r>
              <w:rPr>
                <w:rFonts w:hint="eastAsia" w:ascii="等线" w:hAnsi="等线"/>
                <w:sz w:val="18"/>
                <w:szCs w:val="18"/>
              </w:rPr>
              <w:t>万元及以上2万元及以下</w:t>
            </w:r>
          </w:p>
        </w:tc>
      </w:tr>
      <w:tr w14:paraId="0389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1316" w:type="dxa"/>
            <w:gridSpan w:val="9"/>
            <w:vAlign w:val="center"/>
          </w:tcPr>
          <w:p w14:paraId="0BD7C53A">
            <w:pPr>
              <w:spacing w:before="156" w:beforeLines="50" w:after="156" w:afterLines="50" w:line="400" w:lineRule="exact"/>
              <w:rPr>
                <w:rFonts w:ascii="等线" w:hAnsi="等线"/>
                <w:b/>
                <w:bCs/>
                <w:sz w:val="18"/>
                <w:szCs w:val="18"/>
              </w:rPr>
            </w:pPr>
          </w:p>
        </w:tc>
      </w:tr>
    </w:tbl>
    <w:p w14:paraId="67514F20">
      <w:pPr>
        <w:widowControl/>
        <w:jc w:val="left"/>
        <w:rPr>
          <w:sz w:val="18"/>
          <w:szCs w:val="18"/>
        </w:rPr>
      </w:pPr>
      <w:r>
        <w:rPr>
          <w:sz w:val="18"/>
          <w:szCs w:val="18"/>
        </w:rPr>
        <w:br w:type="page"/>
      </w:r>
    </w:p>
    <w:tbl>
      <w:tblPr>
        <w:tblStyle w:val="6"/>
        <w:tblpPr w:leftFromText="180" w:rightFromText="180" w:tblpY="8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6"/>
        <w:gridCol w:w="1988"/>
        <w:gridCol w:w="743"/>
        <w:gridCol w:w="3723"/>
        <w:gridCol w:w="11338"/>
      </w:tblGrid>
      <w:tr w14:paraId="7C58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08" w:type="dxa"/>
            <w:vMerge w:val="restart"/>
            <w:vAlign w:val="center"/>
          </w:tcPr>
          <w:p w14:paraId="55E14319">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序号</w:t>
            </w:r>
          </w:p>
        </w:tc>
        <w:tc>
          <w:tcPr>
            <w:tcW w:w="1323" w:type="dxa"/>
            <w:vMerge w:val="restart"/>
            <w:vAlign w:val="center"/>
          </w:tcPr>
          <w:p w14:paraId="1BBA80B9">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案由</w:t>
            </w:r>
          </w:p>
        </w:tc>
        <w:tc>
          <w:tcPr>
            <w:tcW w:w="3464" w:type="dxa"/>
            <w:gridSpan w:val="2"/>
            <w:vMerge w:val="restart"/>
            <w:vAlign w:val="center"/>
          </w:tcPr>
          <w:p w14:paraId="35FFF8E6">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法律依据</w:t>
            </w:r>
          </w:p>
        </w:tc>
        <w:tc>
          <w:tcPr>
            <w:tcW w:w="743" w:type="dxa"/>
            <w:vMerge w:val="restart"/>
            <w:vAlign w:val="center"/>
          </w:tcPr>
          <w:p w14:paraId="533A86C3">
            <w:pPr>
              <w:spacing w:before="156" w:beforeLines="50" w:after="156" w:afterLines="50"/>
              <w:jc w:val="left"/>
              <w:rPr>
                <w:rFonts w:ascii="等线" w:hAnsi="等线"/>
                <w:b/>
                <w:color w:val="000000"/>
                <w:kern w:val="0"/>
                <w:sz w:val="18"/>
                <w:szCs w:val="18"/>
              </w:rPr>
            </w:pPr>
            <w:r>
              <w:rPr>
                <w:rFonts w:hint="eastAsia" w:ascii="等线" w:hAnsi="等线"/>
                <w:b/>
                <w:color w:val="000000"/>
                <w:kern w:val="0"/>
                <w:sz w:val="18"/>
                <w:szCs w:val="18"/>
              </w:rPr>
              <w:t>违法情节</w:t>
            </w:r>
          </w:p>
        </w:tc>
        <w:tc>
          <w:tcPr>
            <w:tcW w:w="3723" w:type="dxa"/>
            <w:vMerge w:val="restart"/>
            <w:vAlign w:val="center"/>
          </w:tcPr>
          <w:p w14:paraId="08E9DEBC">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主要考虑因素</w:t>
            </w:r>
          </w:p>
          <w:p w14:paraId="16432D1D">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（事实、性质、情节、危害程度和实际后果等）</w:t>
            </w:r>
          </w:p>
        </w:tc>
        <w:tc>
          <w:tcPr>
            <w:tcW w:w="11338" w:type="dxa"/>
            <w:tcBorders>
              <w:bottom w:val="single" w:color="auto" w:sz="4" w:space="0"/>
              <w:right w:val="single" w:color="auto" w:sz="4" w:space="0"/>
            </w:tcBorders>
            <w:vAlign w:val="center"/>
          </w:tcPr>
          <w:p w14:paraId="358945F2">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【法定幅度和种类】由海事管理机构责令改正，并处以3000元以上1万元以下的罚款。</w:t>
            </w:r>
          </w:p>
        </w:tc>
      </w:tr>
      <w:tr w14:paraId="13EF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trPr>
        <w:tc>
          <w:tcPr>
            <w:tcW w:w="708" w:type="dxa"/>
            <w:vMerge w:val="continue"/>
            <w:vAlign w:val="center"/>
          </w:tcPr>
          <w:p w14:paraId="2C839F6D">
            <w:pPr>
              <w:spacing w:before="156" w:beforeLines="50" w:after="156" w:afterLines="50"/>
              <w:jc w:val="center"/>
              <w:rPr>
                <w:rFonts w:ascii="等线" w:hAnsi="等线"/>
                <w:b/>
                <w:color w:val="000000"/>
                <w:kern w:val="0"/>
                <w:sz w:val="18"/>
                <w:szCs w:val="18"/>
              </w:rPr>
            </w:pPr>
          </w:p>
        </w:tc>
        <w:tc>
          <w:tcPr>
            <w:tcW w:w="1323" w:type="dxa"/>
            <w:vMerge w:val="continue"/>
            <w:vAlign w:val="center"/>
          </w:tcPr>
          <w:p w14:paraId="150C29ED">
            <w:pPr>
              <w:spacing w:before="156" w:beforeLines="50" w:after="156" w:afterLines="50"/>
              <w:jc w:val="center"/>
              <w:rPr>
                <w:rFonts w:ascii="等线" w:hAnsi="等线"/>
                <w:b/>
                <w:color w:val="000000"/>
                <w:kern w:val="0"/>
                <w:sz w:val="18"/>
                <w:szCs w:val="18"/>
              </w:rPr>
            </w:pPr>
          </w:p>
        </w:tc>
        <w:tc>
          <w:tcPr>
            <w:tcW w:w="3464" w:type="dxa"/>
            <w:gridSpan w:val="2"/>
            <w:vMerge w:val="continue"/>
            <w:vAlign w:val="center"/>
          </w:tcPr>
          <w:p w14:paraId="118B9828">
            <w:pPr>
              <w:spacing w:before="156" w:beforeLines="50" w:after="156" w:afterLines="50"/>
              <w:jc w:val="center"/>
              <w:rPr>
                <w:rFonts w:ascii="等线" w:hAnsi="等线"/>
                <w:b/>
                <w:color w:val="000000"/>
                <w:kern w:val="0"/>
                <w:sz w:val="18"/>
                <w:szCs w:val="18"/>
              </w:rPr>
            </w:pPr>
          </w:p>
        </w:tc>
        <w:tc>
          <w:tcPr>
            <w:tcW w:w="743" w:type="dxa"/>
            <w:vMerge w:val="continue"/>
            <w:vAlign w:val="center"/>
          </w:tcPr>
          <w:p w14:paraId="541F1BE1">
            <w:pPr>
              <w:spacing w:before="156" w:beforeLines="50" w:after="156" w:afterLines="50"/>
              <w:jc w:val="left"/>
              <w:rPr>
                <w:rFonts w:ascii="等线" w:hAnsi="等线"/>
                <w:b/>
                <w:color w:val="000000"/>
                <w:kern w:val="0"/>
                <w:sz w:val="18"/>
                <w:szCs w:val="18"/>
              </w:rPr>
            </w:pPr>
          </w:p>
        </w:tc>
        <w:tc>
          <w:tcPr>
            <w:tcW w:w="3723" w:type="dxa"/>
            <w:vMerge w:val="continue"/>
            <w:vAlign w:val="center"/>
          </w:tcPr>
          <w:p w14:paraId="2ED4E01F">
            <w:pPr>
              <w:spacing w:before="156" w:beforeLines="50" w:after="156" w:afterLines="50"/>
              <w:jc w:val="left"/>
              <w:rPr>
                <w:rFonts w:ascii="等线" w:hAnsi="等线"/>
                <w:b/>
                <w:color w:val="000000"/>
                <w:kern w:val="0"/>
                <w:sz w:val="18"/>
                <w:szCs w:val="18"/>
              </w:rPr>
            </w:pPr>
          </w:p>
        </w:tc>
        <w:tc>
          <w:tcPr>
            <w:tcW w:w="11338" w:type="dxa"/>
            <w:tcBorders>
              <w:top w:val="single" w:color="auto" w:sz="4" w:space="0"/>
              <w:right w:val="single" w:color="auto" w:sz="4" w:space="0"/>
            </w:tcBorders>
            <w:vAlign w:val="center"/>
          </w:tcPr>
          <w:p w14:paraId="4A893DD4">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处罚基准</w:t>
            </w:r>
          </w:p>
        </w:tc>
      </w:tr>
      <w:tr w14:paraId="135C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08" w:type="dxa"/>
            <w:vMerge w:val="continue"/>
            <w:vAlign w:val="center"/>
          </w:tcPr>
          <w:p w14:paraId="0270DFD9">
            <w:pPr>
              <w:spacing w:before="156" w:beforeLines="50" w:after="156" w:afterLines="50"/>
              <w:jc w:val="center"/>
              <w:rPr>
                <w:rFonts w:ascii="等线" w:hAnsi="等线"/>
                <w:b/>
                <w:color w:val="000000"/>
                <w:kern w:val="0"/>
                <w:sz w:val="18"/>
                <w:szCs w:val="18"/>
              </w:rPr>
            </w:pPr>
          </w:p>
        </w:tc>
        <w:tc>
          <w:tcPr>
            <w:tcW w:w="1323" w:type="dxa"/>
            <w:vMerge w:val="continue"/>
            <w:vAlign w:val="center"/>
          </w:tcPr>
          <w:p w14:paraId="6BB0D421">
            <w:pPr>
              <w:spacing w:before="156" w:beforeLines="50" w:after="156" w:afterLines="50"/>
              <w:jc w:val="center"/>
              <w:rPr>
                <w:rFonts w:ascii="等线" w:hAnsi="等线"/>
                <w:b/>
                <w:color w:val="000000"/>
                <w:kern w:val="0"/>
                <w:sz w:val="18"/>
                <w:szCs w:val="18"/>
              </w:rPr>
            </w:pPr>
          </w:p>
        </w:tc>
        <w:tc>
          <w:tcPr>
            <w:tcW w:w="1476" w:type="dxa"/>
            <w:vAlign w:val="center"/>
          </w:tcPr>
          <w:p w14:paraId="75C7163E">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违反条款</w:t>
            </w:r>
          </w:p>
        </w:tc>
        <w:tc>
          <w:tcPr>
            <w:tcW w:w="1988" w:type="dxa"/>
            <w:vAlign w:val="center"/>
          </w:tcPr>
          <w:p w14:paraId="169A12D5">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处罚依据</w:t>
            </w:r>
          </w:p>
        </w:tc>
        <w:tc>
          <w:tcPr>
            <w:tcW w:w="743" w:type="dxa"/>
            <w:vMerge w:val="continue"/>
            <w:vAlign w:val="center"/>
          </w:tcPr>
          <w:p w14:paraId="2DD9AD34">
            <w:pPr>
              <w:spacing w:before="156" w:beforeLines="50" w:after="156" w:afterLines="50"/>
              <w:jc w:val="left"/>
              <w:rPr>
                <w:rFonts w:ascii="等线" w:hAnsi="等线"/>
                <w:b/>
                <w:color w:val="000000"/>
                <w:kern w:val="0"/>
                <w:sz w:val="18"/>
                <w:szCs w:val="18"/>
              </w:rPr>
            </w:pPr>
          </w:p>
        </w:tc>
        <w:tc>
          <w:tcPr>
            <w:tcW w:w="3723" w:type="dxa"/>
            <w:vMerge w:val="continue"/>
            <w:vAlign w:val="center"/>
          </w:tcPr>
          <w:p w14:paraId="37D4C89F">
            <w:pPr>
              <w:spacing w:before="156" w:beforeLines="50" w:after="156" w:afterLines="50"/>
              <w:jc w:val="left"/>
              <w:rPr>
                <w:rFonts w:ascii="等线" w:hAnsi="等线"/>
                <w:b/>
                <w:color w:val="000000"/>
                <w:kern w:val="0"/>
                <w:sz w:val="18"/>
                <w:szCs w:val="18"/>
              </w:rPr>
            </w:pPr>
          </w:p>
        </w:tc>
        <w:tc>
          <w:tcPr>
            <w:tcW w:w="11338" w:type="dxa"/>
            <w:tcBorders>
              <w:top w:val="single" w:color="auto" w:sz="4" w:space="0"/>
              <w:right w:val="single" w:color="auto" w:sz="4" w:space="0"/>
            </w:tcBorders>
            <w:vAlign w:val="center"/>
          </w:tcPr>
          <w:p w14:paraId="340484C3">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【对象】船舶经营人或所有人</w:t>
            </w:r>
          </w:p>
        </w:tc>
      </w:tr>
      <w:tr w14:paraId="3133E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8" w:type="dxa"/>
            <w:vMerge w:val="restart"/>
            <w:vAlign w:val="center"/>
          </w:tcPr>
          <w:p w14:paraId="7E43176B">
            <w:pPr>
              <w:spacing w:before="156" w:beforeLines="50" w:after="156" w:afterLines="50"/>
              <w:jc w:val="center"/>
              <w:rPr>
                <w:rFonts w:ascii="等线" w:hAnsi="等线"/>
                <w:color w:val="000000"/>
                <w:kern w:val="0"/>
                <w:sz w:val="18"/>
                <w:szCs w:val="18"/>
              </w:rPr>
            </w:pPr>
            <w:r>
              <w:rPr>
                <w:rFonts w:hint="eastAsia" w:ascii="等线" w:hAnsi="等线"/>
                <w:color w:val="000000"/>
                <w:kern w:val="0"/>
                <w:sz w:val="18"/>
                <w:szCs w:val="18"/>
              </w:rPr>
              <w:t>99</w:t>
            </w:r>
          </w:p>
        </w:tc>
        <w:tc>
          <w:tcPr>
            <w:tcW w:w="1323" w:type="dxa"/>
            <w:vMerge w:val="restart"/>
            <w:vAlign w:val="center"/>
          </w:tcPr>
          <w:p w14:paraId="37EE1069">
            <w:pPr>
              <w:widowControl/>
              <w:spacing w:before="156" w:beforeLines="50" w:after="156" w:afterLines="50"/>
              <w:rPr>
                <w:rFonts w:ascii="等线" w:hAnsi="等线"/>
                <w:color w:val="000000"/>
                <w:sz w:val="18"/>
                <w:szCs w:val="18"/>
              </w:rPr>
            </w:pPr>
            <w:r>
              <w:rPr>
                <w:rFonts w:hint="eastAsia" w:ascii="等线" w:hAnsi="等线"/>
                <w:color w:val="000000"/>
                <w:sz w:val="18"/>
                <w:szCs w:val="18"/>
              </w:rPr>
              <w:t>船舶在港从事水上船舶清舱、洗舱、污染物接收、燃料供受、修造、打捞、污染清除作业活动，未按规定向海事管理机构报告</w:t>
            </w:r>
          </w:p>
        </w:tc>
        <w:tc>
          <w:tcPr>
            <w:tcW w:w="1476" w:type="dxa"/>
            <w:vMerge w:val="restart"/>
            <w:vAlign w:val="center"/>
          </w:tcPr>
          <w:p w14:paraId="4FA664E0">
            <w:pPr>
              <w:widowControl/>
              <w:spacing w:before="156" w:beforeLines="50" w:after="156" w:afterLines="50"/>
              <w:jc w:val="left"/>
              <w:rPr>
                <w:rStyle w:val="8"/>
                <w:rFonts w:ascii="等线" w:hAnsi="等线"/>
                <w:color w:val="000000"/>
                <w:sz w:val="18"/>
                <w:szCs w:val="18"/>
              </w:rPr>
            </w:pPr>
            <w:r>
              <w:rPr>
                <w:rFonts w:hint="eastAsia" w:ascii="等线" w:hAnsi="等线"/>
                <w:color w:val="000000"/>
                <w:sz w:val="18"/>
                <w:szCs w:val="18"/>
              </w:rPr>
              <w:t>《中华人民共和国防治船舶污染内河水域环境管理规定》第二十一条第二款</w:t>
            </w:r>
          </w:p>
        </w:tc>
        <w:tc>
          <w:tcPr>
            <w:tcW w:w="1988" w:type="dxa"/>
            <w:vMerge w:val="restart"/>
            <w:vAlign w:val="center"/>
          </w:tcPr>
          <w:p w14:paraId="12E4A374">
            <w:pPr>
              <w:spacing w:before="156" w:beforeLines="50" w:after="156" w:afterLines="50"/>
              <w:jc w:val="left"/>
              <w:rPr>
                <w:rStyle w:val="8"/>
                <w:rFonts w:ascii="等线" w:hAnsi="等线"/>
                <w:b w:val="0"/>
                <w:color w:val="000000"/>
                <w:sz w:val="18"/>
                <w:szCs w:val="18"/>
              </w:rPr>
            </w:pPr>
            <w:r>
              <w:rPr>
                <w:rFonts w:hint="eastAsia" w:ascii="等线" w:hAnsi="等线"/>
                <w:color w:val="000000"/>
                <w:sz w:val="18"/>
                <w:szCs w:val="18"/>
              </w:rPr>
              <w:t>《中华人民共和国防治船舶污染内河水域环境管理规定》第四十六条第（三）项</w:t>
            </w:r>
          </w:p>
        </w:tc>
        <w:tc>
          <w:tcPr>
            <w:tcW w:w="743" w:type="dxa"/>
            <w:vAlign w:val="center"/>
          </w:tcPr>
          <w:p w14:paraId="3CF205DF">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从轻</w:t>
            </w:r>
          </w:p>
        </w:tc>
        <w:tc>
          <w:tcPr>
            <w:tcW w:w="3723" w:type="dxa"/>
            <w:tcBorders>
              <w:bottom w:val="single" w:color="auto" w:sz="4" w:space="0"/>
            </w:tcBorders>
            <w:vAlign w:val="center"/>
          </w:tcPr>
          <w:p w14:paraId="7DA58651">
            <w:pPr>
              <w:widowControl/>
              <w:spacing w:before="156" w:beforeLines="50" w:after="156" w:afterLines="50"/>
              <w:rPr>
                <w:rFonts w:ascii="等线" w:hAnsi="等线"/>
                <w:color w:val="000000"/>
                <w:kern w:val="0"/>
                <w:sz w:val="18"/>
                <w:szCs w:val="18"/>
              </w:rPr>
            </w:pPr>
            <w:r>
              <w:rPr>
                <w:rFonts w:hint="eastAsia" w:ascii="等线" w:hAnsi="等线"/>
                <w:color w:val="000000"/>
                <w:sz w:val="18"/>
                <w:szCs w:val="18"/>
              </w:rPr>
              <w:t>具有法定从轻情节的。</w:t>
            </w:r>
          </w:p>
        </w:tc>
        <w:tc>
          <w:tcPr>
            <w:tcW w:w="11338" w:type="dxa"/>
            <w:tcBorders>
              <w:bottom w:val="single" w:color="auto" w:sz="4" w:space="0"/>
              <w:right w:val="single" w:color="auto" w:sz="4" w:space="0"/>
            </w:tcBorders>
            <w:vAlign w:val="center"/>
          </w:tcPr>
          <w:p w14:paraId="4C008446">
            <w:pPr>
              <w:spacing w:before="156" w:beforeLines="50" w:after="156" w:afterLines="50"/>
              <w:rPr>
                <w:rFonts w:ascii="等线" w:hAnsi="等线"/>
                <w:color w:val="000000"/>
                <w:sz w:val="18"/>
                <w:szCs w:val="18"/>
              </w:rPr>
            </w:pPr>
            <w:r>
              <w:rPr>
                <w:rFonts w:hint="eastAsia" w:ascii="等线" w:hAnsi="等线"/>
                <w:color w:val="000000"/>
                <w:sz w:val="18"/>
                <w:szCs w:val="18"/>
              </w:rPr>
              <w:t>3000元及以上4000元以下</w:t>
            </w:r>
          </w:p>
        </w:tc>
      </w:tr>
      <w:tr w14:paraId="147B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trPr>
        <w:tc>
          <w:tcPr>
            <w:tcW w:w="708" w:type="dxa"/>
            <w:vMerge w:val="continue"/>
            <w:vAlign w:val="center"/>
          </w:tcPr>
          <w:p w14:paraId="3BBBF983">
            <w:pPr>
              <w:spacing w:before="156" w:beforeLines="50" w:after="156" w:afterLines="50"/>
              <w:jc w:val="left"/>
              <w:rPr>
                <w:rFonts w:ascii="等线" w:hAnsi="等线"/>
                <w:color w:val="000000"/>
                <w:kern w:val="0"/>
                <w:sz w:val="18"/>
                <w:szCs w:val="18"/>
              </w:rPr>
            </w:pPr>
          </w:p>
        </w:tc>
        <w:tc>
          <w:tcPr>
            <w:tcW w:w="1323" w:type="dxa"/>
            <w:vMerge w:val="continue"/>
            <w:vAlign w:val="center"/>
          </w:tcPr>
          <w:p w14:paraId="2CE0DD52">
            <w:pPr>
              <w:spacing w:before="156" w:beforeLines="50" w:after="156" w:afterLines="50"/>
              <w:jc w:val="left"/>
              <w:rPr>
                <w:rFonts w:ascii="等线" w:hAnsi="等线"/>
                <w:color w:val="000000"/>
                <w:kern w:val="0"/>
                <w:sz w:val="18"/>
                <w:szCs w:val="18"/>
              </w:rPr>
            </w:pPr>
          </w:p>
        </w:tc>
        <w:tc>
          <w:tcPr>
            <w:tcW w:w="1476" w:type="dxa"/>
            <w:vMerge w:val="continue"/>
            <w:vAlign w:val="center"/>
          </w:tcPr>
          <w:p w14:paraId="61E28073">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14:paraId="7A6AA413">
            <w:pPr>
              <w:spacing w:before="156" w:beforeLines="50" w:after="156" w:afterLines="50"/>
              <w:jc w:val="left"/>
              <w:rPr>
                <w:rFonts w:ascii="等线" w:hAnsi="等线"/>
                <w:color w:val="000000"/>
                <w:kern w:val="0"/>
                <w:sz w:val="18"/>
                <w:szCs w:val="18"/>
              </w:rPr>
            </w:pPr>
          </w:p>
        </w:tc>
        <w:tc>
          <w:tcPr>
            <w:tcW w:w="743" w:type="dxa"/>
            <w:vMerge w:val="restart"/>
            <w:vAlign w:val="center"/>
          </w:tcPr>
          <w:p w14:paraId="06EB4D36">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一般</w:t>
            </w:r>
          </w:p>
        </w:tc>
        <w:tc>
          <w:tcPr>
            <w:tcW w:w="3723" w:type="dxa"/>
            <w:vAlign w:val="center"/>
          </w:tcPr>
          <w:p w14:paraId="00508A75">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从事水上船舶清舱、洗舱、污染物接收、燃料供受、修造、打捞、污染清除作业活动，单次未报告的。</w:t>
            </w:r>
          </w:p>
        </w:tc>
        <w:tc>
          <w:tcPr>
            <w:tcW w:w="11338" w:type="dxa"/>
            <w:tcBorders>
              <w:top w:val="single" w:color="auto" w:sz="4" w:space="0"/>
              <w:right w:val="single" w:color="auto" w:sz="4" w:space="0"/>
            </w:tcBorders>
            <w:vAlign w:val="center"/>
          </w:tcPr>
          <w:p w14:paraId="17C6ABD8">
            <w:pPr>
              <w:spacing w:before="156" w:beforeLines="50" w:after="156" w:afterLines="50"/>
              <w:rPr>
                <w:rFonts w:ascii="等线" w:hAnsi="等线"/>
                <w:color w:val="000000"/>
                <w:sz w:val="18"/>
                <w:szCs w:val="18"/>
              </w:rPr>
            </w:pPr>
            <w:r>
              <w:rPr>
                <w:rFonts w:hint="eastAsia" w:ascii="等线" w:hAnsi="等线"/>
                <w:color w:val="000000"/>
                <w:sz w:val="18"/>
                <w:szCs w:val="18"/>
              </w:rPr>
              <w:t>4000元及以上6000元以下</w:t>
            </w:r>
          </w:p>
        </w:tc>
      </w:tr>
      <w:tr w14:paraId="4276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708" w:type="dxa"/>
            <w:vMerge w:val="continue"/>
            <w:vAlign w:val="center"/>
          </w:tcPr>
          <w:p w14:paraId="42C18A64">
            <w:pPr>
              <w:spacing w:before="156" w:beforeLines="50" w:after="156" w:afterLines="50"/>
              <w:jc w:val="left"/>
              <w:rPr>
                <w:rFonts w:ascii="等线" w:hAnsi="等线"/>
                <w:color w:val="000000"/>
                <w:kern w:val="0"/>
                <w:sz w:val="18"/>
                <w:szCs w:val="18"/>
              </w:rPr>
            </w:pPr>
          </w:p>
        </w:tc>
        <w:tc>
          <w:tcPr>
            <w:tcW w:w="1323" w:type="dxa"/>
            <w:vMerge w:val="continue"/>
            <w:vAlign w:val="center"/>
          </w:tcPr>
          <w:p w14:paraId="606887DC">
            <w:pPr>
              <w:spacing w:before="156" w:beforeLines="50" w:after="156" w:afterLines="50"/>
              <w:jc w:val="left"/>
              <w:rPr>
                <w:rFonts w:ascii="等线" w:hAnsi="等线"/>
                <w:color w:val="000000"/>
                <w:kern w:val="0"/>
                <w:sz w:val="18"/>
                <w:szCs w:val="18"/>
              </w:rPr>
            </w:pPr>
          </w:p>
        </w:tc>
        <w:tc>
          <w:tcPr>
            <w:tcW w:w="1476" w:type="dxa"/>
            <w:vMerge w:val="continue"/>
            <w:vAlign w:val="center"/>
          </w:tcPr>
          <w:p w14:paraId="50E13370">
            <w:pPr>
              <w:spacing w:before="156" w:beforeLines="50" w:after="156" w:afterLines="50"/>
              <w:jc w:val="left"/>
              <w:rPr>
                <w:rFonts w:ascii="等线" w:hAnsi="等线"/>
                <w:color w:val="000000"/>
                <w:kern w:val="0"/>
                <w:sz w:val="18"/>
                <w:szCs w:val="18"/>
              </w:rPr>
            </w:pPr>
          </w:p>
        </w:tc>
        <w:tc>
          <w:tcPr>
            <w:tcW w:w="1988" w:type="dxa"/>
            <w:vMerge w:val="continue"/>
            <w:vAlign w:val="center"/>
          </w:tcPr>
          <w:p w14:paraId="1F90D791">
            <w:pPr>
              <w:spacing w:before="156" w:beforeLines="50" w:after="156" w:afterLines="50"/>
              <w:jc w:val="left"/>
              <w:rPr>
                <w:rFonts w:ascii="等线" w:hAnsi="等线"/>
                <w:color w:val="000000"/>
                <w:kern w:val="0"/>
                <w:sz w:val="18"/>
                <w:szCs w:val="18"/>
              </w:rPr>
            </w:pPr>
          </w:p>
        </w:tc>
        <w:tc>
          <w:tcPr>
            <w:tcW w:w="743" w:type="dxa"/>
            <w:vMerge w:val="continue"/>
            <w:vAlign w:val="center"/>
          </w:tcPr>
          <w:p w14:paraId="2A8C543B">
            <w:pPr>
              <w:spacing w:before="156" w:beforeLines="50" w:after="156" w:afterLines="50"/>
              <w:jc w:val="left"/>
              <w:rPr>
                <w:rFonts w:ascii="等线" w:hAnsi="等线"/>
                <w:color w:val="000000"/>
                <w:kern w:val="0"/>
                <w:sz w:val="18"/>
                <w:szCs w:val="18"/>
              </w:rPr>
            </w:pPr>
          </w:p>
        </w:tc>
        <w:tc>
          <w:tcPr>
            <w:tcW w:w="3723" w:type="dxa"/>
            <w:tcBorders>
              <w:top w:val="single" w:color="auto" w:sz="4" w:space="0"/>
              <w:bottom w:val="single" w:color="auto" w:sz="4" w:space="0"/>
            </w:tcBorders>
            <w:vAlign w:val="center"/>
          </w:tcPr>
          <w:p w14:paraId="78046142">
            <w:pPr>
              <w:widowControl/>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从事水上船舶清舱、洗舱、污染物接收、燃料供受、修造、打捞、污染清除作业活动，2次及以上未报告的。</w:t>
            </w:r>
          </w:p>
        </w:tc>
        <w:tc>
          <w:tcPr>
            <w:tcW w:w="11338" w:type="dxa"/>
            <w:tcBorders>
              <w:top w:val="single" w:color="auto" w:sz="4" w:space="0"/>
              <w:bottom w:val="single" w:color="auto" w:sz="4" w:space="0"/>
              <w:right w:val="single" w:color="auto" w:sz="4" w:space="0"/>
            </w:tcBorders>
            <w:vAlign w:val="center"/>
          </w:tcPr>
          <w:p w14:paraId="23592922">
            <w:pPr>
              <w:spacing w:before="156" w:beforeLines="50" w:after="156" w:afterLines="50"/>
              <w:rPr>
                <w:rFonts w:ascii="等线" w:hAnsi="等线"/>
                <w:color w:val="000000"/>
                <w:sz w:val="18"/>
                <w:szCs w:val="18"/>
              </w:rPr>
            </w:pPr>
            <w:r>
              <w:rPr>
                <w:rFonts w:hint="eastAsia" w:ascii="等线" w:hAnsi="等线"/>
                <w:color w:val="000000"/>
                <w:sz w:val="18"/>
                <w:szCs w:val="18"/>
              </w:rPr>
              <w:t>6000元及以上8000元以下</w:t>
            </w:r>
          </w:p>
        </w:tc>
      </w:tr>
      <w:tr w14:paraId="7190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708" w:type="dxa"/>
            <w:vMerge w:val="continue"/>
            <w:vAlign w:val="center"/>
          </w:tcPr>
          <w:p w14:paraId="49EFE18B">
            <w:pPr>
              <w:spacing w:before="156" w:beforeLines="50" w:after="156" w:afterLines="50"/>
              <w:jc w:val="left"/>
              <w:rPr>
                <w:rFonts w:ascii="等线" w:hAnsi="等线"/>
                <w:color w:val="000000"/>
                <w:kern w:val="0"/>
                <w:sz w:val="18"/>
                <w:szCs w:val="18"/>
              </w:rPr>
            </w:pPr>
          </w:p>
        </w:tc>
        <w:tc>
          <w:tcPr>
            <w:tcW w:w="1323" w:type="dxa"/>
            <w:vMerge w:val="continue"/>
            <w:vAlign w:val="center"/>
          </w:tcPr>
          <w:p w14:paraId="0D0FEA23">
            <w:pPr>
              <w:spacing w:before="156" w:beforeLines="50" w:after="156" w:afterLines="50"/>
              <w:jc w:val="left"/>
              <w:rPr>
                <w:rFonts w:ascii="等线" w:hAnsi="等线"/>
                <w:color w:val="000000"/>
                <w:kern w:val="0"/>
                <w:sz w:val="18"/>
                <w:szCs w:val="18"/>
              </w:rPr>
            </w:pPr>
          </w:p>
        </w:tc>
        <w:tc>
          <w:tcPr>
            <w:tcW w:w="1476" w:type="dxa"/>
            <w:vMerge w:val="continue"/>
            <w:vAlign w:val="center"/>
          </w:tcPr>
          <w:p w14:paraId="02E0B439">
            <w:pPr>
              <w:spacing w:before="156" w:beforeLines="50" w:after="156" w:afterLines="50"/>
              <w:jc w:val="left"/>
              <w:rPr>
                <w:rFonts w:ascii="等线" w:hAnsi="等线"/>
                <w:color w:val="000000"/>
                <w:kern w:val="0"/>
                <w:sz w:val="18"/>
                <w:szCs w:val="18"/>
              </w:rPr>
            </w:pPr>
          </w:p>
        </w:tc>
        <w:tc>
          <w:tcPr>
            <w:tcW w:w="1988" w:type="dxa"/>
            <w:vMerge w:val="continue"/>
            <w:vAlign w:val="center"/>
          </w:tcPr>
          <w:p w14:paraId="40E6FA73">
            <w:pPr>
              <w:spacing w:before="156" w:beforeLines="50" w:after="156" w:afterLines="50"/>
              <w:jc w:val="left"/>
              <w:rPr>
                <w:rFonts w:ascii="等线" w:hAnsi="等线"/>
                <w:color w:val="000000"/>
                <w:kern w:val="0"/>
                <w:sz w:val="18"/>
                <w:szCs w:val="18"/>
              </w:rPr>
            </w:pPr>
          </w:p>
        </w:tc>
        <w:tc>
          <w:tcPr>
            <w:tcW w:w="743" w:type="dxa"/>
            <w:vMerge w:val="continue"/>
            <w:tcBorders>
              <w:bottom w:val="single" w:color="auto" w:sz="4" w:space="0"/>
            </w:tcBorders>
            <w:vAlign w:val="center"/>
          </w:tcPr>
          <w:p w14:paraId="7BA1BF23">
            <w:pPr>
              <w:spacing w:before="156" w:beforeLines="50" w:after="156" w:afterLines="50"/>
              <w:jc w:val="left"/>
              <w:rPr>
                <w:rFonts w:ascii="等线" w:hAnsi="等线"/>
                <w:color w:val="000000"/>
                <w:kern w:val="0"/>
                <w:sz w:val="18"/>
                <w:szCs w:val="18"/>
              </w:rPr>
            </w:pPr>
          </w:p>
        </w:tc>
        <w:tc>
          <w:tcPr>
            <w:tcW w:w="3723" w:type="dxa"/>
            <w:tcBorders>
              <w:top w:val="single" w:color="auto" w:sz="4" w:space="0"/>
              <w:bottom w:val="single" w:color="auto" w:sz="4" w:space="0"/>
            </w:tcBorders>
            <w:vAlign w:val="center"/>
          </w:tcPr>
          <w:p w14:paraId="3C1B2857">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故意弄虚作假等情形的。</w:t>
            </w:r>
          </w:p>
        </w:tc>
        <w:tc>
          <w:tcPr>
            <w:tcW w:w="11338" w:type="dxa"/>
            <w:tcBorders>
              <w:top w:val="single" w:color="auto" w:sz="4" w:space="0"/>
              <w:bottom w:val="single" w:color="auto" w:sz="4" w:space="0"/>
              <w:right w:val="single" w:color="auto" w:sz="4" w:space="0"/>
            </w:tcBorders>
            <w:vAlign w:val="center"/>
          </w:tcPr>
          <w:p w14:paraId="3D54919F">
            <w:pPr>
              <w:spacing w:before="156" w:beforeLines="50" w:after="156" w:afterLines="50"/>
              <w:rPr>
                <w:rFonts w:ascii="等线" w:hAnsi="等线"/>
                <w:color w:val="000000"/>
                <w:sz w:val="18"/>
                <w:szCs w:val="18"/>
              </w:rPr>
            </w:pPr>
            <w:r>
              <w:rPr>
                <w:rFonts w:hint="eastAsia" w:ascii="等线" w:hAnsi="等线"/>
                <w:color w:val="000000"/>
                <w:sz w:val="18"/>
                <w:szCs w:val="18"/>
              </w:rPr>
              <w:t>8000元及以上1万元以下</w:t>
            </w:r>
          </w:p>
        </w:tc>
      </w:tr>
    </w:tbl>
    <w:p w14:paraId="3167BE4F">
      <w:pPr>
        <w:spacing w:before="156" w:beforeLines="50" w:after="156" w:afterLines="50"/>
        <w:rPr>
          <w:rFonts w:ascii="等线" w:hAnsi="等线"/>
          <w:color w:val="000000"/>
          <w:sz w:val="18"/>
          <w:szCs w:val="18"/>
        </w:rPr>
      </w:pPr>
    </w:p>
    <w:p w14:paraId="1EBFE536">
      <w:pPr>
        <w:widowControl/>
        <w:jc w:val="left"/>
        <w:rPr>
          <w:rFonts w:ascii="等线" w:hAnsi="等线"/>
          <w:color w:val="000000"/>
          <w:sz w:val="18"/>
          <w:szCs w:val="18"/>
        </w:rPr>
      </w:pPr>
      <w:r>
        <w:rPr>
          <w:rFonts w:ascii="等线" w:hAnsi="等线"/>
          <w:color w:val="000000"/>
          <w:sz w:val="18"/>
          <w:szCs w:val="18"/>
        </w:rPr>
        <w:br w:type="page"/>
      </w:r>
      <w:r>
        <w:rPr>
          <w:rFonts w:ascii="等线" w:hAnsi="等线"/>
          <w:color w:val="000000"/>
          <w:sz w:val="18"/>
          <w:szCs w:val="18"/>
        </w:rPr>
        <w:br w:type="page"/>
      </w:r>
    </w:p>
    <w:tbl>
      <w:tblPr>
        <w:tblStyle w:val="6"/>
        <w:tblpPr w:leftFromText="180" w:rightFromText="180" w:vertAnchor="page" w:horzAnchor="margin" w:tblpY="34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323"/>
        <w:gridCol w:w="1476"/>
        <w:gridCol w:w="1988"/>
        <w:gridCol w:w="743"/>
        <w:gridCol w:w="5141"/>
        <w:gridCol w:w="9526"/>
      </w:tblGrid>
      <w:tr w14:paraId="38F9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708" w:type="dxa"/>
            <w:vMerge w:val="restart"/>
            <w:vAlign w:val="center"/>
          </w:tcPr>
          <w:p w14:paraId="2FFB58E1">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序号</w:t>
            </w:r>
          </w:p>
        </w:tc>
        <w:tc>
          <w:tcPr>
            <w:tcW w:w="1323" w:type="dxa"/>
            <w:vMerge w:val="restart"/>
            <w:vAlign w:val="center"/>
          </w:tcPr>
          <w:p w14:paraId="028F7F59">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案由</w:t>
            </w:r>
          </w:p>
        </w:tc>
        <w:tc>
          <w:tcPr>
            <w:tcW w:w="3464" w:type="dxa"/>
            <w:gridSpan w:val="2"/>
            <w:vMerge w:val="restart"/>
            <w:vAlign w:val="center"/>
          </w:tcPr>
          <w:p w14:paraId="7D99FB81">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法律依据</w:t>
            </w:r>
          </w:p>
        </w:tc>
        <w:tc>
          <w:tcPr>
            <w:tcW w:w="743" w:type="dxa"/>
            <w:vMerge w:val="restart"/>
            <w:vAlign w:val="center"/>
          </w:tcPr>
          <w:p w14:paraId="1CFF5CA4">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违法情节</w:t>
            </w:r>
          </w:p>
        </w:tc>
        <w:tc>
          <w:tcPr>
            <w:tcW w:w="5141" w:type="dxa"/>
            <w:vMerge w:val="restart"/>
            <w:vAlign w:val="center"/>
          </w:tcPr>
          <w:p w14:paraId="2B5AE0E3">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主要考虑因素</w:t>
            </w:r>
          </w:p>
          <w:p w14:paraId="07F7BD46">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（事实、性质、情节、危害程度和实际后果等）</w:t>
            </w:r>
          </w:p>
        </w:tc>
        <w:tc>
          <w:tcPr>
            <w:tcW w:w="9526" w:type="dxa"/>
            <w:tcBorders>
              <w:bottom w:val="single" w:color="auto" w:sz="4" w:space="0"/>
              <w:right w:val="single" w:color="auto" w:sz="4" w:space="0"/>
            </w:tcBorders>
            <w:vAlign w:val="center"/>
          </w:tcPr>
          <w:p w14:paraId="31B25254">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【法定幅度和种类】由海事管理机构处一万元以上十万元以下的罚款。</w:t>
            </w:r>
          </w:p>
        </w:tc>
      </w:tr>
      <w:tr w14:paraId="64964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08" w:type="dxa"/>
            <w:vMerge w:val="continue"/>
            <w:vAlign w:val="center"/>
          </w:tcPr>
          <w:p w14:paraId="4CE548F8">
            <w:pPr>
              <w:spacing w:before="156" w:beforeLines="50" w:after="156" w:afterLines="50"/>
              <w:jc w:val="center"/>
              <w:rPr>
                <w:rFonts w:ascii="等线" w:hAnsi="等线"/>
                <w:b/>
                <w:color w:val="000000"/>
                <w:kern w:val="0"/>
                <w:sz w:val="18"/>
                <w:szCs w:val="18"/>
              </w:rPr>
            </w:pPr>
          </w:p>
        </w:tc>
        <w:tc>
          <w:tcPr>
            <w:tcW w:w="1323" w:type="dxa"/>
            <w:vMerge w:val="continue"/>
            <w:vAlign w:val="center"/>
          </w:tcPr>
          <w:p w14:paraId="56B8CEA3">
            <w:pPr>
              <w:spacing w:before="156" w:beforeLines="50" w:after="156" w:afterLines="50"/>
              <w:jc w:val="center"/>
              <w:rPr>
                <w:rFonts w:ascii="等线" w:hAnsi="等线"/>
                <w:b/>
                <w:color w:val="000000"/>
                <w:kern w:val="0"/>
                <w:sz w:val="18"/>
                <w:szCs w:val="18"/>
              </w:rPr>
            </w:pPr>
          </w:p>
        </w:tc>
        <w:tc>
          <w:tcPr>
            <w:tcW w:w="3464" w:type="dxa"/>
            <w:gridSpan w:val="2"/>
            <w:vMerge w:val="continue"/>
            <w:vAlign w:val="center"/>
          </w:tcPr>
          <w:p w14:paraId="2AF5D8D7">
            <w:pPr>
              <w:spacing w:before="156" w:beforeLines="50" w:after="156" w:afterLines="50"/>
              <w:jc w:val="center"/>
              <w:rPr>
                <w:rFonts w:ascii="等线" w:hAnsi="等线"/>
                <w:b/>
                <w:color w:val="000000"/>
                <w:kern w:val="0"/>
                <w:sz w:val="18"/>
                <w:szCs w:val="18"/>
              </w:rPr>
            </w:pPr>
          </w:p>
        </w:tc>
        <w:tc>
          <w:tcPr>
            <w:tcW w:w="743" w:type="dxa"/>
            <w:vMerge w:val="continue"/>
            <w:vAlign w:val="center"/>
          </w:tcPr>
          <w:p w14:paraId="11A2376F">
            <w:pPr>
              <w:spacing w:before="156" w:beforeLines="50" w:after="156" w:afterLines="50"/>
              <w:jc w:val="left"/>
              <w:rPr>
                <w:rFonts w:ascii="等线" w:hAnsi="等线"/>
                <w:b/>
                <w:color w:val="000000"/>
                <w:kern w:val="0"/>
                <w:sz w:val="18"/>
                <w:szCs w:val="18"/>
              </w:rPr>
            </w:pPr>
          </w:p>
        </w:tc>
        <w:tc>
          <w:tcPr>
            <w:tcW w:w="5141" w:type="dxa"/>
            <w:vMerge w:val="continue"/>
            <w:vAlign w:val="center"/>
          </w:tcPr>
          <w:p w14:paraId="54C2B986">
            <w:pPr>
              <w:spacing w:before="156" w:beforeLines="50" w:after="156" w:afterLines="50"/>
              <w:jc w:val="left"/>
              <w:rPr>
                <w:rFonts w:ascii="等线" w:hAnsi="等线"/>
                <w:b/>
                <w:color w:val="000000"/>
                <w:kern w:val="0"/>
                <w:sz w:val="18"/>
                <w:szCs w:val="18"/>
              </w:rPr>
            </w:pPr>
          </w:p>
        </w:tc>
        <w:tc>
          <w:tcPr>
            <w:tcW w:w="9526" w:type="dxa"/>
            <w:tcBorders>
              <w:top w:val="single" w:color="auto" w:sz="4" w:space="0"/>
              <w:right w:val="single" w:color="auto" w:sz="4" w:space="0"/>
            </w:tcBorders>
            <w:vAlign w:val="center"/>
          </w:tcPr>
          <w:p w14:paraId="1E1AE93B">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处罚基准</w:t>
            </w:r>
          </w:p>
        </w:tc>
      </w:tr>
      <w:tr w14:paraId="26E9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08" w:type="dxa"/>
            <w:vMerge w:val="continue"/>
            <w:vAlign w:val="center"/>
          </w:tcPr>
          <w:p w14:paraId="4AD878D1">
            <w:pPr>
              <w:spacing w:before="156" w:beforeLines="50" w:after="156" w:afterLines="50"/>
              <w:jc w:val="center"/>
              <w:rPr>
                <w:rFonts w:ascii="等线" w:hAnsi="等线"/>
                <w:b/>
                <w:color w:val="000000"/>
                <w:kern w:val="0"/>
                <w:sz w:val="18"/>
                <w:szCs w:val="18"/>
              </w:rPr>
            </w:pPr>
          </w:p>
        </w:tc>
        <w:tc>
          <w:tcPr>
            <w:tcW w:w="1323" w:type="dxa"/>
            <w:vMerge w:val="continue"/>
            <w:vAlign w:val="center"/>
          </w:tcPr>
          <w:p w14:paraId="16A60F73">
            <w:pPr>
              <w:spacing w:before="156" w:beforeLines="50" w:after="156" w:afterLines="50"/>
              <w:jc w:val="center"/>
              <w:rPr>
                <w:rFonts w:ascii="等线" w:hAnsi="等线"/>
                <w:b/>
                <w:color w:val="000000"/>
                <w:kern w:val="0"/>
                <w:sz w:val="18"/>
                <w:szCs w:val="18"/>
              </w:rPr>
            </w:pPr>
          </w:p>
        </w:tc>
        <w:tc>
          <w:tcPr>
            <w:tcW w:w="1476" w:type="dxa"/>
            <w:vAlign w:val="center"/>
          </w:tcPr>
          <w:p w14:paraId="51EC9AA6">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违反条款</w:t>
            </w:r>
          </w:p>
        </w:tc>
        <w:tc>
          <w:tcPr>
            <w:tcW w:w="1988" w:type="dxa"/>
            <w:vAlign w:val="center"/>
          </w:tcPr>
          <w:p w14:paraId="55A5B143">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处罚依据</w:t>
            </w:r>
          </w:p>
        </w:tc>
        <w:tc>
          <w:tcPr>
            <w:tcW w:w="743" w:type="dxa"/>
            <w:vMerge w:val="continue"/>
            <w:vAlign w:val="center"/>
          </w:tcPr>
          <w:p w14:paraId="7DB331D5">
            <w:pPr>
              <w:spacing w:before="156" w:beforeLines="50" w:after="156" w:afterLines="50"/>
              <w:jc w:val="left"/>
              <w:rPr>
                <w:rFonts w:ascii="等线" w:hAnsi="等线"/>
                <w:b/>
                <w:color w:val="000000"/>
                <w:kern w:val="0"/>
                <w:sz w:val="18"/>
                <w:szCs w:val="18"/>
              </w:rPr>
            </w:pPr>
          </w:p>
        </w:tc>
        <w:tc>
          <w:tcPr>
            <w:tcW w:w="5141" w:type="dxa"/>
            <w:vMerge w:val="continue"/>
            <w:vAlign w:val="center"/>
          </w:tcPr>
          <w:p w14:paraId="6CC694FA">
            <w:pPr>
              <w:spacing w:before="156" w:beforeLines="50" w:after="156" w:afterLines="50"/>
              <w:jc w:val="left"/>
              <w:rPr>
                <w:rFonts w:ascii="等线" w:hAnsi="等线"/>
                <w:b/>
                <w:color w:val="000000"/>
                <w:kern w:val="0"/>
                <w:sz w:val="18"/>
                <w:szCs w:val="18"/>
              </w:rPr>
            </w:pPr>
          </w:p>
        </w:tc>
        <w:tc>
          <w:tcPr>
            <w:tcW w:w="9526" w:type="dxa"/>
            <w:tcBorders>
              <w:top w:val="single" w:color="auto" w:sz="4" w:space="0"/>
              <w:right w:val="single" w:color="auto" w:sz="4" w:space="0"/>
            </w:tcBorders>
            <w:vAlign w:val="center"/>
          </w:tcPr>
          <w:p w14:paraId="6EEE6EBB">
            <w:pPr>
              <w:spacing w:before="156" w:beforeLines="50" w:after="156" w:afterLines="50"/>
              <w:jc w:val="center"/>
              <w:rPr>
                <w:rFonts w:ascii="等线" w:hAnsi="等线"/>
                <w:b/>
                <w:color w:val="000000"/>
                <w:kern w:val="0"/>
                <w:sz w:val="18"/>
                <w:szCs w:val="18"/>
              </w:rPr>
            </w:pPr>
            <w:r>
              <w:rPr>
                <w:rFonts w:hint="eastAsia" w:ascii="等线" w:hAnsi="等线"/>
                <w:b/>
                <w:color w:val="000000"/>
                <w:kern w:val="0"/>
                <w:sz w:val="18"/>
                <w:szCs w:val="18"/>
              </w:rPr>
              <w:t>【对象】船舶经营人或所有人</w:t>
            </w:r>
          </w:p>
        </w:tc>
      </w:tr>
      <w:tr w14:paraId="3C8B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708" w:type="dxa"/>
            <w:vMerge w:val="restart"/>
            <w:vAlign w:val="center"/>
          </w:tcPr>
          <w:p w14:paraId="279B5E35">
            <w:pPr>
              <w:spacing w:before="156" w:beforeLines="50" w:after="156" w:afterLines="50"/>
              <w:jc w:val="center"/>
              <w:rPr>
                <w:rFonts w:ascii="等线" w:hAnsi="等线"/>
                <w:color w:val="000000"/>
                <w:kern w:val="0"/>
                <w:sz w:val="18"/>
                <w:szCs w:val="18"/>
              </w:rPr>
            </w:pPr>
            <w:r>
              <w:rPr>
                <w:rFonts w:hint="eastAsia" w:ascii="等线" w:hAnsi="等线"/>
                <w:color w:val="000000"/>
                <w:kern w:val="0"/>
                <w:sz w:val="18"/>
                <w:szCs w:val="18"/>
              </w:rPr>
              <w:t>100</w:t>
            </w:r>
          </w:p>
        </w:tc>
        <w:tc>
          <w:tcPr>
            <w:tcW w:w="1323" w:type="dxa"/>
            <w:vMerge w:val="restart"/>
            <w:vAlign w:val="center"/>
          </w:tcPr>
          <w:p w14:paraId="439C24D8">
            <w:pPr>
              <w:widowControl/>
              <w:spacing w:before="156" w:beforeLines="50" w:after="156" w:afterLines="50"/>
              <w:jc w:val="left"/>
              <w:rPr>
                <w:rFonts w:ascii="等线" w:hAnsi="等线"/>
                <w:color w:val="000000"/>
                <w:sz w:val="18"/>
                <w:szCs w:val="18"/>
              </w:rPr>
            </w:pPr>
            <w:r>
              <w:rPr>
                <w:rFonts w:hint="eastAsia" w:ascii="等线" w:hAnsi="等线"/>
                <w:color w:val="000000"/>
                <w:sz w:val="18"/>
                <w:szCs w:val="18"/>
              </w:rPr>
              <w:t>船舶使用不符合标准或者要求的船舶用燃油</w:t>
            </w:r>
          </w:p>
        </w:tc>
        <w:tc>
          <w:tcPr>
            <w:tcW w:w="1476" w:type="dxa"/>
            <w:vMerge w:val="restart"/>
            <w:vAlign w:val="center"/>
          </w:tcPr>
          <w:p w14:paraId="06FDFE21">
            <w:pPr>
              <w:widowControl/>
              <w:spacing w:before="156" w:beforeLines="50" w:after="156" w:afterLines="50"/>
              <w:jc w:val="left"/>
              <w:rPr>
                <w:rStyle w:val="8"/>
                <w:rFonts w:ascii="等线" w:hAnsi="等线"/>
                <w:b w:val="0"/>
                <w:bCs w:val="0"/>
                <w:color w:val="000000"/>
                <w:sz w:val="18"/>
                <w:szCs w:val="18"/>
              </w:rPr>
            </w:pPr>
            <w:r>
              <w:rPr>
                <w:rStyle w:val="8"/>
                <w:rFonts w:hint="eastAsia" w:ascii="等线" w:hAnsi="等线"/>
                <w:color w:val="000000"/>
                <w:sz w:val="18"/>
                <w:szCs w:val="18"/>
              </w:rPr>
              <w:t>《中华人民共和国大气污染防治法》第六十三条</w:t>
            </w:r>
          </w:p>
        </w:tc>
        <w:tc>
          <w:tcPr>
            <w:tcW w:w="1988" w:type="dxa"/>
            <w:vMerge w:val="restart"/>
            <w:vAlign w:val="center"/>
          </w:tcPr>
          <w:p w14:paraId="77CD33A0">
            <w:pPr>
              <w:spacing w:before="156" w:beforeLines="50" w:after="156" w:afterLines="50"/>
              <w:jc w:val="left"/>
              <w:rPr>
                <w:rStyle w:val="8"/>
                <w:rFonts w:ascii="等线" w:hAnsi="等线"/>
                <w:b w:val="0"/>
                <w:color w:val="000000"/>
                <w:sz w:val="18"/>
                <w:szCs w:val="18"/>
              </w:rPr>
            </w:pPr>
            <w:r>
              <w:rPr>
                <w:rStyle w:val="8"/>
                <w:rFonts w:hint="eastAsia" w:ascii="等线" w:hAnsi="等线"/>
                <w:color w:val="000000"/>
                <w:sz w:val="18"/>
                <w:szCs w:val="18"/>
              </w:rPr>
              <w:t>1.</w:t>
            </w:r>
            <w:r>
              <w:rPr>
                <w:rFonts w:hint="eastAsia" w:ascii="等线" w:hAnsi="等线"/>
                <w:color w:val="000000"/>
                <w:sz w:val="18"/>
                <w:szCs w:val="18"/>
              </w:rPr>
              <w:t>《中华人民共和国大气污染防治法》第一百零六条</w:t>
            </w:r>
            <w:r>
              <w:rPr>
                <w:rStyle w:val="8"/>
                <w:rFonts w:hint="eastAsia" w:ascii="等线" w:hAnsi="等线"/>
                <w:color w:val="000000"/>
                <w:sz w:val="18"/>
                <w:szCs w:val="18"/>
              </w:rPr>
              <w:t>；</w:t>
            </w:r>
          </w:p>
          <w:p w14:paraId="2C6C1E34">
            <w:pPr>
              <w:spacing w:before="156" w:beforeLines="50" w:after="156" w:afterLines="50"/>
              <w:jc w:val="left"/>
              <w:rPr>
                <w:rStyle w:val="8"/>
                <w:rFonts w:ascii="等线" w:hAnsi="等线"/>
                <w:color w:val="000000"/>
                <w:sz w:val="18"/>
                <w:szCs w:val="18"/>
              </w:rPr>
            </w:pPr>
            <w:r>
              <w:rPr>
                <w:rFonts w:hint="eastAsia" w:ascii="等线" w:hAnsi="等线"/>
                <w:color w:val="000000"/>
                <w:sz w:val="18"/>
                <w:szCs w:val="18"/>
              </w:rPr>
              <w:t>2.</w:t>
            </w:r>
            <w:r>
              <w:rPr>
                <w:rFonts w:hint="eastAsia" w:ascii="等线" w:hAnsi="等线"/>
                <w:color w:val="000000"/>
                <w:kern w:val="0"/>
                <w:sz w:val="18"/>
                <w:szCs w:val="18"/>
              </w:rPr>
              <w:t>《中华人民共和国行政处罚法》第三十二条（从轻）。</w:t>
            </w:r>
          </w:p>
        </w:tc>
        <w:tc>
          <w:tcPr>
            <w:tcW w:w="743" w:type="dxa"/>
            <w:vAlign w:val="center"/>
          </w:tcPr>
          <w:p w14:paraId="7EA88ADC">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从轻</w:t>
            </w:r>
          </w:p>
        </w:tc>
        <w:tc>
          <w:tcPr>
            <w:tcW w:w="5141" w:type="dxa"/>
            <w:tcBorders>
              <w:bottom w:val="single" w:color="auto" w:sz="4" w:space="0"/>
            </w:tcBorders>
            <w:vAlign w:val="center"/>
          </w:tcPr>
          <w:p w14:paraId="725D4003">
            <w:pPr>
              <w:widowControl/>
              <w:spacing w:before="156" w:beforeLines="50" w:after="156" w:afterLines="50"/>
              <w:rPr>
                <w:rFonts w:ascii="等线" w:hAnsi="等线"/>
                <w:color w:val="000000"/>
                <w:kern w:val="0"/>
                <w:sz w:val="18"/>
                <w:szCs w:val="18"/>
              </w:rPr>
            </w:pPr>
            <w:r>
              <w:rPr>
                <w:rFonts w:hint="eastAsia" w:ascii="等线" w:hAnsi="等线"/>
                <w:color w:val="000000"/>
                <w:sz w:val="18"/>
                <w:szCs w:val="18"/>
              </w:rPr>
              <w:t>具有法定从轻情节的。</w:t>
            </w:r>
          </w:p>
        </w:tc>
        <w:tc>
          <w:tcPr>
            <w:tcW w:w="9526" w:type="dxa"/>
            <w:tcBorders>
              <w:bottom w:val="single" w:color="auto" w:sz="4" w:space="0"/>
              <w:right w:val="single" w:color="auto" w:sz="4" w:space="0"/>
            </w:tcBorders>
            <w:vAlign w:val="center"/>
          </w:tcPr>
          <w:p w14:paraId="68554A2D">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1万元及以上</w:t>
            </w:r>
            <w:r>
              <w:rPr>
                <w:rFonts w:ascii="等线" w:hAnsi="等线"/>
                <w:color w:val="000000"/>
                <w:kern w:val="0"/>
                <w:sz w:val="18"/>
                <w:szCs w:val="18"/>
              </w:rPr>
              <w:t>2.5</w:t>
            </w:r>
            <w:r>
              <w:rPr>
                <w:rFonts w:hint="eastAsia" w:ascii="等线" w:hAnsi="等线"/>
                <w:color w:val="000000"/>
                <w:kern w:val="0"/>
                <w:sz w:val="18"/>
                <w:szCs w:val="18"/>
              </w:rPr>
              <w:t>万元以下</w:t>
            </w:r>
          </w:p>
        </w:tc>
      </w:tr>
      <w:tr w14:paraId="6D9E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 w:hRule="atLeast"/>
        </w:trPr>
        <w:tc>
          <w:tcPr>
            <w:tcW w:w="708" w:type="dxa"/>
            <w:vMerge w:val="continue"/>
            <w:vAlign w:val="center"/>
          </w:tcPr>
          <w:p w14:paraId="38923C1A">
            <w:pPr>
              <w:spacing w:before="156" w:beforeLines="50" w:after="156" w:afterLines="50"/>
              <w:jc w:val="left"/>
              <w:rPr>
                <w:rFonts w:ascii="等线" w:hAnsi="等线"/>
                <w:color w:val="000000"/>
                <w:kern w:val="0"/>
                <w:sz w:val="18"/>
                <w:szCs w:val="18"/>
              </w:rPr>
            </w:pPr>
          </w:p>
        </w:tc>
        <w:tc>
          <w:tcPr>
            <w:tcW w:w="1323" w:type="dxa"/>
            <w:vMerge w:val="continue"/>
            <w:vAlign w:val="center"/>
          </w:tcPr>
          <w:p w14:paraId="422D5214">
            <w:pPr>
              <w:spacing w:before="156" w:beforeLines="50" w:after="156" w:afterLines="50"/>
              <w:jc w:val="left"/>
              <w:rPr>
                <w:rFonts w:ascii="等线" w:hAnsi="等线"/>
                <w:color w:val="000000"/>
                <w:kern w:val="0"/>
                <w:sz w:val="18"/>
                <w:szCs w:val="18"/>
              </w:rPr>
            </w:pPr>
          </w:p>
        </w:tc>
        <w:tc>
          <w:tcPr>
            <w:tcW w:w="1476" w:type="dxa"/>
            <w:vMerge w:val="continue"/>
            <w:vAlign w:val="center"/>
          </w:tcPr>
          <w:p w14:paraId="02472213">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14:paraId="53D5D7BF">
            <w:pPr>
              <w:spacing w:before="156" w:beforeLines="50" w:after="156" w:afterLines="50"/>
              <w:jc w:val="left"/>
              <w:rPr>
                <w:rFonts w:ascii="等线" w:hAnsi="等线"/>
                <w:color w:val="000000"/>
                <w:kern w:val="0"/>
                <w:sz w:val="18"/>
                <w:szCs w:val="18"/>
              </w:rPr>
            </w:pPr>
          </w:p>
        </w:tc>
        <w:tc>
          <w:tcPr>
            <w:tcW w:w="743" w:type="dxa"/>
            <w:vMerge w:val="restart"/>
            <w:vAlign w:val="center"/>
          </w:tcPr>
          <w:p w14:paraId="2F794A57">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一般</w:t>
            </w:r>
          </w:p>
        </w:tc>
        <w:tc>
          <w:tcPr>
            <w:tcW w:w="5141" w:type="dxa"/>
            <w:vAlign w:val="center"/>
          </w:tcPr>
          <w:p w14:paraId="301423B9">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经检测不合格，且船舶不能提供证明加注的船用燃油符合标准或要求的证据（如加油单证及油品合格证）</w:t>
            </w:r>
            <w:r>
              <w:rPr>
                <w:rFonts w:hint="eastAsia" w:ascii="等线" w:hAnsi="等线"/>
                <w:bCs/>
                <w:color w:val="000000"/>
                <w:sz w:val="18"/>
                <w:szCs w:val="18"/>
              </w:rPr>
              <w:t>。</w:t>
            </w:r>
          </w:p>
        </w:tc>
        <w:tc>
          <w:tcPr>
            <w:tcW w:w="9526" w:type="dxa"/>
            <w:tcBorders>
              <w:top w:val="single" w:color="auto" w:sz="4" w:space="0"/>
              <w:right w:val="single" w:color="auto" w:sz="4" w:space="0"/>
            </w:tcBorders>
            <w:vAlign w:val="center"/>
          </w:tcPr>
          <w:p w14:paraId="7BD7A91E">
            <w:pPr>
              <w:spacing w:before="156" w:beforeLines="50" w:after="156" w:afterLines="50"/>
              <w:jc w:val="left"/>
              <w:rPr>
                <w:rFonts w:ascii="等线" w:hAnsi="等线"/>
                <w:color w:val="000000"/>
                <w:kern w:val="0"/>
                <w:sz w:val="18"/>
                <w:szCs w:val="18"/>
              </w:rPr>
            </w:pPr>
            <w:r>
              <w:rPr>
                <w:rFonts w:ascii="等线" w:hAnsi="等线"/>
                <w:color w:val="000000"/>
                <w:kern w:val="0"/>
                <w:sz w:val="18"/>
                <w:szCs w:val="18"/>
              </w:rPr>
              <w:t>2.5</w:t>
            </w:r>
            <w:r>
              <w:rPr>
                <w:rFonts w:hint="eastAsia" w:ascii="等线" w:hAnsi="等线"/>
                <w:color w:val="000000"/>
                <w:kern w:val="0"/>
                <w:sz w:val="18"/>
                <w:szCs w:val="18"/>
              </w:rPr>
              <w:t>万元及以上5万元以下</w:t>
            </w:r>
          </w:p>
        </w:tc>
      </w:tr>
      <w:tr w14:paraId="03E5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trPr>
        <w:tc>
          <w:tcPr>
            <w:tcW w:w="708" w:type="dxa"/>
            <w:vMerge w:val="continue"/>
            <w:vAlign w:val="center"/>
          </w:tcPr>
          <w:p w14:paraId="328BADA3">
            <w:pPr>
              <w:spacing w:before="156" w:beforeLines="50" w:after="156" w:afterLines="50"/>
              <w:jc w:val="left"/>
              <w:rPr>
                <w:rFonts w:ascii="等线" w:hAnsi="等线"/>
                <w:color w:val="000000"/>
                <w:kern w:val="0"/>
                <w:sz w:val="18"/>
                <w:szCs w:val="18"/>
              </w:rPr>
            </w:pPr>
          </w:p>
        </w:tc>
        <w:tc>
          <w:tcPr>
            <w:tcW w:w="1323" w:type="dxa"/>
            <w:vMerge w:val="continue"/>
            <w:vAlign w:val="center"/>
          </w:tcPr>
          <w:p w14:paraId="6E5FFDAC">
            <w:pPr>
              <w:spacing w:before="156" w:beforeLines="50" w:after="156" w:afterLines="50"/>
              <w:jc w:val="left"/>
              <w:rPr>
                <w:rFonts w:ascii="等线" w:hAnsi="等线"/>
                <w:color w:val="000000"/>
                <w:kern w:val="0"/>
                <w:sz w:val="18"/>
                <w:szCs w:val="18"/>
              </w:rPr>
            </w:pPr>
          </w:p>
        </w:tc>
        <w:tc>
          <w:tcPr>
            <w:tcW w:w="1476" w:type="dxa"/>
            <w:vMerge w:val="continue"/>
            <w:vAlign w:val="center"/>
          </w:tcPr>
          <w:p w14:paraId="4DC8053B">
            <w:pPr>
              <w:widowControl/>
              <w:spacing w:before="156" w:beforeLines="50" w:after="156" w:afterLines="50"/>
              <w:jc w:val="left"/>
              <w:rPr>
                <w:rFonts w:ascii="等线" w:hAnsi="等线"/>
                <w:color w:val="000000"/>
                <w:kern w:val="0"/>
                <w:sz w:val="18"/>
                <w:szCs w:val="18"/>
              </w:rPr>
            </w:pPr>
          </w:p>
        </w:tc>
        <w:tc>
          <w:tcPr>
            <w:tcW w:w="1988" w:type="dxa"/>
            <w:vMerge w:val="continue"/>
            <w:vAlign w:val="center"/>
          </w:tcPr>
          <w:p w14:paraId="13FCABA7">
            <w:pPr>
              <w:spacing w:before="156" w:beforeLines="50" w:after="156" w:afterLines="50"/>
              <w:jc w:val="left"/>
              <w:rPr>
                <w:rFonts w:ascii="等线" w:hAnsi="等线"/>
                <w:color w:val="000000"/>
                <w:kern w:val="0"/>
                <w:sz w:val="18"/>
                <w:szCs w:val="18"/>
              </w:rPr>
            </w:pPr>
          </w:p>
        </w:tc>
        <w:tc>
          <w:tcPr>
            <w:tcW w:w="743" w:type="dxa"/>
            <w:vMerge w:val="continue"/>
            <w:vAlign w:val="center"/>
          </w:tcPr>
          <w:p w14:paraId="1961BC50">
            <w:pPr>
              <w:spacing w:before="156" w:beforeLines="50" w:after="156" w:afterLines="50"/>
              <w:jc w:val="left"/>
              <w:rPr>
                <w:rFonts w:ascii="等线" w:hAnsi="等线"/>
                <w:color w:val="000000"/>
                <w:kern w:val="0"/>
                <w:sz w:val="18"/>
                <w:szCs w:val="18"/>
              </w:rPr>
            </w:pPr>
          </w:p>
        </w:tc>
        <w:tc>
          <w:tcPr>
            <w:tcW w:w="5141" w:type="dxa"/>
            <w:vAlign w:val="center"/>
          </w:tcPr>
          <w:p w14:paraId="0F914C7E">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经检测不合格，且船舶明知使用的燃油不符合标准或要求（如使用非正规渠道加的油或重油），故意使用的；</w:t>
            </w:r>
          </w:p>
          <w:p w14:paraId="1317F623">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海船进入内河排放控制区使用高硫燃油的。</w:t>
            </w:r>
          </w:p>
        </w:tc>
        <w:tc>
          <w:tcPr>
            <w:tcW w:w="9526" w:type="dxa"/>
            <w:tcBorders>
              <w:top w:val="single" w:color="auto" w:sz="4" w:space="0"/>
              <w:right w:val="single" w:color="auto" w:sz="4" w:space="0"/>
            </w:tcBorders>
            <w:vAlign w:val="center"/>
          </w:tcPr>
          <w:p w14:paraId="7B82D3F5">
            <w:pPr>
              <w:spacing w:before="156" w:beforeLines="50" w:after="156" w:afterLines="50"/>
              <w:jc w:val="left"/>
              <w:rPr>
                <w:rFonts w:ascii="等线" w:hAnsi="等线"/>
                <w:color w:val="000000"/>
                <w:kern w:val="0"/>
                <w:sz w:val="18"/>
                <w:szCs w:val="18"/>
              </w:rPr>
            </w:pPr>
            <w:r>
              <w:rPr>
                <w:rFonts w:hint="eastAsia" w:ascii="等线" w:hAnsi="等线"/>
                <w:color w:val="000000"/>
                <w:kern w:val="0"/>
                <w:sz w:val="18"/>
                <w:szCs w:val="18"/>
              </w:rPr>
              <w:t>5万元及以上10万元及以下</w:t>
            </w:r>
          </w:p>
        </w:tc>
      </w:tr>
      <w:tr w14:paraId="6708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20905" w:type="dxa"/>
            <w:gridSpan w:val="7"/>
            <w:tcBorders>
              <w:right w:val="single" w:color="auto" w:sz="4" w:space="0"/>
            </w:tcBorders>
            <w:vAlign w:val="center"/>
          </w:tcPr>
          <w:p w14:paraId="6BEEC626">
            <w:pPr>
              <w:spacing w:before="156" w:beforeLines="50" w:after="156" w:afterLines="50"/>
              <w:jc w:val="left"/>
              <w:rPr>
                <w:rFonts w:ascii="等线" w:hAnsi="等线"/>
                <w:color w:val="000000"/>
                <w:kern w:val="0"/>
                <w:sz w:val="18"/>
                <w:szCs w:val="18"/>
              </w:rPr>
            </w:pPr>
            <w:r>
              <w:rPr>
                <w:rFonts w:hint="eastAsia" w:ascii="等线" w:hAnsi="等线"/>
                <w:b/>
                <w:bCs/>
                <w:color w:val="000000"/>
                <w:kern w:val="0"/>
                <w:sz w:val="18"/>
                <w:szCs w:val="18"/>
              </w:rPr>
              <w:t>注：1.内河船和江海直达船在内河排放控制区使用船用燃油、柴油硫含量控制要求是一致的，均为10 mg/Kg；2.海船进入内河排放控制区：</w:t>
            </w:r>
            <w:r>
              <w:rPr>
                <w:rFonts w:ascii="等线" w:hAnsi="等线"/>
                <w:b/>
                <w:bCs/>
                <w:color w:val="000000"/>
                <w:kern w:val="0"/>
                <w:sz w:val="18"/>
                <w:szCs w:val="18"/>
              </w:rPr>
              <w:t xml:space="preserve"> </w:t>
            </w:r>
            <w:r>
              <w:rPr>
                <w:rFonts w:hint="eastAsia" w:ascii="等线" w:hAnsi="等线"/>
                <w:b/>
                <w:bCs/>
                <w:color w:val="000000"/>
                <w:kern w:val="0"/>
                <w:sz w:val="18"/>
                <w:szCs w:val="18"/>
              </w:rPr>
              <w:t>2020年1月1日起，应使用硫含量不大于0.1% m/m的船用燃油。</w:t>
            </w:r>
          </w:p>
        </w:tc>
      </w:tr>
    </w:tbl>
    <w:p w14:paraId="142DB05B">
      <w:pPr>
        <w:widowControl/>
        <w:jc w:val="left"/>
        <w:rPr>
          <w:sz w:val="18"/>
          <w:szCs w:val="18"/>
        </w:rPr>
      </w:pPr>
      <w:r>
        <w:rPr>
          <w:sz w:val="18"/>
          <w:szCs w:val="18"/>
        </w:rPr>
        <w:br w:type="page"/>
      </w:r>
    </w:p>
    <w:tbl>
      <w:tblPr>
        <w:tblStyle w:val="6"/>
        <w:tblpPr w:leftFromText="180" w:rightFromText="180" w:vertAnchor="text" w:horzAnchor="margin" w:tblpY="15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340"/>
        <w:gridCol w:w="1876"/>
        <w:gridCol w:w="2127"/>
        <w:gridCol w:w="909"/>
        <w:gridCol w:w="5036"/>
        <w:gridCol w:w="8790"/>
      </w:tblGrid>
      <w:tr w14:paraId="1F7D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61" w:type="dxa"/>
            <w:vMerge w:val="restart"/>
            <w:vAlign w:val="center"/>
          </w:tcPr>
          <w:p w14:paraId="2B3E64ED">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40" w:type="dxa"/>
            <w:vMerge w:val="restart"/>
            <w:vAlign w:val="center"/>
          </w:tcPr>
          <w:p w14:paraId="07F91D41">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4003" w:type="dxa"/>
            <w:gridSpan w:val="2"/>
            <w:vMerge w:val="restart"/>
            <w:vAlign w:val="center"/>
          </w:tcPr>
          <w:p w14:paraId="0EDBE6DD">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909" w:type="dxa"/>
            <w:vMerge w:val="restart"/>
            <w:vAlign w:val="center"/>
          </w:tcPr>
          <w:p w14:paraId="2D484B4D">
            <w:pPr>
              <w:spacing w:before="156" w:beforeLines="50" w:after="156" w:afterLines="50"/>
              <w:jc w:val="center"/>
              <w:rPr>
                <w:rFonts w:ascii="等线" w:hAnsi="等线"/>
                <w:b/>
                <w:kern w:val="0"/>
                <w:sz w:val="18"/>
                <w:szCs w:val="18"/>
              </w:rPr>
            </w:pPr>
            <w:r>
              <w:rPr>
                <w:rFonts w:hint="eastAsia" w:ascii="等线" w:hAnsi="等线"/>
                <w:b/>
                <w:kern w:val="0"/>
                <w:sz w:val="18"/>
                <w:szCs w:val="18"/>
              </w:rPr>
              <w:t>违法</w:t>
            </w:r>
          </w:p>
          <w:p w14:paraId="6515B9D7">
            <w:pPr>
              <w:spacing w:before="156" w:beforeLines="50" w:after="156" w:afterLines="50"/>
              <w:jc w:val="center"/>
              <w:rPr>
                <w:rFonts w:ascii="等线" w:hAnsi="等线"/>
                <w:b/>
                <w:kern w:val="0"/>
                <w:sz w:val="18"/>
                <w:szCs w:val="18"/>
              </w:rPr>
            </w:pPr>
            <w:r>
              <w:rPr>
                <w:rFonts w:hint="eastAsia" w:ascii="等线" w:hAnsi="等线"/>
                <w:b/>
                <w:kern w:val="0"/>
                <w:sz w:val="18"/>
                <w:szCs w:val="18"/>
              </w:rPr>
              <w:t>情节</w:t>
            </w:r>
          </w:p>
        </w:tc>
        <w:tc>
          <w:tcPr>
            <w:tcW w:w="5036" w:type="dxa"/>
            <w:vMerge w:val="restart"/>
            <w:vAlign w:val="center"/>
          </w:tcPr>
          <w:p w14:paraId="63392A0B">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14:paraId="507A7389">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8790" w:type="dxa"/>
            <w:vAlign w:val="center"/>
          </w:tcPr>
          <w:p w14:paraId="57F96A3D">
            <w:pPr>
              <w:spacing w:before="156" w:beforeLines="50" w:after="156" w:afterLines="50"/>
              <w:jc w:val="center"/>
              <w:rPr>
                <w:rFonts w:ascii="等线" w:hAnsi="等线"/>
                <w:b/>
                <w:kern w:val="0"/>
                <w:sz w:val="18"/>
                <w:szCs w:val="18"/>
              </w:rPr>
            </w:pPr>
            <w:r>
              <w:rPr>
                <w:rFonts w:hint="eastAsia" w:ascii="等线" w:hAnsi="等线"/>
                <w:b/>
                <w:kern w:val="0"/>
                <w:sz w:val="18"/>
                <w:szCs w:val="18"/>
              </w:rPr>
              <w:t>【法定幅度和种类】</w:t>
            </w:r>
            <w:r>
              <w:rPr>
                <w:rFonts w:hint="eastAsia" w:ascii="等线" w:hAnsi="等线"/>
                <w:b/>
                <w:sz w:val="18"/>
                <w:szCs w:val="18"/>
              </w:rPr>
              <w:t>由海事管理机构责令改正，并处以3000元以上1万元以下的罚款。</w:t>
            </w:r>
          </w:p>
        </w:tc>
      </w:tr>
      <w:tr w14:paraId="7E3FE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61" w:type="dxa"/>
            <w:vMerge w:val="continue"/>
            <w:vAlign w:val="center"/>
          </w:tcPr>
          <w:p w14:paraId="37CB34D8">
            <w:pPr>
              <w:spacing w:before="156" w:beforeLines="50" w:after="156" w:afterLines="50"/>
              <w:jc w:val="center"/>
              <w:rPr>
                <w:rFonts w:ascii="等线" w:hAnsi="等线"/>
                <w:b/>
                <w:kern w:val="0"/>
                <w:sz w:val="18"/>
                <w:szCs w:val="18"/>
              </w:rPr>
            </w:pPr>
          </w:p>
        </w:tc>
        <w:tc>
          <w:tcPr>
            <w:tcW w:w="1340" w:type="dxa"/>
            <w:vMerge w:val="continue"/>
            <w:vAlign w:val="center"/>
          </w:tcPr>
          <w:p w14:paraId="0DDC29E2">
            <w:pPr>
              <w:spacing w:before="156" w:beforeLines="50" w:after="156" w:afterLines="50"/>
              <w:jc w:val="center"/>
              <w:rPr>
                <w:rFonts w:ascii="等线" w:hAnsi="等线"/>
                <w:b/>
                <w:kern w:val="0"/>
                <w:sz w:val="18"/>
                <w:szCs w:val="18"/>
              </w:rPr>
            </w:pPr>
          </w:p>
        </w:tc>
        <w:tc>
          <w:tcPr>
            <w:tcW w:w="4003" w:type="dxa"/>
            <w:gridSpan w:val="2"/>
            <w:vMerge w:val="continue"/>
            <w:vAlign w:val="center"/>
          </w:tcPr>
          <w:p w14:paraId="5BA90B32">
            <w:pPr>
              <w:spacing w:before="156" w:beforeLines="50" w:after="156" w:afterLines="50"/>
              <w:jc w:val="center"/>
              <w:rPr>
                <w:rFonts w:ascii="等线" w:hAnsi="等线"/>
                <w:b/>
                <w:kern w:val="0"/>
                <w:sz w:val="18"/>
                <w:szCs w:val="18"/>
              </w:rPr>
            </w:pPr>
          </w:p>
        </w:tc>
        <w:tc>
          <w:tcPr>
            <w:tcW w:w="909" w:type="dxa"/>
            <w:vMerge w:val="continue"/>
            <w:vAlign w:val="center"/>
          </w:tcPr>
          <w:p w14:paraId="4E916FCE">
            <w:pPr>
              <w:spacing w:before="156" w:beforeLines="50" w:after="156" w:afterLines="50"/>
              <w:jc w:val="center"/>
              <w:rPr>
                <w:rFonts w:ascii="等线" w:hAnsi="等线"/>
                <w:b/>
                <w:kern w:val="0"/>
                <w:sz w:val="18"/>
                <w:szCs w:val="18"/>
              </w:rPr>
            </w:pPr>
          </w:p>
        </w:tc>
        <w:tc>
          <w:tcPr>
            <w:tcW w:w="5036" w:type="dxa"/>
            <w:vMerge w:val="continue"/>
            <w:vAlign w:val="center"/>
          </w:tcPr>
          <w:p w14:paraId="79296721">
            <w:pPr>
              <w:spacing w:before="156" w:beforeLines="50" w:after="156" w:afterLines="50"/>
              <w:jc w:val="center"/>
              <w:rPr>
                <w:rFonts w:ascii="等线" w:hAnsi="等线"/>
                <w:b/>
                <w:kern w:val="0"/>
                <w:sz w:val="18"/>
                <w:szCs w:val="18"/>
              </w:rPr>
            </w:pPr>
          </w:p>
        </w:tc>
        <w:tc>
          <w:tcPr>
            <w:tcW w:w="8790" w:type="dxa"/>
            <w:vAlign w:val="center"/>
          </w:tcPr>
          <w:p w14:paraId="1BF311B3">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14:paraId="0B10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861" w:type="dxa"/>
            <w:vMerge w:val="continue"/>
            <w:tcBorders>
              <w:bottom w:val="single" w:color="000000" w:sz="4" w:space="0"/>
            </w:tcBorders>
            <w:vAlign w:val="center"/>
          </w:tcPr>
          <w:p w14:paraId="5E975D5A">
            <w:pPr>
              <w:spacing w:before="156" w:beforeLines="50" w:after="156" w:afterLines="50"/>
              <w:jc w:val="left"/>
              <w:rPr>
                <w:rFonts w:ascii="等线" w:hAnsi="等线"/>
                <w:b/>
                <w:kern w:val="0"/>
                <w:sz w:val="18"/>
                <w:szCs w:val="18"/>
              </w:rPr>
            </w:pPr>
          </w:p>
        </w:tc>
        <w:tc>
          <w:tcPr>
            <w:tcW w:w="1340" w:type="dxa"/>
            <w:vMerge w:val="continue"/>
            <w:tcBorders>
              <w:bottom w:val="single" w:color="000000" w:sz="4" w:space="0"/>
            </w:tcBorders>
            <w:vAlign w:val="center"/>
          </w:tcPr>
          <w:p w14:paraId="63D229CE">
            <w:pPr>
              <w:spacing w:before="156" w:beforeLines="50" w:after="156" w:afterLines="50"/>
              <w:jc w:val="left"/>
              <w:rPr>
                <w:rFonts w:ascii="等线" w:hAnsi="等线"/>
                <w:b/>
                <w:kern w:val="0"/>
                <w:sz w:val="18"/>
                <w:szCs w:val="18"/>
              </w:rPr>
            </w:pPr>
          </w:p>
        </w:tc>
        <w:tc>
          <w:tcPr>
            <w:tcW w:w="1876" w:type="dxa"/>
            <w:tcBorders>
              <w:bottom w:val="single" w:color="000000" w:sz="4" w:space="0"/>
            </w:tcBorders>
            <w:vAlign w:val="center"/>
          </w:tcPr>
          <w:p w14:paraId="5E9D4FC1">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2127" w:type="dxa"/>
            <w:tcBorders>
              <w:bottom w:val="single" w:color="000000" w:sz="4" w:space="0"/>
            </w:tcBorders>
            <w:vAlign w:val="center"/>
          </w:tcPr>
          <w:p w14:paraId="024D2243">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909" w:type="dxa"/>
            <w:vMerge w:val="continue"/>
            <w:tcBorders>
              <w:bottom w:val="single" w:color="000000" w:sz="4" w:space="0"/>
            </w:tcBorders>
            <w:vAlign w:val="center"/>
          </w:tcPr>
          <w:p w14:paraId="647A4A77">
            <w:pPr>
              <w:spacing w:before="156" w:beforeLines="50" w:after="156" w:afterLines="50"/>
              <w:jc w:val="left"/>
              <w:rPr>
                <w:rFonts w:ascii="等线" w:hAnsi="等线"/>
                <w:b/>
                <w:kern w:val="0"/>
                <w:sz w:val="18"/>
                <w:szCs w:val="18"/>
              </w:rPr>
            </w:pPr>
          </w:p>
        </w:tc>
        <w:tc>
          <w:tcPr>
            <w:tcW w:w="5036" w:type="dxa"/>
            <w:vMerge w:val="continue"/>
            <w:tcBorders>
              <w:bottom w:val="single" w:color="000000" w:sz="4" w:space="0"/>
            </w:tcBorders>
            <w:vAlign w:val="center"/>
          </w:tcPr>
          <w:p w14:paraId="24BCC003">
            <w:pPr>
              <w:spacing w:before="156" w:beforeLines="50" w:after="156" w:afterLines="50"/>
              <w:jc w:val="left"/>
              <w:rPr>
                <w:rFonts w:ascii="等线" w:hAnsi="等线"/>
                <w:b/>
                <w:kern w:val="0"/>
                <w:sz w:val="18"/>
                <w:szCs w:val="18"/>
              </w:rPr>
            </w:pPr>
          </w:p>
        </w:tc>
        <w:tc>
          <w:tcPr>
            <w:tcW w:w="8790" w:type="dxa"/>
            <w:vAlign w:val="center"/>
          </w:tcPr>
          <w:p w14:paraId="0A234AA2">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14:paraId="5237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861" w:type="dxa"/>
            <w:vMerge w:val="restart"/>
            <w:vAlign w:val="center"/>
          </w:tcPr>
          <w:p w14:paraId="1219DCA4">
            <w:pPr>
              <w:spacing w:before="156" w:beforeLines="50" w:after="156" w:afterLines="50"/>
              <w:jc w:val="center"/>
              <w:rPr>
                <w:rFonts w:ascii="等线" w:hAnsi="等线"/>
                <w:kern w:val="0"/>
                <w:sz w:val="18"/>
                <w:szCs w:val="18"/>
              </w:rPr>
            </w:pPr>
            <w:r>
              <w:rPr>
                <w:rFonts w:hint="eastAsia" w:ascii="等线" w:hAnsi="等线"/>
                <w:kern w:val="0"/>
                <w:sz w:val="18"/>
                <w:szCs w:val="18"/>
              </w:rPr>
              <w:t>101</w:t>
            </w:r>
          </w:p>
        </w:tc>
        <w:tc>
          <w:tcPr>
            <w:tcW w:w="1340" w:type="dxa"/>
            <w:vMerge w:val="restart"/>
            <w:vAlign w:val="center"/>
          </w:tcPr>
          <w:p w14:paraId="2931B2DE">
            <w:pPr>
              <w:spacing w:before="156" w:beforeLines="50" w:after="156" w:afterLines="50"/>
              <w:jc w:val="left"/>
              <w:rPr>
                <w:rFonts w:ascii="等线" w:hAnsi="等线"/>
                <w:kern w:val="0"/>
                <w:sz w:val="18"/>
                <w:szCs w:val="18"/>
              </w:rPr>
            </w:pPr>
            <w:r>
              <w:rPr>
                <w:rFonts w:hint="eastAsia" w:ascii="等线" w:hAnsi="等线"/>
                <w:sz w:val="18"/>
                <w:szCs w:val="18"/>
              </w:rPr>
              <w:t>船舶未按规定如实记录油类作业情况</w:t>
            </w:r>
          </w:p>
        </w:tc>
        <w:tc>
          <w:tcPr>
            <w:tcW w:w="1876" w:type="dxa"/>
            <w:vMerge w:val="restart"/>
            <w:vAlign w:val="center"/>
          </w:tcPr>
          <w:p w14:paraId="0926453B">
            <w:pPr>
              <w:widowControl/>
              <w:spacing w:before="156" w:beforeLines="50" w:after="156" w:afterLines="50"/>
              <w:jc w:val="left"/>
              <w:rPr>
                <w:rFonts w:ascii="等线" w:hAnsi="等线"/>
                <w:kern w:val="0"/>
                <w:sz w:val="18"/>
                <w:szCs w:val="18"/>
              </w:rPr>
            </w:pPr>
            <w:r>
              <w:rPr>
                <w:rFonts w:hint="eastAsia" w:ascii="等线" w:hAnsi="等线"/>
                <w:sz w:val="18"/>
                <w:szCs w:val="18"/>
              </w:rPr>
              <w:t>《中华人民共和国防治船舶污染内河水域环境管理规定》第十四条第一款或第二款</w:t>
            </w:r>
          </w:p>
        </w:tc>
        <w:tc>
          <w:tcPr>
            <w:tcW w:w="2127" w:type="dxa"/>
            <w:vMerge w:val="restart"/>
            <w:vAlign w:val="center"/>
          </w:tcPr>
          <w:p w14:paraId="43D49263">
            <w:pPr>
              <w:widowControl/>
              <w:spacing w:before="156" w:beforeLines="50" w:after="156" w:afterLines="50"/>
              <w:jc w:val="left"/>
              <w:rPr>
                <w:rFonts w:ascii="等线" w:hAnsi="等线"/>
                <w:sz w:val="18"/>
                <w:szCs w:val="18"/>
              </w:rPr>
            </w:pPr>
            <w:r>
              <w:rPr>
                <w:rFonts w:hint="eastAsia" w:ascii="等线" w:hAnsi="等线"/>
                <w:sz w:val="18"/>
                <w:szCs w:val="18"/>
              </w:rPr>
              <w:t>《中华人民共和国防治船舶污染内河水域环境管理规定》第四十六条第（一）项</w:t>
            </w:r>
          </w:p>
        </w:tc>
        <w:tc>
          <w:tcPr>
            <w:tcW w:w="909" w:type="dxa"/>
            <w:vAlign w:val="center"/>
          </w:tcPr>
          <w:p w14:paraId="06E7174C">
            <w:pPr>
              <w:spacing w:before="156" w:beforeLines="50" w:after="156" w:afterLines="50"/>
              <w:jc w:val="center"/>
              <w:rPr>
                <w:rFonts w:ascii="等线" w:hAnsi="等线"/>
                <w:kern w:val="0"/>
                <w:sz w:val="18"/>
                <w:szCs w:val="18"/>
              </w:rPr>
            </w:pPr>
            <w:r>
              <w:rPr>
                <w:rFonts w:hint="eastAsia" w:ascii="等线" w:hAnsi="等线"/>
                <w:kern w:val="0"/>
                <w:sz w:val="18"/>
                <w:szCs w:val="18"/>
              </w:rPr>
              <w:t>从轻</w:t>
            </w:r>
          </w:p>
        </w:tc>
        <w:tc>
          <w:tcPr>
            <w:tcW w:w="5036" w:type="dxa"/>
            <w:vAlign w:val="center"/>
          </w:tcPr>
          <w:p w14:paraId="7FC905CC">
            <w:pPr>
              <w:widowControl/>
              <w:spacing w:before="156" w:beforeLines="50" w:after="156" w:afterLines="50"/>
              <w:jc w:val="left"/>
              <w:rPr>
                <w:rFonts w:ascii="等线" w:hAnsi="等线"/>
                <w:kern w:val="0"/>
                <w:sz w:val="18"/>
                <w:szCs w:val="18"/>
              </w:rPr>
            </w:pPr>
            <w:r>
              <w:rPr>
                <w:rFonts w:hint="eastAsia" w:ascii="等线" w:hAnsi="等线"/>
                <w:kern w:val="0"/>
                <w:sz w:val="18"/>
                <w:szCs w:val="18"/>
              </w:rPr>
              <w:t>具有法定从轻情节的。</w:t>
            </w:r>
          </w:p>
        </w:tc>
        <w:tc>
          <w:tcPr>
            <w:tcW w:w="8790" w:type="dxa"/>
            <w:vAlign w:val="center"/>
          </w:tcPr>
          <w:p w14:paraId="74376083">
            <w:pPr>
              <w:spacing w:before="156" w:beforeLines="50" w:after="156" w:afterLines="50"/>
              <w:jc w:val="left"/>
              <w:rPr>
                <w:rFonts w:ascii="等线" w:hAnsi="等线"/>
                <w:kern w:val="0"/>
                <w:sz w:val="18"/>
                <w:szCs w:val="18"/>
              </w:rPr>
            </w:pPr>
            <w:r>
              <w:rPr>
                <w:rFonts w:hint="eastAsia" w:ascii="等线" w:hAnsi="等线"/>
                <w:kern w:val="0"/>
                <w:sz w:val="18"/>
                <w:szCs w:val="18"/>
              </w:rPr>
              <w:t>3000元及以上4000元以下</w:t>
            </w:r>
          </w:p>
        </w:tc>
      </w:tr>
      <w:tr w14:paraId="1CDFD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861" w:type="dxa"/>
            <w:vMerge w:val="continue"/>
            <w:vAlign w:val="center"/>
          </w:tcPr>
          <w:p w14:paraId="0CA60FD8">
            <w:pPr>
              <w:spacing w:before="156" w:beforeLines="50" w:after="156" w:afterLines="50"/>
              <w:jc w:val="left"/>
              <w:rPr>
                <w:rFonts w:ascii="等线" w:hAnsi="等线"/>
                <w:kern w:val="0"/>
                <w:sz w:val="18"/>
                <w:szCs w:val="18"/>
              </w:rPr>
            </w:pPr>
          </w:p>
        </w:tc>
        <w:tc>
          <w:tcPr>
            <w:tcW w:w="1340" w:type="dxa"/>
            <w:vMerge w:val="continue"/>
            <w:vAlign w:val="center"/>
          </w:tcPr>
          <w:p w14:paraId="04756BBB">
            <w:pPr>
              <w:spacing w:before="156" w:beforeLines="50" w:after="156" w:afterLines="50"/>
              <w:jc w:val="left"/>
              <w:rPr>
                <w:rFonts w:ascii="等线" w:hAnsi="等线"/>
                <w:kern w:val="0"/>
                <w:sz w:val="18"/>
                <w:szCs w:val="18"/>
              </w:rPr>
            </w:pPr>
          </w:p>
        </w:tc>
        <w:tc>
          <w:tcPr>
            <w:tcW w:w="1876" w:type="dxa"/>
            <w:vMerge w:val="continue"/>
            <w:vAlign w:val="center"/>
          </w:tcPr>
          <w:p w14:paraId="3299725D">
            <w:pPr>
              <w:widowControl/>
              <w:spacing w:before="156" w:beforeLines="50" w:after="156" w:afterLines="50"/>
              <w:jc w:val="left"/>
              <w:rPr>
                <w:rFonts w:ascii="等线" w:hAnsi="等线"/>
                <w:kern w:val="0"/>
                <w:sz w:val="18"/>
                <w:szCs w:val="18"/>
              </w:rPr>
            </w:pPr>
          </w:p>
        </w:tc>
        <w:tc>
          <w:tcPr>
            <w:tcW w:w="2127" w:type="dxa"/>
            <w:vMerge w:val="continue"/>
            <w:vAlign w:val="center"/>
          </w:tcPr>
          <w:p w14:paraId="41B84AAB">
            <w:pPr>
              <w:spacing w:before="156" w:beforeLines="50" w:after="156" w:afterLines="50"/>
              <w:jc w:val="left"/>
              <w:rPr>
                <w:rFonts w:ascii="等线" w:hAnsi="等线"/>
                <w:kern w:val="0"/>
                <w:sz w:val="18"/>
                <w:szCs w:val="18"/>
              </w:rPr>
            </w:pPr>
          </w:p>
        </w:tc>
        <w:tc>
          <w:tcPr>
            <w:tcW w:w="909" w:type="dxa"/>
            <w:vMerge w:val="restart"/>
            <w:vAlign w:val="center"/>
          </w:tcPr>
          <w:p w14:paraId="27BAB0E0">
            <w:pPr>
              <w:spacing w:before="156" w:beforeLines="50" w:after="156" w:afterLines="50"/>
              <w:jc w:val="center"/>
              <w:rPr>
                <w:rFonts w:ascii="等线" w:hAnsi="等线"/>
                <w:kern w:val="0"/>
                <w:sz w:val="18"/>
                <w:szCs w:val="18"/>
              </w:rPr>
            </w:pPr>
            <w:r>
              <w:rPr>
                <w:rFonts w:hint="eastAsia" w:ascii="等线" w:hAnsi="等线"/>
                <w:kern w:val="0"/>
                <w:sz w:val="18"/>
                <w:szCs w:val="18"/>
              </w:rPr>
              <w:t>一般</w:t>
            </w:r>
          </w:p>
        </w:tc>
        <w:tc>
          <w:tcPr>
            <w:tcW w:w="5036" w:type="dxa"/>
            <w:vAlign w:val="center"/>
          </w:tcPr>
          <w:p w14:paraId="56D91DAD">
            <w:pPr>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船舶进行燃油加注、散装油类装卸等油类作业1次未记录的。</w:t>
            </w:r>
          </w:p>
        </w:tc>
        <w:tc>
          <w:tcPr>
            <w:tcW w:w="8790" w:type="dxa"/>
            <w:vAlign w:val="center"/>
          </w:tcPr>
          <w:p w14:paraId="5C1D3E4F">
            <w:pPr>
              <w:spacing w:before="156" w:beforeLines="50" w:after="156" w:afterLines="50"/>
              <w:jc w:val="left"/>
              <w:rPr>
                <w:rFonts w:ascii="等线" w:hAnsi="等线"/>
                <w:kern w:val="0"/>
                <w:sz w:val="18"/>
                <w:szCs w:val="18"/>
              </w:rPr>
            </w:pPr>
            <w:r>
              <w:rPr>
                <w:rFonts w:hint="eastAsia" w:ascii="等线" w:hAnsi="等线"/>
                <w:kern w:val="0"/>
                <w:sz w:val="18"/>
                <w:szCs w:val="18"/>
              </w:rPr>
              <w:t>4000元及以上6000元以下</w:t>
            </w:r>
          </w:p>
        </w:tc>
      </w:tr>
      <w:tr w14:paraId="08CA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2" w:hRule="exact"/>
        </w:trPr>
        <w:tc>
          <w:tcPr>
            <w:tcW w:w="861" w:type="dxa"/>
            <w:vMerge w:val="continue"/>
            <w:vAlign w:val="center"/>
          </w:tcPr>
          <w:p w14:paraId="383579EC">
            <w:pPr>
              <w:spacing w:before="156" w:beforeLines="50" w:after="156" w:afterLines="50"/>
              <w:jc w:val="left"/>
              <w:rPr>
                <w:rFonts w:ascii="等线" w:hAnsi="等线"/>
                <w:kern w:val="0"/>
                <w:sz w:val="18"/>
                <w:szCs w:val="18"/>
              </w:rPr>
            </w:pPr>
          </w:p>
        </w:tc>
        <w:tc>
          <w:tcPr>
            <w:tcW w:w="1340" w:type="dxa"/>
            <w:vMerge w:val="continue"/>
            <w:vAlign w:val="center"/>
          </w:tcPr>
          <w:p w14:paraId="5555E5C8">
            <w:pPr>
              <w:spacing w:before="156" w:beforeLines="50" w:after="156" w:afterLines="50"/>
              <w:jc w:val="left"/>
              <w:rPr>
                <w:rFonts w:ascii="等线" w:hAnsi="等线"/>
                <w:kern w:val="0"/>
                <w:sz w:val="18"/>
                <w:szCs w:val="18"/>
              </w:rPr>
            </w:pPr>
          </w:p>
        </w:tc>
        <w:tc>
          <w:tcPr>
            <w:tcW w:w="1876" w:type="dxa"/>
            <w:vMerge w:val="continue"/>
            <w:vAlign w:val="center"/>
          </w:tcPr>
          <w:p w14:paraId="53368222">
            <w:pPr>
              <w:spacing w:before="156" w:beforeLines="50" w:after="156" w:afterLines="50"/>
              <w:jc w:val="left"/>
              <w:rPr>
                <w:rFonts w:ascii="等线" w:hAnsi="等线"/>
                <w:kern w:val="0"/>
                <w:sz w:val="18"/>
                <w:szCs w:val="18"/>
              </w:rPr>
            </w:pPr>
          </w:p>
        </w:tc>
        <w:tc>
          <w:tcPr>
            <w:tcW w:w="2127" w:type="dxa"/>
            <w:vMerge w:val="continue"/>
            <w:vAlign w:val="center"/>
          </w:tcPr>
          <w:p w14:paraId="0BDA1024">
            <w:pPr>
              <w:spacing w:before="156" w:beforeLines="50" w:after="156" w:afterLines="50"/>
              <w:jc w:val="left"/>
              <w:rPr>
                <w:rFonts w:ascii="等线" w:hAnsi="等线"/>
                <w:kern w:val="0"/>
                <w:sz w:val="18"/>
                <w:szCs w:val="18"/>
              </w:rPr>
            </w:pPr>
          </w:p>
        </w:tc>
        <w:tc>
          <w:tcPr>
            <w:tcW w:w="909" w:type="dxa"/>
            <w:vMerge w:val="continue"/>
            <w:vAlign w:val="center"/>
          </w:tcPr>
          <w:p w14:paraId="6289AF2D">
            <w:pPr>
              <w:spacing w:before="156" w:beforeLines="50" w:after="156" w:afterLines="50"/>
              <w:jc w:val="center"/>
              <w:rPr>
                <w:rFonts w:ascii="等线" w:hAnsi="等线"/>
                <w:kern w:val="0"/>
                <w:sz w:val="18"/>
                <w:szCs w:val="18"/>
              </w:rPr>
            </w:pPr>
          </w:p>
        </w:tc>
        <w:tc>
          <w:tcPr>
            <w:tcW w:w="5036" w:type="dxa"/>
            <w:vAlign w:val="center"/>
          </w:tcPr>
          <w:p w14:paraId="644236D0">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船舶进行燃油加注、散装油类装卸等油类作业2次-3次未记录的。</w:t>
            </w:r>
          </w:p>
        </w:tc>
        <w:tc>
          <w:tcPr>
            <w:tcW w:w="8790" w:type="dxa"/>
            <w:vAlign w:val="center"/>
          </w:tcPr>
          <w:p w14:paraId="2D508189">
            <w:pPr>
              <w:spacing w:before="156" w:beforeLines="50" w:after="156" w:afterLines="50"/>
              <w:jc w:val="left"/>
              <w:rPr>
                <w:rFonts w:ascii="等线" w:hAnsi="等线"/>
                <w:kern w:val="0"/>
                <w:sz w:val="18"/>
                <w:szCs w:val="18"/>
              </w:rPr>
            </w:pPr>
            <w:r>
              <w:rPr>
                <w:rFonts w:hint="eastAsia" w:ascii="等线" w:hAnsi="等线"/>
                <w:kern w:val="0"/>
                <w:sz w:val="18"/>
                <w:szCs w:val="18"/>
              </w:rPr>
              <w:t>6000元及以上8000元以下</w:t>
            </w:r>
          </w:p>
        </w:tc>
      </w:tr>
      <w:tr w14:paraId="5EB8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trPr>
        <w:tc>
          <w:tcPr>
            <w:tcW w:w="861" w:type="dxa"/>
            <w:vMerge w:val="continue"/>
            <w:tcBorders>
              <w:bottom w:val="single" w:color="auto" w:sz="4" w:space="0"/>
            </w:tcBorders>
            <w:vAlign w:val="center"/>
          </w:tcPr>
          <w:p w14:paraId="7D1CAE8F">
            <w:pPr>
              <w:spacing w:before="156" w:beforeLines="50" w:after="156" w:afterLines="50"/>
              <w:jc w:val="left"/>
              <w:rPr>
                <w:rFonts w:ascii="等线" w:hAnsi="等线"/>
                <w:kern w:val="0"/>
                <w:sz w:val="18"/>
                <w:szCs w:val="18"/>
              </w:rPr>
            </w:pPr>
          </w:p>
        </w:tc>
        <w:tc>
          <w:tcPr>
            <w:tcW w:w="1340" w:type="dxa"/>
            <w:vMerge w:val="continue"/>
            <w:tcBorders>
              <w:bottom w:val="single" w:color="auto" w:sz="4" w:space="0"/>
            </w:tcBorders>
            <w:vAlign w:val="center"/>
          </w:tcPr>
          <w:p w14:paraId="6A15C347">
            <w:pPr>
              <w:spacing w:before="156" w:beforeLines="50" w:after="156" w:afterLines="50"/>
              <w:jc w:val="left"/>
              <w:rPr>
                <w:rFonts w:ascii="等线" w:hAnsi="等线"/>
                <w:kern w:val="0"/>
                <w:sz w:val="18"/>
                <w:szCs w:val="18"/>
              </w:rPr>
            </w:pPr>
          </w:p>
        </w:tc>
        <w:tc>
          <w:tcPr>
            <w:tcW w:w="1876" w:type="dxa"/>
            <w:vMerge w:val="continue"/>
            <w:tcBorders>
              <w:bottom w:val="single" w:color="auto" w:sz="4" w:space="0"/>
            </w:tcBorders>
            <w:vAlign w:val="center"/>
          </w:tcPr>
          <w:p w14:paraId="41DEE5E5">
            <w:pPr>
              <w:spacing w:before="156" w:beforeLines="50" w:after="156" w:afterLines="50"/>
              <w:jc w:val="left"/>
              <w:rPr>
                <w:rFonts w:ascii="等线" w:hAnsi="等线"/>
                <w:kern w:val="0"/>
                <w:sz w:val="18"/>
                <w:szCs w:val="18"/>
              </w:rPr>
            </w:pPr>
          </w:p>
        </w:tc>
        <w:tc>
          <w:tcPr>
            <w:tcW w:w="2127" w:type="dxa"/>
            <w:vMerge w:val="continue"/>
            <w:tcBorders>
              <w:bottom w:val="single" w:color="auto" w:sz="4" w:space="0"/>
            </w:tcBorders>
            <w:vAlign w:val="center"/>
          </w:tcPr>
          <w:p w14:paraId="07A8EAE1">
            <w:pPr>
              <w:spacing w:before="156" w:beforeLines="50" w:after="156" w:afterLines="50"/>
              <w:jc w:val="left"/>
              <w:rPr>
                <w:rFonts w:ascii="等线" w:hAnsi="等线"/>
                <w:kern w:val="0"/>
                <w:sz w:val="18"/>
                <w:szCs w:val="18"/>
              </w:rPr>
            </w:pPr>
          </w:p>
        </w:tc>
        <w:tc>
          <w:tcPr>
            <w:tcW w:w="909" w:type="dxa"/>
            <w:vMerge w:val="continue"/>
            <w:tcBorders>
              <w:bottom w:val="single" w:color="auto" w:sz="4" w:space="0"/>
            </w:tcBorders>
            <w:vAlign w:val="center"/>
          </w:tcPr>
          <w:p w14:paraId="3BCAE41A">
            <w:pPr>
              <w:spacing w:before="156" w:beforeLines="50" w:after="156" w:afterLines="50"/>
              <w:jc w:val="center"/>
              <w:rPr>
                <w:rFonts w:ascii="等线" w:hAnsi="等线"/>
                <w:kern w:val="0"/>
                <w:sz w:val="18"/>
                <w:szCs w:val="18"/>
              </w:rPr>
            </w:pPr>
          </w:p>
        </w:tc>
        <w:tc>
          <w:tcPr>
            <w:tcW w:w="5036" w:type="dxa"/>
            <w:tcBorders>
              <w:bottom w:val="single" w:color="auto" w:sz="4" w:space="0"/>
            </w:tcBorders>
            <w:vAlign w:val="center"/>
          </w:tcPr>
          <w:p w14:paraId="34B60213">
            <w:pPr>
              <w:spacing w:before="156" w:beforeLines="50" w:after="156" w:afterLines="50"/>
              <w:jc w:val="left"/>
              <w:rPr>
                <w:rFonts w:ascii="等线" w:hAnsi="等线"/>
                <w:kern w:val="0"/>
                <w:sz w:val="18"/>
                <w:szCs w:val="18"/>
              </w:rPr>
            </w:pPr>
            <w:r>
              <w:rPr>
                <w:rFonts w:hint="eastAsia" w:ascii="等线" w:hAnsi="等线"/>
                <w:kern w:val="0"/>
                <w:sz w:val="18"/>
                <w:szCs w:val="18"/>
              </w:rPr>
              <w:t>船舶进行燃油加注、散装油类装卸等油类作业3次以上未记录或弄虚作假等情形的。</w:t>
            </w:r>
          </w:p>
        </w:tc>
        <w:tc>
          <w:tcPr>
            <w:tcW w:w="8790" w:type="dxa"/>
            <w:vAlign w:val="center"/>
          </w:tcPr>
          <w:p w14:paraId="012452BC">
            <w:pPr>
              <w:spacing w:before="156" w:beforeLines="50" w:after="156" w:afterLines="50"/>
              <w:jc w:val="left"/>
              <w:rPr>
                <w:rFonts w:ascii="等线" w:hAnsi="等线"/>
                <w:kern w:val="0"/>
                <w:sz w:val="18"/>
                <w:szCs w:val="18"/>
              </w:rPr>
            </w:pPr>
            <w:r>
              <w:rPr>
                <w:rFonts w:hint="eastAsia" w:ascii="等线" w:hAnsi="等线"/>
                <w:kern w:val="0"/>
                <w:sz w:val="18"/>
                <w:szCs w:val="18"/>
              </w:rPr>
              <w:t>8000元及以上1万元以下</w:t>
            </w:r>
          </w:p>
        </w:tc>
      </w:tr>
    </w:tbl>
    <w:p w14:paraId="592E2F88">
      <w:pPr>
        <w:widowControl/>
        <w:jc w:val="left"/>
        <w:rPr>
          <w:sz w:val="18"/>
          <w:szCs w:val="18"/>
        </w:rPr>
      </w:pPr>
      <w:r>
        <w:rPr>
          <w:sz w:val="18"/>
          <w:szCs w:val="18"/>
        </w:rPr>
        <w:br w:type="page"/>
      </w:r>
    </w:p>
    <w:tbl>
      <w:tblPr>
        <w:tblStyle w:val="6"/>
        <w:tblpPr w:leftFromText="180" w:rightFromText="180" w:vertAnchor="text" w:horzAnchor="margin" w:tblpY="157"/>
        <w:tblW w:w="0" w:type="auto"/>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1340"/>
        <w:gridCol w:w="1876"/>
        <w:gridCol w:w="2127"/>
        <w:gridCol w:w="909"/>
        <w:gridCol w:w="5036"/>
        <w:gridCol w:w="7237"/>
      </w:tblGrid>
      <w:tr w14:paraId="603C76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22" w:hRule="atLeast"/>
        </w:trPr>
        <w:tc>
          <w:tcPr>
            <w:tcW w:w="861" w:type="dxa"/>
            <w:vMerge w:val="restart"/>
            <w:vAlign w:val="center"/>
          </w:tcPr>
          <w:p w14:paraId="36A4CE1E">
            <w:pPr>
              <w:spacing w:before="156" w:beforeLines="50" w:after="156" w:afterLines="50"/>
              <w:jc w:val="center"/>
              <w:rPr>
                <w:rFonts w:ascii="等线" w:hAnsi="等线"/>
                <w:b/>
                <w:kern w:val="0"/>
                <w:sz w:val="18"/>
                <w:szCs w:val="18"/>
              </w:rPr>
            </w:pPr>
            <w:r>
              <w:rPr>
                <w:rFonts w:hint="eastAsia" w:ascii="等线" w:hAnsi="等线"/>
                <w:b/>
                <w:kern w:val="0"/>
                <w:sz w:val="18"/>
                <w:szCs w:val="18"/>
              </w:rPr>
              <w:t>序号</w:t>
            </w:r>
          </w:p>
        </w:tc>
        <w:tc>
          <w:tcPr>
            <w:tcW w:w="1340" w:type="dxa"/>
            <w:vMerge w:val="restart"/>
            <w:vAlign w:val="center"/>
          </w:tcPr>
          <w:p w14:paraId="7C9C549D">
            <w:pPr>
              <w:spacing w:before="156" w:beforeLines="50" w:after="156" w:afterLines="50"/>
              <w:jc w:val="center"/>
              <w:rPr>
                <w:rFonts w:ascii="等线" w:hAnsi="等线"/>
                <w:b/>
                <w:kern w:val="0"/>
                <w:sz w:val="18"/>
                <w:szCs w:val="18"/>
              </w:rPr>
            </w:pPr>
            <w:r>
              <w:rPr>
                <w:rFonts w:hint="eastAsia" w:ascii="等线" w:hAnsi="等线"/>
                <w:b/>
                <w:kern w:val="0"/>
                <w:sz w:val="18"/>
                <w:szCs w:val="18"/>
              </w:rPr>
              <w:t>案由</w:t>
            </w:r>
          </w:p>
        </w:tc>
        <w:tc>
          <w:tcPr>
            <w:tcW w:w="4003" w:type="dxa"/>
            <w:gridSpan w:val="2"/>
            <w:vMerge w:val="restart"/>
            <w:vAlign w:val="center"/>
          </w:tcPr>
          <w:p w14:paraId="0B993BC9">
            <w:pPr>
              <w:spacing w:before="156" w:beforeLines="50" w:after="156" w:afterLines="50"/>
              <w:jc w:val="center"/>
              <w:rPr>
                <w:rFonts w:ascii="等线" w:hAnsi="等线"/>
                <w:b/>
                <w:kern w:val="0"/>
                <w:sz w:val="18"/>
                <w:szCs w:val="18"/>
              </w:rPr>
            </w:pPr>
            <w:r>
              <w:rPr>
                <w:rFonts w:hint="eastAsia" w:ascii="等线" w:hAnsi="等线"/>
                <w:b/>
                <w:kern w:val="0"/>
                <w:sz w:val="18"/>
                <w:szCs w:val="18"/>
              </w:rPr>
              <w:t>法律依据</w:t>
            </w:r>
          </w:p>
        </w:tc>
        <w:tc>
          <w:tcPr>
            <w:tcW w:w="909" w:type="dxa"/>
            <w:vMerge w:val="restart"/>
            <w:vAlign w:val="center"/>
          </w:tcPr>
          <w:p w14:paraId="0AF7F130">
            <w:pPr>
              <w:spacing w:before="156" w:beforeLines="50" w:after="156" w:afterLines="50"/>
              <w:jc w:val="center"/>
              <w:rPr>
                <w:rFonts w:ascii="等线" w:hAnsi="等线"/>
                <w:b/>
                <w:kern w:val="0"/>
                <w:sz w:val="18"/>
                <w:szCs w:val="18"/>
              </w:rPr>
            </w:pPr>
            <w:r>
              <w:rPr>
                <w:rFonts w:hint="eastAsia" w:ascii="等线" w:hAnsi="等线"/>
                <w:b/>
                <w:kern w:val="0"/>
                <w:sz w:val="18"/>
                <w:szCs w:val="18"/>
              </w:rPr>
              <w:t>违法</w:t>
            </w:r>
          </w:p>
          <w:p w14:paraId="2572713E">
            <w:pPr>
              <w:spacing w:before="156" w:beforeLines="50" w:after="156" w:afterLines="50"/>
              <w:jc w:val="center"/>
              <w:rPr>
                <w:rFonts w:ascii="等线" w:hAnsi="等线"/>
                <w:b/>
                <w:kern w:val="0"/>
                <w:sz w:val="18"/>
                <w:szCs w:val="18"/>
              </w:rPr>
            </w:pPr>
            <w:r>
              <w:rPr>
                <w:rFonts w:hint="eastAsia" w:ascii="等线" w:hAnsi="等线"/>
                <w:b/>
                <w:kern w:val="0"/>
                <w:sz w:val="18"/>
                <w:szCs w:val="18"/>
              </w:rPr>
              <w:t>情节</w:t>
            </w:r>
          </w:p>
        </w:tc>
        <w:tc>
          <w:tcPr>
            <w:tcW w:w="5036" w:type="dxa"/>
            <w:vMerge w:val="restart"/>
            <w:vAlign w:val="center"/>
          </w:tcPr>
          <w:p w14:paraId="7AC012E9">
            <w:pPr>
              <w:spacing w:before="156" w:beforeLines="50" w:after="156" w:afterLines="50"/>
              <w:jc w:val="center"/>
              <w:rPr>
                <w:rFonts w:ascii="等线" w:hAnsi="等线"/>
                <w:b/>
                <w:kern w:val="0"/>
                <w:sz w:val="18"/>
                <w:szCs w:val="18"/>
              </w:rPr>
            </w:pPr>
            <w:r>
              <w:rPr>
                <w:rFonts w:hint="eastAsia" w:ascii="等线" w:hAnsi="等线"/>
                <w:b/>
                <w:kern w:val="0"/>
                <w:sz w:val="18"/>
                <w:szCs w:val="18"/>
              </w:rPr>
              <w:t>主要考虑因素</w:t>
            </w:r>
          </w:p>
          <w:p w14:paraId="5DC3EC88">
            <w:pPr>
              <w:spacing w:before="156" w:beforeLines="50" w:after="156" w:afterLines="50"/>
              <w:jc w:val="center"/>
              <w:rPr>
                <w:rFonts w:ascii="等线" w:hAnsi="等线"/>
                <w:b/>
                <w:kern w:val="0"/>
                <w:sz w:val="18"/>
                <w:szCs w:val="18"/>
              </w:rPr>
            </w:pPr>
            <w:r>
              <w:rPr>
                <w:rFonts w:hint="eastAsia" w:ascii="等线" w:hAnsi="等线"/>
                <w:b/>
                <w:kern w:val="0"/>
                <w:sz w:val="18"/>
                <w:szCs w:val="18"/>
              </w:rPr>
              <w:t>（事实、性质、情节、危害程度和实际后果等）</w:t>
            </w:r>
          </w:p>
        </w:tc>
        <w:tc>
          <w:tcPr>
            <w:tcW w:w="7237" w:type="dxa"/>
            <w:vAlign w:val="center"/>
          </w:tcPr>
          <w:p w14:paraId="2A9BBECA">
            <w:pPr>
              <w:spacing w:before="156" w:beforeLines="50" w:after="156" w:afterLines="50"/>
              <w:rPr>
                <w:rFonts w:ascii="等线" w:hAnsi="等线"/>
                <w:b/>
                <w:kern w:val="0"/>
                <w:sz w:val="18"/>
                <w:szCs w:val="18"/>
              </w:rPr>
            </w:pPr>
            <w:r>
              <w:rPr>
                <w:rFonts w:hint="eastAsia" w:ascii="等线" w:hAnsi="等线"/>
                <w:b/>
                <w:kern w:val="0"/>
                <w:sz w:val="18"/>
                <w:szCs w:val="18"/>
              </w:rPr>
              <w:t>【法定幅度和种类】</w:t>
            </w:r>
            <w:r>
              <w:rPr>
                <w:rFonts w:hint="eastAsia" w:ascii="等线" w:hAnsi="等线"/>
                <w:b/>
                <w:sz w:val="18"/>
                <w:szCs w:val="18"/>
              </w:rPr>
              <w:t>由海事管理机构责令改正，并处以3000元以上1万元以下的罚款。</w:t>
            </w:r>
          </w:p>
        </w:tc>
      </w:tr>
      <w:tr w14:paraId="482247F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14:paraId="0C5D306B">
            <w:pPr>
              <w:spacing w:before="156" w:beforeLines="50" w:after="156" w:afterLines="50"/>
              <w:jc w:val="center"/>
              <w:rPr>
                <w:rFonts w:ascii="等线" w:hAnsi="等线"/>
                <w:b/>
                <w:kern w:val="0"/>
                <w:sz w:val="18"/>
                <w:szCs w:val="18"/>
              </w:rPr>
            </w:pPr>
          </w:p>
        </w:tc>
        <w:tc>
          <w:tcPr>
            <w:tcW w:w="1340" w:type="dxa"/>
            <w:vMerge w:val="continue"/>
            <w:vAlign w:val="center"/>
          </w:tcPr>
          <w:p w14:paraId="51D60ECD">
            <w:pPr>
              <w:spacing w:before="156" w:beforeLines="50" w:after="156" w:afterLines="50"/>
              <w:jc w:val="center"/>
              <w:rPr>
                <w:rFonts w:ascii="等线" w:hAnsi="等线"/>
                <w:b/>
                <w:kern w:val="0"/>
                <w:sz w:val="18"/>
                <w:szCs w:val="18"/>
              </w:rPr>
            </w:pPr>
          </w:p>
        </w:tc>
        <w:tc>
          <w:tcPr>
            <w:tcW w:w="4003" w:type="dxa"/>
            <w:gridSpan w:val="2"/>
            <w:vMerge w:val="continue"/>
            <w:vAlign w:val="center"/>
          </w:tcPr>
          <w:p w14:paraId="63BB3D27">
            <w:pPr>
              <w:spacing w:before="156" w:beforeLines="50" w:after="156" w:afterLines="50"/>
              <w:jc w:val="center"/>
              <w:rPr>
                <w:rFonts w:ascii="等线" w:hAnsi="等线"/>
                <w:b/>
                <w:kern w:val="0"/>
                <w:sz w:val="18"/>
                <w:szCs w:val="18"/>
              </w:rPr>
            </w:pPr>
          </w:p>
        </w:tc>
        <w:tc>
          <w:tcPr>
            <w:tcW w:w="909" w:type="dxa"/>
            <w:vMerge w:val="continue"/>
            <w:vAlign w:val="center"/>
          </w:tcPr>
          <w:p w14:paraId="006A8FBB">
            <w:pPr>
              <w:spacing w:before="156" w:beforeLines="50" w:after="156" w:afterLines="50"/>
              <w:jc w:val="center"/>
              <w:rPr>
                <w:rFonts w:ascii="等线" w:hAnsi="等线"/>
                <w:b/>
                <w:kern w:val="0"/>
                <w:sz w:val="18"/>
                <w:szCs w:val="18"/>
              </w:rPr>
            </w:pPr>
          </w:p>
        </w:tc>
        <w:tc>
          <w:tcPr>
            <w:tcW w:w="5036" w:type="dxa"/>
            <w:vMerge w:val="continue"/>
            <w:vAlign w:val="center"/>
          </w:tcPr>
          <w:p w14:paraId="0F56A3AC">
            <w:pPr>
              <w:spacing w:before="156" w:beforeLines="50" w:after="156" w:afterLines="50"/>
              <w:jc w:val="center"/>
              <w:rPr>
                <w:rFonts w:ascii="等线" w:hAnsi="等线"/>
                <w:b/>
                <w:kern w:val="0"/>
                <w:sz w:val="18"/>
                <w:szCs w:val="18"/>
              </w:rPr>
            </w:pPr>
          </w:p>
        </w:tc>
        <w:tc>
          <w:tcPr>
            <w:tcW w:w="7237" w:type="dxa"/>
            <w:vAlign w:val="center"/>
          </w:tcPr>
          <w:p w14:paraId="10240EB0">
            <w:pPr>
              <w:spacing w:before="156" w:beforeLines="50" w:after="156" w:afterLines="50"/>
              <w:jc w:val="center"/>
              <w:rPr>
                <w:rFonts w:ascii="等线" w:hAnsi="等线"/>
                <w:b/>
                <w:kern w:val="0"/>
                <w:sz w:val="18"/>
                <w:szCs w:val="18"/>
              </w:rPr>
            </w:pPr>
            <w:r>
              <w:rPr>
                <w:rFonts w:hint="eastAsia" w:ascii="等线" w:hAnsi="等线"/>
                <w:b/>
                <w:kern w:val="0"/>
                <w:sz w:val="18"/>
                <w:szCs w:val="18"/>
              </w:rPr>
              <w:t>处罚基准</w:t>
            </w:r>
          </w:p>
        </w:tc>
      </w:tr>
      <w:tr w14:paraId="4C6067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2" w:hRule="atLeast"/>
        </w:trPr>
        <w:tc>
          <w:tcPr>
            <w:tcW w:w="861" w:type="dxa"/>
            <w:vMerge w:val="continue"/>
            <w:vAlign w:val="center"/>
          </w:tcPr>
          <w:p w14:paraId="4354496C">
            <w:pPr>
              <w:spacing w:before="156" w:beforeLines="50" w:after="156" w:afterLines="50"/>
              <w:jc w:val="left"/>
              <w:rPr>
                <w:rFonts w:ascii="等线" w:hAnsi="等线"/>
                <w:b/>
                <w:kern w:val="0"/>
                <w:sz w:val="18"/>
                <w:szCs w:val="18"/>
              </w:rPr>
            </w:pPr>
          </w:p>
        </w:tc>
        <w:tc>
          <w:tcPr>
            <w:tcW w:w="1340" w:type="dxa"/>
            <w:vMerge w:val="continue"/>
            <w:vAlign w:val="center"/>
          </w:tcPr>
          <w:p w14:paraId="067B452C">
            <w:pPr>
              <w:spacing w:before="156" w:beforeLines="50" w:after="156" w:afterLines="50"/>
              <w:jc w:val="left"/>
              <w:rPr>
                <w:rFonts w:ascii="等线" w:hAnsi="等线"/>
                <w:b/>
                <w:kern w:val="0"/>
                <w:sz w:val="18"/>
                <w:szCs w:val="18"/>
              </w:rPr>
            </w:pPr>
          </w:p>
        </w:tc>
        <w:tc>
          <w:tcPr>
            <w:tcW w:w="1876" w:type="dxa"/>
            <w:vAlign w:val="center"/>
          </w:tcPr>
          <w:p w14:paraId="226F6024">
            <w:pPr>
              <w:spacing w:before="156" w:beforeLines="50" w:after="156" w:afterLines="50"/>
              <w:jc w:val="center"/>
              <w:rPr>
                <w:rFonts w:ascii="等线" w:hAnsi="等线"/>
                <w:b/>
                <w:kern w:val="0"/>
                <w:sz w:val="18"/>
                <w:szCs w:val="18"/>
              </w:rPr>
            </w:pPr>
            <w:r>
              <w:rPr>
                <w:rFonts w:hint="eastAsia" w:ascii="等线" w:hAnsi="等线"/>
                <w:b/>
                <w:kern w:val="0"/>
                <w:sz w:val="18"/>
                <w:szCs w:val="18"/>
              </w:rPr>
              <w:t>违反条款</w:t>
            </w:r>
          </w:p>
        </w:tc>
        <w:tc>
          <w:tcPr>
            <w:tcW w:w="2127" w:type="dxa"/>
            <w:vAlign w:val="center"/>
          </w:tcPr>
          <w:p w14:paraId="790138F9">
            <w:pPr>
              <w:spacing w:before="156" w:beforeLines="50" w:after="156" w:afterLines="50"/>
              <w:jc w:val="center"/>
              <w:rPr>
                <w:rFonts w:ascii="等线" w:hAnsi="等线"/>
                <w:b/>
                <w:kern w:val="0"/>
                <w:sz w:val="18"/>
                <w:szCs w:val="18"/>
              </w:rPr>
            </w:pPr>
            <w:r>
              <w:rPr>
                <w:rFonts w:hint="eastAsia" w:ascii="等线" w:hAnsi="等线"/>
                <w:b/>
                <w:kern w:val="0"/>
                <w:sz w:val="18"/>
                <w:szCs w:val="18"/>
              </w:rPr>
              <w:t>处罚依据</w:t>
            </w:r>
          </w:p>
        </w:tc>
        <w:tc>
          <w:tcPr>
            <w:tcW w:w="909" w:type="dxa"/>
            <w:vMerge w:val="continue"/>
            <w:vAlign w:val="center"/>
          </w:tcPr>
          <w:p w14:paraId="54D25E9D">
            <w:pPr>
              <w:spacing w:before="156" w:beforeLines="50" w:after="156" w:afterLines="50"/>
              <w:jc w:val="left"/>
              <w:rPr>
                <w:rFonts w:ascii="等线" w:hAnsi="等线"/>
                <w:b/>
                <w:kern w:val="0"/>
                <w:sz w:val="18"/>
                <w:szCs w:val="18"/>
              </w:rPr>
            </w:pPr>
          </w:p>
        </w:tc>
        <w:tc>
          <w:tcPr>
            <w:tcW w:w="5036" w:type="dxa"/>
            <w:vMerge w:val="continue"/>
            <w:vAlign w:val="center"/>
          </w:tcPr>
          <w:p w14:paraId="4F65C0A3">
            <w:pPr>
              <w:spacing w:before="156" w:beforeLines="50" w:after="156" w:afterLines="50"/>
              <w:jc w:val="left"/>
              <w:rPr>
                <w:rFonts w:ascii="等线" w:hAnsi="等线"/>
                <w:b/>
                <w:kern w:val="0"/>
                <w:sz w:val="18"/>
                <w:szCs w:val="18"/>
              </w:rPr>
            </w:pPr>
          </w:p>
        </w:tc>
        <w:tc>
          <w:tcPr>
            <w:tcW w:w="7237" w:type="dxa"/>
            <w:vAlign w:val="center"/>
          </w:tcPr>
          <w:p w14:paraId="653E0759">
            <w:pPr>
              <w:spacing w:before="156" w:beforeLines="50" w:after="156" w:afterLines="50"/>
              <w:jc w:val="center"/>
              <w:rPr>
                <w:rFonts w:ascii="等线" w:hAnsi="等线"/>
                <w:b/>
                <w:kern w:val="0"/>
                <w:sz w:val="18"/>
                <w:szCs w:val="18"/>
              </w:rPr>
            </w:pPr>
            <w:r>
              <w:rPr>
                <w:rFonts w:hint="eastAsia" w:ascii="等线" w:hAnsi="等线"/>
                <w:b/>
                <w:kern w:val="0"/>
                <w:sz w:val="18"/>
                <w:szCs w:val="18"/>
              </w:rPr>
              <w:t>【对象】船舶经营人或所有人</w:t>
            </w:r>
          </w:p>
        </w:tc>
      </w:tr>
      <w:tr w14:paraId="55B6A65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8" w:hRule="atLeast"/>
        </w:trPr>
        <w:tc>
          <w:tcPr>
            <w:tcW w:w="861" w:type="dxa"/>
            <w:vMerge w:val="restart"/>
            <w:vAlign w:val="center"/>
          </w:tcPr>
          <w:p w14:paraId="3F03C245">
            <w:pPr>
              <w:spacing w:before="156" w:beforeLines="50" w:after="156" w:afterLines="50"/>
              <w:jc w:val="center"/>
              <w:rPr>
                <w:rFonts w:ascii="等线" w:hAnsi="等线"/>
                <w:kern w:val="0"/>
                <w:sz w:val="18"/>
                <w:szCs w:val="18"/>
              </w:rPr>
            </w:pPr>
            <w:r>
              <w:rPr>
                <w:rFonts w:hint="eastAsia" w:ascii="等线" w:hAnsi="等线"/>
                <w:kern w:val="0"/>
                <w:sz w:val="18"/>
                <w:szCs w:val="18"/>
              </w:rPr>
              <w:t>102</w:t>
            </w:r>
          </w:p>
        </w:tc>
        <w:tc>
          <w:tcPr>
            <w:tcW w:w="1340" w:type="dxa"/>
            <w:vMerge w:val="restart"/>
            <w:vAlign w:val="center"/>
          </w:tcPr>
          <w:p w14:paraId="3FC8DAE3">
            <w:pPr>
              <w:spacing w:before="156" w:beforeLines="50" w:after="156" w:afterLines="50"/>
              <w:jc w:val="left"/>
              <w:rPr>
                <w:rFonts w:ascii="等线" w:hAnsi="等线"/>
                <w:kern w:val="0"/>
                <w:sz w:val="18"/>
                <w:szCs w:val="18"/>
              </w:rPr>
            </w:pPr>
            <w:r>
              <w:rPr>
                <w:rFonts w:hint="eastAsia" w:ascii="等线" w:hAnsi="等线"/>
                <w:sz w:val="18"/>
                <w:szCs w:val="18"/>
              </w:rPr>
              <w:t>船舶未按规定如实记录垃圾收集处理情况</w:t>
            </w:r>
          </w:p>
        </w:tc>
        <w:tc>
          <w:tcPr>
            <w:tcW w:w="1876" w:type="dxa"/>
            <w:vMerge w:val="restart"/>
            <w:vAlign w:val="center"/>
          </w:tcPr>
          <w:p w14:paraId="7BEE936F">
            <w:pPr>
              <w:spacing w:before="156" w:beforeLines="50" w:after="156" w:afterLines="50" w:line="320" w:lineRule="exact"/>
              <w:rPr>
                <w:rFonts w:ascii="等线" w:hAnsi="等线"/>
                <w:sz w:val="18"/>
                <w:szCs w:val="18"/>
              </w:rPr>
            </w:pPr>
            <w:r>
              <w:rPr>
                <w:rFonts w:hint="eastAsia" w:ascii="等线" w:hAnsi="等线"/>
                <w:sz w:val="18"/>
                <w:szCs w:val="18"/>
              </w:rPr>
              <w:t xml:space="preserve">《中华人民共和国防治船舶污染内河水域环境管理规定》第十五条第二款或第三款。 </w:t>
            </w:r>
          </w:p>
          <w:p w14:paraId="280822C4">
            <w:pPr>
              <w:widowControl/>
              <w:spacing w:before="156" w:beforeLines="50" w:after="156" w:afterLines="50"/>
              <w:jc w:val="left"/>
              <w:rPr>
                <w:rFonts w:ascii="等线" w:hAnsi="等线"/>
                <w:kern w:val="0"/>
                <w:sz w:val="18"/>
                <w:szCs w:val="18"/>
              </w:rPr>
            </w:pPr>
          </w:p>
        </w:tc>
        <w:tc>
          <w:tcPr>
            <w:tcW w:w="2127" w:type="dxa"/>
            <w:vMerge w:val="restart"/>
            <w:vAlign w:val="center"/>
          </w:tcPr>
          <w:p w14:paraId="55AB7ED9">
            <w:pPr>
              <w:widowControl/>
              <w:spacing w:before="156" w:beforeLines="50" w:after="156" w:afterLines="50"/>
              <w:jc w:val="left"/>
              <w:rPr>
                <w:rFonts w:ascii="等线" w:hAnsi="等线"/>
                <w:sz w:val="18"/>
                <w:szCs w:val="18"/>
              </w:rPr>
            </w:pPr>
            <w:r>
              <w:rPr>
                <w:rFonts w:hint="eastAsia" w:ascii="等线" w:hAnsi="等线"/>
                <w:sz w:val="18"/>
                <w:szCs w:val="18"/>
              </w:rPr>
              <w:t>《中华人民共和国防治船舶污染内河水域环境管理规定》第四十六条第（一）项</w:t>
            </w:r>
          </w:p>
        </w:tc>
        <w:tc>
          <w:tcPr>
            <w:tcW w:w="909" w:type="dxa"/>
            <w:vAlign w:val="center"/>
          </w:tcPr>
          <w:p w14:paraId="0A57D70D">
            <w:pPr>
              <w:spacing w:before="156" w:beforeLines="50" w:after="156" w:afterLines="50"/>
              <w:jc w:val="center"/>
              <w:rPr>
                <w:rFonts w:ascii="等线" w:hAnsi="等线"/>
                <w:kern w:val="0"/>
                <w:sz w:val="18"/>
                <w:szCs w:val="18"/>
              </w:rPr>
            </w:pPr>
            <w:r>
              <w:rPr>
                <w:rFonts w:hint="eastAsia" w:ascii="等线" w:hAnsi="等线"/>
                <w:kern w:val="0"/>
                <w:sz w:val="18"/>
                <w:szCs w:val="18"/>
              </w:rPr>
              <w:t>从轻</w:t>
            </w:r>
          </w:p>
        </w:tc>
        <w:tc>
          <w:tcPr>
            <w:tcW w:w="5036" w:type="dxa"/>
            <w:vAlign w:val="center"/>
          </w:tcPr>
          <w:p w14:paraId="7A5555A3">
            <w:pPr>
              <w:widowControl/>
              <w:spacing w:before="156" w:beforeLines="50" w:after="156" w:afterLines="50"/>
              <w:jc w:val="left"/>
              <w:rPr>
                <w:rFonts w:ascii="等线" w:hAnsi="等线"/>
                <w:kern w:val="0"/>
                <w:sz w:val="18"/>
                <w:szCs w:val="18"/>
              </w:rPr>
            </w:pPr>
            <w:r>
              <w:rPr>
                <w:rFonts w:hint="eastAsia" w:ascii="等线" w:hAnsi="等线"/>
                <w:kern w:val="0"/>
                <w:sz w:val="18"/>
                <w:szCs w:val="18"/>
              </w:rPr>
              <w:t>具有法定从轻情节的。</w:t>
            </w:r>
          </w:p>
        </w:tc>
        <w:tc>
          <w:tcPr>
            <w:tcW w:w="7237" w:type="dxa"/>
            <w:vAlign w:val="center"/>
          </w:tcPr>
          <w:p w14:paraId="23C7FB77">
            <w:pPr>
              <w:spacing w:before="156" w:beforeLines="50" w:after="156" w:afterLines="50"/>
              <w:jc w:val="left"/>
              <w:rPr>
                <w:rFonts w:ascii="等线" w:hAnsi="等线"/>
                <w:kern w:val="0"/>
                <w:sz w:val="18"/>
                <w:szCs w:val="18"/>
              </w:rPr>
            </w:pPr>
            <w:r>
              <w:rPr>
                <w:rFonts w:hint="eastAsia" w:ascii="等线" w:hAnsi="等线"/>
                <w:kern w:val="0"/>
                <w:sz w:val="18"/>
                <w:szCs w:val="18"/>
              </w:rPr>
              <w:t>3000元及以上4000元以下</w:t>
            </w:r>
          </w:p>
        </w:tc>
      </w:tr>
      <w:tr w14:paraId="3F91EC2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0" w:hRule="atLeast"/>
        </w:trPr>
        <w:tc>
          <w:tcPr>
            <w:tcW w:w="861" w:type="dxa"/>
            <w:vMerge w:val="continue"/>
            <w:vAlign w:val="center"/>
          </w:tcPr>
          <w:p w14:paraId="48580AC0">
            <w:pPr>
              <w:spacing w:before="156" w:beforeLines="50" w:after="156" w:afterLines="50"/>
              <w:jc w:val="left"/>
              <w:rPr>
                <w:rFonts w:ascii="等线" w:hAnsi="等线"/>
                <w:kern w:val="0"/>
                <w:sz w:val="18"/>
                <w:szCs w:val="18"/>
              </w:rPr>
            </w:pPr>
          </w:p>
        </w:tc>
        <w:tc>
          <w:tcPr>
            <w:tcW w:w="1340" w:type="dxa"/>
            <w:vMerge w:val="continue"/>
            <w:vAlign w:val="center"/>
          </w:tcPr>
          <w:p w14:paraId="52C1E662">
            <w:pPr>
              <w:spacing w:before="156" w:beforeLines="50" w:after="156" w:afterLines="50"/>
              <w:jc w:val="left"/>
              <w:rPr>
                <w:rFonts w:ascii="等线" w:hAnsi="等线"/>
                <w:kern w:val="0"/>
                <w:sz w:val="18"/>
                <w:szCs w:val="18"/>
              </w:rPr>
            </w:pPr>
          </w:p>
        </w:tc>
        <w:tc>
          <w:tcPr>
            <w:tcW w:w="1876" w:type="dxa"/>
            <w:vMerge w:val="continue"/>
            <w:vAlign w:val="center"/>
          </w:tcPr>
          <w:p w14:paraId="0CF5BF9E">
            <w:pPr>
              <w:widowControl/>
              <w:spacing w:before="156" w:beforeLines="50" w:after="156" w:afterLines="50"/>
              <w:jc w:val="left"/>
              <w:rPr>
                <w:rFonts w:ascii="等线" w:hAnsi="等线"/>
                <w:kern w:val="0"/>
                <w:sz w:val="18"/>
                <w:szCs w:val="18"/>
              </w:rPr>
            </w:pPr>
          </w:p>
        </w:tc>
        <w:tc>
          <w:tcPr>
            <w:tcW w:w="2127" w:type="dxa"/>
            <w:vMerge w:val="continue"/>
            <w:vAlign w:val="center"/>
          </w:tcPr>
          <w:p w14:paraId="0256A866">
            <w:pPr>
              <w:spacing w:before="156" w:beforeLines="50" w:after="156" w:afterLines="50"/>
              <w:jc w:val="left"/>
              <w:rPr>
                <w:rFonts w:ascii="等线" w:hAnsi="等线"/>
                <w:kern w:val="0"/>
                <w:sz w:val="18"/>
                <w:szCs w:val="18"/>
              </w:rPr>
            </w:pPr>
          </w:p>
        </w:tc>
        <w:tc>
          <w:tcPr>
            <w:tcW w:w="909" w:type="dxa"/>
            <w:vMerge w:val="restart"/>
            <w:vAlign w:val="center"/>
          </w:tcPr>
          <w:p w14:paraId="4835AF9E">
            <w:pPr>
              <w:spacing w:before="156" w:beforeLines="50" w:after="156" w:afterLines="50"/>
              <w:jc w:val="center"/>
              <w:rPr>
                <w:rFonts w:ascii="等线" w:hAnsi="等线"/>
                <w:kern w:val="0"/>
                <w:sz w:val="18"/>
                <w:szCs w:val="18"/>
              </w:rPr>
            </w:pPr>
            <w:r>
              <w:rPr>
                <w:rFonts w:hint="eastAsia" w:ascii="等线" w:hAnsi="等线"/>
                <w:kern w:val="0"/>
                <w:sz w:val="18"/>
                <w:szCs w:val="18"/>
              </w:rPr>
              <w:t>一般</w:t>
            </w:r>
          </w:p>
        </w:tc>
        <w:tc>
          <w:tcPr>
            <w:tcW w:w="5036" w:type="dxa"/>
            <w:vAlign w:val="center"/>
          </w:tcPr>
          <w:p w14:paraId="46D60A90">
            <w:pPr>
              <w:spacing w:before="156" w:beforeLines="50" w:after="156" w:afterLines="50"/>
              <w:jc w:val="left"/>
              <w:rPr>
                <w:rFonts w:ascii="等线" w:hAnsi="等线"/>
                <w:kern w:val="0"/>
                <w:sz w:val="18"/>
                <w:szCs w:val="18"/>
              </w:rPr>
            </w:pPr>
            <w:r>
              <w:rPr>
                <w:rFonts w:hint="eastAsia" w:ascii="等线" w:hAnsi="等线"/>
                <w:kern w:val="0"/>
                <w:sz w:val="18"/>
                <w:szCs w:val="18"/>
              </w:rPr>
              <w:t>船舶</w:t>
            </w:r>
            <w:r>
              <w:rPr>
                <w:rFonts w:hint="eastAsia" w:ascii="等线" w:hAnsi="等线"/>
                <w:sz w:val="18"/>
                <w:szCs w:val="18"/>
              </w:rPr>
              <w:t>未在相应的记录簿上如实记录垃圾收集处理情况</w:t>
            </w:r>
            <w:r>
              <w:rPr>
                <w:rFonts w:hint="eastAsia" w:ascii="等线" w:hAnsi="等线"/>
                <w:kern w:val="0"/>
                <w:sz w:val="18"/>
                <w:szCs w:val="18"/>
              </w:rPr>
              <w:t>，但船舶能提供其垃圾已经收集处理证据的。</w:t>
            </w:r>
          </w:p>
        </w:tc>
        <w:tc>
          <w:tcPr>
            <w:tcW w:w="7237" w:type="dxa"/>
            <w:vAlign w:val="center"/>
          </w:tcPr>
          <w:p w14:paraId="15D2C218">
            <w:pPr>
              <w:spacing w:before="156" w:beforeLines="50" w:after="156" w:afterLines="50"/>
              <w:jc w:val="left"/>
              <w:rPr>
                <w:rFonts w:ascii="等线" w:hAnsi="等线"/>
                <w:kern w:val="0"/>
                <w:sz w:val="18"/>
                <w:szCs w:val="18"/>
              </w:rPr>
            </w:pPr>
            <w:r>
              <w:rPr>
                <w:rFonts w:hint="eastAsia" w:ascii="等线" w:hAnsi="等线"/>
                <w:kern w:val="0"/>
                <w:sz w:val="18"/>
                <w:szCs w:val="18"/>
              </w:rPr>
              <w:t>4000元及以上6000元以下</w:t>
            </w:r>
          </w:p>
        </w:tc>
      </w:tr>
      <w:tr w14:paraId="6C47EA0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49" w:hRule="exact"/>
        </w:trPr>
        <w:tc>
          <w:tcPr>
            <w:tcW w:w="861" w:type="dxa"/>
            <w:vMerge w:val="continue"/>
            <w:vAlign w:val="center"/>
          </w:tcPr>
          <w:p w14:paraId="424D46EC">
            <w:pPr>
              <w:spacing w:before="156" w:beforeLines="50" w:after="156" w:afterLines="50"/>
              <w:jc w:val="left"/>
              <w:rPr>
                <w:rFonts w:ascii="等线" w:hAnsi="等线"/>
                <w:kern w:val="0"/>
                <w:sz w:val="18"/>
                <w:szCs w:val="18"/>
              </w:rPr>
            </w:pPr>
          </w:p>
        </w:tc>
        <w:tc>
          <w:tcPr>
            <w:tcW w:w="1340" w:type="dxa"/>
            <w:vMerge w:val="continue"/>
            <w:vAlign w:val="center"/>
          </w:tcPr>
          <w:p w14:paraId="4AB9B530">
            <w:pPr>
              <w:spacing w:before="156" w:beforeLines="50" w:after="156" w:afterLines="50"/>
              <w:jc w:val="left"/>
              <w:rPr>
                <w:rFonts w:ascii="等线" w:hAnsi="等线"/>
                <w:kern w:val="0"/>
                <w:sz w:val="18"/>
                <w:szCs w:val="18"/>
              </w:rPr>
            </w:pPr>
          </w:p>
        </w:tc>
        <w:tc>
          <w:tcPr>
            <w:tcW w:w="1876" w:type="dxa"/>
            <w:vMerge w:val="continue"/>
            <w:vAlign w:val="center"/>
          </w:tcPr>
          <w:p w14:paraId="630E0998">
            <w:pPr>
              <w:spacing w:before="156" w:beforeLines="50" w:after="156" w:afterLines="50"/>
              <w:jc w:val="left"/>
              <w:rPr>
                <w:rFonts w:ascii="等线" w:hAnsi="等线"/>
                <w:kern w:val="0"/>
                <w:sz w:val="18"/>
                <w:szCs w:val="18"/>
              </w:rPr>
            </w:pPr>
          </w:p>
        </w:tc>
        <w:tc>
          <w:tcPr>
            <w:tcW w:w="2127" w:type="dxa"/>
            <w:vMerge w:val="continue"/>
            <w:vAlign w:val="center"/>
          </w:tcPr>
          <w:p w14:paraId="37AD6F1F">
            <w:pPr>
              <w:spacing w:before="156" w:beforeLines="50" w:after="156" w:afterLines="50"/>
              <w:jc w:val="left"/>
              <w:rPr>
                <w:rFonts w:ascii="等线" w:hAnsi="等线"/>
                <w:kern w:val="0"/>
                <w:sz w:val="18"/>
                <w:szCs w:val="18"/>
              </w:rPr>
            </w:pPr>
          </w:p>
        </w:tc>
        <w:tc>
          <w:tcPr>
            <w:tcW w:w="909" w:type="dxa"/>
            <w:vMerge w:val="continue"/>
            <w:vAlign w:val="center"/>
          </w:tcPr>
          <w:p w14:paraId="33D0AE47">
            <w:pPr>
              <w:spacing w:before="156" w:beforeLines="50" w:after="156" w:afterLines="50"/>
              <w:jc w:val="center"/>
              <w:rPr>
                <w:rFonts w:ascii="等线" w:hAnsi="等线"/>
                <w:kern w:val="0"/>
                <w:sz w:val="18"/>
                <w:szCs w:val="18"/>
              </w:rPr>
            </w:pPr>
          </w:p>
        </w:tc>
        <w:tc>
          <w:tcPr>
            <w:tcW w:w="5036" w:type="dxa"/>
            <w:vAlign w:val="center"/>
          </w:tcPr>
          <w:p w14:paraId="6AE78D1C">
            <w:pPr>
              <w:widowControl/>
              <w:spacing w:before="156" w:beforeLines="50" w:after="156" w:afterLines="50"/>
              <w:jc w:val="left"/>
              <w:rPr>
                <w:rFonts w:ascii="等线" w:hAnsi="等线"/>
                <w:kern w:val="0"/>
                <w:sz w:val="18"/>
                <w:szCs w:val="18"/>
              </w:rPr>
            </w:pPr>
            <w:r>
              <w:rPr>
                <w:rFonts w:hint="eastAsia" w:ascii="等线" w:hAnsi="等线"/>
                <w:kern w:val="0"/>
                <w:sz w:val="18"/>
                <w:szCs w:val="18"/>
              </w:rPr>
              <w:t>船舶</w:t>
            </w:r>
            <w:r>
              <w:rPr>
                <w:rFonts w:hint="eastAsia" w:ascii="等线" w:hAnsi="等线"/>
                <w:sz w:val="18"/>
                <w:szCs w:val="18"/>
              </w:rPr>
              <w:t>未在相应的记录簿上如实记录垃圾收集处理情况</w:t>
            </w:r>
            <w:r>
              <w:rPr>
                <w:rFonts w:hint="eastAsia" w:ascii="等线" w:hAnsi="等线"/>
                <w:kern w:val="0"/>
                <w:sz w:val="18"/>
                <w:szCs w:val="18"/>
              </w:rPr>
              <w:t>，同时船舶不能提供其垃圾已经收集处理证据的。</w:t>
            </w:r>
          </w:p>
        </w:tc>
        <w:tc>
          <w:tcPr>
            <w:tcW w:w="7237" w:type="dxa"/>
            <w:vAlign w:val="center"/>
          </w:tcPr>
          <w:p w14:paraId="4656800F">
            <w:pPr>
              <w:spacing w:before="156" w:beforeLines="50" w:after="156" w:afterLines="50"/>
              <w:jc w:val="left"/>
              <w:rPr>
                <w:rFonts w:ascii="等线" w:hAnsi="等线"/>
                <w:kern w:val="0"/>
                <w:sz w:val="18"/>
                <w:szCs w:val="18"/>
              </w:rPr>
            </w:pPr>
            <w:r>
              <w:rPr>
                <w:rFonts w:hint="eastAsia" w:ascii="等线" w:hAnsi="等线"/>
                <w:kern w:val="0"/>
                <w:sz w:val="18"/>
                <w:szCs w:val="18"/>
              </w:rPr>
              <w:t>6000元及以上8000元以下</w:t>
            </w:r>
          </w:p>
        </w:tc>
      </w:tr>
      <w:tr w14:paraId="61A87F5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16" w:hRule="atLeast"/>
        </w:trPr>
        <w:tc>
          <w:tcPr>
            <w:tcW w:w="861" w:type="dxa"/>
            <w:vMerge w:val="continue"/>
            <w:vAlign w:val="center"/>
          </w:tcPr>
          <w:p w14:paraId="7255B425">
            <w:pPr>
              <w:spacing w:before="156" w:beforeLines="50" w:after="156" w:afterLines="50"/>
              <w:jc w:val="left"/>
              <w:rPr>
                <w:rFonts w:ascii="等线" w:hAnsi="等线"/>
                <w:kern w:val="0"/>
                <w:sz w:val="18"/>
                <w:szCs w:val="18"/>
              </w:rPr>
            </w:pPr>
          </w:p>
        </w:tc>
        <w:tc>
          <w:tcPr>
            <w:tcW w:w="1340" w:type="dxa"/>
            <w:vMerge w:val="continue"/>
            <w:vAlign w:val="center"/>
          </w:tcPr>
          <w:p w14:paraId="7D8BEF1C">
            <w:pPr>
              <w:spacing w:before="156" w:beforeLines="50" w:after="156" w:afterLines="50"/>
              <w:jc w:val="left"/>
              <w:rPr>
                <w:rFonts w:ascii="等线" w:hAnsi="等线"/>
                <w:kern w:val="0"/>
                <w:sz w:val="18"/>
                <w:szCs w:val="18"/>
              </w:rPr>
            </w:pPr>
          </w:p>
        </w:tc>
        <w:tc>
          <w:tcPr>
            <w:tcW w:w="1876" w:type="dxa"/>
            <w:vMerge w:val="continue"/>
            <w:vAlign w:val="center"/>
          </w:tcPr>
          <w:p w14:paraId="7FAB5F2C">
            <w:pPr>
              <w:spacing w:before="156" w:beforeLines="50" w:after="156" w:afterLines="50"/>
              <w:jc w:val="left"/>
              <w:rPr>
                <w:rFonts w:ascii="等线" w:hAnsi="等线"/>
                <w:kern w:val="0"/>
                <w:sz w:val="18"/>
                <w:szCs w:val="18"/>
              </w:rPr>
            </w:pPr>
          </w:p>
        </w:tc>
        <w:tc>
          <w:tcPr>
            <w:tcW w:w="2127" w:type="dxa"/>
            <w:vMerge w:val="continue"/>
            <w:vAlign w:val="center"/>
          </w:tcPr>
          <w:p w14:paraId="4B273803">
            <w:pPr>
              <w:spacing w:before="156" w:beforeLines="50" w:after="156" w:afterLines="50"/>
              <w:jc w:val="left"/>
              <w:rPr>
                <w:rFonts w:ascii="等线" w:hAnsi="等线"/>
                <w:kern w:val="0"/>
                <w:sz w:val="18"/>
                <w:szCs w:val="18"/>
              </w:rPr>
            </w:pPr>
          </w:p>
        </w:tc>
        <w:tc>
          <w:tcPr>
            <w:tcW w:w="909" w:type="dxa"/>
            <w:vMerge w:val="continue"/>
            <w:vAlign w:val="center"/>
          </w:tcPr>
          <w:p w14:paraId="3FAC8B02">
            <w:pPr>
              <w:spacing w:before="156" w:beforeLines="50" w:after="156" w:afterLines="50"/>
              <w:jc w:val="center"/>
              <w:rPr>
                <w:rFonts w:ascii="等线" w:hAnsi="等线"/>
                <w:kern w:val="0"/>
                <w:sz w:val="18"/>
                <w:szCs w:val="18"/>
              </w:rPr>
            </w:pPr>
          </w:p>
        </w:tc>
        <w:tc>
          <w:tcPr>
            <w:tcW w:w="5036" w:type="dxa"/>
            <w:vAlign w:val="center"/>
          </w:tcPr>
          <w:p w14:paraId="0C960414">
            <w:pPr>
              <w:spacing w:before="156" w:beforeLines="50" w:after="156" w:afterLines="50"/>
              <w:jc w:val="left"/>
              <w:rPr>
                <w:rFonts w:ascii="等线" w:hAnsi="等线"/>
                <w:kern w:val="0"/>
                <w:sz w:val="18"/>
                <w:szCs w:val="18"/>
              </w:rPr>
            </w:pPr>
            <w:r>
              <w:rPr>
                <w:rFonts w:hint="eastAsia" w:ascii="等线" w:hAnsi="等线"/>
                <w:kern w:val="0"/>
                <w:sz w:val="18"/>
                <w:szCs w:val="18"/>
              </w:rPr>
              <w:t>船舶未记录垃圾收集处理情况、记录错误或者记录情况与实际不符，无法提供其垃圾已经收集处理证据，存在排放垃圾嫌疑，但无确切证据证明其排放垃圾违法行为的；记录时故意弄虚作假等情形的。</w:t>
            </w:r>
          </w:p>
        </w:tc>
        <w:tc>
          <w:tcPr>
            <w:tcW w:w="7237" w:type="dxa"/>
            <w:vAlign w:val="center"/>
          </w:tcPr>
          <w:p w14:paraId="7D3D1091">
            <w:pPr>
              <w:spacing w:before="156" w:beforeLines="50" w:after="156" w:afterLines="50"/>
              <w:jc w:val="left"/>
              <w:rPr>
                <w:rFonts w:ascii="等线" w:hAnsi="等线"/>
                <w:kern w:val="0"/>
                <w:sz w:val="18"/>
                <w:szCs w:val="18"/>
              </w:rPr>
            </w:pPr>
            <w:r>
              <w:rPr>
                <w:rFonts w:hint="eastAsia" w:ascii="等线" w:hAnsi="等线"/>
                <w:kern w:val="0"/>
                <w:sz w:val="18"/>
                <w:szCs w:val="18"/>
              </w:rPr>
              <w:t>8000元及以上1万元以下</w:t>
            </w:r>
          </w:p>
        </w:tc>
      </w:tr>
    </w:tbl>
    <w:p w14:paraId="0FDEEF33">
      <w:pPr>
        <w:jc w:val="left"/>
        <w:rPr>
          <w:rFonts w:hAnsi="仿宋_GB2312" w:eastAsia="仿宋_GB2312"/>
          <w:spacing w:val="-6"/>
          <w:sz w:val="32"/>
          <w:szCs w:val="30"/>
        </w:rPr>
      </w:pPr>
    </w:p>
    <w:p w14:paraId="21E4917A">
      <w:pPr>
        <w:tabs>
          <w:tab w:val="left" w:pos="1967"/>
        </w:tabs>
        <w:spacing w:line="240" w:lineRule="exact"/>
        <w:jc w:val="left"/>
        <w:rPr>
          <w:rFonts w:ascii="宋体"/>
        </w:rPr>
      </w:pPr>
    </w:p>
    <w:p w14:paraId="4E122A58">
      <w:pPr>
        <w:tabs>
          <w:tab w:val="left" w:pos="1967"/>
        </w:tabs>
        <w:spacing w:line="240" w:lineRule="exact"/>
        <w:jc w:val="left"/>
        <w:rPr>
          <w:rFonts w:ascii="宋体"/>
        </w:rPr>
      </w:pPr>
    </w:p>
    <w:p w14:paraId="5F7B6D47">
      <w:pPr>
        <w:tabs>
          <w:tab w:val="left" w:pos="1967"/>
        </w:tabs>
        <w:spacing w:line="240" w:lineRule="exact"/>
        <w:jc w:val="left"/>
        <w:rPr>
          <w:rFonts w:ascii="宋体"/>
        </w:rPr>
      </w:pPr>
    </w:p>
    <w:p w14:paraId="44CFE4FD">
      <w:pPr>
        <w:tabs>
          <w:tab w:val="left" w:pos="1967"/>
        </w:tabs>
        <w:spacing w:line="240" w:lineRule="exact"/>
        <w:jc w:val="left"/>
        <w:rPr>
          <w:rFonts w:ascii="宋体"/>
        </w:rPr>
      </w:pPr>
    </w:p>
    <w:p w14:paraId="50E26AAF">
      <w:pPr>
        <w:tabs>
          <w:tab w:val="left" w:pos="1967"/>
        </w:tabs>
        <w:spacing w:line="240" w:lineRule="exact"/>
        <w:jc w:val="left"/>
        <w:rPr>
          <w:rFonts w:ascii="宋体"/>
        </w:rPr>
      </w:pPr>
    </w:p>
    <w:p w14:paraId="0972281C">
      <w:pPr>
        <w:tabs>
          <w:tab w:val="left" w:pos="1967"/>
        </w:tabs>
        <w:spacing w:line="240" w:lineRule="exact"/>
        <w:jc w:val="left"/>
        <w:rPr>
          <w:rFonts w:ascii="宋体"/>
        </w:rPr>
      </w:pPr>
    </w:p>
    <w:p w14:paraId="254AC421">
      <w:pPr>
        <w:tabs>
          <w:tab w:val="left" w:pos="1967"/>
        </w:tabs>
        <w:spacing w:line="240" w:lineRule="exact"/>
        <w:jc w:val="left"/>
        <w:rPr>
          <w:rFonts w:ascii="宋体"/>
        </w:rPr>
      </w:pPr>
    </w:p>
    <w:p w14:paraId="21E5347A">
      <w:pPr>
        <w:tabs>
          <w:tab w:val="left" w:pos="1967"/>
        </w:tabs>
        <w:spacing w:line="240" w:lineRule="exact"/>
        <w:jc w:val="left"/>
        <w:rPr>
          <w:rFonts w:ascii="宋体"/>
        </w:rPr>
      </w:pPr>
    </w:p>
    <w:p w14:paraId="4DEF2DDA">
      <w:pPr>
        <w:tabs>
          <w:tab w:val="left" w:pos="1967"/>
        </w:tabs>
        <w:spacing w:line="240" w:lineRule="exact"/>
        <w:jc w:val="left"/>
        <w:rPr>
          <w:rFonts w:ascii="宋体"/>
        </w:rPr>
      </w:pPr>
    </w:p>
    <w:p w14:paraId="37C35267">
      <w:pPr>
        <w:tabs>
          <w:tab w:val="left" w:pos="1967"/>
        </w:tabs>
        <w:spacing w:line="240" w:lineRule="exact"/>
        <w:jc w:val="left"/>
        <w:rPr>
          <w:rFonts w:ascii="宋体"/>
        </w:rPr>
      </w:pPr>
    </w:p>
    <w:p w14:paraId="5F4145A7">
      <w:pPr>
        <w:tabs>
          <w:tab w:val="left" w:pos="1967"/>
        </w:tabs>
        <w:spacing w:line="240" w:lineRule="exact"/>
        <w:jc w:val="left"/>
        <w:rPr>
          <w:rFonts w:ascii="宋体"/>
        </w:rPr>
      </w:pPr>
    </w:p>
    <w:p w14:paraId="58B36980">
      <w:pPr>
        <w:tabs>
          <w:tab w:val="left" w:pos="1967"/>
        </w:tabs>
        <w:spacing w:line="240" w:lineRule="exact"/>
        <w:jc w:val="left"/>
        <w:rPr>
          <w:rFonts w:ascii="宋体"/>
        </w:rPr>
      </w:pPr>
    </w:p>
    <w:p w14:paraId="468319E6">
      <w:pPr>
        <w:tabs>
          <w:tab w:val="left" w:pos="1967"/>
        </w:tabs>
        <w:spacing w:line="240" w:lineRule="exact"/>
        <w:jc w:val="left"/>
        <w:rPr>
          <w:rFonts w:ascii="宋体"/>
        </w:rPr>
      </w:pPr>
    </w:p>
    <w:p w14:paraId="7C3C97C9">
      <w:pPr>
        <w:tabs>
          <w:tab w:val="left" w:pos="1967"/>
        </w:tabs>
        <w:spacing w:line="240" w:lineRule="exact"/>
        <w:jc w:val="left"/>
        <w:rPr>
          <w:rFonts w:ascii="宋体"/>
        </w:rPr>
      </w:pPr>
    </w:p>
    <w:p w14:paraId="394891CF">
      <w:pPr>
        <w:tabs>
          <w:tab w:val="left" w:pos="1967"/>
        </w:tabs>
        <w:spacing w:line="240" w:lineRule="exact"/>
        <w:jc w:val="left"/>
        <w:rPr>
          <w:rFonts w:ascii="宋体"/>
        </w:rPr>
      </w:pPr>
    </w:p>
    <w:p w14:paraId="70B4108C">
      <w:pPr>
        <w:tabs>
          <w:tab w:val="left" w:pos="1967"/>
        </w:tabs>
        <w:spacing w:line="240" w:lineRule="exact"/>
        <w:jc w:val="left"/>
        <w:rPr>
          <w:rFonts w:ascii="宋体"/>
        </w:rPr>
      </w:pPr>
    </w:p>
    <w:p w14:paraId="7D4B659D">
      <w:pPr>
        <w:tabs>
          <w:tab w:val="left" w:pos="1967"/>
        </w:tabs>
        <w:spacing w:line="240" w:lineRule="exact"/>
        <w:jc w:val="left"/>
        <w:rPr>
          <w:rFonts w:ascii="宋体"/>
        </w:rPr>
      </w:pPr>
    </w:p>
    <w:p w14:paraId="6B15C0D4">
      <w:pPr>
        <w:tabs>
          <w:tab w:val="left" w:pos="1967"/>
        </w:tabs>
        <w:spacing w:line="240" w:lineRule="exact"/>
        <w:jc w:val="left"/>
        <w:rPr>
          <w:rFonts w:ascii="宋体"/>
        </w:rPr>
      </w:pPr>
    </w:p>
    <w:p w14:paraId="29BA3EA4">
      <w:pPr>
        <w:tabs>
          <w:tab w:val="left" w:pos="1967"/>
        </w:tabs>
        <w:spacing w:line="240" w:lineRule="exact"/>
        <w:jc w:val="left"/>
        <w:rPr>
          <w:rFonts w:ascii="宋体"/>
        </w:rPr>
      </w:pPr>
    </w:p>
    <w:p w14:paraId="00D612EB">
      <w:pPr>
        <w:spacing w:before="156" w:beforeLines="50" w:after="156" w:afterLines="50"/>
        <w:jc w:val="left"/>
        <w:rPr>
          <w:sz w:val="18"/>
          <w:szCs w:val="18"/>
        </w:rPr>
      </w:pPr>
    </w:p>
    <w:sectPr>
      <w:footerReference r:id="rId5" w:type="default"/>
      <w:type w:val="continuous"/>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33E6">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175</w:t>
    </w:r>
    <w:r>
      <w:fldChar w:fldCharType="end"/>
    </w:r>
  </w:p>
  <w:p w14:paraId="2D040F3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18C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143</w:t>
    </w:r>
    <w:r>
      <w:fldChar w:fldCharType="end"/>
    </w:r>
  </w:p>
  <w:p w14:paraId="379578BE">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17B9">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228</w:t>
    </w:r>
    <w:r>
      <w:fldChar w:fldCharType="end"/>
    </w:r>
  </w:p>
  <w:p w14:paraId="2798081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suff w:val="space"/>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D"/>
    <w:multiLevelType w:val="singleLevel"/>
    <w:tmpl w:val="0000000D"/>
    <w:lvl w:ilvl="0" w:tentative="0">
      <w:start w:val="1"/>
      <w:numFmt w:val="decimal"/>
      <w:suff w:val="nothing"/>
      <w:lvlText w:val="%1、"/>
      <w:lvlJc w:val="left"/>
    </w:lvl>
  </w:abstractNum>
  <w:abstractNum w:abstractNumId="7">
    <w:nsid w:val="0000000E"/>
    <w:multiLevelType w:val="singleLevel"/>
    <w:tmpl w:val="0000000E"/>
    <w:lvl w:ilvl="0" w:tentative="0">
      <w:start w:val="1"/>
      <w:numFmt w:val="decimal"/>
      <w:lvlText w:val="%1."/>
      <w:lvlJc w:val="left"/>
      <w:pPr>
        <w:tabs>
          <w:tab w:val="left" w:pos="312"/>
        </w:tabs>
      </w:pPr>
    </w:lvl>
  </w:abstractNum>
  <w:abstractNum w:abstractNumId="8">
    <w:nsid w:val="0000000F"/>
    <w:multiLevelType w:val="singleLevel"/>
    <w:tmpl w:val="0000000F"/>
    <w:lvl w:ilvl="0" w:tentative="0">
      <w:start w:val="1"/>
      <w:numFmt w:val="decimal"/>
      <w:suff w:val="nothing"/>
      <w:lvlText w:val="%1."/>
      <w:lvlJc w:val="left"/>
    </w:lvl>
  </w:abstractNum>
  <w:abstractNum w:abstractNumId="9">
    <w:nsid w:val="00000010"/>
    <w:multiLevelType w:val="singleLevel"/>
    <w:tmpl w:val="00000010"/>
    <w:lvl w:ilvl="0" w:tentative="0">
      <w:start w:val="1"/>
      <w:numFmt w:val="decimal"/>
      <w:lvlText w:val="%1."/>
      <w:lvlJc w:val="left"/>
      <w:pPr>
        <w:tabs>
          <w:tab w:val="left" w:pos="312"/>
        </w:tabs>
      </w:pPr>
    </w:lvl>
  </w:abstractNum>
  <w:abstractNum w:abstractNumId="10">
    <w:nsid w:val="00000011"/>
    <w:multiLevelType w:val="singleLevel"/>
    <w:tmpl w:val="00000011"/>
    <w:lvl w:ilvl="0" w:tentative="0">
      <w:start w:val="1"/>
      <w:numFmt w:val="decimal"/>
      <w:suff w:val="nothing"/>
      <w:lvlText w:val="%1."/>
      <w:lvlJc w:val="left"/>
    </w:lvl>
  </w:abstractNum>
  <w:abstractNum w:abstractNumId="11">
    <w:nsid w:val="00000012"/>
    <w:multiLevelType w:val="singleLevel"/>
    <w:tmpl w:val="00000012"/>
    <w:lvl w:ilvl="0" w:tentative="0">
      <w:start w:val="1"/>
      <w:numFmt w:val="decimal"/>
      <w:lvlText w:val="%1."/>
      <w:lvlJc w:val="left"/>
      <w:pPr>
        <w:tabs>
          <w:tab w:val="left" w:pos="312"/>
        </w:tabs>
      </w:pPr>
    </w:lvl>
  </w:abstractNum>
  <w:abstractNum w:abstractNumId="12">
    <w:nsid w:val="00000013"/>
    <w:multiLevelType w:val="singleLevel"/>
    <w:tmpl w:val="00000013"/>
    <w:lvl w:ilvl="0" w:tentative="0">
      <w:start w:val="1"/>
      <w:numFmt w:val="decimal"/>
      <w:lvlText w:val="%1."/>
      <w:lvlJc w:val="left"/>
      <w:pPr>
        <w:tabs>
          <w:tab w:val="left" w:pos="312"/>
        </w:tabs>
      </w:pPr>
    </w:lvl>
  </w:abstractNum>
  <w:abstractNum w:abstractNumId="13">
    <w:nsid w:val="00000014"/>
    <w:multiLevelType w:val="singleLevel"/>
    <w:tmpl w:val="00000014"/>
    <w:lvl w:ilvl="0" w:tentative="0">
      <w:start w:val="1"/>
      <w:numFmt w:val="decimal"/>
      <w:lvlText w:val="%1."/>
      <w:lvlJc w:val="left"/>
      <w:pPr>
        <w:tabs>
          <w:tab w:val="left" w:pos="312"/>
        </w:tabs>
      </w:pPr>
    </w:lvl>
  </w:abstractNum>
  <w:abstractNum w:abstractNumId="14">
    <w:nsid w:val="00000015"/>
    <w:multiLevelType w:val="singleLevel"/>
    <w:tmpl w:val="00000015"/>
    <w:lvl w:ilvl="0" w:tentative="0">
      <w:start w:val="1"/>
      <w:numFmt w:val="decimal"/>
      <w:lvlText w:val="%1."/>
      <w:lvlJc w:val="left"/>
      <w:pPr>
        <w:tabs>
          <w:tab w:val="left" w:pos="312"/>
        </w:tabs>
      </w:pPr>
    </w:lvl>
  </w:abstractNum>
  <w:abstractNum w:abstractNumId="15">
    <w:nsid w:val="00000016"/>
    <w:multiLevelType w:val="singleLevel"/>
    <w:tmpl w:val="00000016"/>
    <w:lvl w:ilvl="0" w:tentative="0">
      <w:start w:val="1"/>
      <w:numFmt w:val="decimal"/>
      <w:lvlText w:val="%1."/>
      <w:lvlJc w:val="left"/>
      <w:pPr>
        <w:tabs>
          <w:tab w:val="left" w:pos="312"/>
        </w:tabs>
      </w:pPr>
    </w:lvl>
  </w:abstractNum>
  <w:abstractNum w:abstractNumId="16">
    <w:nsid w:val="00000017"/>
    <w:multiLevelType w:val="singleLevel"/>
    <w:tmpl w:val="00000017"/>
    <w:lvl w:ilvl="0" w:tentative="0">
      <w:start w:val="1"/>
      <w:numFmt w:val="decimal"/>
      <w:lvlText w:val="%1."/>
      <w:lvlJc w:val="left"/>
      <w:pPr>
        <w:tabs>
          <w:tab w:val="left" w:pos="312"/>
        </w:tabs>
      </w:pPr>
    </w:lvl>
  </w:abstractNum>
  <w:abstractNum w:abstractNumId="17">
    <w:nsid w:val="00000018"/>
    <w:multiLevelType w:val="singleLevel"/>
    <w:tmpl w:val="00000018"/>
    <w:lvl w:ilvl="0" w:tentative="0">
      <w:start w:val="1"/>
      <w:numFmt w:val="decimal"/>
      <w:suff w:val="nothing"/>
      <w:lvlText w:val="%1、"/>
      <w:lvlJc w:val="left"/>
    </w:lvl>
  </w:abstractNum>
  <w:abstractNum w:abstractNumId="18">
    <w:nsid w:val="00000019"/>
    <w:multiLevelType w:val="singleLevel"/>
    <w:tmpl w:val="00000019"/>
    <w:lvl w:ilvl="0" w:tentative="0">
      <w:start w:val="1"/>
      <w:numFmt w:val="decimal"/>
      <w:lvlText w:val="%1."/>
      <w:lvlJc w:val="left"/>
      <w:pPr>
        <w:tabs>
          <w:tab w:val="left" w:pos="312"/>
        </w:tabs>
      </w:pPr>
    </w:lvl>
  </w:abstractNum>
  <w:abstractNum w:abstractNumId="19">
    <w:nsid w:val="0000001A"/>
    <w:multiLevelType w:val="singleLevel"/>
    <w:tmpl w:val="0000001A"/>
    <w:lvl w:ilvl="0" w:tentative="0">
      <w:start w:val="1"/>
      <w:numFmt w:val="decimal"/>
      <w:lvlText w:val="%1."/>
      <w:lvlJc w:val="left"/>
      <w:pPr>
        <w:tabs>
          <w:tab w:val="left" w:pos="312"/>
        </w:tabs>
      </w:pPr>
    </w:lvl>
  </w:abstractNum>
  <w:abstractNum w:abstractNumId="20">
    <w:nsid w:val="4B7B6248"/>
    <w:multiLevelType w:val="singleLevel"/>
    <w:tmpl w:val="4B7B6248"/>
    <w:lvl w:ilvl="0" w:tentative="0">
      <w:start w:val="1"/>
      <w:numFmt w:val="decimal"/>
      <w:lvlText w:val="%1."/>
      <w:lvlJc w:val="left"/>
      <w:pPr>
        <w:tabs>
          <w:tab w:val="left" w:pos="312"/>
        </w:tabs>
      </w:pPr>
    </w:lvl>
  </w:abstractNum>
  <w:num w:numId="1">
    <w:abstractNumId w:val="14"/>
  </w:num>
  <w:num w:numId="2">
    <w:abstractNumId w:val="8"/>
  </w:num>
  <w:num w:numId="3">
    <w:abstractNumId w:val="10"/>
  </w:num>
  <w:num w:numId="4">
    <w:abstractNumId w:val="13"/>
  </w:num>
  <w:num w:numId="5">
    <w:abstractNumId w:val="20"/>
  </w:num>
  <w:num w:numId="6">
    <w:abstractNumId w:val="7"/>
  </w:num>
  <w:num w:numId="7">
    <w:abstractNumId w:val="4"/>
  </w:num>
  <w:num w:numId="8">
    <w:abstractNumId w:val="12"/>
  </w:num>
  <w:num w:numId="9">
    <w:abstractNumId w:val="18"/>
  </w:num>
  <w:num w:numId="10">
    <w:abstractNumId w:val="17"/>
  </w:num>
  <w:num w:numId="11">
    <w:abstractNumId w:val="6"/>
  </w:num>
  <w:num w:numId="12">
    <w:abstractNumId w:val="19"/>
  </w:num>
  <w:num w:numId="13">
    <w:abstractNumId w:val="11"/>
  </w:num>
  <w:num w:numId="14">
    <w:abstractNumId w:val="2"/>
  </w:num>
  <w:num w:numId="15">
    <w:abstractNumId w:val="0"/>
  </w:num>
  <w:num w:numId="16">
    <w:abstractNumId w:val="5"/>
  </w:num>
  <w:num w:numId="17">
    <w:abstractNumId w:val="15"/>
  </w:num>
  <w:num w:numId="18">
    <w:abstractNumId w:val="3"/>
  </w:num>
  <w:num w:numId="19">
    <w:abstractNumId w:val="9"/>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1543BB"/>
    <w:rsid w:val="00172A27"/>
    <w:rsid w:val="001E4E6B"/>
    <w:rsid w:val="00295AAF"/>
    <w:rsid w:val="00601DB4"/>
    <w:rsid w:val="00686E11"/>
    <w:rsid w:val="007B0908"/>
    <w:rsid w:val="0092141A"/>
    <w:rsid w:val="009B597E"/>
    <w:rsid w:val="00A36D27"/>
    <w:rsid w:val="00D33090"/>
    <w:rsid w:val="00D757A0"/>
    <w:rsid w:val="00E52866"/>
    <w:rsid w:val="66B21125"/>
    <w:rsid w:val="7FFD882F"/>
    <w:rsid w:val="ED66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cs="Times New Roman"/>
    </w:rPr>
  </w:style>
  <w:style w:type="paragraph" w:styleId="3">
    <w:name w:val="Balloon Text"/>
    <w:basedOn w:val="1"/>
    <w:qFormat/>
    <w:uiPriority w:val="0"/>
    <w:rPr>
      <w:rFonts w:ascii="Calibri" w:hAnsi="Calibri" w:cs="Times New Roman"/>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cs="Times New Roman"/>
      <w:b/>
      <w:bCs/>
    </w:rPr>
  </w:style>
  <w:style w:type="character" w:customStyle="1" w:styleId="9">
    <w:name w:val="页码1"/>
    <w:qFormat/>
    <w:uiPriority w:val="0"/>
  </w:style>
  <w:style w:type="paragraph" w:customStyle="1" w:styleId="10">
    <w:name w:val="列出段落1"/>
    <w:basedOn w:val="1"/>
    <w:qFormat/>
    <w:uiPriority w:val="0"/>
    <w:pPr>
      <w:ind w:firstLine="420" w:firstLineChars="200"/>
    </w:pPr>
  </w:style>
  <w:style w:type="paragraph" w:customStyle="1" w:styleId="11">
    <w:name w:val="正文文本缩进 21"/>
    <w:basedOn w:val="1"/>
    <w:qFormat/>
    <w:uiPriority w:val="0"/>
    <w:pPr>
      <w:spacing w:line="600" w:lineRule="exact"/>
      <w:ind w:firstLine="560" w:firstLineChars="200"/>
    </w:pPr>
    <w:rPr>
      <w:rFonts w:ascii="宋体" w:eastAsia="仿宋_GB2312"/>
      <w:sz w:val="28"/>
    </w:rPr>
  </w:style>
  <w:style w:type="paragraph" w:customStyle="1" w:styleId="12">
    <w:name w:val="正文1"/>
    <w:qFormat/>
    <w:uiPriority w:val="0"/>
    <w:pPr>
      <w:jc w:val="both"/>
    </w:pPr>
    <w:rPr>
      <w:rFonts w:ascii="仿宋_GB2312" w:hAnsi="宋体" w:eastAsia="宋体" w:cs="宋体"/>
      <w:kern w:val="2"/>
      <w:sz w:val="21"/>
      <w:szCs w:val="21"/>
      <w:lang w:val="en-US" w:eastAsia="zh-CN" w:bidi="ar-SA"/>
    </w:rPr>
  </w:style>
  <w:style w:type="paragraph" w:customStyle="1" w:styleId="13">
    <w:name w:val="p0"/>
    <w:basedOn w:val="1"/>
    <w:qFormat/>
    <w:uiPriority w:val="0"/>
    <w:pPr>
      <w:widowControl/>
    </w:pPr>
    <w:rPr>
      <w:kern w:val="0"/>
    </w:rPr>
  </w:style>
  <w:style w:type="paragraph" w:customStyle="1" w:styleId="14">
    <w:name w:val="普通(网站)1"/>
    <w:basedOn w:val="1"/>
    <w:qFormat/>
    <w:uiPriority w:val="0"/>
    <w:pPr>
      <w:spacing w:before="100" w:beforeAutospacing="1" w:after="100" w:afterAutospacing="1"/>
      <w:jc w:val="left"/>
    </w:pPr>
    <w:rPr>
      <w:kern w:val="0"/>
      <w:sz w:val="24"/>
    </w:rPr>
  </w:style>
  <w:style w:type="character" w:customStyle="1" w:styleId="15">
    <w:name w:val="页眉 Char"/>
    <w:basedOn w:val="7"/>
    <w:link w:val="5"/>
    <w:qFormat/>
    <w:uiPriority w:val="0"/>
    <w:rPr>
      <w:rFonts w:ascii="仿宋_GB2312" w:hAnsi="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228</Pages>
  <Words>5736</Words>
  <Characters>5899</Characters>
  <Lines>1191</Lines>
  <Paragraphs>335</Paragraphs>
  <TotalTime>69</TotalTime>
  <ScaleCrop>false</ScaleCrop>
  <LinksUpToDate>false</LinksUpToDate>
  <CharactersWithSpaces>5902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2021-12-27T14:05:00Z</dcterms:created>
  <dc:creator>Ross小朋</dc:creator>
  <cp:lastModifiedBy>明遥</cp:lastModifiedBy>
  <dcterms:modified xsi:type="dcterms:W3CDTF">2026-05-12T07:04:04Z</dcterms:modified>
  <dc:title>Ross小朋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C7E322EAA6FA4C329948B05B3DD89062</vt:lpwstr>
  </property>
  <property fmtid="{D5CDD505-2E9C-101B-9397-08002B2CF9AE}" pid="4" name="KSOTemplateDocerSaveRecord">
    <vt:lpwstr>eyJoZGlkIjoiMTQ4NGFlOTZmZDEyYjgxOGYxNWRkZDk2YWJkMjUwMGQiLCJ1c2VySWQiOiIxMjA2Mzk4ODg1In0=</vt:lpwstr>
  </property>
</Properties>
</file>