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after="156" w:line="360" w:lineRule="auto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</w:p>
    <w:p>
      <w:pPr>
        <w:snapToGrid w:val="0"/>
        <w:spacing w:before="156" w:after="156" w:line="360" w:lineRule="auto"/>
        <w:ind w:firstLine="602" w:firstLineChars="200"/>
        <w:jc w:val="center"/>
        <w:textAlignment w:val="baseline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长江干线船舶引航收费项目、标准一览表</w:t>
      </w:r>
    </w:p>
    <w:tbl>
      <w:tblPr>
        <w:tblStyle w:val="7"/>
        <w:tblW w:w="870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67"/>
        <w:gridCol w:w="2196"/>
        <w:gridCol w:w="872"/>
        <w:gridCol w:w="1446"/>
        <w:gridCol w:w="1159"/>
        <w:gridCol w:w="11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</w:t>
            </w: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计费单位</w:t>
            </w: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收费标准（元）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引航费</w:t>
            </w:r>
          </w:p>
        </w:tc>
        <w:tc>
          <w:tcPr>
            <w:tcW w:w="3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起迄航段及里程（公里）</w:t>
            </w:r>
          </w:p>
        </w:tc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太仓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</w:t>
            </w:r>
          </w:p>
        </w:tc>
        <w:tc>
          <w:tcPr>
            <w:tcW w:w="14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净吨（马力）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0.52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南通/常熟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96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0.72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张家港/如皋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138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0.86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江阴/靖江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161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0.94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常州/泰州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215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1.12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镇江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273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1.31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扬州/江都/高资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298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1.39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南京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1.61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马鞍山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408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1.76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芜湖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454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1.91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铜陵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562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2.27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池州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600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2.39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安庆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658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2.59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九江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824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3.14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黄石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956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3.57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汉口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1093</w:t>
            </w:r>
          </w:p>
        </w:tc>
        <w:tc>
          <w:tcPr>
            <w:tcW w:w="1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4.03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移泊费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净吨（马力）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0.29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各港港内移泊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说明：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　1、长江引航费按基本基价每净吨（马力）0.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405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元，加里程基价每净吨（马力）公里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0.003315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元计收，即每净吨（马力）引航费标准＝0.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405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元＋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0.003315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元/公里＊里程数，计算结果四舍五入进整到分。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　2、引航船舶不足500净吨（马力）的，按500净吨（马力）计收。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　3、逢节假日或夜班（22：00－6：00）引航、移泊的，按上述收费标准加收50%；节假日夜班加收100%。</w:t>
            </w:r>
          </w:p>
          <w:p>
            <w:pPr>
              <w:widowControl/>
              <w:numPr>
                <w:ilvl w:val="0"/>
                <w:numId w:val="1"/>
              </w:numPr>
              <w:ind w:firstLine="480"/>
              <w:jc w:val="left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引航交通费每次400元，移泊交通费每次100元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ind w:firstLine="480"/>
              <w:jc w:val="left"/>
              <w:textAlignment w:val="baseline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根据财综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〔201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〕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95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号，江苏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太仓港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作为沿海港口管理，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进出太仓港的船舶引航收费执行《港口收费计费办法》（</w:t>
            </w:r>
            <w:r>
              <w:rPr>
                <w:rFonts w:hint="eastAsia" w:ascii="仿宋" w:hAnsi="仿宋" w:eastAsia="仿宋"/>
                <w:color w:val="333333"/>
                <w:sz w:val="24"/>
                <w:shd w:val="clear" w:color="auto" w:fill="FFFFFF"/>
              </w:rPr>
              <w:t>交水规〔201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9〕2号  ）。  </w:t>
            </w:r>
          </w:p>
          <w:p>
            <w:pPr>
              <w:widowControl/>
              <w:ind w:firstLine="480" w:firstLineChars="200"/>
              <w:jc w:val="left"/>
              <w:textAlignment w:val="baseline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6、根据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发改价格〔201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〕1494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号，自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2013年10月1日起，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长江干线船舶引航收费，在现行收费标准基础上下调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20%。</w:t>
            </w:r>
          </w:p>
          <w:p>
            <w:pPr>
              <w:widowControl/>
              <w:jc w:val="left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根据财税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〔201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〕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101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号、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财办税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〔201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〕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号，自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2015年1月1日起，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长江干线船舶引航收费，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对小微企业100总吨以下内河船和500总吨以下海船免征。</w:t>
            </w:r>
            <w:bookmarkStart w:id="0" w:name="_GoBack"/>
            <w:bookmarkEnd w:id="0"/>
          </w:p>
          <w:p>
            <w:pPr>
              <w:widowControl/>
              <w:ind w:firstLine="480" w:firstLineChars="200"/>
              <w:jc w:val="left"/>
              <w:textAlignment w:val="baseline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snapToGrid w:val="0"/>
        <w:spacing w:before="156" w:after="156" w:line="360" w:lineRule="auto"/>
        <w:jc w:val="both"/>
        <w:textAlignment w:val="baseline"/>
        <w:rPr>
          <w:rFonts w:ascii="仿宋" w:hAnsi="仿宋" w:eastAsia="仿宋" w:cs="仿宋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AFD3B"/>
    <w:multiLevelType w:val="singleLevel"/>
    <w:tmpl w:val="5FEAFD3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27039"/>
    <w:rsid w:val="00092877"/>
    <w:rsid w:val="00116973"/>
    <w:rsid w:val="00164D81"/>
    <w:rsid w:val="00332302"/>
    <w:rsid w:val="003735D6"/>
    <w:rsid w:val="003A371A"/>
    <w:rsid w:val="003B3D83"/>
    <w:rsid w:val="00405A1B"/>
    <w:rsid w:val="00590925"/>
    <w:rsid w:val="00684ED0"/>
    <w:rsid w:val="007600B0"/>
    <w:rsid w:val="00760264"/>
    <w:rsid w:val="00770DF3"/>
    <w:rsid w:val="00781CB6"/>
    <w:rsid w:val="00A31032"/>
    <w:rsid w:val="00A471CA"/>
    <w:rsid w:val="00A51E04"/>
    <w:rsid w:val="00AE6165"/>
    <w:rsid w:val="00B72271"/>
    <w:rsid w:val="00DE0722"/>
    <w:rsid w:val="00E346C9"/>
    <w:rsid w:val="00E510DE"/>
    <w:rsid w:val="02296FBE"/>
    <w:rsid w:val="1CF022C2"/>
    <w:rsid w:val="2870588C"/>
    <w:rsid w:val="2F7753A2"/>
    <w:rsid w:val="313A5E05"/>
    <w:rsid w:val="4A58659A"/>
    <w:rsid w:val="4F87171A"/>
    <w:rsid w:val="523D22C7"/>
    <w:rsid w:val="5B315DDB"/>
    <w:rsid w:val="5B63208A"/>
    <w:rsid w:val="61C0685C"/>
    <w:rsid w:val="65C0669A"/>
    <w:rsid w:val="675425FF"/>
    <w:rsid w:val="69343AE7"/>
    <w:rsid w:val="69B44F89"/>
    <w:rsid w:val="72F73918"/>
    <w:rsid w:val="76111FFB"/>
    <w:rsid w:val="7657634B"/>
    <w:rsid w:val="781F18EC"/>
    <w:rsid w:val="79027039"/>
    <w:rsid w:val="7E3B3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981259-89D4-4BE0-98D2-774D8F4FFD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274</Words>
  <Characters>1565</Characters>
  <Lines>13</Lines>
  <Paragraphs>3</Paragraphs>
  <ScaleCrop>false</ScaleCrop>
  <LinksUpToDate>false</LinksUpToDate>
  <CharactersWithSpaces>1836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2020-12-29T03:26:00Z</dcterms:created>
  <dc:creator>YiYi</dc:creator>
  <cp:lastModifiedBy>谢军</cp:lastModifiedBy>
  <cp:lastPrinted>2020-12-30T02:13:05Z</cp:lastPrinted>
  <dcterms:modified xsi:type="dcterms:W3CDTF">2020-12-30T02:13:35Z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